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版本号：ZTGX-2026-00220260116001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商洛市体育馆改造修缮工程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ZTGX-2026-002</w:t>
      </w:r>
      <w:r>
        <w:br/>
      </w:r>
      <w:r>
        <w:br/>
      </w:r>
      <w:r>
        <w:br/>
      </w:r>
    </w:p>
    <w:p>
      <w:pPr>
        <w:pStyle w:val="null3"/>
        <w:jc w:val="center"/>
        <w:outlineLvl w:val="2"/>
      </w:pPr>
      <w:r>
        <w:rPr>
          <w:rFonts w:ascii="仿宋_GB2312" w:hAnsi="仿宋_GB2312" w:cs="仿宋_GB2312" w:eastAsia="仿宋_GB2312"/>
          <w:sz w:val="28"/>
          <w:b/>
        </w:rPr>
        <w:t>商洛市体育运动中心</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商洛市体育运动中心</w:t>
      </w:r>
      <w:r>
        <w:rPr>
          <w:rFonts w:ascii="仿宋_GB2312" w:hAnsi="仿宋_GB2312" w:cs="仿宋_GB2312" w:eastAsia="仿宋_GB2312"/>
        </w:rPr>
        <w:t>委托，拟对</w:t>
      </w:r>
      <w:r>
        <w:rPr>
          <w:rFonts w:ascii="仿宋_GB2312" w:hAnsi="仿宋_GB2312" w:cs="仿宋_GB2312" w:eastAsia="仿宋_GB2312"/>
        </w:rPr>
        <w:t>商洛市体育馆改造修缮工程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ZTGX-2026-002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商洛市体育馆改造修缮工程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1.拆除二层环形通道地砖，铺设弹性防滑地胶；2.改造二层所有卫生间，更换下水主管道；3.一层环形通道和部分功能用房墙面防水处理，并喷防水漆；4.拆除一层、二层部分功能用房水毁木地板，重新铺设皮质地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采购包1（商洛市体育馆改造修缮工程）：属于专门面向中小企业采购。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1、主体资格合法有效：具有独立承担民事责任能力的法人、其他组织或自然人，提供合法有效的统一社会信用代码营业执照（事业单位提供事业单位法人证书，自然人提供身份证明）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2、资质要求：投标人应具备相关行政主管部门颁发的【建筑工程专业三级】及以上施工总承包资质且具备合法有效的安全生产许可证，并在人员、设备、资金等方面具备相应的施工能力</w:t>
      </w:r>
    </w:p>
    <w:p>
      <w:pPr>
        <w:pStyle w:val="null3"/>
      </w:pPr>
      <w:r>
        <w:rPr>
          <w:rFonts w:ascii="仿宋_GB2312" w:hAnsi="仿宋_GB2312" w:cs="仿宋_GB2312" w:eastAsia="仿宋_GB2312"/>
        </w:rPr>
        <w:t>3、投标人信誉要求：投标人不得在“中国执行信息公开网”网站被列为失信被执行人， 不得在各级建设诚信信息平台被列为投标受限制的行为人或被列为严重违法失信企业名单（提供承诺书加盖公章），投标人不得在全国企业信用信息公示系统被列为严重违法失信企业名单；（提供相关网站截图）</w:t>
      </w:r>
    </w:p>
    <w:p>
      <w:pPr>
        <w:pStyle w:val="null3"/>
      </w:pPr>
      <w:r>
        <w:rPr>
          <w:rFonts w:ascii="仿宋_GB2312" w:hAnsi="仿宋_GB2312" w:cs="仿宋_GB2312" w:eastAsia="仿宋_GB2312"/>
        </w:rPr>
        <w:t>4、投标人基本信息要求：投标人资质及项目负责人的基本信息应在“陕西建设网 （http://js.shaanxi.gov.cn/）陕西省建筑市场监管与诚信信息发布平台”可查询或在 “陕西省住房和城乡建设厅（http：//js.shaanxi.gov.cn/）”可查询（提供相关网站截图）</w:t>
      </w:r>
    </w:p>
    <w:p>
      <w:pPr>
        <w:pStyle w:val="null3"/>
      </w:pPr>
      <w:r>
        <w:rPr>
          <w:rFonts w:ascii="仿宋_GB2312" w:hAnsi="仿宋_GB2312" w:cs="仿宋_GB2312" w:eastAsia="仿宋_GB2312"/>
        </w:rPr>
        <w:t>5、税收缴纳证明：提供上一年度至今已缴纳至少一个月的纳税证明或完税证明，依法免税的单位应提供相关证明材料；</w:t>
      </w:r>
    </w:p>
    <w:p>
      <w:pPr>
        <w:pStyle w:val="null3"/>
      </w:pPr>
      <w:r>
        <w:rPr>
          <w:rFonts w:ascii="仿宋_GB2312" w:hAnsi="仿宋_GB2312" w:cs="仿宋_GB2312" w:eastAsia="仿宋_GB2312"/>
        </w:rPr>
        <w:t>6、社会保障资金缴纳证明：提供上一年度至今已缴存至少一个月的社会保障资金缴存单据或社保机构开具的社会保险参保缴费情况证明，依法不需要缴纳社会保障资金的单位应提供相关证明材料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8、法定代表人（负责人）授权书合法有效：法定代表人直接参加投标的，须出具法人身份证；法定代表人授权代表参加投标的，须出具法定代表人授权书及授权代表身份证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9、非联合体声明：本项目不接受联合体投标，供应商须以一个独立的法人实体参加投标。（提供承诺书）</w:t>
      </w:r>
    </w:p>
    <w:p>
      <w:pPr>
        <w:pStyle w:val="null3"/>
      </w:pPr>
      <w:r>
        <w:rPr>
          <w:rFonts w:ascii="仿宋_GB2312" w:hAnsi="仿宋_GB2312" w:cs="仿宋_GB2312" w:eastAsia="仿宋_GB2312"/>
        </w:rPr>
        <w:t>10、 拟派项目负责人资质和专业要求：投标人拟派项目经理须具备建筑工程专业二级（及二级以上）注册建造师资格，为本单位在职人员（提供单位缴纳社保证明），且无在建工程（附承诺书，格式自拟）；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商洛市体育运动中心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商洛市商州区丹南新区体育北路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商洛市体育运动中心经办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13909143340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陕西省商洛市商州区朝阳路城投公司东隔壁二楼开标室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18991402322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开户名称：陕西中天国信项目管理有限公司</w:t>
            </w:r>
          </w:p>
          <w:p>
            <w:pPr>
              <w:pStyle w:val="null3"/>
            </w:pPr>
            <w:r>
              <w:rPr>
                <w:rFonts w:ascii="仿宋_GB2312" w:hAnsi="仿宋_GB2312" w:cs="仿宋_GB2312" w:eastAsia="仿宋_GB2312"/>
              </w:rPr>
              <w:t>开户银行：中国工商银行股份有限公司商洛行政广场支行</w:t>
            </w:r>
          </w:p>
          <w:p>
            <w:pPr>
              <w:pStyle w:val="null3"/>
            </w:pPr>
            <w:r>
              <w:rPr>
                <w:rFonts w:ascii="仿宋_GB2312" w:hAnsi="仿宋_GB2312" w:cs="仿宋_GB2312" w:eastAsia="仿宋_GB2312"/>
              </w:rPr>
              <w:t>银行账号：2608070409200065897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 展改革委员会办公厅颁发的《关于招标代理服务收费有关问题的通知》（发改价格[2003]857号）有关规定向成交供应商收取代理服务费。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商洛市体育运动中心</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商洛市体育运动中心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商洛市体育运动中心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联系人：王肖</w:t>
      </w:r>
    </w:p>
    <w:p>
      <w:pPr>
        <w:pStyle w:val="null3"/>
      </w:pPr>
      <w:r>
        <w:rPr>
          <w:rFonts w:ascii="仿宋_GB2312" w:hAnsi="仿宋_GB2312" w:cs="仿宋_GB2312" w:eastAsia="仿宋_GB2312"/>
        </w:rPr>
        <w:t>联系电话：18991402322</w:t>
      </w:r>
    </w:p>
    <w:p>
      <w:pPr>
        <w:pStyle w:val="null3"/>
      </w:pPr>
      <w:r>
        <w:rPr>
          <w:rFonts w:ascii="仿宋_GB2312" w:hAnsi="仿宋_GB2312" w:cs="仿宋_GB2312" w:eastAsia="仿宋_GB2312"/>
        </w:rPr>
        <w:t>地址：陕西省商洛市商州区朝阳路城投公司东隔壁二楼开标室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1,620,000.00</w:t>
      </w:r>
    </w:p>
    <w:p>
      <w:pPr>
        <w:pStyle w:val="null3"/>
      </w:pPr>
      <w:r>
        <w:rPr>
          <w:rFonts w:ascii="仿宋_GB2312" w:hAnsi="仿宋_GB2312" w:cs="仿宋_GB2312" w:eastAsia="仿宋_GB2312"/>
        </w:rPr>
        <w:t>采购包最高限价（元）: 1,620,000.00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商洛市体育馆改造修缮工程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标的名称：商洛市体育馆改造修缮工程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采购内容:1.拆除二层环形通道地砖，铺设弹性防滑地胶；</w:t>
            </w:r>
          </w:p>
          <w:p>
            <w:pPr>
              <w:pStyle w:val="null3"/>
            </w:pPr>
            <w:r>
              <w:rPr>
                <w:rFonts w:ascii="仿宋_GB2312" w:hAnsi="仿宋_GB2312" w:cs="仿宋_GB2312" w:eastAsia="仿宋_GB2312"/>
              </w:rPr>
              <w:t>2.改造二层所有卫生间，更换下水主管道；</w:t>
            </w:r>
          </w:p>
          <w:p>
            <w:pPr>
              <w:pStyle w:val="null3"/>
            </w:pPr>
            <w:r>
              <w:rPr>
                <w:rFonts w:ascii="仿宋_GB2312" w:hAnsi="仿宋_GB2312" w:cs="仿宋_GB2312" w:eastAsia="仿宋_GB2312"/>
              </w:rPr>
              <w:t>3.一层环形通道和部分功能用房墙面防水处理，并喷防水漆；</w:t>
            </w:r>
          </w:p>
          <w:p>
            <w:pPr>
              <w:pStyle w:val="null3"/>
            </w:pPr>
            <w:r>
              <w:rPr>
                <w:rFonts w:ascii="仿宋_GB2312" w:hAnsi="仿宋_GB2312" w:cs="仿宋_GB2312" w:eastAsia="仿宋_GB2312"/>
              </w:rPr>
              <w:t>4.拆除一层、二层部分功能用房水毁木地板，重新铺设皮质地毯。服务要求：本次改造修缮提升通道安全性、舒适性、耐用性及整体美观度；有效解决排水隐患，提升卫生间使用功能、卫生条件及耐久性；解决墙面渗漏、返潮问题，创造干燥、洁净的室内环境；更换因水损造成的地面材料，提供耐用、易维护、舒适的新地面。</w:t>
            </w:r>
          </w:p>
          <w:p>
            <w:pPr>
              <w:pStyle w:val="null3"/>
            </w:pPr>
            <w:r>
              <w:rPr>
                <w:rFonts w:ascii="仿宋_GB2312" w:hAnsi="仿宋_GB2312" w:cs="仿宋_GB2312" w:eastAsia="仿宋_GB2312"/>
              </w:rPr>
              <w:t>验收的要求:1.安全合规要求：所有材料（地胶、涂料、管道、地板等）必须符合国家现行的安全、环保、防火强制性标准。施工过程需遵守安全生产规范，做好现场围挡、警示，确保人员及场馆设施安全。</w:t>
            </w:r>
          </w:p>
          <w:p>
            <w:pPr>
              <w:pStyle w:val="null3"/>
            </w:pPr>
            <w:r>
              <w:rPr>
                <w:rFonts w:ascii="仿宋_GB2312" w:hAnsi="仿宋_GB2312" w:cs="仿宋_GB2312" w:eastAsia="仿宋_GB2312"/>
              </w:rPr>
              <w:t>2.整体协调与美观要求：新铺装的地胶、地板、墙面漆的颜色、纹理需与体育馆整体风格相协调，营造整洁、专业的室内环境。</w:t>
            </w:r>
          </w:p>
          <w:p>
            <w:pPr>
              <w:pStyle w:val="null3"/>
            </w:pPr>
            <w:r>
              <w:rPr>
                <w:rFonts w:ascii="仿宋_GB2312" w:hAnsi="仿宋_GB2312" w:cs="仿宋_GB2312" w:eastAsia="仿宋_GB2312"/>
              </w:rPr>
              <w:t>3.质量要求：施工工艺应符合国家及行业相关施工验收规范</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jc w:val="both"/>
            </w:pPr>
            <w:r>
              <w:rPr>
                <w:rFonts w:ascii="仿宋_GB2312" w:hAnsi="仿宋_GB2312" w:cs="仿宋_GB2312" w:eastAsia="仿宋_GB2312"/>
                <w:sz w:val="21"/>
                <w:b/>
              </w:rPr>
              <w:t>一、地面参数要求</w:t>
            </w:r>
          </w:p>
          <w:p>
            <w:pPr>
              <w:pStyle w:val="null3"/>
              <w:spacing w:before="150"/>
              <w:jc w:val="both"/>
            </w:pPr>
            <w:r>
              <w:rPr>
                <w:rFonts w:ascii="仿宋_GB2312" w:hAnsi="仿宋_GB2312" w:cs="仿宋_GB2312" w:eastAsia="仿宋_GB2312"/>
                <w:sz w:val="21"/>
                <w:b/>
              </w:rPr>
              <w:t>1、化学环保技术参数：</w:t>
            </w:r>
          </w:p>
          <w:p>
            <w:pPr>
              <w:pStyle w:val="null3"/>
              <w:ind w:firstLine="420"/>
              <w:jc w:val="both"/>
            </w:pPr>
            <w:r>
              <w:rPr>
                <w:rFonts w:ascii="仿宋_GB2312" w:hAnsi="仿宋_GB2312" w:cs="仿宋_GB2312" w:eastAsia="仿宋_GB2312"/>
                <w:sz w:val="21"/>
              </w:rPr>
              <w:t>1）有害物质释放率和有害物质限量满足以下参数，并同时提供具有“CMA”及“CNAS”资质检测机构出具的符合GB/T 22374-2018《地坪涂料材料》W型检测报告：</w:t>
            </w:r>
          </w:p>
          <w:tbl>
            <w:tblPr>
              <w:tblInd w:type="dxa" w:w="510"/>
              <w:tblBorders>
                <w:top w:val="none" w:color="000000" w:sz="4"/>
                <w:left w:val="none" w:color="000000" w:sz="4"/>
                <w:bottom w:val="none" w:color="000000" w:sz="4"/>
                <w:right w:val="none" w:color="000000" w:sz="4"/>
                <w:insideH w:val="none"/>
                <w:insideV w:val="none"/>
              </w:tblBorders>
            </w:tblPr>
            <w:tblGrid>
              <w:gridCol w:w="207"/>
              <w:gridCol w:w="445"/>
              <w:gridCol w:w="1355"/>
              <w:gridCol w:w="529"/>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18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检测项目</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W型限量指标</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挥发性有机化合物含量（</w:t>
                  </w:r>
                  <w:r>
                    <w:rPr>
                      <w:rFonts w:ascii="仿宋_GB2312" w:hAnsi="仿宋_GB2312" w:cs="仿宋_GB2312" w:eastAsia="仿宋_GB2312"/>
                      <w:sz w:val="15"/>
                      <w:color w:val="000000"/>
                    </w:rPr>
                    <w:t>VOC）（g/L）</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游离甲醛</w:t>
                  </w:r>
                  <w:r>
                    <w:rPr>
                      <w:rFonts w:ascii="仿宋_GB2312" w:hAnsi="仿宋_GB2312" w:cs="仿宋_GB2312" w:eastAsia="仿宋_GB2312"/>
                      <w:sz w:val="15"/>
                      <w:color w:val="000000"/>
                    </w:rPr>
                    <w:t>/（mg/kg）</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苯</w:t>
                  </w:r>
                  <w:r>
                    <w:rPr>
                      <w:rFonts w:ascii="仿宋_GB2312" w:hAnsi="仿宋_GB2312" w:cs="仿宋_GB2312" w:eastAsia="仿宋_GB2312"/>
                      <w:sz w:val="15"/>
                      <w:color w:val="000000"/>
                    </w:rPr>
                    <w:t>/（g/kg）</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甲苯、乙苯、二甲苯的总和</w:t>
                  </w:r>
                  <w:r>
                    <w:rPr>
                      <w:rFonts w:ascii="仿宋_GB2312" w:hAnsi="仿宋_GB2312" w:cs="仿宋_GB2312" w:eastAsia="仿宋_GB2312"/>
                      <w:sz w:val="15"/>
                      <w:color w:val="000000"/>
                    </w:rPr>
                    <w:t>/（g/kg）</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游离二异氰酸酯（</w:t>
                  </w:r>
                  <w:r>
                    <w:rPr>
                      <w:rFonts w:ascii="仿宋_GB2312" w:hAnsi="仿宋_GB2312" w:cs="仿宋_GB2312" w:eastAsia="仿宋_GB2312"/>
                      <w:sz w:val="15"/>
                      <w:color w:val="000000"/>
                    </w:rPr>
                    <w:t>TDI、HDI）限聚氨酯类/（g/kg）</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乙二醇醚及醚酯总和（</w:t>
                  </w:r>
                  <w:r>
                    <w:rPr>
                      <w:rFonts w:ascii="仿宋_GB2312" w:hAnsi="仿宋_GB2312" w:cs="仿宋_GB2312" w:eastAsia="仿宋_GB2312"/>
                      <w:sz w:val="15"/>
                      <w:color w:val="000000"/>
                    </w:rPr>
                    <w:t>mg/kg）</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4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邻苯二甲酸酯含量</w:t>
                  </w:r>
                  <w:r>
                    <w:rPr>
                      <w:rFonts w:ascii="仿宋_GB2312" w:hAnsi="仿宋_GB2312" w:cs="仿宋_GB2312" w:eastAsia="仿宋_GB2312"/>
                      <w:sz w:val="15"/>
                      <w:color w:val="000000"/>
                    </w:rPr>
                    <w:t>/%</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邻苯二甲酸二异辛酯（</w:t>
                  </w:r>
                  <w:r>
                    <w:rPr>
                      <w:rFonts w:ascii="仿宋_GB2312" w:hAnsi="仿宋_GB2312" w:cs="仿宋_GB2312" w:eastAsia="仿宋_GB2312"/>
                      <w:sz w:val="15"/>
                      <w:color w:val="000000"/>
                    </w:rPr>
                    <w:t>DEHP）、邻苯二甲酸二丁酯（DBP）和邻苯二甲酸丁芐酯（BBP）总和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445"/>
                  <w:vMerge/>
                  <w:tcBorders>
                    <w:top w:val="none" w:color="000000" w:sz="4"/>
                    <w:left w:val="none" w:color="000000" w:sz="4"/>
                    <w:bottom w:val="single" w:color="000000" w:sz="4"/>
                    <w:right w:val="single" w:color="000000" w:sz="4"/>
                  </w:tcBorders>
                </w:tcP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邻苯二甲酸二异壬酯（</w:t>
                  </w:r>
                  <w:r>
                    <w:rPr>
                      <w:rFonts w:ascii="仿宋_GB2312" w:hAnsi="仿宋_GB2312" w:cs="仿宋_GB2312" w:eastAsia="仿宋_GB2312"/>
                      <w:sz w:val="15"/>
                      <w:color w:val="000000"/>
                    </w:rPr>
                    <w:t>DINP）、邻苯二甲酸二异癸酯（DIDP）和邻苯二甲酸二辛酯（DNDP）总和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不得检出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总挥发性有机化合物（</w:t>
                  </w:r>
                  <w:r>
                    <w:rPr>
                      <w:rFonts w:ascii="仿宋_GB2312" w:hAnsi="仿宋_GB2312" w:cs="仿宋_GB2312" w:eastAsia="仿宋_GB2312"/>
                      <w:sz w:val="15"/>
                      <w:color w:val="000000"/>
                    </w:rPr>
                    <w:t>TVOC）释放量/（mg/m³）</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18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甲醛释放量</w:t>
                  </w:r>
                  <w:r>
                    <w:rPr>
                      <w:rFonts w:ascii="仿宋_GB2312" w:hAnsi="仿宋_GB2312" w:cs="仿宋_GB2312" w:eastAsia="仿宋_GB2312"/>
                      <w:sz w:val="15"/>
                      <w:color w:val="000000"/>
                    </w:rPr>
                    <w:t>/（mg/m³）</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p>
              </w:tc>
            </w:tr>
          </w:tbl>
          <w:p>
            <w:pPr>
              <w:pStyle w:val="null3"/>
              <w:spacing w:before="150"/>
              <w:jc w:val="both"/>
            </w:pPr>
            <w:r>
              <w:rPr>
                <w:rFonts w:ascii="仿宋_GB2312" w:hAnsi="仿宋_GB2312" w:cs="仿宋_GB2312" w:eastAsia="仿宋_GB2312"/>
                <w:sz w:val="21"/>
                <w:b/>
              </w:rPr>
              <w:t>2、</w:t>
            </w:r>
            <w:r>
              <w:rPr>
                <w:rFonts w:ascii="仿宋_GB2312" w:hAnsi="仿宋_GB2312" w:cs="仿宋_GB2312" w:eastAsia="仿宋_GB2312"/>
                <w:sz w:val="21"/>
                <w:b/>
              </w:rPr>
              <w:t>物理性能技术参数要求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rPr>
              <w:t>物理</w:t>
            </w:r>
            <w:r>
              <w:rPr>
                <w:rFonts w:ascii="仿宋_GB2312" w:hAnsi="仿宋_GB2312" w:cs="仿宋_GB2312" w:eastAsia="仿宋_GB2312"/>
                <w:sz w:val="21"/>
              </w:rPr>
              <w:t>性能满足以下参数，并</w:t>
            </w:r>
            <w:r>
              <w:rPr>
                <w:rFonts w:ascii="仿宋_GB2312" w:hAnsi="仿宋_GB2312" w:cs="仿宋_GB2312" w:eastAsia="仿宋_GB2312"/>
                <w:sz w:val="21"/>
              </w:rPr>
              <w:t>同时提供具有</w:t>
            </w:r>
            <w:r>
              <w:rPr>
                <w:rFonts w:ascii="仿宋_GB2312" w:hAnsi="仿宋_GB2312" w:cs="仿宋_GB2312" w:eastAsia="仿宋_GB2312"/>
                <w:sz w:val="21"/>
              </w:rPr>
              <w:t>“CMA”资质检测机构出具的符合</w:t>
            </w:r>
            <w:r>
              <w:rPr>
                <w:rFonts w:ascii="仿宋_GB2312" w:hAnsi="仿宋_GB2312" w:cs="仿宋_GB2312" w:eastAsia="仿宋_GB2312"/>
                <w:sz w:val="21"/>
              </w:rPr>
              <w:t>GB/T22374-2018</w:t>
            </w:r>
            <w:r>
              <w:rPr>
                <w:rFonts w:ascii="仿宋_GB2312" w:hAnsi="仿宋_GB2312" w:cs="仿宋_GB2312" w:eastAsia="仿宋_GB2312"/>
                <w:sz w:val="21"/>
              </w:rPr>
              <w:t>检测报告</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82"/>
              <w:gridCol w:w="542"/>
              <w:gridCol w:w="796"/>
              <w:gridCol w:w="1022"/>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133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检测项目</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限量要求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13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耐磨性（</w:t>
                  </w:r>
                  <w:r>
                    <w:rPr>
                      <w:rFonts w:ascii="仿宋_GB2312" w:hAnsi="仿宋_GB2312" w:cs="仿宋_GB2312" w:eastAsia="仿宋_GB2312"/>
                      <w:sz w:val="15"/>
                      <w:color w:val="000000"/>
                    </w:rPr>
                    <w:t>750g/500r)/g</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≤0.03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13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抗压强度</w:t>
                  </w:r>
                  <w:r>
                    <w:rPr>
                      <w:rFonts w:ascii="仿宋_GB2312" w:hAnsi="仿宋_GB2312" w:cs="仿宋_GB2312" w:eastAsia="仿宋_GB2312"/>
                      <w:sz w:val="15"/>
                      <w:color w:val="000000"/>
                    </w:rPr>
                    <w:t>MPa</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≥45MPa</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5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拉伸粘结强度</w:t>
                  </w:r>
                  <w:r>
                    <w:rPr>
                      <w:rFonts w:ascii="仿宋_GB2312" w:hAnsi="仿宋_GB2312" w:cs="仿宋_GB2312" w:eastAsia="仿宋_GB2312"/>
                      <w:sz w:val="15"/>
                      <w:color w:val="000000"/>
                    </w:rPr>
                    <w:t>/MPa</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标准条件</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≥2.0</w:t>
                  </w:r>
                </w:p>
              </w:tc>
            </w:tr>
            <w:tr>
              <w:tc>
                <w:tcPr>
                  <w:tcW w:type="dxa" w:w="182"/>
                  <w:vMerge/>
                  <w:tcBorders>
                    <w:top w:val="none" w:color="000000" w:sz="4"/>
                    <w:left w:val="single" w:color="000000" w:sz="4"/>
                    <w:bottom w:val="single" w:color="000000" w:sz="4"/>
                    <w:right w:val="single" w:color="000000" w:sz="4"/>
                  </w:tcBorders>
                </w:tcPr>
                <w:p/>
              </w:tc>
              <w:tc>
                <w:tcPr>
                  <w:tcW w:type="dxa" w:w="542"/>
                  <w:vMerge/>
                  <w:tcBorders>
                    <w:top w:val="none" w:color="000000" w:sz="4"/>
                    <w:left w:val="non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侵水后</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耐冲击性</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轻载（</w:t>
                  </w:r>
                  <w:r>
                    <w:rPr>
                      <w:rFonts w:ascii="仿宋_GB2312" w:hAnsi="仿宋_GB2312" w:cs="仿宋_GB2312" w:eastAsia="仿宋_GB2312"/>
                      <w:sz w:val="15"/>
                      <w:color w:val="000000"/>
                    </w:rPr>
                    <w:t>1000g钢球）</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涂膜无裂纹、无剥落</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13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防滑性（干摩擦系数）</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≥0.5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13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耐水性（</w:t>
                  </w:r>
                  <w:r>
                    <w:rPr>
                      <w:rFonts w:ascii="仿宋_GB2312" w:hAnsi="仿宋_GB2312" w:cs="仿宋_GB2312" w:eastAsia="仿宋_GB2312"/>
                      <w:sz w:val="15"/>
                      <w:color w:val="000000"/>
                    </w:rPr>
                    <w:t>168h）</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color w:val="000000"/>
                    </w:rPr>
                    <w:t>不起泡、不剥落、无变色</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5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耐化学性</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耐碱性（</w:t>
                  </w:r>
                  <w:r>
                    <w:rPr>
                      <w:rFonts w:ascii="仿宋_GB2312" w:hAnsi="仿宋_GB2312" w:cs="仿宋_GB2312" w:eastAsia="仿宋_GB2312"/>
                      <w:sz w:val="15"/>
                      <w:color w:val="000000"/>
                    </w:rPr>
                    <w:t xml:space="preserve">20%NaOH,72h)         </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color w:val="000000"/>
                    </w:rPr>
                    <w:t>不起泡、不剥落、无变色</w:t>
                  </w:r>
                </w:p>
              </w:tc>
            </w:tr>
            <w:tr>
              <w:tc>
                <w:tcPr>
                  <w:tcW w:type="dxa" w:w="182"/>
                  <w:vMerge/>
                  <w:tcBorders>
                    <w:top w:val="none" w:color="000000" w:sz="4"/>
                    <w:left w:val="single" w:color="000000" w:sz="4"/>
                    <w:bottom w:val="single" w:color="000000" w:sz="4"/>
                    <w:right w:val="single" w:color="000000" w:sz="4"/>
                  </w:tcBorders>
                </w:tcPr>
                <w:p/>
              </w:tc>
              <w:tc>
                <w:tcPr>
                  <w:tcW w:type="dxa" w:w="542"/>
                  <w:vMerge/>
                  <w:tcBorders>
                    <w:top w:val="none" w:color="000000" w:sz="4"/>
                    <w:left w:val="non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耐酸性（</w:t>
                  </w:r>
                  <w:r>
                    <w:rPr>
                      <w:rFonts w:ascii="仿宋_GB2312" w:hAnsi="仿宋_GB2312" w:cs="仿宋_GB2312" w:eastAsia="仿宋_GB2312"/>
                      <w:sz w:val="15"/>
                      <w:color w:val="000000"/>
                    </w:rPr>
                    <w:t>10%H</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SO</w:t>
                  </w:r>
                  <w:r>
                    <w:rPr>
                      <w:rFonts w:ascii="仿宋_GB2312" w:hAnsi="仿宋_GB2312" w:cs="仿宋_GB2312" w:eastAsia="仿宋_GB2312"/>
                      <w:sz w:val="15"/>
                      <w:color w:val="000000"/>
                      <w:vertAlign w:val="subscript"/>
                    </w:rPr>
                    <w:t>4</w:t>
                  </w:r>
                  <w:r>
                    <w:rPr>
                      <w:rFonts w:ascii="仿宋_GB2312" w:hAnsi="仿宋_GB2312" w:cs="仿宋_GB2312" w:eastAsia="仿宋_GB2312"/>
                      <w:sz w:val="15"/>
                      <w:color w:val="000000"/>
                    </w:rPr>
                    <w:t xml:space="preserve">,48h)              </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color w:val="000000"/>
                    </w:rPr>
                    <w:t>不起泡、不剥落、无变色</w:t>
                  </w:r>
                </w:p>
              </w:tc>
            </w:tr>
            <w:tr>
              <w:tc>
                <w:tcPr>
                  <w:tcW w:type="dxa" w:w="182"/>
                  <w:vMerge/>
                  <w:tcBorders>
                    <w:top w:val="none" w:color="000000" w:sz="4"/>
                    <w:left w:val="single" w:color="000000" w:sz="4"/>
                    <w:bottom w:val="single" w:color="000000" w:sz="4"/>
                    <w:right w:val="single" w:color="000000" w:sz="4"/>
                  </w:tcBorders>
                </w:tcPr>
                <w:p/>
              </w:tc>
              <w:tc>
                <w:tcPr>
                  <w:tcW w:type="dxa" w:w="542"/>
                  <w:vMerge/>
                  <w:tcBorders>
                    <w:top w:val="none" w:color="000000" w:sz="4"/>
                    <w:left w:val="non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耐油性（</w:t>
                  </w:r>
                  <w:r>
                    <w:rPr>
                      <w:rFonts w:ascii="仿宋_GB2312" w:hAnsi="仿宋_GB2312" w:cs="仿宋_GB2312" w:eastAsia="仿宋_GB2312"/>
                      <w:sz w:val="15"/>
                      <w:color w:val="000000"/>
                    </w:rPr>
                    <w:t xml:space="preserve">120#溶剂油,72h)                     </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color w:val="000000"/>
                    </w:rPr>
                    <w:t>不起泡、不剥落、无变色</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13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高防滑性（湿摩擦系数）</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≥0.7</w:t>
                  </w:r>
                </w:p>
              </w:tc>
            </w:tr>
          </w:tbl>
          <w:p>
            <w:pPr>
              <w:pStyle w:val="null3"/>
              <w:jc w:val="both"/>
            </w:pPr>
            <w:r>
              <w:rPr>
                <w:rFonts w:ascii="仿宋_GB2312" w:hAnsi="仿宋_GB2312" w:cs="仿宋_GB2312" w:eastAsia="仿宋_GB2312"/>
                <w:sz w:val="21"/>
              </w:rPr>
              <w:t>二、墙面技术参数要求：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、材料参数要求</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）环保技术参数要求（</w:t>
            </w:r>
          </w:p>
          <w:p>
            <w:pPr>
              <w:pStyle w:val="null3"/>
              <w:ind w:firstLine="630"/>
              <w:jc w:val="both"/>
            </w:pPr>
            <w:r>
              <w:rPr>
                <w:rFonts w:ascii="仿宋_GB2312" w:hAnsi="仿宋_GB2312" w:cs="仿宋_GB2312" w:eastAsia="仿宋_GB2312"/>
                <w:sz w:val="21"/>
              </w:rPr>
              <w:t>底涂所用的</w:t>
            </w:r>
            <w:r>
              <w:rPr>
                <w:rFonts w:ascii="仿宋_GB2312" w:hAnsi="仿宋_GB2312" w:cs="仿宋_GB2312" w:eastAsia="仿宋_GB2312"/>
                <w:sz w:val="21"/>
              </w:rPr>
              <w:t>材料</w:t>
            </w:r>
            <w:r>
              <w:rPr>
                <w:rFonts w:ascii="仿宋_GB2312" w:hAnsi="仿宋_GB2312" w:cs="仿宋_GB2312" w:eastAsia="仿宋_GB2312"/>
                <w:sz w:val="21"/>
              </w:rPr>
              <w:t>有害物质限量须满足以下参数，并同时提供具有</w:t>
            </w:r>
            <w:r>
              <w:rPr>
                <w:rFonts w:ascii="仿宋_GB2312" w:hAnsi="仿宋_GB2312" w:cs="仿宋_GB2312" w:eastAsia="仿宋_GB2312"/>
                <w:sz w:val="21"/>
              </w:rPr>
              <w:t>“</w:t>
            </w:r>
            <w:r>
              <w:rPr>
                <w:rFonts w:ascii="仿宋_GB2312" w:hAnsi="仿宋_GB2312" w:cs="仿宋_GB2312" w:eastAsia="仿宋_GB2312"/>
                <w:sz w:val="21"/>
              </w:rPr>
              <w:t>CMA</w:t>
            </w:r>
            <w:r>
              <w:rPr>
                <w:rFonts w:ascii="仿宋_GB2312" w:hAnsi="仿宋_GB2312" w:cs="仿宋_GB2312" w:eastAsia="仿宋_GB2312"/>
                <w:sz w:val="21"/>
              </w:rPr>
              <w:t>”及“</w:t>
            </w:r>
            <w:r>
              <w:rPr>
                <w:rFonts w:ascii="仿宋_GB2312" w:hAnsi="仿宋_GB2312" w:cs="仿宋_GB2312" w:eastAsia="仿宋_GB2312"/>
                <w:sz w:val="21"/>
              </w:rPr>
              <w:t>CNAS</w:t>
            </w:r>
            <w:r>
              <w:rPr>
                <w:rFonts w:ascii="仿宋_GB2312" w:hAnsi="仿宋_GB2312" w:cs="仿宋_GB2312" w:eastAsia="仿宋_GB2312"/>
                <w:sz w:val="21"/>
              </w:rPr>
              <w:t>”资质检测机构出具的符合</w:t>
            </w:r>
            <w:r>
              <w:rPr>
                <w:rFonts w:ascii="仿宋_GB2312" w:hAnsi="仿宋_GB2312" w:cs="仿宋_GB2312" w:eastAsia="仿宋_GB2312"/>
                <w:sz w:val="21"/>
              </w:rPr>
              <w:t>GB/T22374-2018</w:t>
            </w:r>
            <w:r>
              <w:rPr>
                <w:rFonts w:ascii="仿宋_GB2312" w:hAnsi="仿宋_GB2312" w:cs="仿宋_GB2312" w:eastAsia="仿宋_GB2312"/>
                <w:sz w:val="21"/>
              </w:rPr>
              <w:t>《地坪涂装材料》检测报告：</w:t>
            </w:r>
          </w:p>
          <w:tbl>
            <w:tblPr>
              <w:tblInd w:type="dxa" w:w="495"/>
              <w:tblBorders>
                <w:top w:val="none" w:color="000000" w:sz="4"/>
                <w:left w:val="none" w:color="000000" w:sz="4"/>
                <w:bottom w:val="none" w:color="000000" w:sz="4"/>
                <w:right w:val="none" w:color="000000" w:sz="4"/>
                <w:insideH w:val="none"/>
                <w:insideV w:val="none"/>
              </w:tblBorders>
            </w:tblPr>
            <w:tblGrid>
              <w:gridCol w:w="208"/>
              <w:gridCol w:w="543"/>
              <w:gridCol w:w="1253"/>
              <w:gridCol w:w="543"/>
            </w:tblGrid>
            <w:tr>
              <w:tc>
                <w:tcPr>
                  <w:tcW w:type="dxa" w:w="20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1796"/>
                  <w:gridSpan w:val="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检测项目</w:t>
                  </w:r>
                </w:p>
              </w:tc>
              <w:tc>
                <w:tcPr>
                  <w:tcW w:type="dxa" w:w="54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国家标准限量要求</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挥发性有机化合物含量（</w:t>
                  </w:r>
                  <w:r>
                    <w:rPr>
                      <w:rFonts w:ascii="仿宋_GB2312" w:hAnsi="仿宋_GB2312" w:cs="仿宋_GB2312" w:eastAsia="仿宋_GB2312"/>
                      <w:sz w:val="15"/>
                      <w:color w:val="000000"/>
                    </w:rPr>
                    <w:t>VOC）（g/L）</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游离甲醛</w:t>
                  </w:r>
                  <w:r>
                    <w:rPr>
                      <w:rFonts w:ascii="仿宋_GB2312" w:hAnsi="仿宋_GB2312" w:cs="仿宋_GB2312" w:eastAsia="仿宋_GB2312"/>
                      <w:sz w:val="15"/>
                      <w:color w:val="000000"/>
                    </w:rPr>
                    <w:t>/（mg/kg）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苯</w:t>
                  </w:r>
                  <w:r>
                    <w:rPr>
                      <w:rFonts w:ascii="仿宋_GB2312" w:hAnsi="仿宋_GB2312" w:cs="仿宋_GB2312" w:eastAsia="仿宋_GB2312"/>
                      <w:sz w:val="15"/>
                      <w:color w:val="000000"/>
                    </w:rPr>
                    <w:t>/（g/kg）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甲苯、乙苯、二甲苯的总和</w:t>
                  </w:r>
                  <w:r>
                    <w:rPr>
                      <w:rFonts w:ascii="仿宋_GB2312" w:hAnsi="仿宋_GB2312" w:cs="仿宋_GB2312" w:eastAsia="仿宋_GB2312"/>
                      <w:sz w:val="15"/>
                      <w:color w:val="000000"/>
                    </w:rPr>
                    <w:t>/（g/kg）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乙二醇醚及醚酯总和（</w:t>
                  </w:r>
                  <w:r>
                    <w:rPr>
                      <w:rFonts w:ascii="仿宋_GB2312" w:hAnsi="仿宋_GB2312" w:cs="仿宋_GB2312" w:eastAsia="仿宋_GB2312"/>
                      <w:sz w:val="15"/>
                      <w:color w:val="000000"/>
                    </w:rPr>
                    <w:t>mg/kg）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游离二异氰酸酯（</w:t>
                  </w:r>
                  <w:r>
                    <w:rPr>
                      <w:rFonts w:ascii="仿宋_GB2312" w:hAnsi="仿宋_GB2312" w:cs="仿宋_GB2312" w:eastAsia="仿宋_GB2312"/>
                      <w:sz w:val="15"/>
                      <w:color w:val="000000"/>
                    </w:rPr>
                    <w:t>TDI、HDI）限聚氨酯类/（g/kg）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邻苯二甲酸酯含量</w:t>
                  </w:r>
                </w:p>
                <w:p>
                  <w:pPr>
                    <w:pStyle w:val="null3"/>
                    <w:jc w:val="center"/>
                  </w:pPr>
                  <w:r>
                    <w:rPr>
                      <w:rFonts w:ascii="仿宋_GB2312" w:hAnsi="仿宋_GB2312" w:cs="仿宋_GB2312" w:eastAsia="仿宋_GB2312"/>
                      <w:sz w:val="15"/>
                      <w:color w:val="000000"/>
                    </w:rPr>
                    <w:t>/%</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邻苯二甲酸二异辛酯（</w:t>
                  </w:r>
                  <w:r>
                    <w:rPr>
                      <w:rFonts w:ascii="仿宋_GB2312" w:hAnsi="仿宋_GB2312" w:cs="仿宋_GB2312" w:eastAsia="仿宋_GB2312"/>
                      <w:sz w:val="15"/>
                      <w:color w:val="000000"/>
                    </w:rPr>
                    <w:t>DEHP）、邻苯二甲酸二丁酯（DBP）和邻苯二甲酸丁芐酯（BBP）总和</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p>
              </w:tc>
            </w:tr>
            <w:tr>
              <w:tc>
                <w:tcPr>
                  <w:tcW w:type="dxa" w:w="208"/>
                  <w:vMerge/>
                  <w:tcBorders>
                    <w:top w:val="none" w:color="000000" w:sz="4"/>
                    <w:left w:val="single" w:color="000000" w:sz="4"/>
                    <w:bottom w:val="single" w:color="000000" w:sz="4"/>
                    <w:right w:val="single" w:color="000000" w:sz="4"/>
                  </w:tcBorders>
                </w:tcPr>
                <w:p/>
              </w:tc>
              <w:tc>
                <w:tcPr>
                  <w:tcW w:type="dxa" w:w="543"/>
                  <w:vMerge/>
                  <w:tcBorders>
                    <w:top w:val="none" w:color="000000" w:sz="4"/>
                    <w:left w:val="single" w:color="000000" w:sz="4"/>
                    <w:bottom w:val="single" w:color="000000" w:sz="4"/>
                    <w:right w:val="single" w:color="000000" w:sz="4"/>
                  </w:tcBorders>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邻苯二甲酸二异壬酯（</w:t>
                  </w:r>
                  <w:r>
                    <w:rPr>
                      <w:rFonts w:ascii="仿宋_GB2312" w:hAnsi="仿宋_GB2312" w:cs="仿宋_GB2312" w:eastAsia="仿宋_GB2312"/>
                      <w:sz w:val="15"/>
                      <w:color w:val="000000"/>
                    </w:rPr>
                    <w:t>DINP）、邻苯二甲酸二异癸酯（DIDP）和邻苯二甲酸二辛酯（DNDP）总和</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可溶性重金属</w:t>
                  </w:r>
                  <w:r>
                    <w:rPr>
                      <w:rFonts w:ascii="仿宋_GB2312" w:hAnsi="仿宋_GB2312" w:cs="仿宋_GB2312" w:eastAsia="仿宋_GB2312"/>
                      <w:sz w:val="15"/>
                      <w:color w:val="000000"/>
                    </w:rPr>
                    <w:t>/（mg/kg）</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铅（</w:t>
                  </w:r>
                  <w:r>
                    <w:rPr>
                      <w:rFonts w:ascii="仿宋_GB2312" w:hAnsi="仿宋_GB2312" w:cs="仿宋_GB2312" w:eastAsia="仿宋_GB2312"/>
                      <w:sz w:val="15"/>
                      <w:color w:val="000000"/>
                    </w:rPr>
                    <w:t>Pb）</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r>
            <w:tr>
              <w:tc>
                <w:tcPr>
                  <w:tcW w:type="dxa" w:w="208"/>
                  <w:vMerge/>
                  <w:tcBorders>
                    <w:top w:val="none" w:color="000000" w:sz="4"/>
                    <w:left w:val="single" w:color="000000" w:sz="4"/>
                    <w:bottom w:val="single" w:color="000000" w:sz="4"/>
                    <w:right w:val="single" w:color="000000" w:sz="4"/>
                  </w:tcBorders>
                </w:tcPr>
                <w:p/>
              </w:tc>
              <w:tc>
                <w:tcPr>
                  <w:tcW w:type="dxa" w:w="543"/>
                  <w:vMerge/>
                  <w:tcBorders>
                    <w:top w:val="none" w:color="000000" w:sz="4"/>
                    <w:left w:val="single" w:color="000000" w:sz="4"/>
                    <w:bottom w:val="single" w:color="000000" w:sz="4"/>
                    <w:right w:val="single" w:color="000000" w:sz="4"/>
                  </w:tcBorders>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镉（</w:t>
                  </w:r>
                  <w:r>
                    <w:rPr>
                      <w:rFonts w:ascii="仿宋_GB2312" w:hAnsi="仿宋_GB2312" w:cs="仿宋_GB2312" w:eastAsia="仿宋_GB2312"/>
                      <w:sz w:val="15"/>
                      <w:color w:val="000000"/>
                    </w:rPr>
                    <w:t>Cd）</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r>
            <w:tr>
              <w:tc>
                <w:tcPr>
                  <w:tcW w:type="dxa" w:w="208"/>
                  <w:vMerge/>
                  <w:tcBorders>
                    <w:top w:val="none" w:color="000000" w:sz="4"/>
                    <w:left w:val="single" w:color="000000" w:sz="4"/>
                    <w:bottom w:val="single" w:color="000000" w:sz="4"/>
                    <w:right w:val="single" w:color="000000" w:sz="4"/>
                  </w:tcBorders>
                </w:tcPr>
                <w:p/>
              </w:tc>
              <w:tc>
                <w:tcPr>
                  <w:tcW w:type="dxa" w:w="543"/>
                  <w:vMerge/>
                  <w:tcBorders>
                    <w:top w:val="none" w:color="000000" w:sz="4"/>
                    <w:left w:val="single" w:color="000000" w:sz="4"/>
                    <w:bottom w:val="single" w:color="000000" w:sz="4"/>
                    <w:right w:val="single" w:color="000000" w:sz="4"/>
                  </w:tcBorders>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铬</w:t>
                  </w:r>
                  <w:r>
                    <w:rPr>
                      <w:rFonts w:ascii="仿宋_GB2312" w:hAnsi="仿宋_GB2312" w:cs="仿宋_GB2312" w:eastAsia="仿宋_GB2312"/>
                      <w:sz w:val="15"/>
                      <w:color w:val="000000"/>
                    </w:rPr>
                    <w:t>(Cr)</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r>
            <w:tr>
              <w:tc>
                <w:tcPr>
                  <w:tcW w:type="dxa" w:w="208"/>
                  <w:vMerge/>
                  <w:tcBorders>
                    <w:top w:val="none" w:color="000000" w:sz="4"/>
                    <w:left w:val="single" w:color="000000" w:sz="4"/>
                    <w:bottom w:val="single" w:color="000000" w:sz="4"/>
                    <w:right w:val="single" w:color="000000" w:sz="4"/>
                  </w:tcBorders>
                </w:tcPr>
                <w:p/>
              </w:tc>
              <w:tc>
                <w:tcPr>
                  <w:tcW w:type="dxa" w:w="543"/>
                  <w:vMerge/>
                  <w:tcBorders>
                    <w:top w:val="none" w:color="000000" w:sz="4"/>
                    <w:left w:val="single" w:color="000000" w:sz="4"/>
                    <w:bottom w:val="single" w:color="000000" w:sz="4"/>
                    <w:right w:val="single" w:color="000000" w:sz="4"/>
                  </w:tcBorders>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汞</w:t>
                  </w:r>
                  <w:r>
                    <w:rPr>
                      <w:rFonts w:ascii="仿宋_GB2312" w:hAnsi="仿宋_GB2312" w:cs="仿宋_GB2312" w:eastAsia="仿宋_GB2312"/>
                      <w:sz w:val="15"/>
                      <w:color w:val="000000"/>
                    </w:rPr>
                    <w:t>(Hg)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甲醛释放量</w:t>
                  </w:r>
                  <w:r>
                    <w:rPr>
                      <w:rFonts w:ascii="仿宋_GB2312" w:hAnsi="仿宋_GB2312" w:cs="仿宋_GB2312" w:eastAsia="仿宋_GB2312"/>
                      <w:sz w:val="15"/>
                      <w:color w:val="000000"/>
                    </w:rPr>
                    <w:t>/mg/m³</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≤0.1mg/m³</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17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总挥发性有机化合物（</w:t>
                  </w:r>
                  <w:r>
                    <w:rPr>
                      <w:rFonts w:ascii="仿宋_GB2312" w:hAnsi="仿宋_GB2312" w:cs="仿宋_GB2312" w:eastAsia="仿宋_GB2312"/>
                      <w:sz w:val="15"/>
                      <w:color w:val="000000"/>
                    </w:rPr>
                    <w:t>TVOC）释放量/mg/m³</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≤20mg/m³</w:t>
                  </w:r>
                </w:p>
              </w:tc>
            </w:tr>
          </w:tbl>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物理性能要求</w:t>
            </w:r>
          </w:p>
          <w:p>
            <w:pPr>
              <w:pStyle w:val="null3"/>
              <w:ind w:left="360" w:firstLine="420"/>
              <w:jc w:val="both"/>
            </w:pPr>
            <w:r>
              <w:rPr>
                <w:rFonts w:ascii="仿宋_GB2312" w:hAnsi="仿宋_GB2312" w:cs="仿宋_GB2312" w:eastAsia="仿宋_GB2312"/>
                <w:sz w:val="21"/>
              </w:rPr>
              <w:t>底涂所用的</w:t>
            </w:r>
            <w:r>
              <w:rPr>
                <w:rFonts w:ascii="仿宋_GB2312" w:hAnsi="仿宋_GB2312" w:cs="仿宋_GB2312" w:eastAsia="仿宋_GB2312"/>
                <w:sz w:val="21"/>
              </w:rPr>
              <w:t>材料</w:t>
            </w:r>
            <w:r>
              <w:rPr>
                <w:rFonts w:ascii="仿宋_GB2312" w:hAnsi="仿宋_GB2312" w:cs="仿宋_GB2312" w:eastAsia="仿宋_GB2312"/>
                <w:sz w:val="21"/>
              </w:rPr>
              <w:t>物理性能满足以下参数，并同时提供具有</w:t>
            </w:r>
            <w:r>
              <w:rPr>
                <w:rFonts w:ascii="仿宋_GB2312" w:hAnsi="仿宋_GB2312" w:cs="仿宋_GB2312" w:eastAsia="仿宋_GB2312"/>
                <w:sz w:val="21"/>
              </w:rPr>
              <w:t>“</w:t>
            </w:r>
            <w:r>
              <w:rPr>
                <w:rFonts w:ascii="仿宋_GB2312" w:hAnsi="仿宋_GB2312" w:cs="仿宋_GB2312" w:eastAsia="仿宋_GB2312"/>
                <w:sz w:val="21"/>
              </w:rPr>
              <w:t>CMA</w:t>
            </w:r>
            <w:r>
              <w:rPr>
                <w:rFonts w:ascii="仿宋_GB2312" w:hAnsi="仿宋_GB2312" w:cs="仿宋_GB2312" w:eastAsia="仿宋_GB2312"/>
                <w:sz w:val="21"/>
              </w:rPr>
              <w:t>”及“</w:t>
            </w:r>
            <w:r>
              <w:rPr>
                <w:rFonts w:ascii="仿宋_GB2312" w:hAnsi="仿宋_GB2312" w:cs="仿宋_GB2312" w:eastAsia="仿宋_GB2312"/>
                <w:sz w:val="21"/>
              </w:rPr>
              <w:t>CNAS</w:t>
            </w:r>
            <w:r>
              <w:rPr>
                <w:rFonts w:ascii="仿宋_GB2312" w:hAnsi="仿宋_GB2312" w:cs="仿宋_GB2312" w:eastAsia="仿宋_GB2312"/>
                <w:sz w:val="21"/>
              </w:rPr>
              <w:t xml:space="preserve">”资质检测机构出具的符合国家标准 </w:t>
            </w:r>
            <w:r>
              <w:rPr>
                <w:rFonts w:ascii="仿宋_GB2312" w:hAnsi="仿宋_GB2312" w:cs="仿宋_GB2312" w:eastAsia="仿宋_GB2312"/>
                <w:sz w:val="21"/>
              </w:rPr>
              <w:t>GB/T 22374-2018</w:t>
            </w:r>
            <w:r>
              <w:rPr>
                <w:rFonts w:ascii="仿宋_GB2312" w:hAnsi="仿宋_GB2312" w:cs="仿宋_GB2312" w:eastAsia="仿宋_GB2312"/>
                <w:sz w:val="21"/>
              </w:rPr>
              <w:t>【地坪涂装材料】：</w:t>
            </w:r>
          </w:p>
          <w:tbl>
            <w:tblPr>
              <w:tblInd w:type="dxa" w:w="450"/>
              <w:tblBorders>
                <w:top w:val="none" w:color="000000" w:sz="4"/>
                <w:left w:val="none" w:color="000000" w:sz="4"/>
                <w:bottom w:val="none" w:color="000000" w:sz="4"/>
                <w:right w:val="none" w:color="000000" w:sz="4"/>
                <w:insideH w:val="none"/>
                <w:insideV w:val="none"/>
              </w:tblBorders>
            </w:tblPr>
            <w:tblGrid>
              <w:gridCol w:w="215"/>
              <w:gridCol w:w="361"/>
              <w:gridCol w:w="862"/>
              <w:gridCol w:w="1103"/>
            </w:tblGrid>
            <w:tr>
              <w:tc>
                <w:tcPr>
                  <w:tcW w:type="dxa" w:w="21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1223"/>
                  <w:gridSpan w:val="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国家检测项目</w:t>
                  </w:r>
                </w:p>
              </w:tc>
              <w:tc>
                <w:tcPr>
                  <w:tcW w:type="dxa" w:w="110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国家标准</w:t>
                  </w:r>
                </w:p>
                <w:p>
                  <w:pPr>
                    <w:pStyle w:val="null3"/>
                    <w:jc w:val="center"/>
                  </w:pPr>
                  <w:r>
                    <w:rPr>
                      <w:rFonts w:ascii="仿宋_GB2312" w:hAnsi="仿宋_GB2312" w:cs="仿宋_GB2312" w:eastAsia="仿宋_GB2312"/>
                      <w:sz w:val="15"/>
                    </w:rPr>
                    <w:t>限量要求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12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容器中状态</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搅拌混合后均匀，无硬块</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干燥时间</w:t>
                  </w:r>
                  <w:r>
                    <w:rPr>
                      <w:rFonts w:ascii="仿宋_GB2312" w:hAnsi="仿宋_GB2312" w:cs="仿宋_GB2312" w:eastAsia="仿宋_GB2312"/>
                      <w:sz w:val="15"/>
                      <w:color w:val="000000"/>
                    </w:rPr>
                    <w:t>/h</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表干</w:t>
                  </w:r>
                </w:p>
              </w:tc>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r>
            <w:tr>
              <w:tc>
                <w:tcPr>
                  <w:tcW w:type="dxa" w:w="215"/>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实干</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≤24</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12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耐碱性（饱和</w:t>
                  </w:r>
                  <w:r>
                    <w:rPr>
                      <w:rFonts w:ascii="仿宋_GB2312" w:hAnsi="仿宋_GB2312" w:cs="仿宋_GB2312" w:eastAsia="仿宋_GB2312"/>
                      <w:sz w:val="15"/>
                      <w:color w:val="000000"/>
                    </w:rPr>
                    <w:t>Ca(OH)</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,48h）</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漆膜完整，不起泡，不剥落，允许轻微变色</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12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拉伸粘结强度</w:t>
                  </w:r>
                  <w:r>
                    <w:rPr>
                      <w:rFonts w:ascii="仿宋_GB2312" w:hAnsi="仿宋_GB2312" w:cs="仿宋_GB2312" w:eastAsia="仿宋_GB2312"/>
                      <w:sz w:val="15"/>
                      <w:color w:val="000000"/>
                    </w:rPr>
                    <w:t>/MPa</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≥2.0MPa</w:t>
                  </w:r>
                </w:p>
              </w:tc>
            </w:tr>
          </w:tbl>
          <w:p>
            <w:pPr>
              <w:pStyle w:val="null3"/>
              <w:ind w:left="420" w:firstLine="420"/>
              <w:jc w:val="both"/>
            </w:pPr>
            <w:r>
              <w:rPr>
                <w:rFonts w:ascii="仿宋_GB2312" w:hAnsi="仿宋_GB2312" w:cs="仿宋_GB2312" w:eastAsia="仿宋_GB2312"/>
                <w:sz w:val="21"/>
              </w:rPr>
              <w:t>面漆所用</w:t>
            </w:r>
            <w:r>
              <w:rPr>
                <w:rFonts w:ascii="仿宋_GB2312" w:hAnsi="仿宋_GB2312" w:cs="仿宋_GB2312" w:eastAsia="仿宋_GB2312"/>
                <w:sz w:val="21"/>
              </w:rPr>
              <w:t>材料</w:t>
            </w:r>
            <w:r>
              <w:rPr>
                <w:rFonts w:ascii="仿宋_GB2312" w:hAnsi="仿宋_GB2312" w:cs="仿宋_GB2312" w:eastAsia="仿宋_GB2312"/>
                <w:sz w:val="21"/>
              </w:rPr>
              <w:t>的耐用性能满足以下参数，并同时提供具有</w:t>
            </w:r>
            <w:r>
              <w:rPr>
                <w:rFonts w:ascii="仿宋_GB2312" w:hAnsi="仿宋_GB2312" w:cs="仿宋_GB2312" w:eastAsia="仿宋_GB2312"/>
                <w:sz w:val="21"/>
              </w:rPr>
              <w:t>“</w:t>
            </w:r>
            <w:r>
              <w:rPr>
                <w:rFonts w:ascii="仿宋_GB2312" w:hAnsi="仿宋_GB2312" w:cs="仿宋_GB2312" w:eastAsia="仿宋_GB2312"/>
                <w:sz w:val="21"/>
              </w:rPr>
              <w:t>CMA</w:t>
            </w:r>
            <w:r>
              <w:rPr>
                <w:rFonts w:ascii="仿宋_GB2312" w:hAnsi="仿宋_GB2312" w:cs="仿宋_GB2312" w:eastAsia="仿宋_GB2312"/>
                <w:sz w:val="21"/>
              </w:rPr>
              <w:t>”及“</w:t>
            </w:r>
            <w:r>
              <w:rPr>
                <w:rFonts w:ascii="仿宋_GB2312" w:hAnsi="仿宋_GB2312" w:cs="仿宋_GB2312" w:eastAsia="仿宋_GB2312"/>
                <w:sz w:val="21"/>
              </w:rPr>
              <w:t>CNAS</w:t>
            </w:r>
            <w:r>
              <w:rPr>
                <w:rFonts w:ascii="仿宋_GB2312" w:hAnsi="仿宋_GB2312" w:cs="仿宋_GB2312" w:eastAsia="仿宋_GB2312"/>
                <w:sz w:val="21"/>
              </w:rPr>
              <w:t>”资质检测机构出具的符合</w:t>
            </w:r>
            <w:r>
              <w:rPr>
                <w:rFonts w:ascii="仿宋_GB2312" w:hAnsi="仿宋_GB2312" w:cs="仿宋_GB2312" w:eastAsia="仿宋_GB2312"/>
                <w:sz w:val="21"/>
              </w:rPr>
              <w:t>GB/T9755-2024</w:t>
            </w:r>
            <w:r>
              <w:rPr>
                <w:rFonts w:ascii="仿宋_GB2312" w:hAnsi="仿宋_GB2312" w:cs="仿宋_GB2312" w:eastAsia="仿宋_GB2312"/>
                <w:sz w:val="21"/>
              </w:rPr>
              <w:t>《合成树脂乳液墙面涂料》检测报告：</w:t>
            </w:r>
          </w:p>
          <w:tbl>
            <w:tblPr>
              <w:tblInd w:type="dxa" w:w="435"/>
              <w:tblBorders>
                <w:top w:val="none" w:color="000000" w:sz="4"/>
                <w:left w:val="none" w:color="000000" w:sz="4"/>
                <w:bottom w:val="none" w:color="000000" w:sz="4"/>
                <w:right w:val="none" w:color="000000" w:sz="4"/>
                <w:insideH w:val="none"/>
                <w:insideV w:val="none"/>
              </w:tblBorders>
            </w:tblPr>
            <w:tblGrid>
              <w:gridCol w:w="240"/>
              <w:gridCol w:w="349"/>
              <w:gridCol w:w="1085"/>
              <w:gridCol w:w="872"/>
            </w:tblGrid>
            <w:tr>
              <w:tc>
                <w:tcPr>
                  <w:tcW w:type="dxa" w:w="24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1434"/>
                  <w:gridSpan w:val="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检测项目</w:t>
                  </w:r>
                </w:p>
              </w:tc>
              <w:tc>
                <w:tcPr>
                  <w:tcW w:type="dxa" w:w="87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国家标准限量</w:t>
                  </w:r>
                  <w:r>
                    <w:rPr>
                      <w:rFonts w:ascii="仿宋_GB2312" w:hAnsi="仿宋_GB2312" w:cs="仿宋_GB2312" w:eastAsia="仿宋_GB2312"/>
                      <w:sz w:val="15"/>
                      <w:color w:val="000000"/>
                    </w:rPr>
                    <w:t>要求</w:t>
                  </w:r>
                  <w:r>
                    <w:rPr>
                      <w:rFonts w:ascii="仿宋_GB2312" w:hAnsi="仿宋_GB2312" w:cs="仿宋_GB2312" w:eastAsia="仿宋_GB2312"/>
                      <w:sz w:val="15"/>
                      <w:color w:val="000000"/>
                    </w:rPr>
                    <w:t>（优等品）</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在容器中状态</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无硬块，搅拌后呈均匀状态</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施工性</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刷涂</w:t>
                  </w:r>
                  <w:r>
                    <w:rPr>
                      <w:rFonts w:ascii="仿宋_GB2312" w:hAnsi="仿宋_GB2312" w:cs="仿宋_GB2312" w:eastAsia="仿宋_GB2312"/>
                      <w:sz w:val="15"/>
                    </w:rPr>
                    <w:t>2道无障碍</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43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低温稳定性（</w:t>
                  </w:r>
                  <w:r>
                    <w:rPr>
                      <w:rFonts w:ascii="仿宋_GB2312" w:hAnsi="仿宋_GB2312" w:cs="仿宋_GB2312" w:eastAsia="仿宋_GB2312"/>
                      <w:sz w:val="15"/>
                    </w:rPr>
                    <w:t>3次循环）</w:t>
                  </w:r>
                </w:p>
              </w:tc>
              <w:tc>
                <w:tcPr>
                  <w:tcW w:type="dxa" w:w="8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不变质</w:t>
                  </w:r>
                </w:p>
              </w:tc>
            </w:tr>
            <w:tr>
              <w:tc>
                <w:tcPr>
                  <w:tcW w:type="dxa" w:w="240"/>
                  <w:vMerge/>
                  <w:tcBorders>
                    <w:top w:val="none" w:color="000000" w:sz="4"/>
                    <w:left w:val="single" w:color="000000" w:sz="4"/>
                    <w:bottom w:val="single" w:color="000000" w:sz="4"/>
                    <w:right w:val="single" w:color="000000" w:sz="4"/>
                  </w:tcBorders>
                </w:tcPr>
                <w:p/>
              </w:tc>
              <w:tc>
                <w:tcPr>
                  <w:tcW w:type="dxa" w:w="1434"/>
                  <w:gridSpan w:val="2"/>
                  <w:vMerge/>
                  <w:tcBorders>
                    <w:top w:val="none" w:color="000000" w:sz="4"/>
                    <w:left w:val="single" w:color="000000" w:sz="4"/>
                    <w:bottom w:val="single" w:color="000000" w:sz="4"/>
                    <w:right w:val="single" w:color="000000" w:sz="4"/>
                  </w:tcBorders>
                </w:tc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低温成膜性</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5℃成膜无异常</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涂膜外观</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正常</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干燥时间（表干）</w:t>
                  </w:r>
                  <w:r>
                    <w:rPr>
                      <w:rFonts w:ascii="仿宋_GB2312" w:hAnsi="仿宋_GB2312" w:cs="仿宋_GB2312" w:eastAsia="仿宋_GB2312"/>
                      <w:sz w:val="15"/>
                    </w:rPr>
                    <w:t>/h</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≤2h</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对比率（白色和浅色）</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≥0.93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耐碱性（</w:t>
                  </w:r>
                  <w:r>
                    <w:rPr>
                      <w:rFonts w:ascii="仿宋_GB2312" w:hAnsi="仿宋_GB2312" w:cs="仿宋_GB2312" w:eastAsia="仿宋_GB2312"/>
                      <w:sz w:val="15"/>
                    </w:rPr>
                    <w:t>48h)</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48h无异常</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耐水性（</w:t>
                  </w:r>
                  <w:r>
                    <w:rPr>
                      <w:rFonts w:ascii="仿宋_GB2312" w:hAnsi="仿宋_GB2312" w:cs="仿宋_GB2312" w:eastAsia="仿宋_GB2312"/>
                      <w:sz w:val="15"/>
                    </w:rPr>
                    <w:t>96h)</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96h无异常</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耐洗刷性</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2000次，漆膜未损坏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耐沾污性（白色和浅色）</w:t>
                  </w:r>
                  <w:r>
                    <w:rPr>
                      <w:rFonts w:ascii="仿宋_GB2312" w:hAnsi="仿宋_GB2312" w:cs="仿宋_GB2312" w:eastAsia="仿宋_GB2312"/>
                      <w:sz w:val="15"/>
                    </w:rPr>
                    <w:t>%</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4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涂层耐温变性（</w:t>
                  </w:r>
                  <w:r>
                    <w:rPr>
                      <w:rFonts w:ascii="仿宋_GB2312" w:hAnsi="仿宋_GB2312" w:cs="仿宋_GB2312" w:eastAsia="仿宋_GB2312"/>
                      <w:sz w:val="15"/>
                    </w:rPr>
                    <w:t xml:space="preserve">3次循环）        </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+23±2）℃水浸泡18h;（-20±2）℃冷冻3h，（+50±2）℃热烘3h,为1次循环</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3次循环无异常</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耐人工气候老化性</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老化时间</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800h</w:t>
                  </w:r>
                </w:p>
              </w:tc>
            </w:tr>
            <w:tr>
              <w:tc>
                <w:tcPr>
                  <w:tcW w:type="dxa" w:w="240"/>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外观变化</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不起泡、不剥落、无裂纹</w:t>
                  </w:r>
                </w:p>
              </w:tc>
            </w:tr>
            <w:tr>
              <w:tc>
                <w:tcPr>
                  <w:tcW w:type="dxa" w:w="240"/>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粉化</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≤1级</w:t>
                  </w:r>
                </w:p>
              </w:tc>
            </w:tr>
            <w:tr>
              <w:tc>
                <w:tcPr>
                  <w:tcW w:type="dxa" w:w="240"/>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变色</w:t>
                  </w:r>
                  <w:r>
                    <w:rPr>
                      <w:rFonts w:ascii="仿宋_GB2312" w:hAnsi="仿宋_GB2312" w:cs="仿宋_GB2312" w:eastAsia="仿宋_GB2312"/>
                      <w:sz w:val="15"/>
                    </w:rPr>
                    <w:t>(白色和浅色)</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≤2级</w:t>
                  </w:r>
                </w:p>
              </w:tc>
            </w:tr>
          </w:tbl>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服务要求：本次改造修缮提升通道安全性、舒适性、耐用性及整体美观度；有效解决排水隐患，提升卫生间使用功能、卫生条件及耐久性；解决墙面渗漏、返潮问题，创造干燥、洁净的室内环境；更换因水损造成的地面材料，提供耐用、易维护、舒适的新地面。验收的要求:1.安全合规要求：所有材料（地胶、涂料、管道、地板等）必须符合国家现行的安全、环保、防火强制性标准。施工过程需遵守安全生产规范，做好现场围挡、警示，确保人员及场馆设施安全。2.整体协调与美观要求：新铺装的地胶、地板、墙面漆的颜色、纹理需与体育馆整体风格相协调，营造整洁、专业的室内环境。3.质量要求：施工工艺应符合国家及行业相关施工验收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通过电子化交易系统协商，供应商需在电子化交易系统上传响应的文件。成交供应商领取中标（成交）通知书时，向采购代理机构提供一正两副纸质投标文件及电子版1份（签字盖章扫描PDF格式，U盘存储）。2.供应商应自响应文件递交截止时间起至开标结束，保持在线状态。3.投标保证金的递交截止时间为投标截止时间前 24 小时，逾期递交的投标保证金视为投标保证金递交无效。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半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其他.docx 技术、服务、合同条款及其他商务要求应答表.docx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供应商特定资格.docx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主体资格合法有效</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投标人应具备相关行政主管部门颁发的【建筑工程专业三级】及以上施工总承包资质且具备合法有效的安全生产许可证，并在人员、设备、资金等方面具备相应的施工能力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投标人信誉要求</w:t>
            </w:r>
          </w:p>
        </w:tc>
        <w:tc>
          <w:tcPr>
            <w:tcW w:type="dxa" w:w="3322"/>
          </w:tcPr>
          <w:p>
            <w:pPr>
              <w:pStyle w:val="null3"/>
            </w:pPr>
            <w:r>
              <w:rPr>
                <w:rFonts w:ascii="仿宋_GB2312" w:hAnsi="仿宋_GB2312" w:cs="仿宋_GB2312" w:eastAsia="仿宋_GB2312"/>
              </w:rPr>
              <w:t>投标人不得在“中国执行信息公开网”网站被列为失信被执行人， 不得在各级建设诚信信息平台被列为投标受限制的行为人或被列为严重违法失信企业名单（提供承诺书加盖公章），投标人不得在全国企业信用信息公示系统被列为严重违法失信企业名单；（提供相关网站截图）</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投标人基本信息要求</w:t>
            </w:r>
          </w:p>
        </w:tc>
        <w:tc>
          <w:tcPr>
            <w:tcW w:type="dxa" w:w="3322"/>
          </w:tcPr>
          <w:p>
            <w:pPr>
              <w:pStyle w:val="null3"/>
            </w:pPr>
            <w:r>
              <w:rPr>
                <w:rFonts w:ascii="仿宋_GB2312" w:hAnsi="仿宋_GB2312" w:cs="仿宋_GB2312" w:eastAsia="仿宋_GB2312"/>
              </w:rPr>
              <w:t>投标人资质及项目负责人的基本信息应在“陕西建设网 （http://js.shaanxi.gov.cn/）陕西省建筑市场监管与诚信信息发布平台”可查询或在 “陕西省住房和城乡建设厅（http：//js.shaanxi.gov.cn/）”可查询（提供相关网站截图）</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法定代表人（负责人）授权书合法有效</w:t>
            </w:r>
          </w:p>
        </w:tc>
        <w:tc>
          <w:tcPr>
            <w:tcW w:type="dxa" w:w="3322"/>
          </w:tcPr>
          <w:p>
            <w:pPr>
              <w:pStyle w:val="null3"/>
            </w:pPr>
            <w:r>
              <w:rPr>
                <w:rFonts w:ascii="仿宋_GB2312" w:hAnsi="仿宋_GB2312" w:cs="仿宋_GB2312" w:eastAsia="仿宋_GB2312"/>
              </w:rPr>
              <w:t>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本项目不接受联合体投标，供应商须以一个独立的法人实体参加投标。（提供承诺书）</w:t>
            </w:r>
          </w:p>
        </w:tc>
        <w:tc>
          <w:tcPr>
            <w:tcW w:type="dxa" w:w="1661"/>
          </w:tcPr>
          <w:p>
            <w:pPr>
              <w:pStyle w:val="null3"/>
            </w:pPr>
            <w:r>
              <w:rPr>
                <w:rFonts w:ascii="仿宋_GB2312" w:hAnsi="仿宋_GB2312" w:cs="仿宋_GB2312" w:eastAsia="仿宋_GB2312"/>
              </w:rPr>
              <w:t>供应商特定资格.docx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 xml:space="preserve"> 拟派项目负责人资质和专业要求</w:t>
            </w:r>
          </w:p>
        </w:tc>
        <w:tc>
          <w:tcPr>
            <w:tcW w:type="dxa" w:w="3322"/>
          </w:tcPr>
          <w:p>
            <w:pPr>
              <w:pStyle w:val="null3"/>
            </w:pPr>
            <w:r>
              <w:rPr>
                <w:rFonts w:ascii="仿宋_GB2312" w:hAnsi="仿宋_GB2312" w:cs="仿宋_GB2312" w:eastAsia="仿宋_GB2312"/>
              </w:rPr>
              <w:t>投标人拟派项目经理须具备建筑工程专业二级（及二级以上）注册建造师资格，为本单位在职人员（提供单位缴纳社保证明），且无在建工程（附承诺书，格式自拟）；</w:t>
            </w:r>
          </w:p>
        </w:tc>
        <w:tc>
          <w:tcPr>
            <w:tcW w:type="dxa" w:w="1661"/>
          </w:tcPr>
          <w:p>
            <w:pPr>
              <w:pStyle w:val="null3"/>
            </w:pPr>
            <w:r>
              <w:rPr>
                <w:rFonts w:ascii="仿宋_GB2312" w:hAnsi="仿宋_GB2312" w:cs="仿宋_GB2312" w:eastAsia="仿宋_GB2312"/>
              </w:rPr>
              <w:t>项目管理机构人员表.docx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 评审标准： ①内容完整全面详细，且各项制度、措施等合理具体，内容能够紧扣项目实际情况，条理清晰的计（7-10）分； ②内容完整，但条理不清晰、措施不具体或无紧扣项目实际情况的计（4-6）分； ③内容粗略、逻辑混乱、出现常识性错误、存在不可能实现的夸大情形的计（1-3）分；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①内容完整全面详细、合理具体，内容能够紧扣项目实际情况，条理清晰的计（7-10）分； ②内容完整，但条理不清晰、措施不具体或无紧扣项目实际情况的计（4-6）分； ③内容粗略、逻辑混乱、出现常识性错误、存在不可能实现的夸大情形的计（1-3）分；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供应商针对本项目编制完善的工期的技术组织措施，内容包含但不限于：施工组织与工期保证措施、特殊情况保证：夜间、雨季等情况。 评审标准： ①内容完整全面详细、合理具体，内容能够紧扣项目实际情况，条理清晰的计（7-10）分； ②内容完整，但条理不清晰、措施不具体或无紧扣项目实际情况的计（4-6）分； ③仅有框架，无实质性实施内容的或内容宽泛、内容粗略、逻辑混乱、出现常识性错误、存在不可能实现的夸大情形的计（1-3）分；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①内容科学全面，详细、具体的计（7-10）分； ②内容完整，但仅对部分内容进行详细描述的计（4-6）分； ③仅有框架或内容条理不清晰、混乱的计或内容缺一项、内容与项目无关的计（1-3）分； ④未提供本项不计分。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①内容完整全面详细、合理具体，内容能够紧扣项目实际情况，条理清晰的计（7-10）分； ②内容完整，但条理不清晰、措施不具体或无紧扣项目实际情况的计（4-6）分； ③仅有框架，无实质性实施内容的或内容宽泛、内容粗略、逻辑混乱、出现常识性错误、存在不可能实现的夸大情形的计（1-3）分；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①内容完整全面详细、合理具体，内容能够紧扣项目实际情况，条理清晰的计(3-4)分； ②仅有框架，无实质性实施内容的或内容宽泛的计（1-2）分； 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详见附件：供应商特定资格.docx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详见附件：项目管理机构人员表.docx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