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版本号：DZZCSL-2026GC-00120260119001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2024年度商洛市秦岭中段(南麓及北麓)水源涵养与生物多样性保护恢复项目第三方验收采购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DZZCSL-2026GC-001</w:t>
      </w:r>
      <w:r>
        <w:br/>
      </w:r>
      <w:r>
        <w:br/>
      </w:r>
      <w:r>
        <w:br/>
      </w:r>
    </w:p>
    <w:p>
      <w:pPr>
        <w:pStyle w:val="null3"/>
        <w:jc w:val="center"/>
        <w:outlineLvl w:val="2"/>
      </w:pPr>
      <w:r>
        <w:rPr>
          <w:rFonts w:ascii="仿宋_GB2312" w:hAnsi="仿宋_GB2312" w:cs="仿宋_GB2312" w:eastAsia="仿宋_GB2312"/>
          <w:sz w:val="28"/>
          <w:b/>
        </w:rPr>
        <w:t>商洛市飞播管理站</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商洛市飞播管理站</w:t>
      </w:r>
      <w:r>
        <w:rPr>
          <w:rFonts w:ascii="仿宋_GB2312" w:hAnsi="仿宋_GB2312" w:cs="仿宋_GB2312" w:eastAsia="仿宋_GB2312"/>
        </w:rPr>
        <w:t>委托，拟对</w:t>
      </w:r>
      <w:r>
        <w:rPr>
          <w:rFonts w:ascii="仿宋_GB2312" w:hAnsi="仿宋_GB2312" w:cs="仿宋_GB2312" w:eastAsia="仿宋_GB2312"/>
        </w:rPr>
        <w:t>2024年度商洛市秦岭中段(南麓及北麓)水源涵养与生物多样性保护恢复项目第三方验收采购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DZZCSL-2026GC-001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2024年度商洛市秦岭中段(南麓及北麓)水源涵养与生物多样性保护恢复项目第三方验收采购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2024年度商洛市秦岭中段(南麓及北麓)水源涵养与生物多样性保护恢复项目第三方验收服务，其中分包项目（一）为：2024年度商洛市秦岭中段(南麓)水源涵养与生物多样性保护恢复项目第三方验收服务，包括丹凤县、洛南县、商南县、镇安县四个县的人工造乔木林、封山育林、退化林修复的验收服务，面积规模46.45万亩；分包项目（二）为：2024年度商洛市秦岭中段(北麓)水源涵养与生物多样性保护恢复项目第三方验收服务，包括商州区、洛南县、柞水县三个县（区）的人工造乔木林、封山育林、退化林修复的项目验收，面积规模25.05万亩。 合同履行期限：合同签订之日起60日历天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2、法定代表人授权书：法定代表人授权书及被授权人身份证明。（法定代表人直接参加只须提交其身份证明）</w:t>
      </w:r>
    </w:p>
    <w:p>
      <w:pPr>
        <w:pStyle w:val="null3"/>
      </w:pPr>
      <w:r>
        <w:rPr>
          <w:rFonts w:ascii="仿宋_GB2312" w:hAnsi="仿宋_GB2312" w:cs="仿宋_GB2312" w:eastAsia="仿宋_GB2312"/>
        </w:rPr>
        <w:t>3、财务报告：提供2024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p>
      <w:pPr>
        <w:pStyle w:val="null3"/>
      </w:pPr>
      <w:r>
        <w:rPr>
          <w:rFonts w:ascii="仿宋_GB2312" w:hAnsi="仿宋_GB2312" w:cs="仿宋_GB2312" w:eastAsia="仿宋_GB2312"/>
        </w:rPr>
        <w:t>4、信誉要求：投标人未被“信用中国”网站（ 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5、控股、管理关系：单位负责人为同一人或者存在直接控股、管理关系的不同供应商，不得参与同一合同项下的政府采购活动；为项目提供设计、监理等服务的供应商，不得再参与该项目的其他采购活动</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8、社会保障资金缴纳证明：提供2025年1月至今已缴存的至少一个月的社会保障资金缴存单据或社保机构开具的社会保险参保缴费情况证明，依法不需要缴纳社会保障资金的单位应提供相关证明材料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9、参加本次政府采购活动前三年内在经营活动中没有重大违纪：提供参加本次政府采购活动前三年内在经营活动中没有重大违纪书面声明</w:t>
      </w:r>
    </w:p>
    <w:p>
      <w:pPr>
        <w:pStyle w:val="null3"/>
      </w:pPr>
      <w:r>
        <w:rPr>
          <w:rFonts w:ascii="仿宋_GB2312" w:hAnsi="仿宋_GB2312" w:cs="仿宋_GB2312" w:eastAsia="仿宋_GB2312"/>
        </w:rPr>
        <w:t>10、法律、行政法规规定的其他条件：供应商拒绝政府采购领域商业贿赂承诺书</w:t>
      </w:r>
    </w:p>
    <w:p>
      <w:pPr>
        <w:pStyle w:val="null3"/>
      </w:pPr>
      <w:r>
        <w:rPr>
          <w:rFonts w:ascii="仿宋_GB2312" w:hAnsi="仿宋_GB2312" w:cs="仿宋_GB2312" w:eastAsia="仿宋_GB2312"/>
        </w:rPr>
        <w:t>11、非联合体投标：提供非联合体投标承诺</w:t>
      </w:r>
    </w:p>
    <w:p>
      <w:pPr>
        <w:pStyle w:val="null3"/>
      </w:pPr>
      <w:r>
        <w:rPr>
          <w:rFonts w:ascii="仿宋_GB2312" w:hAnsi="仿宋_GB2312" w:cs="仿宋_GB2312" w:eastAsia="仿宋_GB2312"/>
        </w:rPr>
        <w:t>12、行业资质要求：供应商需具备林业调查规划设计资质乙级及以上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2、法定代表人授权书：法定代表人授权书及被授权人身份证明。（法定代表人直接参加只须提交其身份证明）</w:t>
      </w:r>
    </w:p>
    <w:p>
      <w:pPr>
        <w:pStyle w:val="null3"/>
      </w:pPr>
      <w:r>
        <w:rPr>
          <w:rFonts w:ascii="仿宋_GB2312" w:hAnsi="仿宋_GB2312" w:cs="仿宋_GB2312" w:eastAsia="仿宋_GB2312"/>
        </w:rPr>
        <w:t>3、财务报告：提供2024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p>
      <w:pPr>
        <w:pStyle w:val="null3"/>
      </w:pPr>
      <w:r>
        <w:rPr>
          <w:rFonts w:ascii="仿宋_GB2312" w:hAnsi="仿宋_GB2312" w:cs="仿宋_GB2312" w:eastAsia="仿宋_GB2312"/>
        </w:rPr>
        <w:t>4、信誉要求：投标人未被“信用中国”网站（ 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5、控股、管理关系：单位负责人为同一人或者存在直接控股、管理关系的不同供应商，不得参与同一合同项下的政府采购活动；为项目提供设计、监理等服务的供应商，不得再参与该项目的其他采购活动</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8、社会保障资金缴纳证明：提供2025年1月至今已缴存的至少一个月的社会保障资金缴存单据或社保机构开具的社会保险参保缴费情况证明，依法不需要缴纳社会保障资金的单位应提供相关证明材料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9、参加本次政府采购活动前三年内在经营活动中没有重大违纪：提供参加本次政府采购活动前三年内在经营活动中没有重大违纪书面声明</w:t>
      </w:r>
    </w:p>
    <w:p>
      <w:pPr>
        <w:pStyle w:val="null3"/>
      </w:pPr>
      <w:r>
        <w:rPr>
          <w:rFonts w:ascii="仿宋_GB2312" w:hAnsi="仿宋_GB2312" w:cs="仿宋_GB2312" w:eastAsia="仿宋_GB2312"/>
        </w:rPr>
        <w:t>10、法律、行政法规规定的其他条件：供应商拒绝政府采购领域商业贿赂承诺书</w:t>
      </w:r>
    </w:p>
    <w:p>
      <w:pPr>
        <w:pStyle w:val="null3"/>
      </w:pPr>
      <w:r>
        <w:rPr>
          <w:rFonts w:ascii="仿宋_GB2312" w:hAnsi="仿宋_GB2312" w:cs="仿宋_GB2312" w:eastAsia="仿宋_GB2312"/>
        </w:rPr>
        <w:t>11、非联合体投标：提供非联合体投标承诺</w:t>
      </w:r>
    </w:p>
    <w:p>
      <w:pPr>
        <w:pStyle w:val="null3"/>
      </w:pPr>
      <w:r>
        <w:rPr>
          <w:rFonts w:ascii="仿宋_GB2312" w:hAnsi="仿宋_GB2312" w:cs="仿宋_GB2312" w:eastAsia="仿宋_GB2312"/>
        </w:rPr>
        <w:t>12、行业资质要求：供应商需具备林业调查规划设计资质乙级及以上</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商洛市飞播管理站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吴振鑫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18992406980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商洛市商州区江南小区广场31栋一楼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罗江水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18992462609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采购包1：1,337,900.00元</w:t>
            </w:r>
          </w:p>
          <w:p>
            <w:pPr>
              <w:pStyle w:val="null3"/>
            </w:pPr>
            <w:r>
              <w:rPr>
                <w:rFonts w:ascii="仿宋_GB2312" w:hAnsi="仿宋_GB2312" w:cs="仿宋_GB2312" w:eastAsia="仿宋_GB2312"/>
              </w:rPr>
              <w:t>采购包2：1,346,400.00元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开户名称：鼎正众创建设集团有限公司商洛一分公司</w:t>
            </w:r>
          </w:p>
          <w:p>
            <w:pPr>
              <w:pStyle w:val="null3"/>
            </w:pPr>
            <w:r>
              <w:rPr>
                <w:rFonts w:ascii="仿宋_GB2312" w:hAnsi="仿宋_GB2312" w:cs="仿宋_GB2312" w:eastAsia="仿宋_GB2312"/>
              </w:rPr>
              <w:t>开户银行：中国银行股份有限公司商洛分行</w:t>
            </w:r>
          </w:p>
          <w:p>
            <w:pPr>
              <w:pStyle w:val="null3"/>
            </w:pPr>
            <w:r>
              <w:rPr>
                <w:rFonts w:ascii="仿宋_GB2312" w:hAnsi="仿宋_GB2312" w:cs="仿宋_GB2312" w:eastAsia="仿宋_GB2312"/>
              </w:rPr>
              <w:t>银行账号：102919227529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 (计价格〔2002〕1980号)、《国家发展改革委员会办公厅关于招标代理服务收费有关问题的通知》（发改办价格〔2003〕857号）以及《国家发展改革委关于降低部分建设项目收费标准规范收费行为等有关问题的通知》 (发改价格〔2011〕534号)，向代理公司缴纳招标代理服务费。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商洛市飞播管理站</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商洛市飞播管理站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商洛市飞播管理站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根据招标文件要求及合同约定执行，符合国家或行业相关标准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根据招标文件要求及合同约定执行，符合国家或行业相关标准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联系人：罗江水</w:t>
      </w:r>
    </w:p>
    <w:p>
      <w:pPr>
        <w:pStyle w:val="null3"/>
      </w:pPr>
      <w:r>
        <w:rPr>
          <w:rFonts w:ascii="仿宋_GB2312" w:hAnsi="仿宋_GB2312" w:cs="仿宋_GB2312" w:eastAsia="仿宋_GB2312"/>
        </w:rPr>
        <w:t>联系电话：18992462609</w:t>
      </w:r>
    </w:p>
    <w:p>
      <w:pPr>
        <w:pStyle w:val="null3"/>
      </w:pPr>
      <w:r>
        <w:rPr>
          <w:rFonts w:ascii="仿宋_GB2312" w:hAnsi="仿宋_GB2312" w:cs="仿宋_GB2312" w:eastAsia="仿宋_GB2312"/>
        </w:rPr>
        <w:t>地址：商洛市商州区江南小区广场31栋一楼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2024年度商洛市秦岭中段(南麓及北麓)水源涵养与生物多样性保护恢复项目第三方验收服务，其中分包项目（一）为：2024年度商洛市秦岭中段(南麓)水源涵养与生物多样性保护恢复项目第三方验收服务，包括丹凤县、洛南县、商南县、镇安县四个县的人工造乔木林、封山育林、退化林修复的验收服务，面积规模46.45万亩；分包项目（二）为：2024年度商洛市秦岭中段(北麓)水源涵养与生物多样性保护恢复项目第三方验收服务，包括商州区、洛南县、柞水县三个县（区）的人工造乔木林、封山育林、退化林修复的项目验收，面积规模25.05万亩。 合同履行期限：合同签订之日起60日历天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1,337,900.00</w:t>
      </w:r>
    </w:p>
    <w:p>
      <w:pPr>
        <w:pStyle w:val="null3"/>
      </w:pPr>
      <w:r>
        <w:rPr>
          <w:rFonts w:ascii="仿宋_GB2312" w:hAnsi="仿宋_GB2312" w:cs="仿宋_GB2312" w:eastAsia="仿宋_GB2312"/>
        </w:rPr>
        <w:t>采购包最高限价（元）: 1,337,900.00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2024年度商洛市秦岭中段(南麓)水源涵养与生物多样性保护恢复项目第三方验收采购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1,337,900.00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1,346,400.00</w:t>
      </w:r>
    </w:p>
    <w:p>
      <w:pPr>
        <w:pStyle w:val="null3"/>
      </w:pPr>
      <w:r>
        <w:rPr>
          <w:rFonts w:ascii="仿宋_GB2312" w:hAnsi="仿宋_GB2312" w:cs="仿宋_GB2312" w:eastAsia="仿宋_GB2312"/>
        </w:rPr>
        <w:t>采购包最高限价（元）: 1,346,400.00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2024年度商洛市秦岭中段(北麓)水源涵养与生物多样性保护恢复项目第三方验收采购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1,346,400.00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标的名称：2024年度商洛市秦岭中段(南麓)水源涵养与生物多样性保护恢复项目第三方验收采购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 xml:space="preserve">1.依据《重点区域生态保护和修复中央预算内投资专项管理办法》《全国营造林综合核查技术规程》（LY/T2083-2013）《造林技术规程》（GB/T 15776-2023）《造林技术规范》（DB61/T 142-2021）《封山（沙）育林技术规程》（GB/T 15163-2018）《退化林修复技术规程》（GB/T </w:t>
            </w:r>
            <w:r>
              <w:rPr>
                <w:rFonts w:ascii="仿宋_GB2312" w:hAnsi="仿宋_GB2312" w:cs="仿宋_GB2312" w:eastAsia="仿宋_GB2312"/>
                <w:sz w:val="21"/>
              </w:rPr>
              <w:t>4</w:t>
            </w:r>
            <w:r>
              <w:rPr>
                <w:rFonts w:ascii="仿宋_GB2312" w:hAnsi="仿宋_GB2312" w:cs="仿宋_GB2312" w:eastAsia="仿宋_GB2312"/>
                <w:sz w:val="21"/>
              </w:rPr>
              <w:t>4351-2024）《主要造林树种苗木质量分级》（GB 6000-1999）《森林资源规划设计调查技术规程》（GBT 26424-2010）以及项目年度投资计划及任务文件、2024年度项目作业设计、采购合同及补充协议等文件要求，规范开展验收工作。</w:t>
            </w:r>
          </w:p>
          <w:p>
            <w:pPr>
              <w:pStyle w:val="null3"/>
              <w:ind w:firstLine="420"/>
              <w:jc w:val="both"/>
            </w:pPr>
            <w:r>
              <w:rPr>
                <w:rFonts w:ascii="仿宋_GB2312" w:hAnsi="仿宋_GB2312" w:cs="仿宋_GB2312" w:eastAsia="仿宋_GB2312"/>
                <w:sz w:val="21"/>
              </w:rPr>
              <w:t>2.验收单位应统筹把控工作进度与质量，足额配备符合要求的专业技术人员投入本项目，确保提交成果及时、准确，满足国家、陕西省或行业相关要求。</w:t>
            </w:r>
          </w:p>
          <w:p>
            <w:pPr>
              <w:pStyle w:val="null3"/>
              <w:ind w:firstLine="420"/>
              <w:jc w:val="both"/>
            </w:pPr>
            <w:r>
              <w:rPr>
                <w:rFonts w:ascii="仿宋_GB2312" w:hAnsi="仿宋_GB2312" w:cs="仿宋_GB2312" w:eastAsia="仿宋_GB2312"/>
                <w:sz w:val="21"/>
              </w:rPr>
              <w:t>3.验收工作结束后30日内，提交加盖机构公章的验收报告（含工作开展情况、检查验收结果、分析评价、建议等内容）、表格及相关资料。</w:t>
            </w:r>
          </w:p>
          <w:p>
            <w:pPr>
              <w:pStyle w:val="null3"/>
            </w:pPr>
            <w:r>
              <w:rPr>
                <w:rFonts w:ascii="仿宋_GB2312" w:hAnsi="仿宋_GB2312" w:cs="仿宋_GB2312" w:eastAsia="仿宋_GB2312"/>
                <w:sz w:val="21"/>
              </w:rPr>
              <w:t>4.要求具有完善的技术支持服务措施，高水平的专业技术团队以及高效的工作作风，并承诺能紧密配合采购人的工作需求。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标的名称：2024年度商洛市秦岭中段(北麓)水源涵养与生物多样性保护恢复项目第三方验收采购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 xml:space="preserve">1.依据《重点区域生态保护和修复中央预算内投资专项管理办法》《全国营造林综合核查技术规程》（LY/T2083-2013）《造林技术规程》（GB/T 15776-2023）《造林技术规范》（DB61/T 142-2021）《封山（沙）育林技术规程》（GB/T 15163-2018）《退化林修复技术规程》（GB/T </w:t>
            </w:r>
            <w:r>
              <w:rPr>
                <w:rFonts w:ascii="仿宋_GB2312" w:hAnsi="仿宋_GB2312" w:cs="仿宋_GB2312" w:eastAsia="仿宋_GB2312"/>
                <w:sz w:val="21"/>
              </w:rPr>
              <w:t>4</w:t>
            </w:r>
            <w:r>
              <w:rPr>
                <w:rFonts w:ascii="仿宋_GB2312" w:hAnsi="仿宋_GB2312" w:cs="仿宋_GB2312" w:eastAsia="仿宋_GB2312"/>
                <w:sz w:val="21"/>
              </w:rPr>
              <w:t>4351-2024）《主要造林树种苗木质量分级》（GB 6000-1999）《森林资源规划设计调查技术规程》（GBT 26424-2010）以及项目年度投资计划及任务文件、2024年度项目作业设计、采购合同及补充协议等文件要求，规范开展验收工作。</w:t>
            </w:r>
          </w:p>
          <w:p>
            <w:pPr>
              <w:pStyle w:val="null3"/>
              <w:ind w:firstLine="420"/>
              <w:jc w:val="both"/>
            </w:pPr>
            <w:r>
              <w:rPr>
                <w:rFonts w:ascii="仿宋_GB2312" w:hAnsi="仿宋_GB2312" w:cs="仿宋_GB2312" w:eastAsia="仿宋_GB2312"/>
                <w:sz w:val="21"/>
              </w:rPr>
              <w:t>2.验收单位应统筹把控工作进度与质量，足额配备符合要求的专业技术人员投入本项目，确保提交成果及时、准确，满足国家、陕西省或行业相关要求。</w:t>
            </w:r>
          </w:p>
          <w:p>
            <w:pPr>
              <w:pStyle w:val="null3"/>
              <w:ind w:firstLine="420"/>
              <w:jc w:val="both"/>
            </w:pPr>
            <w:r>
              <w:rPr>
                <w:rFonts w:ascii="仿宋_GB2312" w:hAnsi="仿宋_GB2312" w:cs="仿宋_GB2312" w:eastAsia="仿宋_GB2312"/>
                <w:sz w:val="21"/>
              </w:rPr>
              <w:t>3.验收工作结束后30日内，提交加盖机构公章的验收报告（含工作开展情况、检查验收结果、分析评价、建议等内容）、表格及相关资料。</w:t>
            </w:r>
          </w:p>
          <w:p>
            <w:pPr>
              <w:pStyle w:val="null3"/>
            </w:pPr>
            <w:r>
              <w:rPr>
                <w:rFonts w:ascii="仿宋_GB2312" w:hAnsi="仿宋_GB2312" w:cs="仿宋_GB2312" w:eastAsia="仿宋_GB2312"/>
                <w:sz w:val="21"/>
              </w:rPr>
              <w:t>4.要求具有完善的技术支持服务措施，高水平的专业技术团队以及高效的工作作风，并承诺能紧密配合采购人的工作需求。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根据招标文件{评分标准}要求及合同约定执行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根据招标文件{评分标准}要求及合同约定执行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根据招标文件{评分标准}要求及合同约定执行。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根据招标文件{评分标准}要求及合同约定执行。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根据招标文件要求及合同约定执行，符合国家或行业相关标准。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根据招标文件要求及合同约定执行，符合国家或行业相关标准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验收完成并提交加盖机构公章的验收报告（含工作开展情况、检查验收结果、分析评价、建议等内容）、表格及相关资料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验收完成并提交加盖机构公章的验收报告（含工作开展情况、检查验收结果、分析评价、建议等内容）、表格及相关资料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法定代表人授权书及被授权人身份证明。（法定代表人直接参加只须提交其身份证明）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投标人未被“信用中国”网站（ 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单位负责人为同一人或者存在直接控股、管理关系的不同供应商，不得参与同一合同项下的政府采购活动；为项目提供设计、监理等服务的供应商，不得再参与该项目的其他采购活动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参加本次政府采购活动前三年内在经营活动中没有重大违纪</w:t>
            </w:r>
          </w:p>
        </w:tc>
        <w:tc>
          <w:tcPr>
            <w:tcW w:type="dxa" w:w="3322"/>
          </w:tcPr>
          <w:p>
            <w:pPr>
              <w:pStyle w:val="null3"/>
            </w:pPr>
            <w:r>
              <w:rPr>
                <w:rFonts w:ascii="仿宋_GB2312" w:hAnsi="仿宋_GB2312" w:cs="仿宋_GB2312" w:eastAsia="仿宋_GB2312"/>
              </w:rPr>
              <w:t>提供参加本次政府采购活动前三年内在经营活动中没有重大违纪书面声明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供应商拒绝政府采购领域商业贿赂承诺书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供应商需具备林业调查规划设计资质乙级及以上</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法定代表人授权书及被授权人身份证明。（法定代表人直接参加只须提交其身份证明）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投标人未被“信用中国”网站（ 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单位负责人为同一人或者存在直接控股、管理关系的不同供应商，不得参与同一合同项下的政府采购活动；为项目提供设计、监理等服务的供应商，不得再参与该项目的其他采购活动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参加本次政府采购活动前三年内在经营活动中没有重大违纪</w:t>
            </w:r>
          </w:p>
        </w:tc>
        <w:tc>
          <w:tcPr>
            <w:tcW w:type="dxa" w:w="3322"/>
          </w:tcPr>
          <w:p>
            <w:pPr>
              <w:pStyle w:val="null3"/>
            </w:pPr>
            <w:r>
              <w:rPr>
                <w:rFonts w:ascii="仿宋_GB2312" w:hAnsi="仿宋_GB2312" w:cs="仿宋_GB2312" w:eastAsia="仿宋_GB2312"/>
              </w:rPr>
              <w:t>提供参加本次政府采购活动前三年内在经营活动中没有重大违纪书面声明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供应商拒绝政府采购领域商业贿赂承诺书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供应商需具备林业调查规划设计资质乙级及以上</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供应商对本项目背景、服务内容、目标需求理解全面，分析到位；对本项目服务实施阶段的重点难点进行分析并提出解决思路。 1、理解全面、重点难点分析完整、解决思路合理，计6分； 2、理解较全面、重点难点分析较完整、解决思路基本合理，计4分； 3、理解不全面、重点难点分析不到位、解决思路不合理，计2分；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供应商针对本项目有完善的实施方案。 1、实施方案内容完善详实、相关措施科学合理、可行性强，计12分； 2、实施方案内容较完善、相关措施基本合理可行，计8分； 3、实施方案内容不缺项，但简单笼统，合理性可行性一般，计4分； 4、整体服务方案内容缺1项，已提供内容基本合理可行，计1分；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服务质量保证措施及承诺</w:t>
            </w:r>
          </w:p>
        </w:tc>
        <w:tc>
          <w:tcPr>
            <w:tcW w:type="dxa" w:w="2492"/>
          </w:tcPr>
          <w:p>
            <w:pPr>
              <w:pStyle w:val="null3"/>
            </w:pPr>
            <w:r>
              <w:rPr>
                <w:rFonts w:ascii="仿宋_GB2312" w:hAnsi="仿宋_GB2312" w:cs="仿宋_GB2312" w:eastAsia="仿宋_GB2312"/>
              </w:rPr>
              <w:t>针对本项目的服务质量的保证措施及承诺。 1、思路清晰、内容全面、保证措施及相应承诺详细，完全符合本次采购需求，计 10分； 2、思路、内容较完整，保证措施及相应承诺较详细，基本符合本次采购需求，计6分； 3、思路有偏差、保证措施及相应承诺简单，计4分； 4、思路有较大偏差、保证措施及相应承诺空泛，计1分；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服务进度保证措施及承诺</w:t>
            </w:r>
          </w:p>
        </w:tc>
        <w:tc>
          <w:tcPr>
            <w:tcW w:type="dxa" w:w="2492"/>
          </w:tcPr>
          <w:p>
            <w:pPr>
              <w:pStyle w:val="null3"/>
            </w:pPr>
            <w:r>
              <w:rPr>
                <w:rFonts w:ascii="仿宋_GB2312" w:hAnsi="仿宋_GB2312" w:cs="仿宋_GB2312" w:eastAsia="仿宋_GB2312"/>
              </w:rPr>
              <w:t>针对本项目的服务进度的保证措施及承诺。 1、思路清晰、内容全面、保证措施及相应承诺详细，完全符合本次采购需求，计 10分； 2、思路、内容较完整，保证措施及相应承诺较详细，基本符合本次采购需求，计6分； 3、思路有偏差、保证措施及相应承诺简单，计4分； 4、思路有较大偏差、保证措施及相应承诺空泛，计1分；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1、方案完善、切实可行，计5分； 2、方案较完善、可行度较高，计3分； 3、方案简单，可行性不足，计1分。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主要包含后续服务承诺、售后服务方案两方面，以上两方面内容齐全无缺陷且能完全满足采购人针对本项目的采购需求的得5分，每缺少一项内容扣2分，每项内容有缺陷、存在错误或不足的扣1分，扣完本项为止。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1、拟派项目负责人具备相关专业高级及以上技术职称（含高级技术职称）的计5分，具备中级技术职称的计3分，其它情况不计分。 注：以拟派项目负责人相关证书及开标前6个月内供应商为其缴纳社保的证明材料为准，未提供或提供不全不计分。 拟派项目负责人具有2023年1月1日至今类似服务项目业绩（以合同签订时间为准），每提供一份有效业绩计1分，最高计3分。 注：拟派项目负责人业绩证明材料以合同（合同中须体现拟派项目负责人的姓名或其相关信息内容）复印件或扫描件并加盖供应商公章为准，合同主体须为供应商本企业。</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拟派服务团队专业服务人员配备齐全并提供相关证明材料(包括但不限于人员履历、相关资格证书、相关经验)，要求配备人员数量充足、岗位明确、管理构架合理，相关证明材料完整齐全得9分；基本完整得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拟投入本项目的工具、设备配置</w:t>
            </w:r>
          </w:p>
        </w:tc>
        <w:tc>
          <w:tcPr>
            <w:tcW w:type="dxa" w:w="2492"/>
          </w:tcPr>
          <w:p>
            <w:pPr>
              <w:pStyle w:val="null3"/>
            </w:pPr>
            <w:r>
              <w:rPr>
                <w:rFonts w:ascii="仿宋_GB2312" w:hAnsi="仿宋_GB2312" w:cs="仿宋_GB2312" w:eastAsia="仿宋_GB2312"/>
              </w:rPr>
              <w:t>拟投入本项目的工具、设备配置的数量及种类齐全、合理。 1、工具、设备配置的数量及种类齐全、合理，满足采购人需求，计5分； 2、工具、设备配置的数量及种类较齐全、合理，基本满足采购人需求，计3分； 3、工具、设备配置的数量不齐全、种类简单，计1分；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提供供应商2023年1月1日至今类似服务项目业绩（以合同签订时间为准），每提供一份有效业绩计2分，最高计10分。若提供虚假业绩，一经发现，按无效文件处理。未提供不计分。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供应商对本项目背景、服务内容、目标需求理解全面，分析到位；对本项目服务实施阶段的重点难点进行分析并提出解决思路。 1、理解全面、重点难点分析完整、解决思路合理，计6分； 2、理解较全面、重点难点分析较完整、解决思路基本合理，计4分； 3、理解不全面、重点难点分析不到位、解决思路不合理，计2分；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供应商针对本项目有完善的实施方案。 1、实施方案内容完善详实、相关措施科学合理、可行性强，计12分； 2、实施方案内容较完善、相关措施基本合理可行，计8分； 3、实施方案内容不缺项，但简单笼统，合理性可行性一般，计4分； 4、整体服务方案内容缺1项，已提供内容基本合理可行，计1分；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服务质量保证措施及承诺</w:t>
            </w:r>
          </w:p>
        </w:tc>
        <w:tc>
          <w:tcPr>
            <w:tcW w:type="dxa" w:w="2492"/>
          </w:tcPr>
          <w:p>
            <w:pPr>
              <w:pStyle w:val="null3"/>
            </w:pPr>
            <w:r>
              <w:rPr>
                <w:rFonts w:ascii="仿宋_GB2312" w:hAnsi="仿宋_GB2312" w:cs="仿宋_GB2312" w:eastAsia="仿宋_GB2312"/>
              </w:rPr>
              <w:t>针对本项目的服务质量的保证措施及承诺。 1、思路清晰、内容全面、保证措施及相应承诺详细，完全符合本次采购需求，计 10分； 2、思路、内容较完整，保证措施及相应承诺较详细，基本符合本次采购需求，计6分； 3、思路有偏差、保证措施及相应承诺简单，计4分； 4、思路有较大偏差、保证措施及相应承诺空泛，计1分；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服务进度保证措施及承诺</w:t>
            </w:r>
          </w:p>
        </w:tc>
        <w:tc>
          <w:tcPr>
            <w:tcW w:type="dxa" w:w="2492"/>
          </w:tcPr>
          <w:p>
            <w:pPr>
              <w:pStyle w:val="null3"/>
            </w:pPr>
            <w:r>
              <w:rPr>
                <w:rFonts w:ascii="仿宋_GB2312" w:hAnsi="仿宋_GB2312" w:cs="仿宋_GB2312" w:eastAsia="仿宋_GB2312"/>
              </w:rPr>
              <w:t>针对本项目的服务进度的保证措施及承诺。 1、思路清晰、内容全面、保证措施及相应承诺详细，完全符合本次采购需求，计 10分； 2、思路、内容较完整，保证措施及相应承诺较详细，基本符合本次采购需求，计6分； 3、思路有偏差、保证措施及相应承诺简单，计4分； 4、思路有较大偏差、保证措施及相应承诺空泛，计1分；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1、方案完善、切实可行，计5分； 2、方案较完善、可行度较高，计3分； 3、方案简单，可行性不足，计1分。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主要包含后续服务承诺、售后服务方案两方面，以上两方面内容齐全无缺陷且能完全满足采购人针对本项目的采购需求的得5分，每缺少一项内容扣2分，每项内容有缺陷、存在错误或不足的扣1分，扣完本项为止。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1、拟派项目负责人具备相关专业高级及以上技术职称（含高级技术职称）的计5分，具备中级技术职称的计3分，其它情况不计分。 注：以拟派项目负责人相关证书及开标前6个月内供应商为其缴纳社保的证明材料为准，未提供或提供不全不计分。 拟派项目负责人具有2023年1月1日至今类似服务项目业绩（以合同签订时间为准），每提供一份有效业绩计1分，最高计3分。 注：拟派项目负责人业绩证明材料以合同（合同中须体现拟派项目负责人的姓名或其相关信息内容）复印件或扫描件并加盖供应商公章为准，合同主体须为供应商本企业。</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拟派服务团队专业服务人员配备齐全并提供相关证明材料(包括但不限于人员履历、相关资格证书、相关经验)，要求配备人员数量充足、岗位明确、管理构架合理，相关证明材料完整齐全得9分；基本完整得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拟投入本项目的工具、设备配置</w:t>
            </w:r>
          </w:p>
        </w:tc>
        <w:tc>
          <w:tcPr>
            <w:tcW w:type="dxa" w:w="2492"/>
          </w:tcPr>
          <w:p>
            <w:pPr>
              <w:pStyle w:val="null3"/>
            </w:pPr>
            <w:r>
              <w:rPr>
                <w:rFonts w:ascii="仿宋_GB2312" w:hAnsi="仿宋_GB2312" w:cs="仿宋_GB2312" w:eastAsia="仿宋_GB2312"/>
              </w:rPr>
              <w:t>拟投入本项目的工具、设备配置的数量及种类齐全、合理。 1、工具、设备配置的数量及种类齐全、合理，满足采购人需求，计5分； 2、工具、设备配置的数量及种类较齐全、合理，基本满足采购人需求，计3分； 3、工具、设备配置的数量不齐全、种类简单，计1分；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提供供应商2023年1月1日至今类似服务项目业绩（以合同签订时间为准），每提供一份有效业绩计2分，最高计10分。若提供虚假业绩，一经发现，按无效文件处理。未提供不计分。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