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版本号：SDZC2026-01220260122001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疼痛科医疗设备采购项目(二次)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SDZC2026-012</w:t>
      </w:r>
      <w:r>
        <w:br/>
      </w:r>
      <w:r>
        <w:br/>
      </w:r>
      <w:r>
        <w:br/>
      </w:r>
    </w:p>
    <w:p>
      <w:pPr>
        <w:pStyle w:val="null3"/>
        <w:jc w:val="center"/>
        <w:outlineLvl w:val="2"/>
      </w:pPr>
      <w:r>
        <w:rPr>
          <w:rFonts w:ascii="仿宋_GB2312" w:hAnsi="仿宋_GB2312" w:cs="仿宋_GB2312" w:eastAsia="仿宋_GB2312"/>
          <w:sz w:val="28"/>
          <w:b/>
        </w:rPr>
        <w:t>商洛市中心医院</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商洛市中心医院</w:t>
      </w:r>
      <w:r>
        <w:rPr>
          <w:rFonts w:ascii="仿宋_GB2312" w:hAnsi="仿宋_GB2312" w:cs="仿宋_GB2312" w:eastAsia="仿宋_GB2312"/>
        </w:rPr>
        <w:t>委托，拟对</w:t>
      </w:r>
      <w:r>
        <w:rPr>
          <w:rFonts w:ascii="仿宋_GB2312" w:hAnsi="仿宋_GB2312" w:cs="仿宋_GB2312" w:eastAsia="仿宋_GB2312"/>
        </w:rPr>
        <w:t>疼痛科医疗设备采购项目(二次)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疼痛科医疗设备采购项目(二次)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为进一步提升医院业务能力，更高效、优质地服务广大群众，结合医院业务发展需求，现计划为临床科室购置一批医疗设备，其中部分设备中标单位须负责后期配套耗材日常配送工作。具体详见第三章。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8、企业资质：提供供应商医疗器械经营许可证或医疗器械经营备案证；提供产品生产厂家的医疗器械生产许可证或医疗器械生产备案证；</w:t>
      </w:r>
    </w:p>
    <w:p>
      <w:pPr>
        <w:pStyle w:val="null3"/>
      </w:pPr>
      <w:r>
        <w:rPr>
          <w:rFonts w:ascii="仿宋_GB2312" w:hAnsi="仿宋_GB2312" w:cs="仿宋_GB2312" w:eastAsia="仿宋_GB2312"/>
        </w:rPr>
        <w:t>9、产品资质：投标产品属于医疗器械管理的提供医疗器械注册证或医疗器械备案凭证，如国家规定免注册产品提供相关证明文件；</w:t>
      </w:r>
    </w:p>
    <w:p>
      <w:pPr>
        <w:pStyle w:val="null3"/>
      </w:pPr>
      <w:r>
        <w:rPr>
          <w:rFonts w:ascii="仿宋_GB2312" w:hAnsi="仿宋_GB2312" w:cs="仿宋_GB2312" w:eastAsia="仿宋_GB2312"/>
        </w:rPr>
        <w:t>10、投标保证金交纳凭证：投标保证金交纳凭证或担保函（投标保证交纳金凭证为银行凭证及基本账户证明资料，担保函为财政部门认可的政府采购信用担保机构出具）；</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12、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陕西省商洛市商鞅大道37号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商洛市中心医院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0914-2180023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 （张家堡转盘东南角）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曹幸（3号工位）、魏蕾、张富红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的规定下浮20% 收取,由中标/成交单位一次性支付给乙方。2、财务部联系方式：029-86673953、86518381、89299829、89293231转814、813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商洛市中心医院</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联系人：曹幸（3号工位）、魏蕾、张富红</w:t>
      </w:r>
    </w:p>
    <w:p>
      <w:pPr>
        <w:pStyle w:val="null3"/>
      </w:pPr>
      <w:r>
        <w:rPr>
          <w:rFonts w:ascii="仿宋_GB2312" w:hAnsi="仿宋_GB2312" w:cs="仿宋_GB2312" w:eastAsia="仿宋_GB2312"/>
        </w:rPr>
        <w:t>联系电话：029-86673953、86518381、89299829、89293231转803</w:t>
      </w:r>
    </w:p>
    <w:p>
      <w:pPr>
        <w:pStyle w:val="null3"/>
      </w:pPr>
      <w:r>
        <w:rPr>
          <w:rFonts w:ascii="仿宋_GB2312" w:hAnsi="仿宋_GB2312" w:cs="仿宋_GB2312" w:eastAsia="仿宋_GB2312"/>
        </w:rPr>
        <w:t>地址：西安市经开区凤城八路正尚国际金融广场A座7层703 （张家堡转盘东南角）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为进一步提升医院业务能力，更高效、优质地服务广大群众，结合医院业务发展需求，现计划为临床科室购置一批医疗设备，其中部分设备中标单位须负责后期配套耗材日常配送工作。具体详见第三章。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1010000.00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09"/>
              <w:gridCol w:w="1578"/>
              <w:gridCol w:w="464"/>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一、设备名称</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半导体激光治疗仪</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（核心产品）</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数量</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台</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预算：</w:t>
                  </w:r>
                  <w:r>
                    <w:rPr>
                      <w:rFonts w:ascii="仿宋_GB2312" w:hAnsi="仿宋_GB2312" w:cs="仿宋_GB2312" w:eastAsia="仿宋_GB2312"/>
                      <w:sz w:val="24"/>
                      <w:color w:val="0000FF"/>
                    </w:rPr>
                    <w:t>50万元</w:t>
                  </w:r>
                </w:p>
              </w:tc>
            </w:tr>
            <w:tr>
              <w:tc>
                <w:tcPr>
                  <w:tcW w:type="dxa" w:w="50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三、用途</w:t>
                  </w:r>
                </w:p>
              </w:tc>
              <w:tc>
                <w:tcPr>
                  <w:tcW w:type="dxa" w:w="15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适用于缓解肌肉与关节疼痛。</w:t>
                  </w:r>
                </w:p>
              </w:tc>
              <w:tc>
                <w:tcPr>
                  <w:tcW w:type="dxa" w:w="4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四、基本要求</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所投产品为各厂家最新产品。</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五、主要技术规格要求</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（本部分所有指标要求提供佐证材料）</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激光类型：医用半导体激光；</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治疗激光波长：</w:t>
                  </w:r>
                  <w:r>
                    <w:rPr>
                      <w:rFonts w:ascii="仿宋_GB2312" w:hAnsi="仿宋_GB2312" w:cs="仿宋_GB2312" w:eastAsia="仿宋_GB2312"/>
                      <w:sz w:val="24"/>
                      <w:color w:val="0000FF"/>
                    </w:rPr>
                    <w:t>≥2种；</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最大连续输出功率：</w:t>
                  </w:r>
                  <w:r>
                    <w:rPr>
                      <w:rFonts w:ascii="仿宋_GB2312" w:hAnsi="仿宋_GB2312" w:cs="仿宋_GB2312" w:eastAsia="仿宋_GB2312"/>
                      <w:sz w:val="24"/>
                      <w:color w:val="0000FF"/>
                    </w:rPr>
                    <w:t>≥15W,连续可调；</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输出方式</w:t>
                  </w:r>
                  <w:r>
                    <w:rPr>
                      <w:rFonts w:ascii="仿宋_GB2312" w:hAnsi="仿宋_GB2312" w:cs="仿宋_GB2312" w:eastAsia="仿宋_GB2312"/>
                      <w:sz w:val="24"/>
                      <w:color w:val="0000FF"/>
                    </w:rPr>
                    <w:t>:</w:t>
                  </w:r>
                  <w:r>
                    <w:rPr>
                      <w:rFonts w:ascii="仿宋_GB2312" w:hAnsi="仿宋_GB2312" w:cs="仿宋_GB2312" w:eastAsia="仿宋_GB2312"/>
                      <w:sz w:val="24"/>
                      <w:color w:val="0000FF"/>
                    </w:rPr>
                    <w:t>至少具备</w:t>
                  </w:r>
                  <w:r>
                    <w:rPr>
                      <w:rFonts w:ascii="仿宋_GB2312" w:hAnsi="仿宋_GB2312" w:cs="仿宋_GB2312" w:eastAsia="仿宋_GB2312"/>
                      <w:sz w:val="24"/>
                      <w:color w:val="0000FF"/>
                    </w:rPr>
                    <w:t>连续</w:t>
                  </w:r>
                  <w:r>
                    <w:rPr>
                      <w:rFonts w:ascii="仿宋_GB2312" w:hAnsi="仿宋_GB2312" w:cs="仿宋_GB2312" w:eastAsia="仿宋_GB2312"/>
                      <w:sz w:val="24"/>
                      <w:color w:val="0000FF"/>
                    </w:rPr>
                    <w:t>和</w:t>
                  </w:r>
                  <w:r>
                    <w:rPr>
                      <w:rFonts w:ascii="仿宋_GB2312" w:hAnsi="仿宋_GB2312" w:cs="仿宋_GB2312" w:eastAsia="仿宋_GB2312"/>
                      <w:sz w:val="24"/>
                      <w:color w:val="0000FF"/>
                    </w:rPr>
                    <w:t>脉冲</w:t>
                  </w:r>
                  <w:r>
                    <w:rPr>
                      <w:rFonts w:ascii="仿宋_GB2312" w:hAnsi="仿宋_GB2312" w:cs="仿宋_GB2312" w:eastAsia="仿宋_GB2312"/>
                      <w:sz w:val="24"/>
                      <w:color w:val="0000FF"/>
                    </w:rPr>
                    <w:t>两种模式；</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脉冲频率：至少覆盖</w:t>
                  </w:r>
                  <w:r>
                    <w:rPr>
                      <w:rFonts w:ascii="仿宋_GB2312" w:hAnsi="仿宋_GB2312" w:cs="仿宋_GB2312" w:eastAsia="仿宋_GB2312"/>
                      <w:sz w:val="24"/>
                      <w:color w:val="0000FF"/>
                    </w:rPr>
                    <w:t>2—10000Hz；</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占空比：至少包含</w:t>
                  </w:r>
                  <w:r>
                    <w:rPr>
                      <w:rFonts w:ascii="仿宋_GB2312" w:hAnsi="仿宋_GB2312" w:cs="仿宋_GB2312" w:eastAsia="仿宋_GB2312"/>
                      <w:sz w:val="24"/>
                      <w:color w:val="0000FF"/>
                    </w:rPr>
                    <w:t>50%；</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指示光：半导体激光</w:t>
                  </w:r>
                  <w:r>
                    <w:rPr>
                      <w:rFonts w:ascii="仿宋_GB2312" w:hAnsi="仿宋_GB2312" w:cs="仿宋_GB2312" w:eastAsia="仿宋_GB2312"/>
                      <w:sz w:val="24"/>
                      <w:color w:val="0000FF"/>
                    </w:rPr>
                    <w:t>650nm±10nm；</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具有可调节的治疗定时功能；</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治疗模式：具有多种治疗方式，也可根据患者治疗部位、疾病种类等情况生成治疗参数；</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操作方式</w:t>
                  </w:r>
                  <w:r>
                    <w:rPr>
                      <w:rFonts w:ascii="仿宋_GB2312" w:hAnsi="仿宋_GB2312" w:cs="仿宋_GB2312" w:eastAsia="仿宋_GB2312"/>
                      <w:sz w:val="24"/>
                      <w:color w:val="0000FF"/>
                    </w:rPr>
                    <w:t>:</w:t>
                  </w:r>
                  <w:r>
                    <w:rPr>
                      <w:rFonts w:ascii="仿宋_GB2312" w:hAnsi="仿宋_GB2312" w:cs="仿宋_GB2312" w:eastAsia="仿宋_GB2312"/>
                      <w:sz w:val="24"/>
                      <w:color w:val="0000FF"/>
                    </w:rPr>
                    <w:t>≥6</w:t>
                  </w:r>
                  <w:r>
                    <w:rPr>
                      <w:rFonts w:ascii="仿宋_GB2312" w:hAnsi="仿宋_GB2312" w:cs="仿宋_GB2312" w:eastAsia="仿宋_GB2312"/>
                      <w:sz w:val="24"/>
                      <w:color w:val="0000FF"/>
                    </w:rPr>
                    <w:t>英寸</w:t>
                  </w:r>
                  <w:r>
                    <w:rPr>
                      <w:rFonts w:ascii="仿宋_GB2312" w:hAnsi="仿宋_GB2312" w:cs="仿宋_GB2312" w:eastAsia="仿宋_GB2312"/>
                      <w:sz w:val="24"/>
                      <w:color w:val="0000FF"/>
                    </w:rPr>
                    <w:t>高清</w:t>
                  </w:r>
                  <w:r>
                    <w:rPr>
                      <w:rFonts w:ascii="仿宋_GB2312" w:hAnsi="仿宋_GB2312" w:cs="仿宋_GB2312" w:eastAsia="仿宋_GB2312"/>
                      <w:sz w:val="24"/>
                      <w:color w:val="0000FF"/>
                    </w:rPr>
                    <w:t>彩色触摸液晶屏，可</w:t>
                  </w:r>
                  <w:r>
                    <w:rPr>
                      <w:rFonts w:ascii="仿宋_GB2312" w:hAnsi="仿宋_GB2312" w:cs="仿宋_GB2312" w:eastAsia="仿宋_GB2312"/>
                      <w:sz w:val="24"/>
                      <w:color w:val="0000FF"/>
                    </w:rPr>
                    <w:t>进行治疗参数、模式和系统设置</w:t>
                  </w:r>
                  <w:r>
                    <w:rPr>
                      <w:rFonts w:ascii="仿宋_GB2312" w:hAnsi="仿宋_GB2312" w:cs="仿宋_GB2312" w:eastAsia="仿宋_GB2312"/>
                      <w:sz w:val="24"/>
                      <w:color w:val="0000FF"/>
                    </w:rPr>
                    <w:t>；</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5.11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保护系统</w:t>
                  </w:r>
                  <w:r>
                    <w:rPr>
                      <w:rFonts w:ascii="仿宋_GB2312" w:hAnsi="仿宋_GB2312" w:cs="仿宋_GB2312" w:eastAsia="仿宋_GB2312"/>
                      <w:sz w:val="24"/>
                      <w:color w:val="0000FF"/>
                    </w:rPr>
                    <w:t>:具备</w:t>
                  </w:r>
                  <w:r>
                    <w:rPr>
                      <w:rFonts w:ascii="仿宋_GB2312" w:hAnsi="仿宋_GB2312" w:cs="仿宋_GB2312" w:eastAsia="仿宋_GB2312"/>
                      <w:sz w:val="24"/>
                      <w:color w:val="0000FF"/>
                    </w:rPr>
                    <w:t>安全</w:t>
                  </w:r>
                  <w:r>
                    <w:rPr>
                      <w:rFonts w:ascii="仿宋_GB2312" w:hAnsi="仿宋_GB2312" w:cs="仿宋_GB2312" w:eastAsia="仿宋_GB2312"/>
                      <w:sz w:val="24"/>
                      <w:color w:val="0000FF"/>
                    </w:rPr>
                    <w:t>保护系统</w:t>
                  </w:r>
                  <w:r>
                    <w:rPr>
                      <w:rFonts w:ascii="仿宋_GB2312" w:hAnsi="仿宋_GB2312" w:cs="仿宋_GB2312" w:eastAsia="仿宋_GB2312"/>
                      <w:sz w:val="24"/>
                      <w:color w:val="0000FF"/>
                    </w:rPr>
                    <w:t>，</w:t>
                  </w:r>
                  <w:r>
                    <w:rPr>
                      <w:rFonts w:ascii="仿宋_GB2312" w:hAnsi="仿宋_GB2312" w:cs="仿宋_GB2312" w:eastAsia="仿宋_GB2312"/>
                      <w:sz w:val="24"/>
                      <w:color w:val="0000FF"/>
                    </w:rPr>
                    <w:t>实体钥匙</w:t>
                  </w:r>
                  <w:r>
                    <w:rPr>
                      <w:rFonts w:ascii="仿宋_GB2312" w:hAnsi="仿宋_GB2312" w:cs="仿宋_GB2312" w:eastAsia="仿宋_GB2312"/>
                      <w:sz w:val="24"/>
                      <w:color w:val="0000FF"/>
                    </w:rPr>
                    <w:t>开关保护</w:t>
                  </w:r>
                  <w:r>
                    <w:rPr>
                      <w:rFonts w:ascii="仿宋_GB2312" w:hAnsi="仿宋_GB2312" w:cs="仿宋_GB2312" w:eastAsia="仿宋_GB2312"/>
                      <w:sz w:val="24"/>
                      <w:color w:val="0000FF"/>
                    </w:rPr>
                    <w:t>、</w:t>
                  </w:r>
                  <w:r>
                    <w:rPr>
                      <w:rFonts w:ascii="仿宋_GB2312" w:hAnsi="仿宋_GB2312" w:cs="仿宋_GB2312" w:eastAsia="仿宋_GB2312"/>
                      <w:sz w:val="24"/>
                      <w:color w:val="0000FF"/>
                    </w:rPr>
                    <w:t>急停开关保护</w:t>
                  </w:r>
                  <w:r>
                    <w:rPr>
                      <w:rFonts w:ascii="仿宋_GB2312" w:hAnsi="仿宋_GB2312" w:cs="仿宋_GB2312" w:eastAsia="仿宋_GB2312"/>
                      <w:sz w:val="24"/>
                      <w:color w:val="0000FF"/>
                    </w:rPr>
                    <w:t>、</w:t>
                  </w:r>
                  <w:r>
                    <w:rPr>
                      <w:rFonts w:ascii="仿宋_GB2312" w:hAnsi="仿宋_GB2312" w:cs="仿宋_GB2312" w:eastAsia="仿宋_GB2312"/>
                      <w:sz w:val="24"/>
                      <w:color w:val="0000FF"/>
                    </w:rPr>
                    <w:t>精密温度控制系统，保证激光器寿命和功率稳定输出</w:t>
                  </w:r>
                  <w:r>
                    <w:rPr>
                      <w:rFonts w:ascii="仿宋_GB2312" w:hAnsi="仿宋_GB2312" w:cs="仿宋_GB2312" w:eastAsia="仿宋_GB2312"/>
                      <w:sz w:val="24"/>
                      <w:color w:val="0000FF"/>
                    </w:rPr>
                    <w:t>。</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六、设备安装</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供货方在接到用户设备到货通知后三天内，指派工程师到用户现场开箱、验货及安装调试，设备由供货方负责运至机房、在验收合格之前出现的损坏以及丢失均由供货方负责。</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设备的安装调试：安装调试应在开箱验货之后及时进行，在规定的工作日内完成对所有设备的安装和调试并达到试运行状态，安装调试时间不超过两个周，在此期间内所发生的费用由供货方承担。</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22"/>
              <w:gridCol w:w="1490"/>
              <w:gridCol w:w="534"/>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一、设备名称</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射频控温热凝器</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数量</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1台</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预算</w:t>
                  </w:r>
                  <w:r>
                    <w:rPr>
                      <w:rFonts w:ascii="仿宋_GB2312" w:hAnsi="仿宋_GB2312" w:cs="仿宋_GB2312" w:eastAsia="仿宋_GB2312"/>
                      <w:sz w:val="24"/>
                      <w:color w:val="0000FF"/>
                    </w:rPr>
                    <w:t>28万元，须配套耗材</w:t>
                  </w:r>
                </w:p>
              </w:tc>
            </w:tr>
            <w:tr>
              <w:tc>
                <w:tcPr>
                  <w:tcW w:type="dxa" w:w="52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三、用途</w:t>
                  </w:r>
                </w:p>
              </w:tc>
              <w:tc>
                <w:tcPr>
                  <w:tcW w:type="dxa" w:w="14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适用于治疗原发性三叉神经痛和脊神经根痛。</w:t>
                  </w:r>
                </w:p>
              </w:tc>
              <w:tc>
                <w:tcPr>
                  <w:tcW w:type="dxa" w:w="5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四、基本要求</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所投产品为各厂家最新产品。</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五、主要技术规格要求</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（本部分所有指标要求提供佐证材料）</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5.1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性能指标及技术参数</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具有多种治疗模式，可适用于不同症状，包括但不限于电阻抗模式、电刺激模式、射频治疗模式、脉冲射频模式等；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电阻抗模式</w:t>
                  </w:r>
                  <w:r>
                    <w:rPr>
                      <w:rFonts w:ascii="仿宋_GB2312" w:hAnsi="仿宋_GB2312" w:cs="仿宋_GB2312" w:eastAsia="仿宋_GB2312"/>
                      <w:sz w:val="24"/>
                      <w:color w:val="0000FF"/>
                    </w:rPr>
                    <w:t>:阻抗测量范围：下限≤30Ω，上限≥2900Ω；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电刺激模式：具有恒定电流、恒定电压刺激功能。</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1）电压刺激模式：电压刺激幅度≥10.0V，精度≤0.1V；</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2）电流刺激模式：电流刺激幅度≥10.00mA，精度≤0.1mA；</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5.1.4</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射频治疗模式：具有单极、双极等功能模式，双极模式下可分别控制并实时显示两个电极温度，可以同时治疗不同部位；</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5.1.5</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连续射频工作模式：正常模式、阶段跳跃和功率模式；</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5.1.6</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连续射频模式温度范围</w:t>
                  </w:r>
                  <w:r>
                    <w:rPr>
                      <w:rFonts w:ascii="仿宋_GB2312" w:hAnsi="仿宋_GB2312" w:cs="仿宋_GB2312" w:eastAsia="仿宋_GB2312"/>
                      <w:sz w:val="24"/>
                      <w:color w:val="0000FF"/>
                    </w:rPr>
                    <w:t>:下限≤30℃，上限≥95℃；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5.1.7</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连续射频时间设定：下限</w:t>
                  </w:r>
                  <w:r>
                    <w:rPr>
                      <w:rFonts w:ascii="仿宋_GB2312" w:hAnsi="仿宋_GB2312" w:cs="仿宋_GB2312" w:eastAsia="仿宋_GB2312"/>
                      <w:sz w:val="24"/>
                      <w:color w:val="0000FF"/>
                    </w:rPr>
                    <w:t>≤10S，上限≥10min;</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5.1.8</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脉冲射频模式：</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1）脉冲射频温度范围：下限≤30℃，上限≥95℃；</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2）脉冲射频电压可调：下限≤20V，上限≥95V；</w:t>
                  </w:r>
                </w:p>
                <w:p>
                  <w:pPr>
                    <w:pStyle w:val="null3"/>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3）脉冲射频脉宽可调：下限≤5ms，上限≥40ms；</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5.1.9</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脉冲射频工作：温度模式、电压模式和脉宽模式；</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5.1.10</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电刺激定位脉冲频率范围：下限</w:t>
                  </w:r>
                  <w:r>
                    <w:rPr>
                      <w:rFonts w:ascii="仿宋_GB2312" w:hAnsi="仿宋_GB2312" w:cs="仿宋_GB2312" w:eastAsia="仿宋_GB2312"/>
                      <w:sz w:val="24"/>
                      <w:color w:val="0000FF"/>
                    </w:rPr>
                    <w:t>≤1Hz，上限≥200Hz,电脉冲宽度范围：下限≤0.1ms，上限≥3ms；</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测温范围：下限</w:t>
                  </w:r>
                  <w:r>
                    <w:rPr>
                      <w:rFonts w:ascii="仿宋_GB2312" w:hAnsi="仿宋_GB2312" w:cs="仿宋_GB2312" w:eastAsia="仿宋_GB2312"/>
                      <w:sz w:val="24"/>
                      <w:color w:val="0000FF"/>
                    </w:rPr>
                    <w:t>≤20℃，上限≥95℃；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脉冲模式时间设定：下限</w:t>
                  </w:r>
                  <w:r>
                    <w:rPr>
                      <w:rFonts w:ascii="仿宋_GB2312" w:hAnsi="仿宋_GB2312" w:cs="仿宋_GB2312" w:eastAsia="仿宋_GB2312"/>
                      <w:sz w:val="24"/>
                      <w:color w:val="0000FF"/>
                    </w:rPr>
                    <w:t>≤10S，上限≥30min；</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射频输出功率：</w:t>
                  </w:r>
                  <w:r>
                    <w:rPr>
                      <w:rFonts w:ascii="仿宋_GB2312" w:hAnsi="仿宋_GB2312" w:cs="仿宋_GB2312" w:eastAsia="仿宋_GB2312"/>
                      <w:sz w:val="24"/>
                      <w:color w:val="0000FF"/>
                    </w:rPr>
                    <w:t>≥50W；</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5.1.14</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热凝工作频率：</w:t>
                  </w:r>
                  <w:r>
                    <w:rPr>
                      <w:rFonts w:ascii="仿宋_GB2312" w:hAnsi="仿宋_GB2312" w:cs="仿宋_GB2312" w:eastAsia="仿宋_GB2312"/>
                      <w:sz w:val="24"/>
                      <w:color w:val="0000FF"/>
                    </w:rPr>
                    <w:t>≥460kHz；</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5.2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产品要求</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配备</w:t>
                  </w:r>
                  <w:r>
                    <w:rPr>
                      <w:rFonts w:ascii="仿宋_GB2312" w:hAnsi="仿宋_GB2312" w:cs="仿宋_GB2312" w:eastAsia="仿宋_GB2312"/>
                      <w:sz w:val="24"/>
                      <w:color w:val="0000FF"/>
                    </w:rPr>
                    <w:t>≥7寸全触摸屏，操控界面简便直观，切换自如；</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可显示负极片粘贴状态；</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主机具有自检功能，可检测主机和电极状态是否良好，提前避免术中故障；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5.2.4</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具有电极功能异常、超温报警、断开报警等自动报警功能；</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5.3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手术射频电极技术要求</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配套耗材，单价限价：</w:t>
                  </w:r>
                  <w:r>
                    <w:rPr>
                      <w:rFonts w:ascii="仿宋_GB2312" w:hAnsi="仿宋_GB2312" w:cs="仿宋_GB2312" w:eastAsia="仿宋_GB2312"/>
                      <w:sz w:val="24"/>
                      <w:color w:val="0000FF"/>
                    </w:rPr>
                    <w:t>1000.00元</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5.3.1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具有三类医疗器械注册证；</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5.3.2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手术电极可接受高温高压消毒灭菌方式；</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5.3.3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一次性无菌包装套管针完全匹配手术电极；</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5.3.4</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符合国家医保及卫健委网采，两票制等相关规定</w:t>
                  </w:r>
                  <w:r>
                    <w:rPr>
                      <w:rFonts w:ascii="仿宋_GB2312" w:hAnsi="仿宋_GB2312" w:cs="仿宋_GB2312" w:eastAsia="仿宋_GB2312"/>
                      <w:sz w:val="24"/>
                      <w:color w:val="0000FF"/>
                    </w:rPr>
                    <w:t>。</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六、设备安装</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供货方在接到用户设备到货通知后三天内，指派工程师到用户现场开箱、验货及安装调试，设备由供货方负责运至机房、在验收合格之前出现的损坏以及丢失均由供货方负责。</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设备的安装调试：安装调试应在开箱验货之后及时进行，在规定的工作日内完成对所有设备的安装和调试并达到试运行状态，安装调试时间不超过两个周，在此期间内所发生的费用由供货方承担。</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50"/>
              <w:gridCol w:w="1554"/>
              <w:gridCol w:w="442"/>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一、设备名称</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医用红外热像仪</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备注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数量</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1台</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预算：</w:t>
                  </w:r>
                  <w:r>
                    <w:rPr>
                      <w:rFonts w:ascii="仿宋_GB2312" w:hAnsi="仿宋_GB2312" w:cs="仿宋_GB2312" w:eastAsia="仿宋_GB2312"/>
                      <w:sz w:val="24"/>
                      <w:color w:val="0000FF"/>
                    </w:rPr>
                    <w:t>23万元</w:t>
                  </w:r>
                </w:p>
              </w:tc>
            </w:tr>
            <w:tr>
              <w:tc>
                <w:tcPr>
                  <w:tcW w:type="dxa" w:w="55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三、用途</w:t>
                  </w:r>
                </w:p>
              </w:tc>
              <w:tc>
                <w:tcPr>
                  <w:tcW w:type="dxa" w:w="155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适用于以非接触方式测量人体表面温度</w:t>
                  </w:r>
                  <w:r>
                    <w:rPr>
                      <w:rFonts w:ascii="仿宋_GB2312" w:hAnsi="仿宋_GB2312" w:cs="仿宋_GB2312" w:eastAsia="仿宋_GB2312"/>
                      <w:sz w:val="24"/>
                      <w:color w:val="0000FF"/>
                    </w:rPr>
                    <w:t>并</w:t>
                  </w:r>
                  <w:r>
                    <w:rPr>
                      <w:rFonts w:ascii="仿宋_GB2312" w:hAnsi="仿宋_GB2312" w:cs="仿宋_GB2312" w:eastAsia="仿宋_GB2312"/>
                      <w:sz w:val="24"/>
                      <w:color w:val="0000FF"/>
                    </w:rPr>
                    <w:t>形成人体温度分布图像</w:t>
                  </w:r>
                  <w:r>
                    <w:rPr>
                      <w:rFonts w:ascii="仿宋_GB2312" w:hAnsi="仿宋_GB2312" w:cs="仿宋_GB2312" w:eastAsia="仿宋_GB2312"/>
                      <w:sz w:val="24"/>
                      <w:color w:val="0000FF"/>
                    </w:rPr>
                    <w:t>，通过对温度分布图像的分析，为疾病诊断提供依据。</w:t>
                  </w:r>
                </w:p>
              </w:tc>
              <w:tc>
                <w:tcPr>
                  <w:tcW w:type="dxa" w:w="4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四、基本要求</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所投产品为各厂家最新产品。</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五、主要技术规格要求</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（本部分所有指标要求提供佐证材料）</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5.1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红外摄像装置</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采用</w:t>
                  </w:r>
                  <w:r>
                    <w:rPr>
                      <w:rFonts w:ascii="仿宋_GB2312" w:hAnsi="仿宋_GB2312" w:cs="仿宋_GB2312" w:eastAsia="仿宋_GB2312"/>
                      <w:sz w:val="24"/>
                      <w:color w:val="0000FF"/>
                    </w:rPr>
                    <w:t>非</w:t>
                  </w:r>
                  <w:r>
                    <w:rPr>
                      <w:rFonts w:ascii="仿宋_GB2312" w:hAnsi="仿宋_GB2312" w:cs="仿宋_GB2312" w:eastAsia="仿宋_GB2312"/>
                      <w:sz w:val="24"/>
                      <w:color w:val="0000FF"/>
                    </w:rPr>
                    <w:t>制</w:t>
                  </w:r>
                  <w:r>
                    <w:rPr>
                      <w:rFonts w:ascii="仿宋_GB2312" w:hAnsi="仿宋_GB2312" w:cs="仿宋_GB2312" w:eastAsia="仿宋_GB2312"/>
                      <w:sz w:val="24"/>
                      <w:color w:val="0000FF"/>
                    </w:rPr>
                    <w:t>冷焦平面红外探测器</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红外分辨率</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384</w:t>
                  </w:r>
                  <w:r>
                    <w:rPr>
                      <w:rFonts w:ascii="仿宋_GB2312" w:hAnsi="仿宋_GB2312" w:cs="仿宋_GB2312" w:eastAsia="仿宋_GB2312"/>
                      <w:sz w:val="24"/>
                      <w:color w:val="0000FF"/>
                    </w:rPr>
                    <w:t>×</w:t>
                  </w:r>
                  <w:r>
                    <w:rPr>
                      <w:rFonts w:ascii="仿宋_GB2312" w:hAnsi="仿宋_GB2312" w:cs="仿宋_GB2312" w:eastAsia="仿宋_GB2312"/>
                      <w:sz w:val="24"/>
                      <w:color w:val="0000FF"/>
                    </w:rPr>
                    <w:t>288</w:t>
                  </w:r>
                  <w:r>
                    <w:rPr>
                      <w:rFonts w:ascii="仿宋_GB2312" w:hAnsi="仿宋_GB2312" w:cs="仿宋_GB2312" w:eastAsia="仿宋_GB2312"/>
                      <w:sz w:val="24"/>
                      <w:color w:val="0000FF"/>
                    </w:rPr>
                    <w:t>×14Bit</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5.1.3</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测温范围</w:t>
                  </w:r>
                  <w:r>
                    <w:rPr>
                      <w:rFonts w:ascii="仿宋_GB2312" w:hAnsi="仿宋_GB2312" w:cs="仿宋_GB2312" w:eastAsia="仿宋_GB2312"/>
                      <w:sz w:val="24"/>
                      <w:color w:val="0000FF"/>
                    </w:rPr>
                    <w:t>：</w:t>
                  </w:r>
                  <w:r>
                    <w:rPr>
                      <w:rFonts w:ascii="仿宋_GB2312" w:hAnsi="仿宋_GB2312" w:cs="仿宋_GB2312" w:eastAsia="仿宋_GB2312"/>
                      <w:sz w:val="24"/>
                      <w:color w:val="0000FF"/>
                    </w:rPr>
                    <w:t>0</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60</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5.1.4</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瞬时视场</w:t>
                  </w:r>
                  <w:r>
                    <w:rPr>
                      <w:rFonts w:ascii="仿宋_GB2312" w:hAnsi="仿宋_GB2312" w:cs="仿宋_GB2312" w:eastAsia="仿宋_GB2312"/>
                      <w:sz w:val="24"/>
                      <w:color w:val="0000FF"/>
                    </w:rPr>
                    <w:t>≤1.</w:t>
                  </w:r>
                  <w:r>
                    <w:rPr>
                      <w:rFonts w:ascii="仿宋_GB2312" w:hAnsi="仿宋_GB2312" w:cs="仿宋_GB2312" w:eastAsia="仿宋_GB2312"/>
                      <w:sz w:val="24"/>
                      <w:color w:val="0000FF"/>
                    </w:rPr>
                    <w:t>5</w:t>
                  </w:r>
                  <w:r>
                    <w:rPr>
                      <w:rFonts w:ascii="仿宋_GB2312" w:hAnsi="仿宋_GB2312" w:cs="仿宋_GB2312" w:eastAsia="仿宋_GB2312"/>
                      <w:sz w:val="24"/>
                      <w:color w:val="0000FF"/>
                    </w:rPr>
                    <w:t>mrad</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5.1.5</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视场角：水平方向：</w:t>
                  </w:r>
                  <w:r>
                    <w:rPr>
                      <w:rFonts w:ascii="仿宋_GB2312" w:hAnsi="仿宋_GB2312" w:cs="仿宋_GB2312" w:eastAsia="仿宋_GB2312"/>
                      <w:sz w:val="24"/>
                      <w:color w:val="0000FF"/>
                    </w:rPr>
                    <w:t>17</w:t>
                  </w:r>
                  <w:r>
                    <w:rPr>
                      <w:rFonts w:ascii="仿宋_GB2312" w:hAnsi="仿宋_GB2312" w:cs="仿宋_GB2312" w:eastAsia="仿宋_GB2312"/>
                      <w:sz w:val="24"/>
                      <w:color w:val="0000FF"/>
                    </w:rPr>
                    <w:t>°</w:t>
                  </w:r>
                  <w:r>
                    <w:rPr>
                      <w:rFonts w:ascii="仿宋_GB2312" w:hAnsi="仿宋_GB2312" w:cs="仿宋_GB2312" w:eastAsia="仿宋_GB2312"/>
                      <w:sz w:val="24"/>
                      <w:color w:val="0000FF"/>
                    </w:rPr>
                    <w:t>-24</w:t>
                  </w:r>
                  <w:r>
                    <w:rPr>
                      <w:rFonts w:ascii="仿宋_GB2312" w:hAnsi="仿宋_GB2312" w:cs="仿宋_GB2312" w:eastAsia="仿宋_GB2312"/>
                      <w:sz w:val="24"/>
                      <w:color w:val="0000FF"/>
                    </w:rPr>
                    <w:t>°</w:t>
                  </w:r>
                  <w:r>
                    <w:rPr>
                      <w:rFonts w:ascii="仿宋_GB2312" w:hAnsi="仿宋_GB2312" w:cs="仿宋_GB2312" w:eastAsia="仿宋_GB2312"/>
                      <w:sz w:val="24"/>
                      <w:color w:val="0000FF"/>
                    </w:rPr>
                    <w:t>范围内</w:t>
                  </w:r>
                  <w:r>
                    <w:rPr>
                      <w:rFonts w:ascii="仿宋_GB2312" w:hAnsi="仿宋_GB2312" w:cs="仿宋_GB2312" w:eastAsia="仿宋_GB2312"/>
                      <w:sz w:val="24"/>
                      <w:color w:val="0000FF"/>
                    </w:rPr>
                    <w:t>，</w:t>
                  </w:r>
                  <w:r>
                    <w:rPr>
                      <w:rFonts w:ascii="仿宋_GB2312" w:hAnsi="仿宋_GB2312" w:cs="仿宋_GB2312" w:eastAsia="仿宋_GB2312"/>
                      <w:sz w:val="24"/>
                      <w:color w:val="0000FF"/>
                    </w:rPr>
                    <w:t>垂直方向：</w:t>
                  </w:r>
                  <w:r>
                    <w:rPr>
                      <w:rFonts w:ascii="仿宋_GB2312" w:hAnsi="仿宋_GB2312" w:cs="仿宋_GB2312" w:eastAsia="仿宋_GB2312"/>
                      <w:sz w:val="24"/>
                      <w:color w:val="0000FF"/>
                    </w:rPr>
                    <w:t>24</w:t>
                  </w:r>
                  <w:r>
                    <w:rPr>
                      <w:rFonts w:ascii="仿宋_GB2312" w:hAnsi="仿宋_GB2312" w:cs="仿宋_GB2312" w:eastAsia="仿宋_GB2312"/>
                      <w:sz w:val="24"/>
                      <w:color w:val="0000FF"/>
                    </w:rPr>
                    <w:t>°</w:t>
                  </w:r>
                  <w:r>
                    <w:rPr>
                      <w:rFonts w:ascii="仿宋_GB2312" w:hAnsi="仿宋_GB2312" w:cs="仿宋_GB2312" w:eastAsia="仿宋_GB2312"/>
                      <w:sz w:val="24"/>
                      <w:color w:val="0000FF"/>
                    </w:rPr>
                    <w:t>-33</w:t>
                  </w:r>
                  <w:r>
                    <w:rPr>
                      <w:rFonts w:ascii="仿宋_GB2312" w:hAnsi="仿宋_GB2312" w:cs="仿宋_GB2312" w:eastAsia="仿宋_GB2312"/>
                      <w:sz w:val="24"/>
                      <w:color w:val="0000FF"/>
                    </w:rPr>
                    <w:t>°</w:t>
                  </w:r>
                  <w:r>
                    <w:rPr>
                      <w:rFonts w:ascii="仿宋_GB2312" w:hAnsi="仿宋_GB2312" w:cs="仿宋_GB2312" w:eastAsia="仿宋_GB2312"/>
                      <w:sz w:val="24"/>
                      <w:color w:val="0000FF"/>
                    </w:rPr>
                    <w:t>范围内</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5.1.6</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工作波段</w:t>
                  </w:r>
                  <w:r>
                    <w:rPr>
                      <w:rFonts w:ascii="仿宋_GB2312" w:hAnsi="仿宋_GB2312" w:cs="仿宋_GB2312" w:eastAsia="仿宋_GB2312"/>
                      <w:sz w:val="24"/>
                      <w:color w:val="0000FF"/>
                    </w:rPr>
                    <w:t>8-14μm；</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5.1.7</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帧频：</w:t>
                  </w:r>
                  <w:r>
                    <w:rPr>
                      <w:rFonts w:ascii="仿宋_GB2312" w:hAnsi="仿宋_GB2312" w:cs="仿宋_GB2312" w:eastAsia="仿宋_GB2312"/>
                      <w:sz w:val="24"/>
                      <w:color w:val="0000FF"/>
                    </w:rPr>
                    <w:t>≥30帧/秒；</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5.1.8</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温度分辨率</w:t>
                  </w:r>
                  <w:r>
                    <w:rPr>
                      <w:rFonts w:ascii="仿宋_GB2312" w:hAnsi="仿宋_GB2312" w:cs="仿宋_GB2312" w:eastAsia="仿宋_GB2312"/>
                      <w:sz w:val="24"/>
                      <w:color w:val="0000FF"/>
                    </w:rPr>
                    <w:t>NETD≤0.05℃；</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5.1.9</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工作</w:t>
                  </w:r>
                  <w:r>
                    <w:rPr>
                      <w:rFonts w:ascii="仿宋_GB2312" w:hAnsi="仿宋_GB2312" w:cs="仿宋_GB2312" w:eastAsia="仿宋_GB2312"/>
                      <w:sz w:val="24"/>
                      <w:color w:val="0000FF"/>
                    </w:rPr>
                    <w:t>距离</w:t>
                  </w:r>
                  <w:r>
                    <w:rPr>
                      <w:rFonts w:ascii="仿宋_GB2312" w:hAnsi="仿宋_GB2312" w:cs="仿宋_GB2312" w:eastAsia="仿宋_GB2312"/>
                      <w:sz w:val="24"/>
                      <w:color w:val="0000FF"/>
                    </w:rPr>
                    <w:t>：</w:t>
                  </w:r>
                  <w:r>
                    <w:rPr>
                      <w:rFonts w:ascii="仿宋_GB2312" w:hAnsi="仿宋_GB2312" w:cs="仿宋_GB2312" w:eastAsia="仿宋_GB2312"/>
                      <w:sz w:val="24"/>
                      <w:color w:val="0000FF"/>
                    </w:rPr>
                    <w:t>至少覆盖</w:t>
                  </w:r>
                  <w:r>
                    <w:rPr>
                      <w:rFonts w:ascii="仿宋_GB2312" w:hAnsi="仿宋_GB2312" w:cs="仿宋_GB2312" w:eastAsia="仿宋_GB2312"/>
                      <w:sz w:val="24"/>
                      <w:color w:val="0000FF"/>
                    </w:rPr>
                    <w:t>0.5m-5m;</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5.1.10</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预热时间：预热至测温时间</w:t>
                  </w:r>
                  <w:r>
                    <w:rPr>
                      <w:rFonts w:ascii="仿宋_GB2312" w:hAnsi="仿宋_GB2312" w:cs="仿宋_GB2312" w:eastAsia="仿宋_GB2312"/>
                      <w:sz w:val="24"/>
                      <w:color w:val="0000FF"/>
                    </w:rPr>
                    <w:t>≤3min，图像生成时间应≤30s；</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测温准确度：</w:t>
                  </w:r>
                  <w:r>
                    <w:rPr>
                      <w:rFonts w:ascii="仿宋_GB2312" w:hAnsi="仿宋_GB2312" w:cs="仿宋_GB2312" w:eastAsia="仿宋_GB2312"/>
                      <w:sz w:val="24"/>
                      <w:color w:val="0000FF"/>
                    </w:rPr>
                    <w:t>≤0.</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测温重复性：</w:t>
                  </w:r>
                  <w:r>
                    <w:rPr>
                      <w:rFonts w:ascii="仿宋_GB2312" w:hAnsi="仿宋_GB2312" w:cs="仿宋_GB2312" w:eastAsia="仿宋_GB2312"/>
                      <w:sz w:val="24"/>
                      <w:color w:val="0000FF"/>
                    </w:rPr>
                    <w:t>δ</w:t>
                  </w:r>
                  <w:r>
                    <w:rPr>
                      <w:rFonts w:ascii="仿宋_GB2312" w:hAnsi="仿宋_GB2312" w:cs="仿宋_GB2312" w:eastAsia="仿宋_GB2312"/>
                      <w:sz w:val="24"/>
                      <w:color w:val="0000FF"/>
                    </w:rPr>
                    <w:t>≤0.</w:t>
                  </w: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5.1.13</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调焦方式：电动调焦</w:t>
                  </w:r>
                  <w:r>
                    <w:rPr>
                      <w:rFonts w:ascii="仿宋_GB2312" w:hAnsi="仿宋_GB2312" w:cs="仿宋_GB2312" w:eastAsia="仿宋_GB2312"/>
                      <w:sz w:val="24"/>
                      <w:color w:val="0000FF"/>
                    </w:rPr>
                    <w:t>功能；</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5.1.14</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摄像头安装后可作仰俯、左右摆动，任意工作位置均能可靠锁止，左右摆动夹角</w:t>
                  </w:r>
                  <w:r>
                    <w:rPr>
                      <w:rFonts w:ascii="仿宋_GB2312" w:hAnsi="仿宋_GB2312" w:cs="仿宋_GB2312" w:eastAsia="仿宋_GB2312"/>
                      <w:sz w:val="24"/>
                      <w:color w:val="0000FF"/>
                    </w:rPr>
                    <w:t>30-35</w:t>
                  </w:r>
                  <w:r>
                    <w:rPr>
                      <w:rFonts w:ascii="仿宋_GB2312" w:hAnsi="仿宋_GB2312" w:cs="仿宋_GB2312" w:eastAsia="仿宋_GB2312"/>
                      <w:sz w:val="24"/>
                      <w:color w:val="0000FF"/>
                    </w:rPr>
                    <w:t>°</w:t>
                  </w:r>
                  <w:r>
                    <w:rPr>
                      <w:rFonts w:ascii="仿宋_GB2312" w:hAnsi="仿宋_GB2312" w:cs="仿宋_GB2312" w:eastAsia="仿宋_GB2312"/>
                      <w:sz w:val="24"/>
                      <w:color w:val="0000FF"/>
                    </w:rPr>
                    <w:t>范围内，上下摆动夹角</w:t>
                  </w:r>
                  <w:r>
                    <w:rPr>
                      <w:rFonts w:ascii="仿宋_GB2312" w:hAnsi="仿宋_GB2312" w:cs="仿宋_GB2312" w:eastAsia="仿宋_GB2312"/>
                      <w:sz w:val="24"/>
                      <w:color w:val="0000FF"/>
                    </w:rPr>
                    <w:t>65-70</w:t>
                  </w:r>
                  <w:r>
                    <w:rPr>
                      <w:rFonts w:ascii="仿宋_GB2312" w:hAnsi="仿宋_GB2312" w:cs="仿宋_GB2312" w:eastAsia="仿宋_GB2312"/>
                      <w:sz w:val="24"/>
                      <w:color w:val="0000FF"/>
                    </w:rPr>
                    <w:t>°</w:t>
                  </w:r>
                  <w:r>
                    <w:rPr>
                      <w:rFonts w:ascii="仿宋_GB2312" w:hAnsi="仿宋_GB2312" w:cs="仿宋_GB2312" w:eastAsia="仿宋_GB2312"/>
                      <w:sz w:val="24"/>
                      <w:color w:val="0000FF"/>
                    </w:rPr>
                    <w:t>范围内</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5.1.15</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配备</w:t>
                  </w:r>
                  <w:r>
                    <w:rPr>
                      <w:rFonts w:ascii="仿宋_GB2312" w:hAnsi="仿宋_GB2312" w:cs="仿宋_GB2312" w:eastAsia="仿宋_GB2312"/>
                      <w:sz w:val="24"/>
                      <w:color w:val="0000FF"/>
                    </w:rPr>
                    <w:t>1块≥</w:t>
                  </w:r>
                  <w:r>
                    <w:rPr>
                      <w:rFonts w:ascii="仿宋_GB2312" w:hAnsi="仿宋_GB2312" w:cs="仿宋_GB2312" w:eastAsia="仿宋_GB2312"/>
                      <w:sz w:val="24"/>
                      <w:color w:val="0000FF"/>
                    </w:rPr>
                    <w:t>12.5</w:t>
                  </w:r>
                  <w:r>
                    <w:rPr>
                      <w:rFonts w:ascii="仿宋_GB2312" w:hAnsi="仿宋_GB2312" w:cs="仿宋_GB2312" w:eastAsia="仿宋_GB2312"/>
                      <w:sz w:val="24"/>
                      <w:color w:val="0000FF"/>
                    </w:rPr>
                    <w:t>英寸液晶显示屏，显示屏在拍摄红外图像时具备动画语音指示功能，指导拍摄动作，</w:t>
                  </w:r>
                  <w:r>
                    <w:rPr>
                      <w:rFonts w:ascii="仿宋_GB2312" w:hAnsi="仿宋_GB2312" w:cs="仿宋_GB2312" w:eastAsia="仿宋_GB2312"/>
                      <w:sz w:val="24"/>
                      <w:color w:val="0000FF"/>
                    </w:rPr>
                    <w:t>显示拍摄界面；</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5.1.16</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智能化操作台，全数字式控制，医学操作平台集成电脑、显示器、操控系统、扫描系统、评估系统；</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5.1.17</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打印机：</w:t>
                  </w:r>
                  <w:r>
                    <w:rPr>
                      <w:rFonts w:ascii="仿宋_GB2312" w:hAnsi="仿宋_GB2312" w:cs="仿宋_GB2312" w:eastAsia="仿宋_GB2312"/>
                      <w:sz w:val="24"/>
                      <w:color w:val="0000FF"/>
                    </w:rPr>
                    <w:t>配置</w:t>
                  </w:r>
                  <w:r>
                    <w:rPr>
                      <w:rFonts w:ascii="仿宋_GB2312" w:hAnsi="仿宋_GB2312" w:cs="仿宋_GB2312" w:eastAsia="仿宋_GB2312"/>
                      <w:sz w:val="24"/>
                      <w:color w:val="0000FF"/>
                    </w:rPr>
                    <w:t>彩色打印机</w:t>
                  </w:r>
                  <w:r>
                    <w:rPr>
                      <w:rFonts w:ascii="仿宋_GB2312" w:hAnsi="仿宋_GB2312" w:cs="仿宋_GB2312" w:eastAsia="仿宋_GB2312"/>
                      <w:sz w:val="24"/>
                      <w:color w:val="0000FF"/>
                    </w:rPr>
                    <w:t>1台</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5.2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软件系统</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配备医用红外热像仪专业软件系统，具有图像采集、温度测量、图像分析、图像管理、病案资料管理、图文报告等功能；</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温度测量功能：对热图的任意点测量温，可对图像矩形、圆、多边形区域测量温度的平均值、最高值、最低值</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5.2.3</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图像处理与显示：具有多图显示功能，可选不同图像显示色标，可选色标</w:t>
                  </w:r>
                  <w:r>
                    <w:rPr>
                      <w:rFonts w:ascii="仿宋_GB2312" w:hAnsi="仿宋_GB2312" w:cs="仿宋_GB2312" w:eastAsia="仿宋_GB2312"/>
                      <w:sz w:val="24"/>
                      <w:color w:val="0000FF"/>
                    </w:rPr>
                    <w:t>≥15种，并具备图像背景剔除功能，可显示无背景图像；</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5.2.4</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图像分析功能：图像可显示网格线</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16*16)，具备垂直对称轴显示，选定测量区域可自动镜像到对侧位置；</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5.2.5</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图像调节功能：可设置步长调节窗位最大变化值，具备连续调节窗位值，层析显示对比色彩，最小调节窗位步进</w:t>
                  </w:r>
                  <w:r>
                    <w:rPr>
                      <w:rFonts w:ascii="仿宋_GB2312" w:hAnsi="仿宋_GB2312" w:cs="仿宋_GB2312" w:eastAsia="仿宋_GB2312"/>
                      <w:sz w:val="24"/>
                      <w:color w:val="0000FF"/>
                    </w:rPr>
                    <w:t>≤</w:t>
                  </w:r>
                  <w:r>
                    <w:rPr>
                      <w:rFonts w:ascii="仿宋_GB2312" w:hAnsi="仿宋_GB2312" w:cs="仿宋_GB2312" w:eastAsia="仿宋_GB2312"/>
                      <w:sz w:val="24"/>
                      <w:color w:val="0000FF"/>
                    </w:rPr>
                    <w:t>0.01</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5.2.6</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图文报告系统：报告中可显示测量区域的平均温度值</w:t>
                  </w:r>
                  <w:r>
                    <w:rPr>
                      <w:rFonts w:ascii="仿宋_GB2312" w:hAnsi="仿宋_GB2312" w:cs="仿宋_GB2312" w:eastAsia="仿宋_GB2312"/>
                      <w:sz w:val="24"/>
                      <w:color w:val="0000FF"/>
                    </w:rPr>
                    <w:t>AAT、平均温差值ART、最高值温度值HAT、最高温差值HRT、最低温度值LAT、最低温差值LRT，报告中包括病案印象（评估提示、综合建议）并可查询和打开前面生成的报告。</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六、设备安装</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供货方在接到用户设备到货通知后三天内，指派工程师到用户现场开箱、验货及安装调试，设备由供货方负责运至机房、在验收合格之前出现的损坏以及丢失均由供货方负责。</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6.2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设备的安装调试：安装调试应在开箱验货之后及时进行，在规定的工作日内完成对所有设备的安装和调试并达到试运行状态，安装调试时间不超过两个周，在此期间内所发生的费用由供货方承担。</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合同签订之日起，接采购人通知后30日内完成交付、安装及调试。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设备安装调试到位，验收合格后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终验合格两年后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1.供货方应按规定的技术要求提供产品，必须与装箱单一致，产品必须按相应国家标准及有关政府部门的规定，规范的完成制作和安装工作。达到国家标准及有关政府部门和用户的规定。 2.安装完成后由用户及供货方联合验收。设备各项技术指标必须完全达到供货方投标时提供的技术指标以及设备的产品标准，完全达到对患者和医师的安全防护要求后，方可验收合格。3.验收依据： 3.1合同文本及合同补充文件（条款）； 3.2产品的合法来源渠道证明文件、功能证明材料； 3.3招标文件； 3.4中标人的投标文件； 3.5货物清单；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及售后服务：1.自验收合格之日起，整机包含所有附件质保期不少于24个月。供货方在质保期内应定期提供预防性保养服务，每年4次以上，质保期内所有更换零部件和人员费用等全部由供货方负责。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4.质保期内供货方应快捷、无偿的提供技术服务和维修。如因设备质量问题及本身缺陷导致的各种不良后果或给用户造成的所有损失，全部由供货方负责承担，用户依据法律有保留进一步提出索赔的权力。 5.维修响应时间：在接到故障报告后响应时间2小时，24小时内到达现场，（除春节、五一劳动节、国庆节三个法定节日以外的日子）。质保期外必须先维修设备，待设备运转正常后90日内付维修及配件款。6.维修点：国内有固定维修点，提供详细地址及联系电话。 7.供货方应提供设备完整的使用手册，操作说明书、软件等服务类资料，供货清单，产地证明等相关资料。 8.技术培训要求：供货方应免费提供现场操作使用培训，保证操作人员能熟练掌握设备操作使用。供货方免费提供软件升级及升级后的使用培训。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3.4商务要求”全部内容均为实质性要求，不得负偏离。2..供应商领取成交通知书时，需向采购代理机构提供纸质投标文件（与在线提交的电子投标文件一致，签字盖章完整），正本壹份、副本贰份（正本须为红章，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供应商需在项目电子化交易系统中按要求上传相应证明文件并进行电子签章。本项与特殊资格条件“财务状况报告”为同一审查内容。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供应商需在项目电子化交易系统中按要求填写《投标函》完成承诺并进行电子签章。本项与特殊资格条件“控股关系查询”为同一审查内容。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提供供应商医疗器械经营许可证或医疗器械经营备案证；提供产品生产厂家的医疗器械生产许可证或医疗器械生产备案证；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投标产品属于医疗器械管理的提供医疗器械注册证或医疗器械备案凭证，如国家规定免注册产品提供相关证明文件；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投标保证金交纳凭证或担保函（投标保证交纳金凭证为银行凭证及基本账户证明资料，担保函为财政部门认可的政府采购信用担保机构出具）；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承诺书.docx 分项报价.docx 响应偏离表.docx 选配件报价表.docx 投标函 残疾人福利性单位声明函 拒绝政府采购领域商业贿赂承诺书.docx 标的清单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分项报价.docx 配套耗材报价表.docx 响应偏离表.docx 资格证明文件.docx 选配件报价表.docx 投标函 残疾人福利性单位声明函 拒绝政府采购领域商业贿赂承诺书.docx 标的清单 投标文件封面 法定代表人授权委托书.docx 节能环保环境标志产品表.docx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 分项报价.docx 配套耗材报价表.docx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技术指标及配置佐证材料.docx 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投标文件对交货期、质保期、付款方式、验收等商务要求进行详细说明。质保期优于最多的加1分，其余不加分。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完全满足或优于招标文件技术要求的计30分；技术指标每有一条负偏离扣2分,基本分扣完为止。 注：技术参数中要求提供佐证材料的须按要求提供，佐证材料包括但不限于产品检测报告、彩页、官网截图、技术白皮书等。未按要求提供的，自行承担未提供佐证材料导致的技术参数被视为负偏离的风险。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技术指标及配置佐证材料.docx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提供供应商针对本项目的项目实施方案，包括但不限于：备货、供货进度及保证措施；拟投入本项目的人员安排及责任制度；安装、检测、调试措施；安全保障措施；应急处理措施。 评审标准： ①内容详细全面、架构完整、层次清楚、完善可行的计8分； ②实施方案内容包含全面，但未针对各项内容进行详细描述的计6分； ③实施方案内容描述宽泛，无重点，无措施，计4分； ④针对以上方案要求，有1项欠缺计2分； ⑤有2项及以上重大缺项或内容逻辑混乱、有常识性错误等情况的计1分； ⑥未提供相关内容的不计分。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 渠道</w:t>
            </w:r>
          </w:p>
        </w:tc>
        <w:tc>
          <w:tcPr>
            <w:tcW w:type="dxa" w:w="2492"/>
          </w:tcPr>
          <w:p>
            <w:pPr>
              <w:pStyle w:val="null3"/>
            </w:pPr>
            <w:r>
              <w:rPr>
                <w:rFonts w:ascii="仿宋_GB2312" w:hAnsi="仿宋_GB2312" w:cs="仿宋_GB2312" w:eastAsia="仿宋_GB2312"/>
              </w:rPr>
              <w:t>能提供所投全部产品的合法来源渠道证明文件（包括但不限于产品制造商授权、销售协议、代理协议、原厂授权等）的计2分，不提供或提供产品不全的均不计分。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针对本项目的质量保证方案，包括但不限于：有可靠、完善的质量管理制度；有足够的设计、检验能力；所投产品符合相关标准，有具体可行的质量保证承诺及措施。 评审标准： ①内容详细全面、完整、层次清楚、完善可行的计6分； ②内容包含全面，但未针对各项内容进行详细描述的计4分； ③针对以上方案要求，有1项欠缺的计2分； ④有2项欠缺或内容逻辑混乱、有常识性错误等情况的计1分； ⑤未提供相关内容的不计分。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提供供应商针对本项目的履约能力方案，包括但不限于：履约能力承诺；资金筹措；仓储设施；运输工具；人员素质；管理水平等。 评审标准： ①内容详细全面、完整、层次清楚、完善可行的计6分； ②内容包含全面，但未针对各项内容进行详细描述的计4分； ③针对以上方案要求，有1项欠缺的计3分； ④有2项欠缺的计2分； ⑤有3项及以上欠缺或内容逻辑混乱、有常识性错误等情况的计1分； ⑥未提供相关内容的不计分。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以合同形式提供投标人2023年1月至今同类项目业绩，每份计1分，计满3分为止。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提供针对本项目的售后服务方案，包括但不限于：售后服务网点的设定；拟投入售后服务人员配置情况；日常维护及巡检方案；项目交付用户后出现故障响应时间及措施等。 评审标准： ①内容详细全面、完整、完善可行的计8分； ②内容包含全面，但未针对各项内容进行详细描述的计6分； ③内容描述宽泛，无重点，无具体措施或响应时间不及时的计4分； ④针对以上要求，有1项欠缺的计2分； ⑤有2项及以上欠缺或内容逻辑混乱、有常识性错误等情况的计1分； ⑥未提供相关内容的不计分。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制定针对性培训方案，能使操作人员熟练掌握本项目产品，内容包含但不限于：培训目标；培训内容；培训方式；培训计划；培训人员；培训地点等。 评审标准： ①内容详细全面、层次清楚、完善可行的计5分； ②内容包含全面，但未针对各项内容进行详细描述的计4分； ③针对以上方案要求，有1项欠缺计3分； ④针对以上方案要求，有2项欠缺或内容逻辑混乱、有常识性错误等情况的计1分； ⑤未提供本项内容的不计分。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详见附件：技术指标及配置佐证材料.docx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详见附件：配套耗材报价表.docx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