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版本号：SXZH202600220260130001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山阳县银花河中村断面（县控）自动监测站建设项目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SXZH2026002</w:t>
      </w:r>
      <w:r>
        <w:br/>
      </w:r>
      <w:r>
        <w:br/>
      </w:r>
      <w:r>
        <w:br/>
      </w:r>
    </w:p>
    <w:p>
      <w:pPr>
        <w:pStyle w:val="null3"/>
        <w:jc w:val="center"/>
        <w:outlineLvl w:val="2"/>
      </w:pPr>
      <w:r>
        <w:rPr>
          <w:rFonts w:ascii="仿宋_GB2312" w:hAnsi="仿宋_GB2312" w:cs="仿宋_GB2312" w:eastAsia="仿宋_GB2312"/>
          <w:sz w:val="28"/>
          <w:b/>
        </w:rPr>
        <w:t>商洛市生态环境局山阳县分局</w:t>
      </w:r>
    </w:p>
    <w:p>
      <w:pPr>
        <w:pStyle w:val="null3"/>
        <w:jc w:val="center"/>
        <w:outlineLvl w:val="2"/>
      </w:pPr>
      <w:r>
        <w:rPr>
          <w:rFonts w:ascii="仿宋_GB2312" w:hAnsi="仿宋_GB2312" w:cs="仿宋_GB2312" w:eastAsia="仿宋_GB2312"/>
          <w:sz w:val="28"/>
          <w:b/>
        </w:rPr>
        <w:t>陕西中辉项目管理有限公司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陕西中辉项目管理有限公司</w:t>
      </w:r>
      <w:r>
        <w:rPr>
          <w:rFonts w:ascii="仿宋_GB2312" w:hAnsi="仿宋_GB2312" w:cs="仿宋_GB2312" w:eastAsia="仿宋_GB2312"/>
        </w:rPr>
        <w:t>（以下简称“代理机构”）受</w:t>
      </w:r>
      <w:r>
        <w:rPr>
          <w:rFonts w:ascii="仿宋_GB2312" w:hAnsi="仿宋_GB2312" w:cs="仿宋_GB2312" w:eastAsia="仿宋_GB2312"/>
        </w:rPr>
        <w:t>商洛市生态环境局山阳县分局</w:t>
      </w:r>
      <w:r>
        <w:rPr>
          <w:rFonts w:ascii="仿宋_GB2312" w:hAnsi="仿宋_GB2312" w:cs="仿宋_GB2312" w:eastAsia="仿宋_GB2312"/>
        </w:rPr>
        <w:t>委托，拟对</w:t>
      </w:r>
      <w:r>
        <w:rPr>
          <w:rFonts w:ascii="仿宋_GB2312" w:hAnsi="仿宋_GB2312" w:cs="仿宋_GB2312" w:eastAsia="仿宋_GB2312"/>
        </w:rPr>
        <w:t>山阳县银花河中村断面（县控）自动监测站建设项目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山阳县银花河中村断面（县控）自动监测站建设项目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成山阳县银花河中村水质自动监测站（包括水质在线分析仪、采水单元、显示控制系统、户外一体式泵房、基础地基及其他辅助设施建设，三年运行维护），并与商洛市环境监测站联网，确保能够实时监测监控银花河中村断面水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采购包1（山阳县银花河中村断面(县控)自动监测站建设项目）：属于专门面向小微企业采购。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1、具有独立承担民事责任能力的法人、其他组织或自然人：投标人 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2、财务状况报告：投标人提供2024年的财务审计报告（成立时间至投标截止时间不足一年的可提供成立后任意时段的资产负债表），或其开标前三个月内基本开户银行出具的资信证明及基本存款账户信息。</w:t>
      </w:r>
    </w:p>
    <w:p>
      <w:pPr>
        <w:pStyle w:val="null3"/>
      </w:pPr>
      <w:r>
        <w:rPr>
          <w:rFonts w:ascii="仿宋_GB2312" w:hAnsi="仿宋_GB2312" w:cs="仿宋_GB2312" w:eastAsia="仿宋_GB2312"/>
        </w:rPr>
        <w:t>3、税收缴纳证明：投标人提供投标截止日前半年内已缴纳任意1个月的纳税证明或完税证明（任意税种），依法免税的单位应提供相关的证明材料</w:t>
      </w:r>
    </w:p>
    <w:p>
      <w:pPr>
        <w:pStyle w:val="null3"/>
      </w:pPr>
      <w:r>
        <w:rPr>
          <w:rFonts w:ascii="仿宋_GB2312" w:hAnsi="仿宋_GB2312" w:cs="仿宋_GB2312" w:eastAsia="仿宋_GB2312"/>
        </w:rPr>
        <w:t>4、社会保障资金缴纳证明：投标人提供投标截止日前半年内已缴存的任意1个月的社会保障资金缴存单据或社保机构开具的社会保险参保缴费情况证明；依法不需要缴纳社会保障资金的单位应提供相关证明材料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6、履行本合同所必需的设备和专业技术能力：提供具有履行合同所必需的设备和专业技术能力的承诺函</w:t>
      </w:r>
    </w:p>
    <w:p>
      <w:pPr>
        <w:pStyle w:val="null3"/>
      </w:pPr>
      <w:r>
        <w:rPr>
          <w:rFonts w:ascii="仿宋_GB2312" w:hAnsi="仿宋_GB2312" w:cs="仿宋_GB2312" w:eastAsia="仿宋_GB2312"/>
        </w:rPr>
        <w:t>7、信誉要求：投标人未被列入“信用中国”网站记录的“失信被执行人”“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8、投标保证金缴纳证明：须提供投标保证金转款凭证或担保机构出具的保函</w:t>
      </w:r>
    </w:p>
    <w:p>
      <w:pPr>
        <w:pStyle w:val="null3"/>
      </w:pPr>
      <w:r>
        <w:rPr>
          <w:rFonts w:ascii="仿宋_GB2312" w:hAnsi="仿宋_GB2312" w:cs="仿宋_GB2312" w:eastAsia="仿宋_GB2312"/>
        </w:rPr>
        <w:t>9、授权书：法定代表人授权书及被授权人身份证明。（法定代表人直接参与投标只须提供其身份证明）</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商洛市生态环境局山阳县分局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商洛市山阳县城关街办环城路东段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商洛市生态环境局山阳县分局经办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18091477850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商洛市商州区商郡城4号楼1单元602室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杨弘熙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0914-2317369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开户名称：陕西中辉项目管理有限公司</w:t>
            </w:r>
          </w:p>
          <w:p>
            <w:pPr>
              <w:pStyle w:val="null3"/>
            </w:pPr>
            <w:r>
              <w:rPr>
                <w:rFonts w:ascii="仿宋_GB2312" w:hAnsi="仿宋_GB2312" w:cs="仿宋_GB2312" w:eastAsia="仿宋_GB2312"/>
              </w:rPr>
              <w:t>开户银行：西安银行股份有限公司商洛分行</w:t>
            </w:r>
          </w:p>
          <w:p>
            <w:pPr>
              <w:pStyle w:val="null3"/>
            </w:pPr>
            <w:r>
              <w:rPr>
                <w:rFonts w:ascii="仿宋_GB2312" w:hAnsi="仿宋_GB2312" w:cs="仿宋_GB2312" w:eastAsia="仿宋_GB2312"/>
              </w:rPr>
              <w:t>银行账号：751011580000007515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国家发展和改革委员会办公厅关于招标代理服务收费有关问题的通知》（发改办价格〔2003〕857号）的规定标准执行，按差额定率累进法收取费用。2.支付方式：支付方式：中标单位应在领取通知书前，向陕西中辉项目管理有限公司交纳本项目代理服务费。 缴纳方式：银行转账 3、代理服务费缴纳账号如下： 单位名称：陕西中辉项目管理有限公司 账号：72170078801400000873 开户银行：上海浦东发展股份有限公司西安北大街支行 银行支付行号：310791000168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商洛市生态环境局山阳县分局</w:t>
      </w:r>
      <w:r>
        <w:rPr>
          <w:rFonts w:ascii="仿宋_GB2312" w:hAnsi="仿宋_GB2312" w:cs="仿宋_GB2312" w:eastAsia="仿宋_GB2312"/>
        </w:rPr>
        <w:t>和</w:t>
      </w:r>
      <w:r>
        <w:rPr>
          <w:rFonts w:ascii="仿宋_GB2312" w:hAnsi="仿宋_GB2312" w:cs="仿宋_GB2312" w:eastAsia="仿宋_GB2312"/>
        </w:rPr>
        <w:t>陕西中辉项目管理有限公司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商洛市生态环境局山阳县分局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商洛市生态环境局山阳县分局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严格按招标文件和合同约定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联系人：杨弘熙</w:t>
      </w:r>
    </w:p>
    <w:p>
      <w:pPr>
        <w:pStyle w:val="null3"/>
      </w:pPr>
      <w:r>
        <w:rPr>
          <w:rFonts w:ascii="仿宋_GB2312" w:hAnsi="仿宋_GB2312" w:cs="仿宋_GB2312" w:eastAsia="仿宋_GB2312"/>
        </w:rPr>
        <w:t>联系电话：0914-2317369</w:t>
      </w:r>
    </w:p>
    <w:p>
      <w:pPr>
        <w:pStyle w:val="null3"/>
      </w:pPr>
      <w:r>
        <w:rPr>
          <w:rFonts w:ascii="仿宋_GB2312" w:hAnsi="仿宋_GB2312" w:cs="仿宋_GB2312" w:eastAsia="仿宋_GB2312"/>
        </w:rPr>
        <w:t>地址：商洛市商州区商郡城4号楼1单元602室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成山阳县银花河中村水质自动监测站（包括水质在线分析仪、采水单元、显示控制系统、户外一体式泵房、基础地基及其他辅助设施建设，三年运行维护），并与商洛市环境监测站联网，确保能够实时监测监控银花河中村断面水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山阳县银花河中村断面水质自动监测站相关设备基建和三年运行维护服务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标的名称：山阳县银花河中村断面水质自动监测站相关设备基建和三年运行维护服务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spacing w:before="120" w:after="120"/>
            </w:pPr>
            <w:r>
              <w:rPr>
                <w:rFonts w:ascii="仿宋_GB2312" w:hAnsi="仿宋_GB2312" w:cs="仿宋_GB2312" w:eastAsia="仿宋_GB2312"/>
                <w:sz w:val="44"/>
                <w:b/>
                <w:color w:val="000000"/>
              </w:rPr>
              <w:t>货物需求一览表</w:t>
            </w:r>
          </w:p>
          <w:tbl>
            <w:tblPr>
              <w:tblBorders>
                <w:top w:val="none" w:color="000000" w:sz="4"/>
                <w:left w:val="none" w:color="000000" w:sz="4"/>
                <w:bottom w:val="none" w:color="000000" w:sz="4"/>
                <w:right w:val="none" w:color="000000" w:sz="4"/>
                <w:insideH w:val="none"/>
                <w:insideV w:val="none"/>
              </w:tblBorders>
            </w:tblPr>
            <w:tblGrid>
              <w:gridCol w:w="373"/>
              <w:gridCol w:w="386"/>
              <w:gridCol w:w="737"/>
              <w:gridCol w:w="418"/>
              <w:gridCol w:w="386"/>
              <w:gridCol w:w="236"/>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12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货物名称</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预算</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水质水量在线监测系统</w:t>
                  </w: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分析单元</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PH/温度在线分析仪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溶解氧在线分析仪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电导率在线分析仪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浊度在线分析仪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余氯在线分析仪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总镉在线分析仪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溶解氧在线分析仪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高锰酸盐指数在线分析仪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氨氮在线分析仪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总氮在线分析仪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73"/>
                  <w:vMerge/>
                  <w:tcBorders>
                    <w:top w:val="non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总磷在线分析仪</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73"/>
                  <w:vMerge/>
                  <w:tcBorders>
                    <w:top w:val="none" w:color="000000" w:sz="4"/>
                    <w:left w:val="single" w:color="000000" w:sz="4"/>
                    <w:bottom w:val="single" w:color="000000" w:sz="4"/>
                    <w:right w:val="single" w:color="000000" w:sz="4"/>
                  </w:tcBorders>
                </w:tcPr>
                <w:p/>
              </w:tc>
              <w:tc>
                <w:tcPr>
                  <w:tcW w:type="dxa" w:w="11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一体化站房</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11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采水单元</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11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配水及预处理单元</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11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控制与传输单元</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3"/>
                  <w:vMerge/>
                  <w:tcBorders>
                    <w:top w:val="none" w:color="000000" w:sz="4"/>
                    <w:left w:val="single" w:color="000000" w:sz="4"/>
                    <w:bottom w:val="single" w:color="000000" w:sz="4"/>
                    <w:right w:val="single" w:color="000000" w:sz="4"/>
                  </w:tcBorders>
                </w:tcPr>
                <w:p/>
              </w:tc>
              <w:tc>
                <w:tcPr>
                  <w:tcW w:type="dxa" w:w="11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辅助单元（包括空调、</w:t>
                  </w:r>
                  <w:r>
                    <w:rPr>
                      <w:rFonts w:ascii="仿宋_GB2312" w:hAnsi="仿宋_GB2312" w:cs="仿宋_GB2312" w:eastAsia="仿宋_GB2312"/>
                      <w:sz w:val="22"/>
                      <w:color w:val="000000"/>
                    </w:rPr>
                    <w:t>UPS电源、稳压电源、防雷、烟感消防、视频监控等）</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b/>
                <w:color w:val="000000"/>
              </w:rPr>
              <w:t xml:space="preserve">  1.供电要求</w:t>
            </w:r>
          </w:p>
          <w:p>
            <w:pPr>
              <w:pStyle w:val="null3"/>
              <w:spacing w:after="165"/>
              <w:ind w:firstLine="420"/>
            </w:pPr>
            <w:r>
              <w:rPr>
                <w:rFonts w:ascii="仿宋_GB2312" w:hAnsi="仿宋_GB2312" w:cs="仿宋_GB2312" w:eastAsia="仿宋_GB2312"/>
                <w:sz w:val="24"/>
                <w:color w:val="000000"/>
              </w:rPr>
              <w:t>水站设备的运行电压为：</w:t>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A</w:t>
            </w:r>
            <w:r>
              <w:rPr>
                <w:rFonts w:ascii="仿宋_GB2312" w:hAnsi="仿宋_GB2312" w:cs="仿宋_GB2312" w:eastAsia="仿宋_GB2312"/>
                <w:sz w:val="24"/>
                <w:color w:val="000000"/>
              </w:rPr>
              <w:t>C</w:t>
            </w: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0</w:t>
            </w:r>
            <w:r>
              <w:rPr>
                <w:rFonts w:ascii="仿宋_GB2312" w:hAnsi="仿宋_GB2312" w:cs="仿宋_GB2312" w:eastAsia="仿宋_GB2312"/>
                <w:sz w:val="24"/>
                <w:color w:val="000000"/>
              </w:rPr>
              <w:t>±22</w:t>
            </w:r>
            <w:r>
              <w:rPr>
                <w:rFonts w:ascii="仿宋_GB2312" w:hAnsi="仿宋_GB2312" w:cs="仿宋_GB2312" w:eastAsia="仿宋_GB2312"/>
                <w:sz w:val="24"/>
                <w:color w:val="000000"/>
              </w:rPr>
              <w:t>）</w:t>
            </w:r>
            <w:r>
              <w:rPr>
                <w:rFonts w:ascii="仿宋_GB2312" w:hAnsi="仿宋_GB2312" w:cs="仿宋_GB2312" w:eastAsia="仿宋_GB2312"/>
                <w:sz w:val="24"/>
                <w:color w:val="000000"/>
              </w:rPr>
              <w:t>V ；频率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Hz</w:t>
            </w:r>
            <w:r>
              <w:rPr>
                <w:rFonts w:ascii="仿宋_GB2312" w:hAnsi="仿宋_GB2312" w:cs="仿宋_GB2312" w:eastAsia="仿宋_GB2312"/>
                <w:sz w:val="24"/>
                <w:color w:val="000000"/>
              </w:rPr>
              <w:t>。</w:t>
            </w:r>
          </w:p>
          <w:p>
            <w:pPr>
              <w:pStyle w:val="null3"/>
              <w:spacing w:after="165"/>
              <w:ind w:firstLine="420"/>
            </w:pPr>
            <w:r>
              <w:rPr>
                <w:rFonts w:ascii="仿宋_GB2312" w:hAnsi="仿宋_GB2312" w:cs="仿宋_GB2312" w:eastAsia="仿宋_GB2312"/>
                <w:sz w:val="24"/>
                <w:b/>
                <w:color w:val="000000"/>
              </w:rPr>
              <w:t>2.使用环境要求</w:t>
            </w:r>
          </w:p>
          <w:p>
            <w:pPr>
              <w:pStyle w:val="null3"/>
              <w:spacing w:after="165"/>
              <w:ind w:firstLine="420"/>
            </w:pPr>
            <w:r>
              <w:rPr>
                <w:rFonts w:ascii="仿宋_GB2312" w:hAnsi="仿宋_GB2312" w:cs="仿宋_GB2312" w:eastAsia="仿宋_GB2312"/>
                <w:sz w:val="24"/>
                <w:color w:val="000000"/>
              </w:rPr>
              <w:t>所有设备在温度</w:t>
            </w:r>
            <w:r>
              <w:rPr>
                <w:rFonts w:ascii="仿宋_GB2312" w:hAnsi="仿宋_GB2312" w:cs="仿宋_GB2312" w:eastAsia="仿宋_GB2312"/>
                <w:sz w:val="24"/>
                <w:color w:val="000000"/>
              </w:rPr>
              <w:t>5～45℃、相对湿度小于90%环境下能够正常运行。</w:t>
            </w:r>
          </w:p>
          <w:p>
            <w:pPr>
              <w:pStyle w:val="null3"/>
              <w:spacing w:after="165"/>
              <w:ind w:firstLine="420"/>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试剂供应</w:t>
            </w:r>
          </w:p>
          <w:p>
            <w:pPr>
              <w:pStyle w:val="null3"/>
            </w:pPr>
            <w:r>
              <w:rPr>
                <w:rFonts w:ascii="仿宋_GB2312" w:hAnsi="仿宋_GB2312" w:cs="仿宋_GB2312" w:eastAsia="仿宋_GB2312"/>
                <w:sz w:val="24"/>
                <w:color w:val="000000"/>
              </w:rPr>
              <w:t xml:space="preserve">  需提供仪器试剂配制方法，并提供试剂成分及纯度；</w:t>
            </w:r>
          </w:p>
          <w:p>
            <w:pPr>
              <w:pStyle w:val="null3"/>
            </w:pPr>
            <w:r>
              <w:rPr>
                <w:rFonts w:ascii="仿宋_GB2312" w:hAnsi="仿宋_GB2312" w:cs="仿宋_GB2312" w:eastAsia="仿宋_GB2312"/>
                <w:sz w:val="24"/>
                <w:color w:val="000000"/>
              </w:rPr>
              <w:t xml:space="preserve">  仪器所需试剂贮存于专用试剂瓶中，试剂保质期不低于一周；</w:t>
            </w:r>
          </w:p>
          <w:p>
            <w:pPr>
              <w:pStyle w:val="null3"/>
            </w:pPr>
            <w:r>
              <w:rPr>
                <w:rFonts w:ascii="仿宋_GB2312" w:hAnsi="仿宋_GB2312" w:cs="仿宋_GB2312" w:eastAsia="仿宋_GB2312"/>
                <w:sz w:val="24"/>
                <w:color w:val="000000"/>
              </w:rPr>
              <w:t xml:space="preserve">  仪器使用的实验用水、试剂、标准溶液均须达到《国家地表水环境质量监测网监测任务作业指导书》（试行）（中国环境出版社，</w:t>
            </w:r>
            <w:r>
              <w:rPr>
                <w:rFonts w:ascii="仿宋_GB2312" w:hAnsi="仿宋_GB2312" w:cs="仿宋_GB2312" w:eastAsia="仿宋_GB2312"/>
                <w:sz w:val="24"/>
                <w:color w:val="000000"/>
              </w:rPr>
              <w:t>2017）中质量保证要求。</w:t>
            </w:r>
          </w:p>
          <w:p>
            <w:pPr>
              <w:pStyle w:val="null3"/>
            </w:pPr>
            <w:r>
              <w:rPr>
                <w:rFonts w:ascii="仿宋_GB2312" w:hAnsi="仿宋_GB2312" w:cs="仿宋_GB2312" w:eastAsia="仿宋_GB2312"/>
                <w:sz w:val="24"/>
                <w:color w:val="000000"/>
              </w:rPr>
              <w:t xml:space="preserve">  提供氨氮在线分析仪、总氮在线分析仪、总磷在线分析仪、</w:t>
            </w:r>
            <w:r>
              <w:rPr>
                <w:rFonts w:ascii="仿宋_GB2312" w:hAnsi="仿宋_GB2312" w:cs="仿宋_GB2312" w:eastAsia="仿宋_GB2312"/>
                <w:sz w:val="24"/>
                <w:color w:val="000000"/>
              </w:rPr>
              <w:t>C</w:t>
            </w:r>
            <w:r>
              <w:rPr>
                <w:rFonts w:ascii="仿宋_GB2312" w:hAnsi="仿宋_GB2312" w:cs="仿宋_GB2312" w:eastAsia="仿宋_GB2312"/>
                <w:sz w:val="24"/>
                <w:color w:val="000000"/>
              </w:rPr>
              <w:t>ODMn在线分析仪</w:t>
            </w:r>
            <w:r>
              <w:rPr>
                <w:rFonts w:ascii="仿宋_GB2312" w:hAnsi="仿宋_GB2312" w:cs="仿宋_GB2312" w:eastAsia="仿宋_GB2312"/>
                <w:sz w:val="24"/>
                <w:color w:val="000000"/>
              </w:rPr>
              <w:t>所使用试剂的配方，包括试剂的名称、纯度、品牌、配制方法等的承诺书。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水质在线分析仪器基本功能</w:t>
            </w:r>
          </w:p>
          <w:p>
            <w:pPr>
              <w:pStyle w:val="null3"/>
            </w:pPr>
            <w:r>
              <w:rPr>
                <w:rFonts w:ascii="仿宋_GB2312" w:hAnsi="仿宋_GB2312" w:cs="仿宋_GB2312" w:eastAsia="仿宋_GB2312"/>
              </w:rPr>
              <w:t>（1）常规五参数、高锰酸盐指数、氨氮、总磷、总氮在线分析仪均通过中国环境监测总站的适用性检测，具有环境保护部环境监测仪器质量监督检验中心出具的在有效期内的检测报告，并提供有效期内的CCEP认证证书； （2）常规五参数、高锰酸盐指数、氨氮、总磷、总氮在线分析仪设备品牌及型号均已列入“中国环境监测总站”适用性检测合格名录，提供对应佐证材料。 （3）高锰酸盐指数、氨氮、总磷、总氮在线分析仪具有维护记录功能，仪器具备故障及人员维护记录功能，并且针对各类故障记录，在仪器中显示相应的故障二维码，运维人员可扫码在手机上查看故障分析与排障处理说明，并在手机上观看故障排查及故障处理的操作指导视频。 （4）高锰酸盐指数、氨氮、总磷、总氮在线分析仪具备自动标定功能，可以通过标定单一量程，实现所有量程自动准确测量，无需标定所有量程；亦可支持各个量程单独标定进行自动测量。 （5）高锰酸盐指数、氨氮、总磷、总氮在线分析仪具备定点、间隔标液核查功能，按预设时间点或周期自动执行标准溶液核查。 （6）高锰酸盐指数、氨氮、总磷、总氮在线分析仪可导出数据、日志、流程、历史记录、故障信息、校准信息等内容，同时支持历史测量数据的报表导出，满足多样化数据导出与统计需求。 （7）具有仪器状态（如测量、空闲、故障等）显示功能； （8）可存储不少于1年的原始数据和运行日志； （9）必须支持《国家地表水监测仪器通信协议技术要求》，具有RS-232或RS-485标准通讯接口； （10）具备1小时1次的监测能力。</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numPr>
                <w:ilvl w:val="1"/>
                <w:numId w:val="2"/>
              </w:numPr>
            </w:pPr>
            <w:r>
              <w:rPr>
                <w:rFonts w:ascii="仿宋_GB2312" w:hAnsi="仿宋_GB2312" w:cs="仿宋_GB2312" w:eastAsia="仿宋_GB2312"/>
                <w:sz w:val="24"/>
                <w:b/>
                <w:color w:val="000000"/>
              </w:rPr>
              <w:t>高锰酸盐指数在线分析仪</w:t>
            </w:r>
          </w:p>
          <w:p>
            <w:pPr>
              <w:pStyle w:val="null3"/>
            </w:pPr>
            <w:r>
              <w:rPr>
                <w:rFonts w:ascii="仿宋_GB2312" w:hAnsi="仿宋_GB2312" w:cs="仿宋_GB2312" w:eastAsia="仿宋_GB2312"/>
              </w:rPr>
              <w:t>（1）测量方法：高锰酸钾氧化分光光度法； （2）测量范围： (0～20）mg/L，可扩展； （3）重复性误差:：≤±1%； （4）葡萄糖试验：≤±3%； （5）零点漂移 ：≤±1%； （6）量程漂移 ：≤±1%； （7）平均无故障连续运行时间：≥720h/次； （8）电压稳定性：≤±2%； （9）抗干扰功能 :不受水体的颜色和浊度影响，具有浊度色度补偿功能，一定范围内扣除不同盐度、硬度的影响。 （10）异常报警功能：仪器具备健康状态诊断功能和异常信息警告、记录、上传及反馈功能，异常信息至少包括：缺试剂报警、漏液报警、取样故障报警、超标报警、器件故障报警、通讯异常报警等。报警根据情况分不同级别，不同级别报警在状态栏以不同的颜色的图标显示。 （11）质控功能：仪器可实现手动/自动水样测试、校准、标准样测试、标液核查、跨度核查、平行样核查、空白样测试、零点漂移测试、量程漂移测试功能和单步调试运行功能、多步自定义组合一键调试运行功能；且有独立的零点核查、跨度核查、标准样、水样通道。 （12）以上（3）-（8）项，提供省级以上(含省级)环境监测仪器质量监督检验部门出具有效期内具备CMA标识的检测报告/检验报告并加盖制造商公章的扫描件 （13）以上（9）-（11）项，提供国家认可机构出具有效的具有CMA标识的检测报告/检验报告加盖制造商公章的扫描件。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numPr>
                <w:ilvl w:val="1"/>
                <w:numId w:val="2"/>
              </w:numPr>
            </w:pPr>
            <w:r>
              <w:rPr>
                <w:rFonts w:ascii="仿宋_GB2312" w:hAnsi="仿宋_GB2312" w:cs="仿宋_GB2312" w:eastAsia="仿宋_GB2312"/>
                <w:sz w:val="24"/>
                <w:b/>
                <w:color w:val="000000"/>
              </w:rPr>
              <w:t>氨氮在线分析仪</w:t>
            </w:r>
          </w:p>
          <w:p>
            <w:pPr>
              <w:pStyle w:val="null3"/>
            </w:pPr>
            <w:r>
              <w:rPr>
                <w:rFonts w:ascii="仿宋_GB2312" w:hAnsi="仿宋_GB2312" w:cs="仿宋_GB2312" w:eastAsia="仿宋_GB2312"/>
              </w:rPr>
              <w:t>（1）测量方法：水杨酸分光光度法； （2）测量范围： 0-50mg/L，可扩展； （3）24h低浓度漂移：≤0.009mg/L； （4）24h高浓度漂移：≤0.4%； （5）示值误差：20%*，≤±5.8%；50%*，≤±2.7%；80%*，≤±2.1%； （6）记忆效应：80%*→20%*：≤±0.01mg/L；20%*→80%*：≤±0.08mg/L； （7）环境温度影响：≤±0.4% （8）电压影响：≤±0.7% （9）pH影响：≤±2.1% （10）自检诊断功能：开机自检、液位计检漏功能;通讯中断提示功能(提示通讯失败等);断电保护、重启并恢复原有测量参数设置和测试模式功能;异常复位功能。 （11）仪器管控功能：仪器具有实时数据、当前状态(如测量、空闲、故障等)和关键参数显示(如消解温度、量程上限、消解时间、静置时间、校准系数、测试信号值等)及上传,具有动态管控功能。 （12）仪器符合HJ212-2025中的规定。 （13）支持双通道独立ModBus协议：支持标准ModBus通信协议;有RS-232或RS-485标准数字通讯接口，支持双通道独立通讯。 （14）以上（3）-（9）项，提供省级以上(含省级)环境监测仪器质量监督检验部门出具有效期内具备CMA标识的检测报告/检验报告并加盖制造商公章的扫描件 （15）以上（10）-（13）项，提供国家认可机构出具有效的具有CMA标识的检测报告/检验报告加盖制造商公章的扫描件。 *：测试溶液浓度相对于检测范围的百分比。</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总磷在线分析仪</w:t>
            </w:r>
          </w:p>
          <w:p>
            <w:pPr>
              <w:pStyle w:val="null3"/>
            </w:pPr>
            <w:r>
              <w:rPr>
                <w:rFonts w:ascii="仿宋_GB2312" w:hAnsi="仿宋_GB2312" w:cs="仿宋_GB2312" w:eastAsia="仿宋_GB2312"/>
              </w:rPr>
              <w:t>（1）测量方法：过硫酸钾氧化-钼酸铵分光光度法； （2）测量范围： 0-50mg/L，可扩展； （3）重复性误差：≤±0.7% （4）零点漂移：≤±0.8% （5）量程漂移：≤±1.2% （6）直线性：≤±1.2% （7）MTBF：≥720h/次 （8）电压稳定性：≤±1.2% （9）绝缘阻抗：＞5MΩ （10）自检诊断功能：开机自检、液位计检漏功能;通讯中断提示功能(提示通讯失败等);断电保护、重启并恢复原有测量参数设置和测试模式功能;异常复位功能。 （11）仪器管控功能：仪器具有实时数据、当前状态(如测量、空闲、故障等)和关键参数显示(如消解温度、量程上限、消解时间、静置时间、校准系数、测试信号值等)及上传,具有动态管控功能。 （12）仪器符合HJ212-2025中的规定。 （13）支持双通道独立ModBus协议：支持标准ModBus通信协议;有RS-232或RS-485标准数字通讯接口，支持双通道独立通讯。 （14）以上（3）-（9）项，提供省级以上(含省级)环境监测仪器质量监督检验部门出具有效期内的检测报告/检验报告并加盖制造商公章的扫描件 （15）以上（10）-（13）项，提供国家认可机构出具有效的具有CMA标识的检测报告/检验报告加盖制造商公章的扫描件。</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 xml:space="preserve"> </w:t>
            </w:r>
            <w:r>
              <w:rPr>
                <w:rFonts w:ascii="仿宋_GB2312" w:hAnsi="仿宋_GB2312" w:cs="仿宋_GB2312" w:eastAsia="仿宋_GB2312"/>
                <w:sz w:val="24"/>
                <w:b/>
                <w:color w:val="000000"/>
              </w:rPr>
              <w:t>总氮在线分析仪</w:t>
            </w:r>
          </w:p>
          <w:p>
            <w:pPr>
              <w:pStyle w:val="null3"/>
            </w:pPr>
            <w:r>
              <w:rPr>
                <w:rFonts w:ascii="仿宋_GB2312" w:hAnsi="仿宋_GB2312" w:cs="仿宋_GB2312" w:eastAsia="仿宋_GB2312"/>
              </w:rPr>
              <w:t>（1）测量方法：碱性过硫酸钾消解-紫外分光光度法； （2）测量范围： 0-50mg/L，可扩展； （3）重复性误差：≤±1.9% （4）零点漂移：≤±0.5% （5）量程漂移：≤±1.8% （6）直线性：≤±2.7% （7）MTBF：≥720h/次 （8）电压稳定性：≤±4.0% （9）绝缘阻抗：＞5MΩ （10）自检诊断功能：开机自检、液位计检漏功能;通讯中断提示功能(提示通讯失败等);断电保护、重启并恢复原有测量参数设置和测试模式功能;异常复位功能。 （11）仪器管控功能：仪器具有实时数据、当前状态(如测量、空闲、故障等)和关键参数显示(如消解温度、量程上限、消解时间、静置时间、校准系数、测试信号值等)及上传,具有动态管控功能。 （12）仪器符合HJ212-2025中的规定。 （13）支持双通道独立ModBus协议：支持标准ModBus通信协议;有RS-232或RS-485标准数字通讯接口，支持双通道独立通讯。 （14）以上（3）-（9）项，提供省级以上(含省级)环境监测仪器质量监督检验部门出具有效期内的检测报告/检验报告并加盖制造商公章的扫描件 （15）以上（10）-（13）项，提供国家认可机构出具有效的具有CMA标识的检测报告/检验报告加盖制造商公章的扫描件。</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color w:val="000000"/>
              </w:rPr>
              <w:t>总镉在线分析仪</w:t>
            </w:r>
          </w:p>
          <w:p>
            <w:pPr>
              <w:pStyle w:val="null3"/>
            </w:pPr>
            <w:r>
              <w:rPr>
                <w:rFonts w:ascii="仿宋_GB2312" w:hAnsi="仿宋_GB2312" w:cs="仿宋_GB2312" w:eastAsia="仿宋_GB2312"/>
              </w:rPr>
              <w:t>（1）测量方法：分光光度法 （2）量程范围：0～1mg/L （根据实际需求分段设置） （3）检出限： ≤0.001 mg/L （4）示值误差：≤±10% （5）精密度：≤5% （6）零点漂移：≤±5% （7）量程漂移：≤±10% （8）离子干扰：≤±30% （9）测量周期：≤30min</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 xml:space="preserve"> </w:t>
            </w:r>
            <w:r>
              <w:rPr>
                <w:rFonts w:ascii="仿宋_GB2312" w:hAnsi="仿宋_GB2312" w:cs="仿宋_GB2312" w:eastAsia="仿宋_GB2312"/>
                <w:sz w:val="24"/>
                <w:b/>
                <w:color w:val="000000"/>
              </w:rPr>
              <w:t>PH/温度在线分析仪</w:t>
            </w:r>
          </w:p>
          <w:p>
            <w:pPr>
              <w:pStyle w:val="null3"/>
            </w:pPr>
            <w:r>
              <w:rPr>
                <w:rFonts w:ascii="仿宋_GB2312" w:hAnsi="仿宋_GB2312" w:cs="仿宋_GB2312" w:eastAsia="仿宋_GB2312"/>
              </w:rPr>
              <w:t>（1）量程：0-14 pH；0-80℃ （2）测量原理：玻璃电极法 （3）重复性：≤±0.1 pH （4）漂移(pH =9)：≤±0.1 pH （5）漂移(pH=7)：≤±0.1 pH （6）漂移(pH =4)：≤±0.1 pH （7）响应时间：0.5 min 以内 （8）温度补偿：0-80℃ （9）温度补偿精度：≤±0.1 pH （10）MTBF：≥720 h/次</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电导率在线分析仪</w:t>
            </w:r>
          </w:p>
          <w:p>
            <w:pPr>
              <w:pStyle w:val="null3"/>
            </w:pPr>
            <w:r>
              <w:rPr>
                <w:rFonts w:ascii="仿宋_GB2312" w:hAnsi="仿宋_GB2312" w:cs="仿宋_GB2312" w:eastAsia="仿宋_GB2312"/>
              </w:rPr>
              <w:t>（1）量程：0-20000μS/cm （2）测量原理：石墨电极法 （3）重复性误差：≤±1% （4）零点漂移：≤±1% （5）量程漂移：≤±1% （6）响应时间：0.5 min以内 （7）温度补偿精度：≤±1% （8）MTBF：≥720 h/次</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浊度在线分析仪</w:t>
            </w:r>
          </w:p>
          <w:p>
            <w:pPr>
              <w:pStyle w:val="null3"/>
            </w:pPr>
            <w:r>
              <w:rPr>
                <w:rFonts w:ascii="仿宋_GB2312" w:hAnsi="仿宋_GB2312" w:cs="仿宋_GB2312" w:eastAsia="仿宋_GB2312"/>
              </w:rPr>
              <w:t>（1）量程：0-4000NTU； （2）测量原理：90°散射法 （3）重复性误差：≤±5% （4）零点漂移：≤±3% （5）量程漂移：≤±5% （6）线性误差：≤±5% （7）响应时间：0.5min以内 （8）MTBF：≥720 h/次</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溶解氧在线分析仪</w:t>
            </w:r>
          </w:p>
          <w:p>
            <w:pPr>
              <w:pStyle w:val="null3"/>
            </w:pPr>
            <w:r>
              <w:rPr>
                <w:rFonts w:ascii="仿宋_GB2312" w:hAnsi="仿宋_GB2312" w:cs="仿宋_GB2312" w:eastAsia="仿宋_GB2312"/>
              </w:rPr>
              <w:t>（1）量程：0-20mg/L （2）测量原理：荧光法 （3）重复性误差：≤±0.3 mg/L （4）零点漂移：≤±0.3 mg/L （5）量程漂移：≤±0.3 mg/L （6）响应时间：2 min以内 （7）温度补偿精度：≤±0.3 mg/L （8）MTBF：≥720 h/次</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 xml:space="preserve"> </w:t>
            </w:r>
            <w:r>
              <w:rPr>
                <w:rFonts w:ascii="仿宋_GB2312" w:hAnsi="仿宋_GB2312" w:cs="仿宋_GB2312" w:eastAsia="仿宋_GB2312"/>
                <w:sz w:val="32"/>
                <w:b/>
                <w:color w:val="000000"/>
              </w:rPr>
              <w:t>游离氯在线分析仪</w:t>
            </w:r>
          </w:p>
          <w:p>
            <w:pPr>
              <w:pStyle w:val="null3"/>
            </w:pPr>
            <w:r>
              <w:rPr>
                <w:rFonts w:ascii="仿宋_GB2312" w:hAnsi="仿宋_GB2312" w:cs="仿宋_GB2312" w:eastAsia="仿宋_GB2312"/>
              </w:rPr>
              <w:t>（1）测量方法：N，N-二乙基-1,4-苯二胺（DPD）分光光度法 （2）量程：0-5/20mg/L （3）分辨率：0.001mg/L （4）检测下限：0.030mg/L 或更低 （5）准确度 ：± 3%(DPD比对误差± 10%或± 0.05mg/L取大值) （6）响应时间(T90)：≤ 90秒 （7）样品pH范围：4 - 9 （8）零点漂移： ±5 %F.S. （9）量程漂移：±10.0%F.S. （10）重复性：≤5.0% （11）测量周期：≤60min （12）MTBF：≥720h/次 （13）电源电压： AC（220±25）V</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 xml:space="preserve"> </w:t>
            </w:r>
            <w:r>
              <w:rPr>
                <w:rFonts w:ascii="仿宋_GB2312" w:hAnsi="仿宋_GB2312" w:cs="仿宋_GB2312" w:eastAsia="仿宋_GB2312"/>
                <w:sz w:val="24"/>
                <w:b/>
                <w:color w:val="000000"/>
              </w:rPr>
              <w:t>系统集成要求</w:t>
            </w:r>
          </w:p>
          <w:p>
            <w:pPr>
              <w:pStyle w:val="null3"/>
            </w:pPr>
            <w:r>
              <w:rPr>
                <w:rFonts w:ascii="仿宋_GB2312" w:hAnsi="仿宋_GB2312" w:cs="仿宋_GB2312" w:eastAsia="仿宋_GB2312"/>
              </w:rPr>
              <w:t>（1）具有仪器关键参数、工作环境参数上传功能； （2）能够实现对高锰酸盐指数、氨氮、总磷和总氮水质自动分析仪器进行自动标样核查、自动加标回收率测试等质控功能； （3）具有异常信息记录、上传功能，如采水故障、超量程报警、超标报警、缺试剂报警信息； （4）具有仪器及系统运行周期（连续或间歇）设置功能，至少具备常规、应急、质控等多种运行模式； （5）具备断电再度通电后自动排空水样、自动清洗管路、自动复位到待机状态的功能； （6）确保仪器、系统运行的监测数据和状态信息等稳定传输； （7）系统应具有良好的扩展性和兼容性，根据实际应用需要可增加新的监测参数，并方便仪器安装和接入； （8）存储不少于1年的原始数据和运行日志； （9）水质自动分析仪器（常规五参数外）及控制单元须具有三级管理权限； （10）具有分析仪器及系统过程日志记录和环境参数记录功能，并能够上传至中心平台。（11）要求可完整展示每个站点的各项监测与运营数据，排污预警，按要求生成统计报表，并进行数据分析。</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 xml:space="preserve"> </w:t>
            </w:r>
            <w:r>
              <w:rPr>
                <w:rFonts w:ascii="仿宋_GB2312" w:hAnsi="仿宋_GB2312" w:cs="仿宋_GB2312" w:eastAsia="仿宋_GB2312"/>
                <w:sz w:val="32"/>
                <w:b/>
                <w:color w:val="000000"/>
              </w:rPr>
              <w:t>一体化站房</w:t>
            </w:r>
          </w:p>
          <w:p>
            <w:pPr>
              <w:pStyle w:val="null3"/>
            </w:pPr>
            <w:r>
              <w:rPr>
                <w:rFonts w:ascii="仿宋_GB2312" w:hAnsi="仿宋_GB2312" w:cs="仿宋_GB2312" w:eastAsia="仿宋_GB2312"/>
              </w:rPr>
              <w:t>（1）一体化站房设计应便于检修维护，框架采用2mm优质镀锌板加中间隔热板（聚氨酯环保 PU 发泡材料保温层）设计，防腐性能优越，外观运用喷塑工艺，整体效果美观大方。 （2）户外防水机柜，内部能容纳2-4人在内部进行仪器操作，最大支持6个探头类仪表，10台中型分析仪表。</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color w:val="000000"/>
              </w:rPr>
              <w:t>控制与传输单元</w:t>
            </w:r>
          </w:p>
          <w:p>
            <w:pPr>
              <w:pStyle w:val="null3"/>
            </w:pPr>
            <w:r>
              <w:rPr>
                <w:rFonts w:ascii="仿宋_GB2312" w:hAnsi="仿宋_GB2312" w:cs="仿宋_GB2312" w:eastAsia="仿宋_GB2312"/>
              </w:rPr>
              <w:t>（1）必须支持中文显示，操作方便。 （2）具有断电保护功能，能够在断电时保存系统参数和历史数据，在来电时自动恢复系统。 （3）实现对单一控制点（阀、泵等）进行调试，对采水单元、配水及预处理单元、分析单元等的控制，并将控制点状态信息，以及水泵的开关状态等记录和显示。 （4）具备对自动分析仪器的启停、校时、校准、质控测试等控制功能。 （5）能够实时采集视频信息并传输至中心平台，能够兼容视频监控设备并能实现对视频设备进行校时、重新启动、参数设置、软件升级等功能。 （6）控制器符合抗电磁辐射、电磁感应的相关规定，具备电源隔离和信号隔离措施。 （7）具备各仪器监测结果、仪器状态参数、工作环境参数、运行流程、报警信息等显示的功能。 （8）采集自动分析仪器和集成系统各单元的工作状态量，并以运行日志的形式记录保存。 （9）采集自动分析仪器的监测数据，并分类保存。 （10）断电后能自动保存历史数据和参数设置。 （11）采用无线、有线的通讯方式满足数据传输要求。 （12）具备对通信链路的自动诊断功能，具备超时补发功能。 （13）工业计算机要求：通讯接口： 2个RS485，4个RS232，2个网口，4个USB接口。</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采水单元</w:t>
            </w:r>
          </w:p>
          <w:p>
            <w:pPr>
              <w:pStyle w:val="null3"/>
            </w:pPr>
            <w:r>
              <w:rPr>
                <w:rFonts w:ascii="仿宋_GB2312" w:hAnsi="仿宋_GB2312" w:cs="仿宋_GB2312" w:eastAsia="仿宋_GB2312"/>
              </w:rPr>
              <w:t>（1）采水方式：浮筒/船/浮标式 （2）采水设计：具备双泵/双管路轮换功能，配置双泵/双管路采水，一备一用；可进行自动或手动切换，满足实时不间断监测的要求。具有管道反冲洗和自动排空管道功能，采水完成后系统自动排空管道并清洗，清洗过程不对环境造成污染。除藻装置可以定期自动或手动操作，配合清洗水和压缩空气，通过控制总管路及配水管路的电动阀门，可分别对外部采水管路和内部配水进行反冲洗，以防止管路堵塞，并达到对管路的除藻作用。确保采水位置在水面下0.5米至1米之间。 （3）采水泵：满足建设点位落差和输送距离、输送压力的要求。 （4）采水管道：材质应有足够的强度，可以承受内压和外载荷，具有极好的化学稳定性、重量轻、耐磨耗和耐油性强。设有压力监控装置，控制单元通过该装置实时监控采水单元的运行状态。 （5）根据每个点位具体的水文、地形和地质情况进行合理的采水方案设计。 （6）配水管路设计合理，流向清晰，便于维护；保证仪器分析测试的水样应能代表断面水质情况并满足仪器测试需求。 （7）所选管材机械强度及化学稳定性好、使用寿命长、便于安装维护，不会对水样水质造成影响；管路内径、压力、流量、流速满足仪器分析需要，并留有余量。</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color w:val="000000"/>
              </w:rPr>
              <w:t>配水及预处理单元</w:t>
            </w:r>
          </w:p>
          <w:p>
            <w:pPr>
              <w:pStyle w:val="null3"/>
            </w:pPr>
            <w:r>
              <w:rPr>
                <w:rFonts w:ascii="仿宋_GB2312" w:hAnsi="仿宋_GB2312" w:cs="仿宋_GB2312" w:eastAsia="仿宋_GB2312"/>
              </w:rPr>
              <w:t>（1）配水单元的所有操作均可通过控制单元实现运行控制。 （2）能配合系统实现水样自动分配、自动预处理、故障自动报警、关键部件工作状态的显示和反控等功能。 （3）配水主管路采用串联方式，各仪器之间管路采用并联方式，每台仪器从各自的取样杯中取水，任何仪器的配水管路出现故障不能影响其他仪器的测试。 （4）配水单元具备自动反清（吹）洗功能，防止菌类和藻类等微生物对样品污染或对系统工作造成不良影响。 （5）能配合系统实现水样分配、预处理、故障报警、关键部件工作状态和反控等功能。</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 xml:space="preserve"> </w:t>
            </w:r>
            <w:r>
              <w:rPr>
                <w:rFonts w:ascii="仿宋_GB2312" w:hAnsi="仿宋_GB2312" w:cs="仿宋_GB2312" w:eastAsia="仿宋_GB2312"/>
                <w:sz w:val="24"/>
                <w:b/>
                <w:color w:val="000000"/>
              </w:rPr>
              <w:t>辅助单元</w:t>
            </w:r>
          </w:p>
          <w:p>
            <w:pPr>
              <w:pStyle w:val="null3"/>
            </w:pPr>
            <w:r>
              <w:rPr>
                <w:rFonts w:ascii="仿宋_GB2312" w:hAnsi="仿宋_GB2312" w:cs="仿宋_GB2312" w:eastAsia="仿宋_GB2312"/>
              </w:rPr>
              <w:t>辅助单元包括空调、UPS电源、稳压电源、防雷、烟感消防、视频监控等。 其中空调技术要求，制冷量：≥3500W（标准1.5匹），制热量：≥4600W。 根据《财政部 发展改革委 生态环境部 市场监管总局关于调整优化节能产品、环境标志产品政府采购执行机制的通知》（财库〔2019〕9号）要求，本项目采购的空调属于《节能产品政府采购品目清单》中强制采购的节能产品。投标人须提供所投产品由国家确定的认证机构出具的、处于有效期之内的节能产品认证证书复印件，并加盖投标人公章。</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运行维护要求</w:t>
            </w:r>
          </w:p>
          <w:p>
            <w:pPr>
              <w:pStyle w:val="null3"/>
              <w:ind w:firstLine="560"/>
            </w:pPr>
            <w:r>
              <w:rPr>
                <w:rFonts w:ascii="仿宋_GB2312" w:hAnsi="仿宋_GB2312" w:cs="仿宋_GB2312" w:eastAsia="仿宋_GB2312"/>
                <w:sz w:val="28"/>
              </w:rPr>
              <w:t>运行维护内容包括定期开展水站例行维护、保养检修、故障检修、停机维护与数据平台日常管理与记录等。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自招标完成起至所有设备安装调试到位，运维3年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陕西省商洛市山阳县中村镇，承包人负责将货物运至工地现场的发包人指定地点，运输途中及货物安装并交付前毁损、灭失的法律风险由承包人承担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设备运输安装调试到位，通过验收后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运维期满1年，所有设备运行良好，无问题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运维期满2年，所有设备运行良好，无问题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运维期满3年，所有设备运行良好，无问题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符合国家有关标准及规定。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水质自动站采购的所有设备，质保期1年，运维期3年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必须遵守本合同并执行合同中的各项规定，保证服务正常履行，如因乙方工作人员在履行过程中造成的疏忽、失职、过错等原因给甲方造成的损失及侵害，由乙方承担全部赔偿责任，乙方遇到问题及时与甲方协商，协商无法解决的，可向山阳县人民法院提出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供应商缴纳保证金时请备注：项目编号。 2.为保证项目存档使用,供应商须递交纸质版响应文件，纸质版响应文件递交要求：正本壹份、副本贰份、电子版文件贰份（U盘）。 3.密封包装方式：投标文件正本一个封袋、副本一个封袋、电子版文件放置正本封袋内，电子版文件须粘贴注明投标人名称的标签。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投标人 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投标人提供2024年的财务审计报告（成立时间至投标截止时间不足一年的可提供成立后任意时段的资产负债表），或其开标前三个月内基本开户银行出具的资信证明及基本存款账户信息。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投标人提供投标截止日前半年内已缴纳任意1个月的纳税证明或完税证明（任意税种），依法免税的单位应提供相关的证明材料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投标人提供投标截止日前半年内已缴存的任意1个月的社会保障资金缴存单据或社保机构开具的社会保险参保缴费情况证明；依法不需要缴纳社会保障资金的单位应提供相关证明材料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投标人未被列入“信用中国”网站记录的“失信被执行人”“重大税收违法案件当事人”名单；不处于“中国政府采购网”记录的“政府采购严重违法失信行为记录名单”中的禁止参加政府采购活动期间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投标保证金缴纳证明</w:t>
            </w:r>
          </w:p>
        </w:tc>
        <w:tc>
          <w:tcPr>
            <w:tcW w:type="dxa" w:w="3322"/>
          </w:tcPr>
          <w:p>
            <w:pPr>
              <w:pStyle w:val="null3"/>
            </w:pPr>
            <w:r>
              <w:rPr>
                <w:rFonts w:ascii="仿宋_GB2312" w:hAnsi="仿宋_GB2312" w:cs="仿宋_GB2312" w:eastAsia="仿宋_GB2312"/>
              </w:rPr>
              <w:t>须提供投标保证金转款凭证或担保机构出具的保函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法定代表人授权书及被授权人身份证明。（法定代表人直接参与投标只须提供其身份证明）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与营业执照或事业单位登记证书等相关证明文件一致。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供应商投标有效期自提交投标文件截止之日起不少于90天。供应商需在项目电子化交易系统中按要求填写《投标函》完成承诺并进行电子签章。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交货期及运维服务期限</w:t>
            </w:r>
          </w:p>
        </w:tc>
        <w:tc>
          <w:tcPr>
            <w:tcW w:type="dxa" w:w="3322"/>
          </w:tcPr>
          <w:p>
            <w:pPr>
              <w:pStyle w:val="null3"/>
            </w:pPr>
            <w:r>
              <w:rPr>
                <w:rFonts w:ascii="仿宋_GB2312" w:hAnsi="仿宋_GB2312" w:cs="仿宋_GB2312" w:eastAsia="仿宋_GB2312"/>
              </w:rPr>
              <w:t>2026年3月25日前送货安装调试到位并和山阳县环境分局联网，验收合格后运维服务期3年。供应商需在项目电子化交易系统中按要求填写《报价表》、《标的清单》并进行电子签章。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供应商需在项目电子化交易系统中按要求编制投标文件并进行电子签章。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 价</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满足招标文件要求且投标价格最低的投标报价为评标基准价，其价格分为满分。其他投标供应商的价格分统一按照下列公式计算：投标报价得分=（投标基准价/投标报价）×60的公式计算得分。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投标供应商提供2021年1月1日至今同类项目业绩，投标文件中附有其业绩证明材料，业绩以中标（成交）通知书或合同文件为依据，每提供一个计2分，满分10分。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根据各投标人提供的售后服务承诺，依据售后服务的内容，售后服务的方式，固定售后服务地点（以接到维修通知的到场响应时间为准）等几个方面横向对比，酌情赋分0-5分。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根据各投标人提供的质量保障措施的可行性和完善性及质量保障承诺内容详细程度横向对比，酌情赋分0-10分。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设备维护方案</w:t>
            </w:r>
          </w:p>
        </w:tc>
        <w:tc>
          <w:tcPr>
            <w:tcW w:type="dxa" w:w="2492"/>
          </w:tcPr>
          <w:p>
            <w:pPr>
              <w:pStyle w:val="null3"/>
            </w:pPr>
            <w:r>
              <w:rPr>
                <w:rFonts w:ascii="仿宋_GB2312" w:hAnsi="仿宋_GB2312" w:cs="仿宋_GB2312" w:eastAsia="仿宋_GB2312"/>
              </w:rPr>
              <w:t>针对本项目的日常设备维护保养、设备故障预防措施、设备故障维修时限、设备维护保养、交接程序等，并能及时响应和积极配合采购人的有关要求等进行综合打分。 1.整体工作把握准确，有较强的系统性、经济性，方案详细、完整、可操作性强，计11-15分； 2.针对本项目的日常设备运行、管理、维护、维修、检测等内容，整体工作把握准确，方案的系统性、经济性较强，方案较详细、较完整、可操作性较强，计6-10分； 3.针对本项目的日常设备运行、管理、维护、维修、检测等内容，整体工作把握准确，方案的系统性、经济性一般，方案欠详细、欠完整、可操作性一般，计1-5分；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