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版本号：SXSL-2026-0120260106001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商洛市文化艺术中心大剧院委托运营管理项目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SXSL-2026-01</w:t>
      </w:r>
      <w:r>
        <w:br/>
      </w:r>
      <w:r>
        <w:br/>
      </w:r>
      <w:r>
        <w:br/>
      </w:r>
    </w:p>
    <w:p>
      <w:pPr>
        <w:pStyle w:val="null3"/>
        <w:jc w:val="center"/>
        <w:outlineLvl w:val="2"/>
      </w:pPr>
      <w:r>
        <w:rPr>
          <w:rFonts w:ascii="仿宋_GB2312" w:hAnsi="仿宋_GB2312" w:cs="仿宋_GB2312" w:eastAsia="仿宋_GB2312"/>
          <w:sz w:val="28"/>
          <w:b/>
        </w:rPr>
        <w:t>商洛市文化和旅游局</w:t>
      </w:r>
    </w:p>
    <w:p>
      <w:pPr>
        <w:pStyle w:val="null3"/>
        <w:jc w:val="center"/>
        <w:outlineLvl w:val="2"/>
      </w:pPr>
      <w:r>
        <w:rPr>
          <w:rFonts w:ascii="仿宋_GB2312" w:hAnsi="仿宋_GB2312" w:cs="仿宋_GB2312" w:eastAsia="仿宋_GB2312"/>
          <w:sz w:val="28"/>
          <w:b/>
        </w:rPr>
        <w:t>陕西上洛管理咨询有限公司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陕西上洛管理咨询有限公司</w:t>
      </w:r>
      <w:r>
        <w:rPr>
          <w:rFonts w:ascii="仿宋_GB2312" w:hAnsi="仿宋_GB2312" w:cs="仿宋_GB2312" w:eastAsia="仿宋_GB2312"/>
        </w:rPr>
        <w:t>（以下简称“代理机构”）受</w:t>
      </w:r>
      <w:r>
        <w:rPr>
          <w:rFonts w:ascii="仿宋_GB2312" w:hAnsi="仿宋_GB2312" w:cs="仿宋_GB2312" w:eastAsia="仿宋_GB2312"/>
        </w:rPr>
        <w:t>商洛市文化和旅游局</w:t>
      </w:r>
      <w:r>
        <w:rPr>
          <w:rFonts w:ascii="仿宋_GB2312" w:hAnsi="仿宋_GB2312" w:cs="仿宋_GB2312" w:eastAsia="仿宋_GB2312"/>
        </w:rPr>
        <w:t>委托，拟对</w:t>
      </w:r>
      <w:r>
        <w:rPr>
          <w:rFonts w:ascii="仿宋_GB2312" w:hAnsi="仿宋_GB2312" w:cs="仿宋_GB2312" w:eastAsia="仿宋_GB2312"/>
        </w:rPr>
        <w:t>商洛市文化艺术中心大剧院委托运营管理项目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SXSL-2026-01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商洛市文化艺术中心大剧院委托运营管理项目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市文化艺术中心大剧院位于商洛市商州区民主路南侧，商洛市文化和旅游局为打造地方文化品牌，推动商洛市文化事业发展，满足市民高雅艺术需求，通过采购选定专业机构对商洛市文化艺术中心大剧院进行高标准运营，并将所属建筑及室内外设施设备等委托运营单位统一管理。通过购买专业机构的服务，来实现公共文化设施的效能提升，从而实现繁荣当地文化事业的社会效益目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采购包1（商洛市文化艺术中心大剧院委托运营管理项目）：属于专门面向中小企业采购。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商洛市商州区名人街16号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13992480222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陕西上洛管理咨询有限公司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陕西省商洛市商州区北新街黄沙桥十字西北角市投资控股集团六楼610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杨万青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15229547755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代理服务费收费标准：按照中标单价*服务期限价格为基数，参考计价格【2002】1980号规定计算并在领取成交通知书前由成交人支付。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商洛市文化和旅游局</w:t>
      </w:r>
      <w:r>
        <w:rPr>
          <w:rFonts w:ascii="仿宋_GB2312" w:hAnsi="仿宋_GB2312" w:cs="仿宋_GB2312" w:eastAsia="仿宋_GB2312"/>
        </w:rPr>
        <w:t>和</w:t>
      </w:r>
      <w:r>
        <w:rPr>
          <w:rFonts w:ascii="仿宋_GB2312" w:hAnsi="仿宋_GB2312" w:cs="仿宋_GB2312" w:eastAsia="仿宋_GB2312"/>
        </w:rPr>
        <w:t>陕西上洛管理咨询有限公司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陕西上洛管理咨询有限公司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陕西上洛管理咨询有限公司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履约验收验收标准 按照《财政部关于进一步加强政府采购需求和履约验收管理的指导意见》（财库〔2016〕205 号）规定、《政府采购需求管理办法》（财库〔2021〕22 号）规定及国家和地方相关的法律、规范及行业标准及招标文件、投标文件执行，以满足采购人的实际需求为准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联系人：杨万青</w:t>
      </w:r>
    </w:p>
    <w:p>
      <w:pPr>
        <w:pStyle w:val="null3"/>
      </w:pPr>
      <w:r>
        <w:rPr>
          <w:rFonts w:ascii="仿宋_GB2312" w:hAnsi="仿宋_GB2312" w:cs="仿宋_GB2312" w:eastAsia="仿宋_GB2312"/>
        </w:rPr>
        <w:t>联系电话：15229547755</w:t>
      </w:r>
    </w:p>
    <w:p>
      <w:pPr>
        <w:pStyle w:val="null3"/>
      </w:pPr>
      <w:r>
        <w:rPr>
          <w:rFonts w:ascii="仿宋_GB2312" w:hAnsi="仿宋_GB2312" w:cs="仿宋_GB2312" w:eastAsia="仿宋_GB2312"/>
        </w:rPr>
        <w:t>地址：陕西省商洛市商州区北新街黄沙桥十字西北角市投资控股集团六楼610</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文化艺术中心大剧院位于商洛市商州区民主路南侧，商洛市文化和旅游局为打造地方文化品牌，推动商洛市文化事业发展，满足市民高雅艺术需求，通过采购选定专业机构对商洛市文化艺术中心大剧院进行高标准运营，并将所属建筑及室内外设施设备等委托运营单位统一管理。通过购买专业机构的服务，来实现公共文化设施的效能提升，从而实现繁荣当地文化事业的社会效益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6,500,000.00</w:t>
      </w:r>
    </w:p>
    <w:p>
      <w:pPr>
        <w:pStyle w:val="null3"/>
      </w:pPr>
      <w:r>
        <w:rPr>
          <w:rFonts w:ascii="仿宋_GB2312" w:hAnsi="仿宋_GB2312" w:cs="仿宋_GB2312" w:eastAsia="仿宋_GB2312"/>
        </w:rPr>
        <w:t>采购包最高限价（元）: 6,500,000.00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商洛市文化艺术中心大剧院委托运营管理项目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标的名称：商洛市文化艺术中心大剧院委托运营管理项目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45" w:firstLine="627"/>
              <w:jc w:val="left"/>
            </w:pPr>
            <w:r>
              <w:rPr>
                <w:rFonts w:ascii="仿宋_GB2312" w:hAnsi="仿宋_GB2312" w:cs="仿宋_GB2312" w:eastAsia="仿宋_GB2312"/>
                <w:sz w:val="18"/>
              </w:rPr>
              <w:t>项目概况：商洛市文化艺术中心大剧院位于商洛市商州区民主路南侧，商洛市文化和旅游局为打造地方文化品牌，推动商洛市文化事业发展，满足市民高雅艺术需求，通过采购选定专业机构对商洛市文化艺术中心大剧院进行高标准运营，并将所属建筑及室内外设施设备等委托运营单位统一管理。通过购买专业机构的服务，来实现公共文化设施的效能提升，从而实现繁荣当地文化事业的社会效益目标。</w:t>
            </w:r>
          </w:p>
          <w:p>
            <w:pPr>
              <w:pStyle w:val="null3"/>
            </w:pPr>
            <w:r>
              <w:rPr>
                <w:rFonts w:ascii="仿宋_GB2312" w:hAnsi="仿宋_GB2312" w:cs="仿宋_GB2312" w:eastAsia="仿宋_GB2312"/>
                <w:sz w:val="18"/>
              </w:rPr>
              <w:t>（一）运营范围</w:t>
            </w:r>
          </w:p>
          <w:p>
            <w:pPr>
              <w:pStyle w:val="null3"/>
            </w:pPr>
            <w:r>
              <w:rPr>
                <w:rFonts w:ascii="仿宋_GB2312" w:hAnsi="仿宋_GB2312" w:cs="仿宋_GB2312" w:eastAsia="仿宋_GB2312"/>
                <w:sz w:val="18"/>
              </w:rPr>
              <w:t>包含剧场、贵宾厅、排练厅、化妆间、办公室、库房、地面停车场、地下停车场及其它商业空间，以上范围内的设备设施及舞台区域专业设备设施的经营及日常维护管理。具体范围以甲乙双方确认的平面图及明细为准。</w:t>
            </w:r>
          </w:p>
          <w:p>
            <w:pPr>
              <w:pStyle w:val="null3"/>
            </w:pPr>
            <w:r>
              <w:rPr>
                <w:rFonts w:ascii="仿宋_GB2312" w:hAnsi="仿宋_GB2312" w:cs="仿宋_GB2312" w:eastAsia="仿宋_GB2312"/>
                <w:sz w:val="18"/>
              </w:rPr>
              <w:t>运营内容：以组织经营高雅艺术演出为主,开展以艺术普及、艺术教育等其他文化相关活动为辅，同时可开展场地出租、物业出租、艺术培训、剧目投资、剧目制作等业务。</w:t>
            </w:r>
          </w:p>
          <w:p>
            <w:pPr>
              <w:pStyle w:val="null3"/>
            </w:pPr>
            <w:r>
              <w:rPr>
                <w:rFonts w:ascii="仿宋_GB2312" w:hAnsi="仿宋_GB2312" w:cs="仿宋_GB2312" w:eastAsia="仿宋_GB2312"/>
                <w:sz w:val="18"/>
              </w:rPr>
              <w:t>（二）运营指标</w:t>
            </w:r>
          </w:p>
          <w:p>
            <w:pPr>
              <w:pStyle w:val="null3"/>
            </w:pPr>
            <w:r>
              <w:rPr>
                <w:rFonts w:ascii="仿宋_GB2312" w:hAnsi="仿宋_GB2312" w:cs="仿宋_GB2312" w:eastAsia="仿宋_GB2312"/>
                <w:sz w:val="18"/>
              </w:rPr>
              <w:t>2.1管理规范</w:t>
            </w:r>
          </w:p>
          <w:p>
            <w:pPr>
              <w:pStyle w:val="null3"/>
            </w:pPr>
            <w:r>
              <w:rPr>
                <w:rFonts w:ascii="仿宋_GB2312" w:hAnsi="仿宋_GB2312" w:cs="仿宋_GB2312" w:eastAsia="仿宋_GB2312"/>
                <w:sz w:val="18"/>
              </w:rPr>
              <w:t>乙方在运营期内根据实际业务需要完成各项管理规范。</w:t>
            </w:r>
          </w:p>
          <w:p>
            <w:pPr>
              <w:pStyle w:val="null3"/>
            </w:pPr>
            <w:r>
              <w:rPr>
                <w:rFonts w:ascii="仿宋_GB2312" w:hAnsi="仿宋_GB2312" w:cs="仿宋_GB2312" w:eastAsia="仿宋_GB2312"/>
                <w:sz w:val="18"/>
              </w:rPr>
              <w:t>2.2演出场次</w:t>
            </w:r>
          </w:p>
          <w:p>
            <w:pPr>
              <w:pStyle w:val="null3"/>
            </w:pPr>
            <w:r>
              <w:rPr>
                <w:rFonts w:ascii="仿宋_GB2312" w:hAnsi="仿宋_GB2312" w:cs="仿宋_GB2312" w:eastAsia="仿宋_GB2312"/>
                <w:sz w:val="18"/>
              </w:rPr>
              <w:t>演出分为自营演出、公益活动。在甲方按照本协议约定，按时、足量拨付运营管理费（特指甲方或政府财政给予本项目的运营补贴）的前提下，乙方每年组织演出活动不少于 46 场，其中自营演出 34 场，公益活动不低于 12 场；自营演出场中，为本项目安排的演出剧目A类演出不低于 6 场、B类演出不低于 10 场、C类演出低于 18 场。</w:t>
            </w:r>
          </w:p>
          <w:p>
            <w:pPr>
              <w:pStyle w:val="null3"/>
            </w:pPr>
            <w:r>
              <w:rPr>
                <w:rFonts w:ascii="仿宋_GB2312" w:hAnsi="仿宋_GB2312" w:cs="仿宋_GB2312" w:eastAsia="仿宋_GB2312"/>
                <w:sz w:val="18"/>
              </w:rPr>
              <w:t>运营首年，乙方承诺为本项目打造至少2个演出季品牌（含开幕演出季），以后每个运营年度打造至少1个演出季品牌。</w:t>
            </w:r>
          </w:p>
          <w:p>
            <w:pPr>
              <w:pStyle w:val="null3"/>
            </w:pPr>
            <w:r>
              <w:rPr>
                <w:rFonts w:ascii="仿宋_GB2312" w:hAnsi="仿宋_GB2312" w:cs="仿宋_GB2312" w:eastAsia="仿宋_GB2312"/>
                <w:sz w:val="18"/>
              </w:rPr>
              <w:t>政府和甲方可以优先免费使用该项目，免费使用的天数合计不超过30天。</w:t>
            </w:r>
          </w:p>
          <w:p>
            <w:pPr>
              <w:pStyle w:val="null3"/>
            </w:pPr>
            <w:r>
              <w:rPr>
                <w:rFonts w:ascii="仿宋_GB2312" w:hAnsi="仿宋_GB2312" w:cs="仿宋_GB2312" w:eastAsia="仿宋_GB2312"/>
                <w:sz w:val="18"/>
              </w:rPr>
              <w:t xml:space="preserve">5.3演出档次 </w:t>
            </w:r>
          </w:p>
          <w:p>
            <w:pPr>
              <w:pStyle w:val="null3"/>
            </w:pPr>
            <w:r>
              <w:rPr>
                <w:rFonts w:ascii="仿宋_GB2312" w:hAnsi="仿宋_GB2312" w:cs="仿宋_GB2312" w:eastAsia="仿宋_GB2312"/>
                <w:sz w:val="18"/>
              </w:rPr>
              <w:t>自营演出的演出档次分为A、B、C三类：</w:t>
            </w:r>
          </w:p>
          <w:p>
            <w:pPr>
              <w:pStyle w:val="null3"/>
            </w:pPr>
            <w:r>
              <w:rPr>
                <w:rFonts w:ascii="仿宋_GB2312" w:hAnsi="仿宋_GB2312" w:cs="仿宋_GB2312" w:eastAsia="仿宋_GB2312"/>
                <w:sz w:val="18"/>
              </w:rPr>
              <w:t>(1)A类演出指：</w:t>
            </w:r>
          </w:p>
          <w:p>
            <w:pPr>
              <w:pStyle w:val="null3"/>
            </w:pPr>
            <w:r>
              <w:rPr>
                <w:rFonts w:ascii="仿宋_GB2312" w:hAnsi="仿宋_GB2312" w:cs="仿宋_GB2312" w:eastAsia="仿宋_GB2312"/>
                <w:sz w:val="18"/>
              </w:rPr>
              <w:t>a、欧美地区被国家授予或注册为国家、皇家、首都城市名称，且经过市场检验，艺术质量一流的演出团体所演出的剧目；</w:t>
            </w:r>
          </w:p>
          <w:p>
            <w:pPr>
              <w:pStyle w:val="null3"/>
            </w:pPr>
            <w:r>
              <w:rPr>
                <w:rFonts w:ascii="仿宋_GB2312" w:hAnsi="仿宋_GB2312" w:cs="仿宋_GB2312" w:eastAsia="仿宋_GB2312"/>
                <w:sz w:val="18"/>
              </w:rPr>
              <w:t>b、在国际上享有良好的广泛的声誉、举办历史悠久或知名的国际艺术节的艺术比赛中获得奖项的国内外演出团体的演出；</w:t>
            </w:r>
          </w:p>
          <w:p>
            <w:pPr>
              <w:pStyle w:val="null3"/>
            </w:pPr>
            <w:r>
              <w:rPr>
                <w:rFonts w:ascii="仿宋_GB2312" w:hAnsi="仿宋_GB2312" w:cs="仿宋_GB2312" w:eastAsia="仿宋_GB2312"/>
                <w:sz w:val="18"/>
              </w:rPr>
              <w:t>c、国内演出团体中直属文化和旅游部、国家广播电视总局及带有中国、中央字样的国家级文化艺术团体的演出；</w:t>
            </w:r>
          </w:p>
          <w:p>
            <w:pPr>
              <w:pStyle w:val="null3"/>
            </w:pPr>
            <w:r>
              <w:rPr>
                <w:rFonts w:ascii="仿宋_GB2312" w:hAnsi="仿宋_GB2312" w:cs="仿宋_GB2312" w:eastAsia="仿宋_GB2312"/>
                <w:sz w:val="18"/>
              </w:rPr>
              <w:t>d、入选国家舞台艺术精品工程剧目、获文化部“文华奖"节目、获中宣部“五个一工程奖”、获得“国家艺术基金”资助的优秀大型舞台演出剧目；</w:t>
            </w:r>
          </w:p>
          <w:p>
            <w:pPr>
              <w:pStyle w:val="null3"/>
            </w:pPr>
            <w:r>
              <w:rPr>
                <w:rFonts w:ascii="仿宋_GB2312" w:hAnsi="仿宋_GB2312" w:cs="仿宋_GB2312" w:eastAsia="仿宋_GB2312"/>
                <w:sz w:val="18"/>
              </w:rPr>
              <w:t>e、获国际专业艺术比赛大奖或国家授予荣誉称号的艺术家为主演的剧（节）目,主要演员和导演曾获“梅花奖”、“荷花奖”、“曹禺戏剧奖”、“牡丹奖”、“白玉兰奖”等全国性艺术奖项的参演或创作剧目;</w:t>
            </w:r>
          </w:p>
          <w:p>
            <w:pPr>
              <w:pStyle w:val="null3"/>
            </w:pPr>
            <w:r>
              <w:rPr>
                <w:rFonts w:ascii="仿宋_GB2312" w:hAnsi="仿宋_GB2312" w:cs="仿宋_GB2312" w:eastAsia="仿宋_GB2312"/>
                <w:sz w:val="18"/>
              </w:rPr>
              <w:t>f、国内艺术院团或个人获得中宣部、国家文化和旅游部、中国文联、舞协等国家文化主办的单项舞台艺术最高奖项的演出项目;</w:t>
            </w:r>
          </w:p>
          <w:p>
            <w:pPr>
              <w:pStyle w:val="null3"/>
            </w:pPr>
            <w:r>
              <w:rPr>
                <w:rFonts w:ascii="仿宋_GB2312" w:hAnsi="仿宋_GB2312" w:cs="仿宋_GB2312" w:eastAsia="仿宋_GB2312"/>
                <w:sz w:val="18"/>
              </w:rPr>
              <w:t>g、原版引进的国际经典演出项目或在国内外享有知名度的IP改编的项目；</w:t>
            </w:r>
          </w:p>
          <w:p>
            <w:pPr>
              <w:pStyle w:val="null3"/>
            </w:pPr>
            <w:r>
              <w:rPr>
                <w:rFonts w:ascii="仿宋_GB2312" w:hAnsi="仿宋_GB2312" w:cs="仿宋_GB2312" w:eastAsia="仿宋_GB2312"/>
                <w:sz w:val="18"/>
              </w:rPr>
              <w:t>i、有票房号召力和市场影响力的艺人主要演员的，售票率达70%以上的演出项目。</w:t>
            </w:r>
          </w:p>
          <w:p>
            <w:pPr>
              <w:pStyle w:val="null3"/>
            </w:pPr>
            <w:r>
              <w:rPr>
                <w:rFonts w:ascii="仿宋_GB2312" w:hAnsi="仿宋_GB2312" w:cs="仿宋_GB2312" w:eastAsia="仿宋_GB2312"/>
                <w:sz w:val="18"/>
              </w:rPr>
              <w:t>（2）B类演出指:</w:t>
            </w:r>
          </w:p>
          <w:p>
            <w:pPr>
              <w:pStyle w:val="null3"/>
            </w:pPr>
            <w:r>
              <w:rPr>
                <w:rFonts w:ascii="仿宋_GB2312" w:hAnsi="仿宋_GB2312" w:cs="仿宋_GB2312" w:eastAsia="仿宋_GB2312"/>
                <w:sz w:val="18"/>
              </w:rPr>
              <w:t>a、直辖市及各省委宣传部、文化厅直属的省级艺术院团所演出的剧目；</w:t>
            </w:r>
          </w:p>
          <w:p>
            <w:pPr>
              <w:pStyle w:val="null3"/>
            </w:pPr>
            <w:r>
              <w:rPr>
                <w:rFonts w:ascii="仿宋_GB2312" w:hAnsi="仿宋_GB2312" w:cs="仿宋_GB2312" w:eastAsia="仿宋_GB2312"/>
                <w:sz w:val="18"/>
              </w:rPr>
              <w:t>b、以著名古典艺术家命名的国外艺术团体演出的剧目；</w:t>
            </w:r>
          </w:p>
          <w:p>
            <w:pPr>
              <w:pStyle w:val="null3"/>
            </w:pPr>
            <w:r>
              <w:rPr>
                <w:rFonts w:ascii="仿宋_GB2312" w:hAnsi="仿宋_GB2312" w:cs="仿宋_GB2312" w:eastAsia="仿宋_GB2312"/>
                <w:sz w:val="18"/>
              </w:rPr>
              <w:t>c、国外艺术团体名称中带有青年字样或冠以洲际名称的艺术团体；</w:t>
            </w:r>
          </w:p>
          <w:p>
            <w:pPr>
              <w:pStyle w:val="null3"/>
            </w:pPr>
            <w:r>
              <w:rPr>
                <w:rFonts w:ascii="仿宋_GB2312" w:hAnsi="仿宋_GB2312" w:cs="仿宋_GB2312" w:eastAsia="仿宋_GB2312"/>
                <w:sz w:val="18"/>
              </w:rPr>
              <w:t>d、其他城市艺术院团或个人中有地方特色的并获得省委宣传部、省文化厅或文联主办的省级以上舞台艺术专业评奖最高奖项的优秀演出剧目；</w:t>
            </w:r>
          </w:p>
          <w:p>
            <w:pPr>
              <w:pStyle w:val="null3"/>
            </w:pPr>
            <w:r>
              <w:rPr>
                <w:rFonts w:ascii="仿宋_GB2312" w:hAnsi="仿宋_GB2312" w:cs="仿宋_GB2312" w:eastAsia="仿宋_GB2312"/>
                <w:sz w:val="18"/>
              </w:rPr>
              <w:t>e、有票房号召力和市场影响力的艺人主要演员的，售票率达60%以上的演出项目。</w:t>
            </w:r>
          </w:p>
          <w:p>
            <w:pPr>
              <w:pStyle w:val="null3"/>
            </w:pPr>
            <w:r>
              <w:rPr>
                <w:rFonts w:ascii="仿宋_GB2312" w:hAnsi="仿宋_GB2312" w:cs="仿宋_GB2312" w:eastAsia="仿宋_GB2312"/>
                <w:sz w:val="18"/>
              </w:rPr>
              <w:t>（3）C类演出是指：A、B类演出以外的优秀剧（节）目的演出；</w:t>
            </w:r>
          </w:p>
          <w:p>
            <w:pPr>
              <w:pStyle w:val="null3"/>
            </w:pPr>
            <w:r>
              <w:rPr>
                <w:rFonts w:ascii="仿宋_GB2312" w:hAnsi="仿宋_GB2312" w:cs="仿宋_GB2312" w:eastAsia="仿宋_GB2312"/>
                <w:sz w:val="18"/>
              </w:rPr>
              <w:t>（4）新创作排演的优秀剧（节）目及上述条款不能界定的其它特殊性质的剧（节）目，由甲、乙双方协商界定。</w:t>
            </w:r>
          </w:p>
          <w:p>
            <w:pPr>
              <w:pStyle w:val="null3"/>
            </w:pPr>
            <w:r>
              <w:rPr>
                <w:rFonts w:ascii="仿宋_GB2312" w:hAnsi="仿宋_GB2312" w:cs="仿宋_GB2312" w:eastAsia="仿宋_GB2312"/>
                <w:sz w:val="18"/>
              </w:rPr>
              <w:t>5.5上座率平均不低于 65 %。</w:t>
            </w:r>
          </w:p>
          <w:p>
            <w:pPr>
              <w:pStyle w:val="null3"/>
            </w:pPr>
            <w:r>
              <w:rPr>
                <w:rFonts w:ascii="仿宋_GB2312" w:hAnsi="仿宋_GB2312" w:cs="仿宋_GB2312" w:eastAsia="仿宋_GB2312"/>
                <w:sz w:val="18"/>
              </w:rPr>
              <w:t>5.6其它要求</w:t>
            </w:r>
          </w:p>
          <w:p>
            <w:pPr>
              <w:pStyle w:val="null3"/>
            </w:pPr>
            <w:r>
              <w:rPr>
                <w:rFonts w:ascii="仿宋_GB2312" w:hAnsi="仿宋_GB2312" w:cs="仿宋_GB2312" w:eastAsia="仿宋_GB2312"/>
                <w:sz w:val="18"/>
              </w:rPr>
              <w:t>公益活动指的是专家讲座、艺术交流、分享会、演前演后谈、剧院开放日等，不以盈利为目的的活动。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需满足项目需要，具体由各供应商自行填报。</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需满足项目需要，具体由各供应商自行填报</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合同履行期限为2年，采用一年一签。本项目采购预算及限价为每年价格。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合同履行期限为2年，采用一年一签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陕西省商洛市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1.由采购人或委托的第三方验收评估机构按国家现行项目实施规范和合同规定的验收评定标准等要求进行验收。 2.项目实施完成至总进度的 100%，乙方向甲方提出验收申请，甲方或第三方验收评估机构进行验收。 3.验收不合格的成交单位，必须在接到通知后 15 个日历日内确保项目通过验收。如接到通知后 15 个日历日内验收仍不合格，采购人可提出索赔或取消其服务合同。 4.履约验收方案 4-1.履约验收主体：采购人自行组织验收小组或委托第三方 4-2.履约验收时间：服务机构在完成服务后，向采购人提交验收申请、服务项目电子档案等资料后 7 日内组织。 4-3.履约验收方式：由采购人或委托第三方按照采购文件服务内容及要求对服务工作进行验收。 4-4.履约验收程序 ①验收申请；②验收准备；③验收过程；④验收评定。 4-5.履约验收内容 根据采购文件服务内容及要求进行验收。 4-6.履约验收验收标准 按照《财政部关于进一步加强政府采购需求和履约验收管理的指导意见》（财库〔2016〕205 号）规定、《政府采购需求管理办法》（财库〔2021〕22 号）规定及国家和地方相关的法律、规范及行业标准及招标文件、投标文件执行，以满足采购人的实际需求为准。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运营满12个月，考核结果为优秀</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本协议在履行过程中如发生争议,双方应在互让互谅原则的基础上,进行协商解决。协商不成时，向甲方所在地法院申请诉讼。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依据招标文件规定，从招标文件的有效性、完整性和对响应文件的响应程度进行审查。出现下列情况之一者，不得进入最终评审环节：（1）供应商的投标报价超过采购预 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供应商自2020年1月至今提供类似的业绩，每提供1项得5分，最高不超过10分。（须提供合同复印件或中标通知书复印件）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营业性演出许可</w:t>
            </w:r>
          </w:p>
        </w:tc>
        <w:tc>
          <w:tcPr>
            <w:tcW w:type="dxa" w:w="2492"/>
          </w:tcPr>
          <w:p>
            <w:pPr>
              <w:pStyle w:val="null3"/>
            </w:pPr>
            <w:r>
              <w:rPr>
                <w:rFonts w:ascii="仿宋_GB2312" w:hAnsi="仿宋_GB2312" w:cs="仿宋_GB2312" w:eastAsia="仿宋_GB2312"/>
              </w:rPr>
              <w:t>投标时已取得相关主管部门批准的则提供营业性演出许可证原件彩色清晰扫描件；投标时未取得批准的则提供承诺书，承诺内容为“若我单位中标，我单位承诺在中标后、合同签订前获得相关主管部门的批准，否则按规定取消我单位中标资格。”提供营业性演出许可证或按要求承诺的得10分，未提供或未按要求承诺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现代化管理场馆的能力综合评审</w:t>
            </w:r>
          </w:p>
        </w:tc>
        <w:tc>
          <w:tcPr>
            <w:tcW w:type="dxa" w:w="2492"/>
          </w:tcPr>
          <w:p>
            <w:pPr>
              <w:pStyle w:val="null3"/>
            </w:pPr>
            <w:r>
              <w:rPr>
                <w:rFonts w:ascii="仿宋_GB2312" w:hAnsi="仿宋_GB2312" w:cs="仿宋_GB2312" w:eastAsia="仿宋_GB2312"/>
              </w:rPr>
              <w:t>（1）提供系统基础证明（3分）：投标人提供了有效的证明，表明其拥有或将用于本项目的数字化管理系统： 提供该系统的软件著作权证书（登记为本投标人所有），得3分。 提供第三方合法授权书及授权方的软件著作权证书，授权范围需明确覆盖本项目及服务期，得2分。 评审依据：投标人名下的软件著作权证书复印件；或加盖授权方公章的授权书原件及授权方软件著作权证书复印件。 （2）核心功能覆盖（4分）：根据投标人上述提供的系统功能证明材料，每覆盖以下一个剧院运营核心业务模块，得1分，最高4分。模块定义： ①票务管理：实现演出项目票图规划、票房管理。 ②项目运营管理：实现演出项目数据的录入、预算、合同、报批等状态的实时跟踪与管理 ③在线售卖（B2C商城系统）：实现演出信息展示，票品与票价的选择，在线购买 ④电子票：可实现电子化发送票品给客户（如二维码、链接等），并实现电子化核销 评审依据：针对所声称覆盖的每个模块，必须提供系统后台功能界面的全屏截图，截图应清晰展示该模块的核心操作界面（如票务管理的设置后台）。 （3)本地化服务承诺（3分）投标人针对本项目作出明确、可核查的服务承诺。承诺在合同签订后1个月内，完成系统针对"商洛市文化艺术中心大剧院"的初始化配置（如场馆、座位图、票品设置），并提供书面承诺函，得2分。承诺为本项目使用方（采购人及运营团队）提供不少于2次的集中现场操作培训，并提供书面承诺函，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质量认证</w:t>
            </w:r>
          </w:p>
        </w:tc>
        <w:tc>
          <w:tcPr>
            <w:tcW w:type="dxa" w:w="2492"/>
          </w:tcPr>
          <w:p>
            <w:pPr>
              <w:pStyle w:val="null3"/>
            </w:pPr>
            <w:r>
              <w:rPr>
                <w:rFonts w:ascii="仿宋_GB2312" w:hAnsi="仿宋_GB2312" w:cs="仿宋_GB2312" w:eastAsia="仿宋_GB2312"/>
              </w:rPr>
              <w:t>投标人因其剧院运营管理服务体系获得国家级或国际通行的质量管理体系认证（如ISO9001） 或相关机构颁发的剧院运营服务相关认证并保持有效的，得3分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运营服务方案</w:t>
            </w:r>
          </w:p>
        </w:tc>
        <w:tc>
          <w:tcPr>
            <w:tcW w:type="dxa" w:w="2492"/>
          </w:tcPr>
          <w:p>
            <w:pPr>
              <w:pStyle w:val="null3"/>
            </w:pPr>
            <w:r>
              <w:rPr>
                <w:rFonts w:ascii="仿宋_GB2312" w:hAnsi="仿宋_GB2312" w:cs="仿宋_GB2312" w:eastAsia="仿宋_GB2312"/>
              </w:rPr>
              <w:t>卓越（8-10分）：方案完全覆盖运营战略、营销策略、宣传推广、团队配置等核心要求，且质量卓越。具体表现为：对本地市场与项目难点有独到深刻的分析，定位精准；提供了涵盖全年四个季度的详细演出项目策划清单；策略与计划极具创新性和系统性，并有详尽的资源步骤支撑，可行性极高；方案为高度定制，逻辑严谨。 良好（6-7.9分）：方案内容完整覆盖各项要求，质量良好。能结合项目进行描述，策略与计划具体可行，能保障运营目标，结构清晰。 合格（4-5.9分）：方案基本完整，但部分内容（如宣传或营收计划）较为简略。对项目有基本认知，措施常规但总体可行，无明显错误。 基本不符合（2-3.9分）：存在以下一项不足：关键内容缺失；方案空洞、严重套用模板，缺乏具体考量；存在明显错误或不可行的安排。 严重不符合（0-1.9分）：方案内容严重缺失、完全脱离项目需求，或未提供方案。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公益服务活动方案、配合城市文化发展重要举措综合评审</w:t>
            </w:r>
          </w:p>
        </w:tc>
        <w:tc>
          <w:tcPr>
            <w:tcW w:type="dxa" w:w="2492"/>
          </w:tcPr>
          <w:p>
            <w:pPr>
              <w:pStyle w:val="null3"/>
            </w:pPr>
            <w:r>
              <w:rPr>
                <w:rFonts w:ascii="仿宋_GB2312" w:hAnsi="仿宋_GB2312" w:cs="仿宋_GB2312" w:eastAsia="仿宋_GB2312"/>
              </w:rPr>
              <w:t>卓越 (8-10分)：方案内容详尽完整，质量卓越。具体体现为：对本地公共文化需求与城市发展战略有深刻洞察，公益服务目标清晰、形式创新（如定制化艺术普及、社区嵌入计划），与“商洛文化品牌”结合紧密；提出的全年活动规划详尽，频率、覆盖面、预算及评估机制科学完备；配合市级重要文化举措的预案具体且有高度协同性。 良好 (6-7.9分)：方案内容完整覆盖要求，质量良好。能结合招标要求提出具体的公益活动与配合举措，活动形式、频次和计划可行，能有效支持公益及文化发展目标，各项安排逻辑清晰。 合格 (4-5.9分)：方案内容基本完整，但部分方面（如活动详情或配合措施）较为简略。对项目有基本认知，提出的活动与举措常规，缺乏突出亮点，但总体可行。 基本不符合 (2-3.9分)：存在以下一项明显不足：方案关键内容缺失；方案空洞、严重套用模板，未体现对本项目的具体考量；活动设计或配合措施存在明显不合理或不可行之处。 严重不符合 (0-1.9分)：方案内容严重缺失、完全脱离项目公益性与文化发展需求，或未提供本方案。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团队管理方案综合评审</w:t>
            </w:r>
          </w:p>
        </w:tc>
        <w:tc>
          <w:tcPr>
            <w:tcW w:type="dxa" w:w="2492"/>
          </w:tcPr>
          <w:p>
            <w:pPr>
              <w:pStyle w:val="null3"/>
            </w:pPr>
            <w:r>
              <w:rPr>
                <w:rFonts w:ascii="仿宋_GB2312" w:hAnsi="仿宋_GB2312" w:cs="仿宋_GB2312" w:eastAsia="仿宋_GB2312"/>
              </w:rPr>
              <w:t>卓越（6-7分）：方案内容详尽完整，质量卓越。具体体现为：拟派团队的核心成员（如总经理、艺术总监、技术总监）具备丰富的同类剧院成功运营经验及相应的专业职称或资格证书；部门架构（如节目部、市场部、技术部、客服部）设置科学、完整，岗位职责清晰；人员资质完全满足；团队组建计划周密，包含详细的考核、培训与激励机制，能充分保障服务的专业性与稳定性。 良好（4-5.9分）：方案内容完整，质量良好。团队核心成员经验与资质符合招标要求，部门与岗位设置合理，能支撑项目运营，人员配置方案基本可行。 合格（2-3.9分）：方案内容基本完整，但部分方面（如个别岗位职责或人员资质描述）较为简略。团队组成、部门设置和人员资质基本满足项目最低要求，无重大缺失。 基本不符合（0-1.9分）：未提供核心团队简历及部门架构图；方案内容空洞、明显套用通用模板，未体现对本项目的针对性配置；未提供本方案。</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运营管理制度综合评审</w:t>
            </w:r>
          </w:p>
        </w:tc>
        <w:tc>
          <w:tcPr>
            <w:tcW w:type="dxa" w:w="2492"/>
          </w:tcPr>
          <w:p>
            <w:pPr>
              <w:pStyle w:val="null3"/>
            </w:pPr>
            <w:r>
              <w:rPr>
                <w:rFonts w:ascii="仿宋_GB2312" w:hAnsi="仿宋_GB2312" w:cs="仿宋_GB2312" w:eastAsia="仿宋_GB2312"/>
              </w:rPr>
              <w:t>卓越（8-10分）：方案内容体系完整、质量卓越。具体体现为：所提交的业务运作规范（如演出策划与报批流程、票务销售与结算管理、舞台安全与技术操作章程、场地租赁与服务标准）与内部管理制度（行政、财务、人力资源、应急预案）不仅详尽周密，完全覆盖招标要求，且设计极具系统性和专业性。各项制度之间衔接顺畅，流程清晰，权责明确，并体现了先进的管理理念或符合行业认证标准（如ISO9001），展现出确保剧院高效、规范、安全运营的卓越能力。 良好（6-7.9分）：方案内容完整，质量良好。提交的各项管理制度能够覆盖招标文件要求的主要方面，内容具体、可行，逻辑清晰，能够有效支持剧院的日常规范化运营。 合格（4-5.9分）：方案内容基本完整，但部分制度（如某一专项流程或应急预案）较为简略或常规。制度框架和基本内容齐全，无重大缺失，能满足项目运营的基本管理需求。 基本不符合（2-3.9分）：存在以下一项明显不足：方案缺失关键的管理制度内容；方案内容空洞、严重套用模板，未体现对剧院运营特殊性的考量；制度设计存在明显缺陷或不可行之处。 严重不符合（0-1.9分）：方案内容严重缺失、所提供的制度完全无法支撑剧院的基本业务运作与内部管理，或未提供本方案。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风险控制方案综合评审</w:t>
            </w:r>
          </w:p>
        </w:tc>
        <w:tc>
          <w:tcPr>
            <w:tcW w:type="dxa" w:w="2492"/>
          </w:tcPr>
          <w:p>
            <w:pPr>
              <w:pStyle w:val="null3"/>
            </w:pPr>
            <w:r>
              <w:rPr>
                <w:rFonts w:ascii="仿宋_GB2312" w:hAnsi="仿宋_GB2312" w:cs="仿宋_GB2312" w:eastAsia="仿宋_GB2312"/>
              </w:rPr>
              <w:t>卓越（8-10分）：方案体系完整、专业且可操作性强。针对大型活动安保、消防应急、设施设备突发故障等核心风险的预案不仅详尽，完全覆盖并超越了招标要求，而且体现了高度的专业性。预案内容包含清晰的风险评估、等级划分、组织指挥体系、具体响应流程、资源保障清单（人员、物资、联络）及完备的后期处置与演练计划，各项预案之间衔接顺畅，展现出应对复杂突发情况的卓越能力。 良好（6-7.9分）：方案内容完整，质量良好。提交的各类应急预案能够覆盖招标文件要求的主要风险点，预案结构完整、措施具体、责任明确，具备良好的可行性，能够有效支持剧院的安全运营。 合格（4-5.9分）：方案内容基本完整，但部分预案（如某一专项预案或处置细节）较为简略或常规。具备基本的应急框架和流程，能满足项目运营的最低安全管控需求。 基本不符合（2-3.9分）：存在以下一项明显不足：方案缺失关键类别的应急预案；方案内容空洞、严重套用通用模板，未体现对剧院特定场所（如舞台机械、密集人群）风险的针对性分析；预案措施存在明显缺陷或不可行。 严重不符合（0-1.9分）：方案内容严重缺失、所提供的预案完全无法应对剧院运营的基本安全风险，或未提供本方案。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设施设备维护保养方案综合评审</w:t>
            </w:r>
          </w:p>
        </w:tc>
        <w:tc>
          <w:tcPr>
            <w:tcW w:type="dxa" w:w="2492"/>
          </w:tcPr>
          <w:p>
            <w:pPr>
              <w:pStyle w:val="null3"/>
            </w:pPr>
            <w:r>
              <w:rPr>
                <w:rFonts w:ascii="仿宋_GB2312" w:hAnsi="仿宋_GB2312" w:cs="仿宋_GB2312" w:eastAsia="仿宋_GB2312"/>
              </w:rPr>
              <w:t>卓越（8-10分）：方案体系完整、科学且专业。针对舞台机械、灯光音响、暖通空调、建筑本体等所有设施设备的维护保养方案不仅详尽，完全覆盖并超越了招标要求，而且体现了高度的专业性和预见性。方案包含清晰的设备台账、全生命周期的预防性维护计划（含频率、标准）、专业的检测与诊断方法、详尽的备品备件管理策略以及高效的应急维修响应流程，预算合理且保障措施有力，能显著延长设备寿命并确保最佳运行状态。 良好（6-7.9分）：方案内容完整，质量良好。提交的维护保养方案能够覆盖招标文件要求的主要设施类别，计划合理、措施具体、责任明确，具备良好的可行性，能够有效保障设施设备的正常稳定运行。 合格（4-5.9分）：方案内容基本完整，但部分内容（如对特定专业系统或构筑物的维护计划）较为简略或常规。具备基本的维护框架和措施，能满足项目运营的最低维护需求。 基本不符合（2-3.9分）：存在以下一项明显不足：方案缺失对关键设施系统（如舞台机械、消防系统）的维护方案；方案内容空洞、严重套用模板，未体现对剧院特殊设备的技术要求；维护措施、周期或预算存在明显不合理或不可行之处。 严重不符合（0-1.9分）：方案内容严重缺失、所提供的方案完全无法保障剧院设施设备的基本安全与正常运行，或未提供本方案。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经初步审查合格的投标文件，投标报价最低的供应商的价格为基准价，其价格分为满分。其他供应商的价格分统一按照下列公式计算： 报价得分=（基准价/投标报价）×10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详见附件：商洛文化艺术中心大剧院运营协议合同初稿-发出.docx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