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FC9BA16">
      <w:pPr>
        <w:spacing w:line="600" w:lineRule="auto"/>
        <w:jc w:val="center"/>
        <w:rPr>
          <w:rFonts w:hint="eastAsia" w:ascii="仿宋" w:hAnsi="仿宋" w:eastAsia="仿宋" w:cs="仿宋"/>
          <w:b/>
          <w:sz w:val="52"/>
          <w:szCs w:val="18"/>
        </w:rPr>
      </w:pPr>
    </w:p>
    <w:p w14:paraId="72F333D7">
      <w:pPr>
        <w:spacing w:line="600" w:lineRule="auto"/>
        <w:jc w:val="center"/>
        <w:rPr>
          <w:rFonts w:hint="eastAsia" w:ascii="仿宋" w:hAnsi="仿宋" w:eastAsia="仿宋" w:cs="仿宋"/>
          <w:b/>
          <w:sz w:val="48"/>
          <w:szCs w:val="48"/>
        </w:rPr>
      </w:pPr>
    </w:p>
    <w:p w14:paraId="2DDB093E">
      <w:pPr>
        <w:spacing w:line="600" w:lineRule="auto"/>
        <w:jc w:val="center"/>
        <w:rPr>
          <w:rFonts w:hint="eastAsia" w:ascii="仿宋" w:hAnsi="仿宋" w:eastAsia="仿宋" w:cs="仿宋"/>
          <w:b/>
          <w:w w:val="90"/>
          <w:sz w:val="48"/>
          <w:szCs w:val="48"/>
          <w:lang w:val="en-US" w:eastAsia="zh-CN"/>
        </w:rPr>
      </w:pPr>
      <w:r>
        <w:rPr>
          <w:rFonts w:hint="eastAsia" w:ascii="仿宋" w:hAnsi="仿宋" w:eastAsia="仿宋" w:cs="仿宋"/>
          <w:b/>
          <w:w w:val="90"/>
          <w:sz w:val="48"/>
          <w:szCs w:val="48"/>
          <w:lang w:val="en-US" w:eastAsia="zh-CN"/>
        </w:rPr>
        <w:t>商洛市中医医院医用耗材采购项目</w:t>
      </w:r>
    </w:p>
    <w:p w14:paraId="07EA0F2F">
      <w:pPr>
        <w:spacing w:line="600" w:lineRule="auto"/>
        <w:jc w:val="center"/>
        <w:rPr>
          <w:rFonts w:hint="eastAsia" w:ascii="仿宋" w:hAnsi="仿宋" w:eastAsia="仿宋" w:cs="仿宋"/>
          <w:b/>
          <w:sz w:val="48"/>
          <w:szCs w:val="48"/>
        </w:rPr>
      </w:pPr>
      <w:r>
        <w:rPr>
          <w:rFonts w:hint="eastAsia" w:ascii="仿宋" w:hAnsi="仿宋" w:eastAsia="仿宋" w:cs="仿宋"/>
          <w:b/>
          <w:sz w:val="48"/>
          <w:szCs w:val="48"/>
        </w:rPr>
        <w:t>采购</w:t>
      </w:r>
      <w:bookmarkStart w:id="0" w:name="_Hlk517163845"/>
      <w:r>
        <w:rPr>
          <w:rFonts w:hint="eastAsia" w:ascii="仿宋" w:hAnsi="仿宋" w:eastAsia="仿宋" w:cs="仿宋"/>
          <w:b/>
          <w:sz w:val="48"/>
          <w:szCs w:val="48"/>
        </w:rPr>
        <w:t>合同</w:t>
      </w:r>
    </w:p>
    <w:p w14:paraId="539EC57E">
      <w:pPr>
        <w:spacing w:line="360" w:lineRule="auto"/>
        <w:rPr>
          <w:rFonts w:hint="eastAsia" w:ascii="仿宋" w:hAnsi="仿宋" w:eastAsia="仿宋" w:cs="仿宋"/>
          <w:b/>
          <w:sz w:val="44"/>
          <w:szCs w:val="44"/>
        </w:rPr>
      </w:pPr>
    </w:p>
    <w:p w14:paraId="1297D4AA">
      <w:pPr>
        <w:bidi w:val="0"/>
        <w:rPr>
          <w:rFonts w:hint="eastAsia"/>
        </w:rPr>
      </w:pPr>
    </w:p>
    <w:p w14:paraId="079A4619">
      <w:pPr>
        <w:spacing w:line="360" w:lineRule="auto"/>
        <w:ind w:firstLine="964" w:firstLineChars="300"/>
        <w:rPr>
          <w:rFonts w:hint="eastAsia" w:ascii="仿宋" w:hAnsi="仿宋" w:eastAsia="仿宋" w:cs="仿宋"/>
          <w:b/>
          <w:sz w:val="32"/>
          <w:szCs w:val="32"/>
        </w:rPr>
      </w:pPr>
    </w:p>
    <w:p w14:paraId="4B08DD78">
      <w:pPr>
        <w:spacing w:line="600" w:lineRule="auto"/>
        <w:ind w:firstLine="1606" w:firstLineChars="500"/>
        <w:rPr>
          <w:rFonts w:hint="eastAsia" w:ascii="仿宋" w:hAnsi="仿宋" w:eastAsia="仿宋" w:cs="仿宋"/>
          <w:b/>
          <w:sz w:val="32"/>
          <w:szCs w:val="32"/>
        </w:rPr>
      </w:pPr>
      <w:r>
        <w:rPr>
          <w:rFonts w:hint="eastAsia" w:ascii="仿宋" w:hAnsi="仿宋" w:eastAsia="仿宋" w:cs="仿宋"/>
          <w:b/>
          <w:sz w:val="32"/>
          <w:szCs w:val="32"/>
          <w:lang w:eastAsia="zh-CN"/>
        </w:rPr>
        <w:t>包段</w:t>
      </w:r>
      <w:r>
        <w:rPr>
          <w:rFonts w:hint="eastAsia" w:ascii="仿宋" w:hAnsi="仿宋" w:eastAsia="仿宋" w:cs="仿宋"/>
          <w:b/>
          <w:sz w:val="32"/>
          <w:szCs w:val="32"/>
        </w:rPr>
        <w:t>名称：</w:t>
      </w:r>
    </w:p>
    <w:p w14:paraId="472C1F12">
      <w:pPr>
        <w:spacing w:line="600" w:lineRule="auto"/>
        <w:ind w:firstLine="1606" w:firstLineChars="500"/>
        <w:rPr>
          <w:rFonts w:hint="default" w:ascii="仿宋" w:hAnsi="仿宋" w:eastAsia="仿宋" w:cs="仿宋"/>
          <w:sz w:val="32"/>
          <w:szCs w:val="32"/>
          <w:lang w:val="en-US"/>
        </w:rPr>
      </w:pPr>
      <w:r>
        <w:rPr>
          <w:rFonts w:hint="eastAsia" w:ascii="仿宋" w:hAnsi="仿宋" w:eastAsia="仿宋" w:cs="仿宋"/>
          <w:b/>
          <w:sz w:val="32"/>
          <w:szCs w:val="32"/>
        </w:rPr>
        <w:t>项目编号：</w:t>
      </w:r>
      <w:r>
        <w:rPr>
          <w:rFonts w:hint="eastAsia" w:ascii="仿宋" w:hAnsi="仿宋" w:eastAsia="仿宋" w:cs="仿宋"/>
          <w:b/>
          <w:sz w:val="32"/>
          <w:szCs w:val="32"/>
          <w:lang w:eastAsia="zh-CN"/>
        </w:rPr>
        <w:t>GZJY-SL-202</w:t>
      </w:r>
      <w:r>
        <w:rPr>
          <w:rFonts w:hint="eastAsia" w:ascii="仿宋" w:hAnsi="仿宋" w:eastAsia="仿宋" w:cs="仿宋"/>
          <w:b/>
          <w:sz w:val="32"/>
          <w:szCs w:val="32"/>
          <w:lang w:val="en-US" w:eastAsia="zh-CN"/>
        </w:rPr>
        <w:t>564B</w:t>
      </w:r>
    </w:p>
    <w:bookmarkEnd w:id="0"/>
    <w:p w14:paraId="0B144BB8">
      <w:pPr>
        <w:spacing w:line="600" w:lineRule="auto"/>
        <w:ind w:firstLine="1606" w:firstLineChars="500"/>
        <w:rPr>
          <w:rFonts w:hint="default" w:ascii="仿宋" w:hAnsi="仿宋" w:eastAsia="仿宋" w:cs="仿宋"/>
          <w:b/>
          <w:sz w:val="32"/>
          <w:szCs w:val="32"/>
          <w:lang w:val="en-US" w:eastAsia="zh-CN"/>
        </w:rPr>
      </w:pPr>
      <w:r>
        <w:rPr>
          <w:rFonts w:hint="eastAsia" w:ascii="仿宋" w:hAnsi="仿宋" w:eastAsia="仿宋" w:cs="仿宋"/>
          <w:b/>
          <w:sz w:val="32"/>
          <w:szCs w:val="32"/>
          <w:lang w:eastAsia="zh-CN"/>
        </w:rPr>
        <w:t>包段编号：GZJY-SL-202</w:t>
      </w:r>
      <w:r>
        <w:rPr>
          <w:rFonts w:hint="eastAsia" w:ascii="仿宋" w:hAnsi="仿宋" w:eastAsia="仿宋" w:cs="仿宋"/>
          <w:b/>
          <w:sz w:val="32"/>
          <w:szCs w:val="32"/>
          <w:lang w:val="en-US" w:eastAsia="zh-CN"/>
        </w:rPr>
        <w:t>564B-0*</w:t>
      </w:r>
    </w:p>
    <w:p w14:paraId="4F652804">
      <w:pPr>
        <w:spacing w:line="480" w:lineRule="auto"/>
        <w:ind w:firstLine="1084" w:firstLineChars="300"/>
        <w:rPr>
          <w:rFonts w:hint="eastAsia" w:ascii="仿宋" w:hAnsi="仿宋" w:eastAsia="仿宋" w:cs="仿宋"/>
          <w:b/>
          <w:sz w:val="36"/>
          <w:szCs w:val="36"/>
        </w:rPr>
      </w:pPr>
    </w:p>
    <w:p w14:paraId="4C8B2E29">
      <w:pPr>
        <w:rPr>
          <w:rFonts w:hint="eastAsia" w:ascii="仿宋" w:hAnsi="仿宋" w:eastAsia="仿宋" w:cs="仿宋"/>
          <w:sz w:val="32"/>
          <w:szCs w:val="32"/>
        </w:rPr>
      </w:pPr>
    </w:p>
    <w:p w14:paraId="71A97B69">
      <w:pPr>
        <w:ind w:firstLine="2240" w:firstLineChars="700"/>
        <w:rPr>
          <w:rFonts w:hint="eastAsia" w:ascii="仿宋" w:hAnsi="仿宋" w:eastAsia="仿宋" w:cs="仿宋"/>
          <w:sz w:val="32"/>
          <w:szCs w:val="32"/>
        </w:rPr>
      </w:pPr>
    </w:p>
    <w:p w14:paraId="28ECBEB2">
      <w:pPr>
        <w:ind w:firstLine="2249" w:firstLineChars="700"/>
        <w:rPr>
          <w:rFonts w:hint="eastAsia" w:ascii="仿宋" w:hAnsi="仿宋" w:eastAsia="仿宋" w:cs="仿宋"/>
          <w:b/>
          <w:bCs/>
          <w:sz w:val="32"/>
          <w:szCs w:val="32"/>
        </w:rPr>
      </w:pPr>
      <w:r>
        <w:rPr>
          <w:rFonts w:hint="eastAsia" w:ascii="仿宋" w:hAnsi="仿宋" w:eastAsia="仿宋" w:cs="仿宋"/>
          <w:b/>
          <w:bCs/>
          <w:sz w:val="32"/>
          <w:szCs w:val="32"/>
        </w:rPr>
        <w:t>甲方：商洛市中医医院</w:t>
      </w:r>
      <w:bookmarkStart w:id="1" w:name="_GoBack"/>
      <w:bookmarkEnd w:id="1"/>
    </w:p>
    <w:p w14:paraId="6F439929">
      <w:pPr>
        <w:ind w:firstLine="2249" w:firstLineChars="700"/>
        <w:rPr>
          <w:rFonts w:hint="eastAsia" w:ascii="仿宋" w:hAnsi="仿宋" w:eastAsia="仿宋" w:cs="仿宋"/>
          <w:b/>
          <w:bCs/>
          <w:sz w:val="32"/>
          <w:szCs w:val="32"/>
        </w:rPr>
      </w:pPr>
      <w:r>
        <w:rPr>
          <w:rFonts w:hint="eastAsia" w:ascii="仿宋" w:hAnsi="仿宋" w:eastAsia="仿宋" w:cs="仿宋"/>
          <w:b/>
          <w:bCs/>
          <w:sz w:val="32"/>
          <w:szCs w:val="32"/>
        </w:rPr>
        <w:t>乙方：</w:t>
      </w:r>
    </w:p>
    <w:p w14:paraId="7238BB1D">
      <w:pPr>
        <w:jc w:val="center"/>
        <w:rPr>
          <w:rFonts w:hint="eastAsia" w:ascii="仿宋" w:hAnsi="仿宋" w:eastAsia="仿宋" w:cs="仿宋"/>
          <w:b/>
          <w:bCs/>
          <w:sz w:val="40"/>
          <w:szCs w:val="40"/>
        </w:rPr>
        <w:sectPr>
          <w:pgSz w:w="11906" w:h="16838"/>
          <w:pgMar w:top="1440" w:right="1800" w:bottom="1440" w:left="1800" w:header="851" w:footer="992" w:gutter="0"/>
          <w:cols w:space="425" w:num="1"/>
          <w:docGrid w:type="lines" w:linePitch="312" w:charSpace="0"/>
        </w:sectPr>
      </w:pPr>
    </w:p>
    <w:p w14:paraId="50FEDAA0">
      <w:pPr>
        <w:jc w:val="center"/>
        <w:rPr>
          <w:rFonts w:hint="eastAsia" w:ascii="仿宋" w:hAnsi="仿宋" w:eastAsia="仿宋" w:cs="仿宋"/>
          <w:b/>
          <w:bCs/>
          <w:sz w:val="24"/>
          <w:szCs w:val="24"/>
        </w:rPr>
      </w:pPr>
      <w:r>
        <w:rPr>
          <w:rFonts w:hint="eastAsia" w:ascii="仿宋" w:hAnsi="仿宋" w:eastAsia="仿宋" w:cs="仿宋"/>
          <w:b/>
          <w:bCs/>
          <w:sz w:val="40"/>
          <w:szCs w:val="40"/>
        </w:rPr>
        <w:t>医用耗材采购合同</w:t>
      </w:r>
    </w:p>
    <w:p w14:paraId="1B43D3E1">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甲方：商洛市中医医院              法定代表人：陈书存</w:t>
      </w:r>
    </w:p>
    <w:p w14:paraId="254DD81D">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地址：</w:t>
      </w:r>
      <w:r>
        <w:rPr>
          <w:rFonts w:hint="eastAsia" w:ascii="仿宋" w:hAnsi="仿宋" w:eastAsia="仿宋" w:cs="仿宋"/>
          <w:sz w:val="24"/>
          <w:szCs w:val="24"/>
          <w:lang w:val="en-US" w:eastAsia="zh-CN"/>
        </w:rPr>
        <w:t>商</w:t>
      </w:r>
      <w:r>
        <w:rPr>
          <w:rFonts w:hint="eastAsia" w:ascii="仿宋" w:hAnsi="仿宋" w:eastAsia="仿宋" w:cs="仿宋"/>
          <w:sz w:val="24"/>
          <w:szCs w:val="24"/>
        </w:rPr>
        <w:t>洛市</w:t>
      </w:r>
      <w:r>
        <w:rPr>
          <w:rFonts w:hint="eastAsia" w:ascii="仿宋" w:hAnsi="仿宋" w:eastAsia="仿宋" w:cs="仿宋"/>
          <w:sz w:val="24"/>
          <w:szCs w:val="24"/>
          <w:lang w:val="en-US" w:eastAsia="zh-CN"/>
        </w:rPr>
        <w:t>商州区北新街148号</w:t>
      </w:r>
      <w:r>
        <w:rPr>
          <w:rFonts w:hint="eastAsia" w:ascii="仿宋" w:hAnsi="仿宋" w:eastAsia="仿宋" w:cs="仿宋"/>
          <w:sz w:val="24"/>
          <w:szCs w:val="24"/>
        </w:rPr>
        <w:t xml:space="preserve"> </w:t>
      </w:r>
    </w:p>
    <w:p w14:paraId="2691B9FC">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乙方：                            法定代表人：</w:t>
      </w:r>
    </w:p>
    <w:p w14:paraId="131D8AAE">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地址：</w:t>
      </w:r>
    </w:p>
    <w:p w14:paraId="3508DD5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为了进一步加强医用耗</w:t>
      </w:r>
      <w:r>
        <w:rPr>
          <w:rFonts w:hint="eastAsia" w:ascii="仿宋" w:hAnsi="仿宋" w:eastAsia="仿宋" w:cs="仿宋"/>
          <w:sz w:val="24"/>
          <w:szCs w:val="24"/>
          <w:lang w:eastAsia="zh-CN"/>
        </w:rPr>
        <w:t>材</w:t>
      </w:r>
      <w:r>
        <w:rPr>
          <w:rFonts w:hint="eastAsia" w:ascii="仿宋" w:hAnsi="仿宋" w:eastAsia="仿宋" w:cs="仿宋"/>
          <w:sz w:val="24"/>
          <w:szCs w:val="24"/>
        </w:rPr>
        <w:t>的购销管理，严格执行采购程序，根据《中华人民共和国民法典》，甲乙双方在平等互利、协商一致的基础上，订立本供货合同，以便共同遵守。</w:t>
      </w:r>
    </w:p>
    <w:p w14:paraId="039C56D9">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一、采购内容</w:t>
      </w:r>
    </w:p>
    <w:p w14:paraId="66A731A3">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1.乙方严格按照本合同约定的品种供货，供货品种详见合同附件《</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合同附件清单》；</w:t>
      </w:r>
    </w:p>
    <w:p w14:paraId="118B2050">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u w:val="single"/>
          <w:lang w:eastAsia="zh-CN"/>
        </w:rPr>
      </w:pPr>
      <w:r>
        <w:rPr>
          <w:rFonts w:hint="eastAsia" w:ascii="仿宋" w:hAnsi="仿宋" w:eastAsia="仿宋" w:cs="仿宋"/>
          <w:color w:val="auto"/>
          <w:sz w:val="24"/>
          <w:szCs w:val="24"/>
        </w:rPr>
        <w:t>2.2.</w:t>
      </w:r>
      <w:r>
        <w:rPr>
          <w:rFonts w:hint="eastAsia" w:ascii="仿宋" w:hAnsi="仿宋" w:eastAsia="仿宋" w:cs="仿宋"/>
          <w:color w:val="auto"/>
          <w:sz w:val="24"/>
          <w:szCs w:val="24"/>
          <w:lang w:eastAsia="zh-CN"/>
        </w:rPr>
        <w:t>合同形式：</w:t>
      </w:r>
      <w:r>
        <w:rPr>
          <w:rFonts w:hint="eastAsia" w:ascii="仿宋" w:hAnsi="仿宋" w:eastAsia="仿宋" w:cs="仿宋"/>
          <w:color w:val="auto"/>
          <w:sz w:val="24"/>
          <w:szCs w:val="24"/>
          <w:u w:val="single"/>
          <w:lang w:eastAsia="zh-CN"/>
        </w:rPr>
        <w:t>固定总价合同。</w:t>
      </w:r>
    </w:p>
    <w:p w14:paraId="3ABEDB9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lang w:eastAsia="zh-CN"/>
        </w:rPr>
      </w:pPr>
      <w:r>
        <w:rPr>
          <w:rFonts w:hint="eastAsia" w:ascii="仿宋" w:hAnsi="仿宋" w:eastAsia="仿宋" w:cs="仿宋"/>
          <w:color w:val="auto"/>
          <w:sz w:val="24"/>
          <w:szCs w:val="24"/>
        </w:rPr>
        <w:t>合同单价包括：产品、包装、运输、搬卸、税金等所有费用；</w:t>
      </w:r>
      <w:r>
        <w:rPr>
          <w:rFonts w:hint="eastAsia" w:ascii="仿宋" w:hAnsi="仿宋" w:eastAsia="仿宋" w:cs="仿宋"/>
          <w:color w:val="auto"/>
          <w:sz w:val="24"/>
          <w:szCs w:val="24"/>
          <w:lang w:eastAsia="zh-CN"/>
        </w:rPr>
        <w:t>不受市场价格变动影响。</w:t>
      </w:r>
    </w:p>
    <w:p w14:paraId="00FCDEE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3.若本合同耗材为</w:t>
      </w:r>
      <w:r>
        <w:rPr>
          <w:rFonts w:hint="eastAsia" w:ascii="仿宋" w:hAnsi="仿宋" w:eastAsia="仿宋" w:cs="仿宋"/>
          <w:color w:val="auto"/>
          <w:sz w:val="24"/>
          <w:szCs w:val="24"/>
          <w:lang w:eastAsia="zh-CN"/>
        </w:rPr>
        <w:t>药品和医用耗材招采管理系统</w:t>
      </w:r>
      <w:r>
        <w:rPr>
          <w:rFonts w:hint="eastAsia" w:ascii="仿宋" w:hAnsi="仿宋" w:eastAsia="仿宋" w:cs="仿宋"/>
          <w:color w:val="auto"/>
          <w:sz w:val="24"/>
          <w:szCs w:val="24"/>
        </w:rPr>
        <w:t>产品，按本合同价格与</w:t>
      </w:r>
      <w:r>
        <w:rPr>
          <w:rFonts w:hint="eastAsia" w:ascii="仿宋" w:hAnsi="仿宋" w:eastAsia="仿宋" w:cs="仿宋"/>
          <w:color w:val="auto"/>
          <w:sz w:val="24"/>
          <w:szCs w:val="24"/>
          <w:lang w:eastAsia="zh-CN"/>
        </w:rPr>
        <w:t>药品和医用耗材招采管理系统</w:t>
      </w:r>
      <w:r>
        <w:rPr>
          <w:rFonts w:hint="eastAsia" w:ascii="仿宋" w:hAnsi="仿宋" w:eastAsia="仿宋" w:cs="仿宋"/>
          <w:color w:val="auto"/>
          <w:sz w:val="24"/>
          <w:szCs w:val="24"/>
        </w:rPr>
        <w:t>动态调整价格孰低原则执行。</w:t>
      </w:r>
    </w:p>
    <w:p w14:paraId="2142BED0">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color w:val="auto"/>
          <w:sz w:val="24"/>
          <w:szCs w:val="24"/>
        </w:rPr>
      </w:pPr>
      <w:r>
        <w:rPr>
          <w:rFonts w:hint="eastAsia" w:ascii="仿宋" w:hAnsi="仿宋" w:eastAsia="仿宋" w:cs="仿宋"/>
          <w:b/>
          <w:bCs/>
          <w:color w:val="auto"/>
          <w:sz w:val="24"/>
          <w:szCs w:val="24"/>
        </w:rPr>
        <w:t>二、合同</w:t>
      </w:r>
      <w:r>
        <w:rPr>
          <w:rFonts w:hint="eastAsia" w:ascii="仿宋" w:hAnsi="仿宋" w:eastAsia="仿宋" w:cs="仿宋"/>
          <w:b/>
          <w:bCs/>
          <w:color w:val="auto"/>
          <w:sz w:val="24"/>
          <w:szCs w:val="24"/>
          <w:lang w:eastAsia="zh-CN"/>
        </w:rPr>
        <w:t>期限</w:t>
      </w:r>
      <w:r>
        <w:rPr>
          <w:rFonts w:hint="eastAsia" w:ascii="仿宋" w:hAnsi="仿宋" w:eastAsia="仿宋" w:cs="仿宋"/>
          <w:b/>
          <w:bCs/>
          <w:color w:val="auto"/>
          <w:sz w:val="24"/>
          <w:szCs w:val="24"/>
        </w:rPr>
        <w:t>：</w:t>
      </w:r>
      <w:r>
        <w:rPr>
          <w:rFonts w:hint="eastAsia" w:ascii="仿宋" w:hAnsi="仿宋" w:eastAsia="仿宋" w:cs="仿宋"/>
          <w:color w:val="auto"/>
          <w:sz w:val="24"/>
          <w:szCs w:val="24"/>
        </w:rPr>
        <w:t>自</w:t>
      </w:r>
      <w:r>
        <w:rPr>
          <w:rFonts w:hint="eastAsia" w:ascii="仿宋" w:hAnsi="仿宋" w:eastAsia="仿宋" w:cs="仿宋"/>
          <w:color w:val="auto"/>
          <w:sz w:val="24"/>
          <w:szCs w:val="24"/>
          <w:lang w:val="en-US" w:eastAsia="zh-CN"/>
        </w:rPr>
        <w:t>20  年  月  日至20  年  月  日</w:t>
      </w:r>
      <w:r>
        <w:rPr>
          <w:rFonts w:hint="eastAsia" w:ascii="仿宋" w:hAnsi="仿宋" w:eastAsia="仿宋" w:cs="仿宋"/>
          <w:color w:val="auto"/>
          <w:sz w:val="24"/>
          <w:szCs w:val="24"/>
        </w:rPr>
        <w:t>。</w:t>
      </w:r>
    </w:p>
    <w:p w14:paraId="7D0B0E54">
      <w:pPr>
        <w:keepNext w:val="0"/>
        <w:keepLines w:val="0"/>
        <w:pageBreakBefore w:val="0"/>
        <w:widowControl w:val="0"/>
        <w:kinsoku/>
        <w:wordWrap/>
        <w:overflowPunct/>
        <w:topLinePunct w:val="0"/>
        <w:bidi w:val="0"/>
        <w:snapToGrid/>
        <w:spacing w:line="360" w:lineRule="auto"/>
        <w:ind w:firstLine="480" w:firstLineChars="200"/>
        <w:textAlignment w:val="auto"/>
        <w:rPr>
          <w:rFonts w:hint="default" w:ascii="仿宋" w:hAnsi="仿宋" w:eastAsia="仿宋" w:cs="仿宋"/>
          <w:color w:val="auto"/>
          <w:sz w:val="24"/>
          <w:szCs w:val="24"/>
          <w:lang w:val="en-US" w:eastAsia="zh-CN"/>
        </w:rPr>
      </w:pPr>
      <w:r>
        <w:rPr>
          <w:rFonts w:hint="eastAsia" w:ascii="仿宋" w:hAnsi="仿宋" w:eastAsia="仿宋" w:cs="仿宋"/>
          <w:color w:val="auto"/>
          <w:sz w:val="24"/>
          <w:szCs w:val="24"/>
          <w:u w:val="single"/>
          <w:lang w:val="en-US" w:eastAsia="zh-CN"/>
        </w:rPr>
        <w:t>1年或采购数量供货完成止</w:t>
      </w:r>
    </w:p>
    <w:p w14:paraId="199E3068">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color w:val="auto"/>
          <w:sz w:val="24"/>
          <w:szCs w:val="24"/>
        </w:rPr>
      </w:pPr>
      <w:r>
        <w:rPr>
          <w:rFonts w:hint="eastAsia" w:ascii="仿宋" w:hAnsi="仿宋" w:eastAsia="仿宋" w:cs="仿宋"/>
          <w:b/>
          <w:bCs/>
          <w:color w:val="auto"/>
          <w:sz w:val="24"/>
          <w:szCs w:val="24"/>
        </w:rPr>
        <w:t>三、质量保证</w:t>
      </w:r>
    </w:p>
    <w:p w14:paraId="0FE266A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color w:val="auto"/>
          <w:sz w:val="24"/>
          <w:szCs w:val="24"/>
        </w:rPr>
      </w:pPr>
      <w:r>
        <w:rPr>
          <w:rFonts w:hint="eastAsia" w:ascii="仿宋" w:hAnsi="仿宋" w:eastAsia="仿宋" w:cs="仿宋"/>
          <w:color w:val="auto"/>
          <w:sz w:val="24"/>
          <w:szCs w:val="24"/>
        </w:rPr>
        <w:t>1.乙方供应的医用耗材质量</w:t>
      </w:r>
      <w:r>
        <w:rPr>
          <w:rFonts w:hint="eastAsia" w:ascii="仿宋" w:hAnsi="仿宋" w:eastAsia="仿宋" w:cs="仿宋"/>
          <w:color w:val="auto"/>
          <w:sz w:val="24"/>
          <w:szCs w:val="24"/>
          <w:lang w:eastAsia="zh-CN"/>
        </w:rPr>
        <w:t>必须</w:t>
      </w:r>
      <w:r>
        <w:rPr>
          <w:rFonts w:hint="eastAsia" w:ascii="仿宋" w:hAnsi="仿宋" w:eastAsia="仿宋" w:cs="仿宋"/>
          <w:color w:val="auto"/>
          <w:sz w:val="24"/>
          <w:szCs w:val="24"/>
        </w:rPr>
        <w:t>符合国家医疗器械相关标准及行业标准；</w:t>
      </w:r>
    </w:p>
    <w:p w14:paraId="4C356800">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color w:val="auto"/>
          <w:sz w:val="24"/>
          <w:szCs w:val="24"/>
        </w:rPr>
        <w:t>2.乙方供应的医用耗材名称、规格型号、包装、质</w:t>
      </w:r>
      <w:r>
        <w:rPr>
          <w:rFonts w:hint="eastAsia" w:ascii="仿宋" w:hAnsi="仿宋" w:eastAsia="仿宋" w:cs="仿宋"/>
          <w:sz w:val="24"/>
          <w:szCs w:val="24"/>
        </w:rPr>
        <w:t>量标准须与</w:t>
      </w:r>
      <w:r>
        <w:rPr>
          <w:rFonts w:hint="eastAsia" w:ascii="仿宋" w:hAnsi="仿宋" w:eastAsia="仿宋" w:cs="仿宋"/>
          <w:sz w:val="24"/>
          <w:szCs w:val="24"/>
          <w:lang w:eastAsia="zh-CN"/>
        </w:rPr>
        <w:t>所供医用耗材</w:t>
      </w:r>
      <w:r>
        <w:rPr>
          <w:rFonts w:hint="eastAsia" w:ascii="仿宋" w:hAnsi="仿宋" w:eastAsia="仿宋" w:cs="仿宋"/>
          <w:sz w:val="24"/>
          <w:szCs w:val="24"/>
        </w:rPr>
        <w:t>的《中华人民共和国医疗器械注册证》内容一致，不得更改；</w:t>
      </w:r>
    </w:p>
    <w:p w14:paraId="6623E846">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3.乙方供应的医用耗材的有效期</w:t>
      </w:r>
      <w:r>
        <w:rPr>
          <w:rFonts w:hint="eastAsia" w:ascii="仿宋" w:hAnsi="仿宋" w:eastAsia="仿宋" w:cs="仿宋"/>
          <w:sz w:val="24"/>
          <w:szCs w:val="24"/>
          <w:lang w:eastAsia="zh-CN"/>
        </w:rPr>
        <w:t>要求如下：</w:t>
      </w:r>
    </w:p>
    <w:p w14:paraId="3E5A8184">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有效期为36个月以上的</w:t>
      </w:r>
      <w:r>
        <w:rPr>
          <w:rFonts w:hint="eastAsia" w:ascii="仿宋" w:hAnsi="仿宋" w:eastAsia="仿宋" w:cs="仿宋"/>
          <w:sz w:val="24"/>
          <w:szCs w:val="24"/>
          <w:lang w:eastAsia="zh-CN"/>
        </w:rPr>
        <w:t>耗材</w:t>
      </w:r>
      <w:r>
        <w:rPr>
          <w:rFonts w:hint="eastAsia" w:ascii="仿宋" w:hAnsi="仿宋" w:eastAsia="仿宋" w:cs="仿宋"/>
          <w:sz w:val="24"/>
          <w:szCs w:val="24"/>
        </w:rPr>
        <w:t>，出厂日期不超过</w:t>
      </w:r>
      <w:r>
        <w:rPr>
          <w:rFonts w:hint="eastAsia" w:ascii="仿宋" w:hAnsi="仿宋" w:eastAsia="仿宋" w:cs="仿宋"/>
          <w:sz w:val="24"/>
          <w:szCs w:val="24"/>
          <w:lang w:val="en-US" w:eastAsia="zh-CN"/>
        </w:rPr>
        <w:t>12</w:t>
      </w:r>
      <w:r>
        <w:rPr>
          <w:rFonts w:hint="eastAsia" w:ascii="仿宋" w:hAnsi="仿宋" w:eastAsia="仿宋" w:cs="仿宋"/>
          <w:sz w:val="24"/>
          <w:szCs w:val="24"/>
        </w:rPr>
        <w:t>个月</w:t>
      </w:r>
      <w:r>
        <w:rPr>
          <w:rFonts w:hint="eastAsia" w:ascii="仿宋" w:hAnsi="仿宋" w:eastAsia="仿宋" w:cs="仿宋"/>
          <w:sz w:val="24"/>
          <w:szCs w:val="24"/>
          <w:lang w:eastAsia="zh-CN"/>
        </w:rPr>
        <w:t>。</w:t>
      </w:r>
    </w:p>
    <w:p w14:paraId="23C1D131">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有效期为</w:t>
      </w:r>
      <w:r>
        <w:rPr>
          <w:rFonts w:hint="eastAsia" w:ascii="仿宋" w:hAnsi="仿宋" w:eastAsia="仿宋" w:cs="仿宋"/>
          <w:sz w:val="24"/>
          <w:szCs w:val="24"/>
          <w:lang w:val="en-US" w:eastAsia="zh-CN"/>
        </w:rPr>
        <w:t>36</w:t>
      </w:r>
      <w:r>
        <w:rPr>
          <w:rFonts w:hint="eastAsia" w:ascii="仿宋" w:hAnsi="仿宋" w:eastAsia="仿宋" w:cs="仿宋"/>
          <w:sz w:val="24"/>
          <w:szCs w:val="24"/>
        </w:rPr>
        <w:t>个月的</w:t>
      </w:r>
      <w:r>
        <w:rPr>
          <w:rFonts w:hint="eastAsia" w:ascii="仿宋" w:hAnsi="仿宋" w:eastAsia="仿宋" w:cs="仿宋"/>
          <w:sz w:val="24"/>
          <w:szCs w:val="24"/>
          <w:lang w:eastAsia="zh-CN"/>
        </w:rPr>
        <w:t>耗材</w:t>
      </w:r>
      <w:r>
        <w:rPr>
          <w:rFonts w:hint="eastAsia" w:ascii="仿宋" w:hAnsi="仿宋" w:eastAsia="仿宋" w:cs="仿宋"/>
          <w:sz w:val="24"/>
          <w:szCs w:val="24"/>
        </w:rPr>
        <w:t>，出厂日期不超过</w:t>
      </w:r>
      <w:r>
        <w:rPr>
          <w:rFonts w:hint="eastAsia" w:ascii="仿宋" w:hAnsi="仿宋" w:eastAsia="仿宋" w:cs="仿宋"/>
          <w:sz w:val="24"/>
          <w:szCs w:val="24"/>
          <w:lang w:val="en-US" w:eastAsia="zh-CN"/>
        </w:rPr>
        <w:t>9</w:t>
      </w:r>
      <w:r>
        <w:rPr>
          <w:rFonts w:hint="eastAsia" w:ascii="仿宋" w:hAnsi="仿宋" w:eastAsia="仿宋" w:cs="仿宋"/>
          <w:sz w:val="24"/>
          <w:szCs w:val="24"/>
        </w:rPr>
        <w:t>个月。</w:t>
      </w:r>
    </w:p>
    <w:p w14:paraId="1A9A0ECA">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有效期为24个月的</w:t>
      </w:r>
      <w:r>
        <w:rPr>
          <w:rFonts w:hint="eastAsia" w:ascii="仿宋" w:hAnsi="仿宋" w:eastAsia="仿宋" w:cs="仿宋"/>
          <w:sz w:val="24"/>
          <w:szCs w:val="24"/>
          <w:lang w:eastAsia="zh-CN"/>
        </w:rPr>
        <w:t>耗材</w:t>
      </w:r>
      <w:r>
        <w:rPr>
          <w:rFonts w:hint="eastAsia" w:ascii="仿宋" w:hAnsi="仿宋" w:eastAsia="仿宋" w:cs="仿宋"/>
          <w:sz w:val="24"/>
          <w:szCs w:val="24"/>
        </w:rPr>
        <w:t>，出厂日期不超过</w:t>
      </w:r>
      <w:r>
        <w:rPr>
          <w:rFonts w:hint="eastAsia" w:ascii="仿宋" w:hAnsi="仿宋" w:eastAsia="仿宋" w:cs="仿宋"/>
          <w:sz w:val="24"/>
          <w:szCs w:val="24"/>
          <w:lang w:val="en-US" w:eastAsia="zh-CN"/>
        </w:rPr>
        <w:t>6</w:t>
      </w:r>
      <w:r>
        <w:rPr>
          <w:rFonts w:hint="eastAsia" w:ascii="仿宋" w:hAnsi="仿宋" w:eastAsia="仿宋" w:cs="仿宋"/>
          <w:sz w:val="24"/>
          <w:szCs w:val="24"/>
        </w:rPr>
        <w:t>个月</w:t>
      </w:r>
      <w:r>
        <w:rPr>
          <w:rFonts w:hint="eastAsia" w:ascii="仿宋" w:hAnsi="仿宋" w:eastAsia="仿宋" w:cs="仿宋"/>
          <w:sz w:val="24"/>
          <w:szCs w:val="24"/>
          <w:lang w:eastAsia="zh-CN"/>
        </w:rPr>
        <w:t>。</w:t>
      </w:r>
    </w:p>
    <w:p w14:paraId="3F005AD8">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有效期为12个月的</w:t>
      </w:r>
      <w:r>
        <w:rPr>
          <w:rFonts w:hint="eastAsia" w:ascii="仿宋" w:hAnsi="仿宋" w:eastAsia="仿宋" w:cs="仿宋"/>
          <w:sz w:val="24"/>
          <w:szCs w:val="24"/>
          <w:lang w:eastAsia="zh-CN"/>
        </w:rPr>
        <w:t>耗材</w:t>
      </w:r>
      <w:r>
        <w:rPr>
          <w:rFonts w:hint="eastAsia" w:ascii="仿宋" w:hAnsi="仿宋" w:eastAsia="仿宋" w:cs="仿宋"/>
          <w:sz w:val="24"/>
          <w:szCs w:val="24"/>
        </w:rPr>
        <w:t>，出厂日期不超过</w:t>
      </w:r>
      <w:r>
        <w:rPr>
          <w:rFonts w:hint="eastAsia" w:ascii="仿宋" w:hAnsi="仿宋" w:eastAsia="仿宋" w:cs="仿宋"/>
          <w:sz w:val="24"/>
          <w:szCs w:val="24"/>
          <w:lang w:val="en-US" w:eastAsia="zh-CN"/>
        </w:rPr>
        <w:t>3</w:t>
      </w:r>
      <w:r>
        <w:rPr>
          <w:rFonts w:hint="eastAsia" w:ascii="仿宋" w:hAnsi="仿宋" w:eastAsia="仿宋" w:cs="仿宋"/>
          <w:sz w:val="24"/>
          <w:szCs w:val="24"/>
        </w:rPr>
        <w:t>个月</w:t>
      </w:r>
    </w:p>
    <w:p w14:paraId="603930FB">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四、包装及运输</w:t>
      </w:r>
    </w:p>
    <w:p w14:paraId="584FA39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1.包装：乙方</w:t>
      </w:r>
      <w:r>
        <w:rPr>
          <w:rFonts w:hint="eastAsia" w:ascii="仿宋" w:hAnsi="仿宋" w:eastAsia="仿宋" w:cs="仿宋"/>
          <w:sz w:val="24"/>
          <w:szCs w:val="24"/>
          <w:lang w:eastAsia="zh-CN"/>
        </w:rPr>
        <w:t>配送耗材的</w:t>
      </w:r>
      <w:r>
        <w:rPr>
          <w:rFonts w:hint="eastAsia" w:ascii="仿宋" w:hAnsi="仿宋" w:eastAsia="仿宋" w:cs="仿宋"/>
          <w:sz w:val="24"/>
          <w:szCs w:val="24"/>
        </w:rPr>
        <w:t>包装</w:t>
      </w:r>
      <w:r>
        <w:rPr>
          <w:rFonts w:hint="eastAsia" w:ascii="仿宋" w:hAnsi="仿宋" w:eastAsia="仿宋" w:cs="仿宋"/>
          <w:sz w:val="24"/>
          <w:szCs w:val="24"/>
          <w:lang w:eastAsia="zh-CN"/>
        </w:rPr>
        <w:t>必须</w:t>
      </w:r>
      <w:r>
        <w:rPr>
          <w:rFonts w:hint="eastAsia" w:ascii="仿宋" w:hAnsi="仿宋" w:eastAsia="仿宋" w:cs="仿宋"/>
          <w:sz w:val="24"/>
          <w:szCs w:val="24"/>
        </w:rPr>
        <w:t>符合国家相关标准；</w:t>
      </w:r>
    </w:p>
    <w:p w14:paraId="1890A164">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2.运输：运输由乙方负责，运杂费巳包含在采购价内，包括耗材运输所含的仓储费、运输费、装卸费、搬运费、保险费等；</w:t>
      </w:r>
    </w:p>
    <w:p w14:paraId="0F297C7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3.运输方式由乙方自行选择，但必须符合耗材运输规范并</w:t>
      </w:r>
      <w:r>
        <w:rPr>
          <w:rFonts w:hint="eastAsia" w:ascii="仿宋" w:hAnsi="仿宋" w:eastAsia="仿宋" w:cs="仿宋"/>
          <w:sz w:val="24"/>
          <w:szCs w:val="24"/>
          <w:lang w:eastAsia="zh-CN"/>
        </w:rPr>
        <w:t>保证</w:t>
      </w:r>
      <w:r>
        <w:rPr>
          <w:rFonts w:hint="eastAsia" w:ascii="仿宋" w:hAnsi="仿宋" w:eastAsia="仿宋" w:cs="仿宋"/>
          <w:sz w:val="24"/>
          <w:szCs w:val="24"/>
        </w:rPr>
        <w:t>按期交货。</w:t>
      </w:r>
    </w:p>
    <w:p w14:paraId="26B89E8A">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五、交货</w:t>
      </w:r>
    </w:p>
    <w:p w14:paraId="124FE9DE">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1.乙方严格按甲方的采购计划供货，</w:t>
      </w:r>
      <w:r>
        <w:rPr>
          <w:rFonts w:hint="eastAsia" w:ascii="仿宋" w:hAnsi="仿宋" w:eastAsia="仿宋" w:cs="仿宋"/>
          <w:sz w:val="24"/>
          <w:szCs w:val="24"/>
          <w:lang w:eastAsia="zh-CN"/>
        </w:rPr>
        <w:t>并须</w:t>
      </w:r>
      <w:r>
        <w:rPr>
          <w:rFonts w:hint="eastAsia" w:ascii="仿宋" w:hAnsi="仿宋" w:eastAsia="仿宋" w:cs="仿宋"/>
          <w:sz w:val="24"/>
          <w:szCs w:val="24"/>
        </w:rPr>
        <w:t>执行网采。</w:t>
      </w:r>
    </w:p>
    <w:p w14:paraId="45370C4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2.乙方初次供货时必须提供公司经营资质、所供每种</w:t>
      </w:r>
      <w:r>
        <w:rPr>
          <w:rFonts w:hint="eastAsia" w:ascii="仿宋" w:hAnsi="仿宋" w:eastAsia="仿宋" w:cs="仿宋"/>
          <w:sz w:val="24"/>
          <w:szCs w:val="24"/>
          <w:lang w:eastAsia="zh-CN"/>
        </w:rPr>
        <w:t>耗材</w:t>
      </w:r>
      <w:r>
        <w:rPr>
          <w:rFonts w:hint="eastAsia" w:ascii="仿宋" w:hAnsi="仿宋" w:eastAsia="仿宋" w:cs="仿宋"/>
          <w:sz w:val="24"/>
          <w:szCs w:val="24"/>
        </w:rPr>
        <w:t>的资质及产品完整的授权链。</w:t>
      </w:r>
    </w:p>
    <w:p w14:paraId="2DAC2BE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3.乙方对所供医用耗材应适当备货，确保甲方需要。甲方下达的月采购计划应在一周内供货到位，临时采购计划应在约定的时间内供货。超过供货时间，甲方有权另行采购。</w:t>
      </w:r>
    </w:p>
    <w:p w14:paraId="78F9D78B">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4.供货必须附随货同行清单、质检报告或报关单等，开具发票的必须附发票清单，均要盖乙方单位财务公章，并详细注明</w:t>
      </w:r>
      <w:r>
        <w:rPr>
          <w:rFonts w:hint="eastAsia" w:ascii="仿宋" w:hAnsi="仿宋" w:eastAsia="仿宋" w:cs="仿宋"/>
          <w:sz w:val="24"/>
          <w:szCs w:val="24"/>
          <w:lang w:eastAsia="zh-CN"/>
        </w:rPr>
        <w:t>耗材</w:t>
      </w:r>
      <w:r>
        <w:rPr>
          <w:rFonts w:hint="eastAsia" w:ascii="仿宋" w:hAnsi="仿宋" w:eastAsia="仿宋" w:cs="仿宋"/>
          <w:sz w:val="24"/>
          <w:szCs w:val="24"/>
        </w:rPr>
        <w:t>名称、型号、规格、单位、数量、单价等。</w:t>
      </w:r>
    </w:p>
    <w:p w14:paraId="7EA1D85F">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六、验收</w:t>
      </w:r>
    </w:p>
    <w:p w14:paraId="6687F38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到货后甲方或双方必须按合同及订单对</w:t>
      </w:r>
      <w:r>
        <w:rPr>
          <w:rFonts w:hint="eastAsia" w:ascii="仿宋" w:hAnsi="仿宋" w:eastAsia="仿宋" w:cs="仿宋"/>
          <w:sz w:val="24"/>
          <w:szCs w:val="24"/>
          <w:lang w:eastAsia="zh-CN"/>
        </w:rPr>
        <w:t>耗材</w:t>
      </w:r>
      <w:r>
        <w:rPr>
          <w:rFonts w:hint="eastAsia" w:ascii="仿宋" w:hAnsi="仿宋" w:eastAsia="仿宋" w:cs="仿宋"/>
          <w:sz w:val="24"/>
          <w:szCs w:val="24"/>
        </w:rPr>
        <w:t>进行验收，属冷链运输的交货验收时需留存运输途中的温度记录单，若发现乙方所供</w:t>
      </w:r>
      <w:r>
        <w:rPr>
          <w:rFonts w:hint="eastAsia" w:ascii="仿宋" w:hAnsi="仿宋" w:eastAsia="仿宋" w:cs="仿宋"/>
          <w:sz w:val="24"/>
          <w:szCs w:val="24"/>
          <w:lang w:eastAsia="zh-CN"/>
        </w:rPr>
        <w:t>耗材</w:t>
      </w:r>
      <w:r>
        <w:rPr>
          <w:rFonts w:hint="eastAsia" w:ascii="仿宋" w:hAnsi="仿宋" w:eastAsia="仿宋" w:cs="仿宋"/>
          <w:sz w:val="24"/>
          <w:szCs w:val="24"/>
        </w:rPr>
        <w:t>品牌、质量、规格、数量、效期、温度等不符合要求即视为不合格，乙方负责及时更换或退货。</w:t>
      </w:r>
    </w:p>
    <w:p w14:paraId="459AAE72">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lang w:eastAsia="zh-CN"/>
        </w:rPr>
        <w:t>七、</w:t>
      </w:r>
      <w:r>
        <w:rPr>
          <w:rFonts w:hint="eastAsia" w:ascii="仿宋" w:hAnsi="仿宋" w:eastAsia="仿宋" w:cs="仿宋"/>
          <w:b/>
          <w:bCs/>
          <w:sz w:val="24"/>
          <w:szCs w:val="24"/>
        </w:rPr>
        <w:t>款项结算</w:t>
      </w:r>
    </w:p>
    <w:p w14:paraId="2145249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1.付款方式：乙方按正常途径供货并开具“两票制”或生产厂家直供“一票制”发票办理入库手续后，按甲方财务规定的程序办理签票及付款。</w:t>
      </w:r>
    </w:p>
    <w:p w14:paraId="35FCAD1A">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2.支付方式：银行转账</w:t>
      </w:r>
    </w:p>
    <w:p w14:paraId="61BE0C8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3.乙方账户信息如下</w:t>
      </w:r>
    </w:p>
    <w:p w14:paraId="1A6706B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户名：</w:t>
      </w:r>
    </w:p>
    <w:p w14:paraId="0FEDB9DC">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开户行：</w:t>
      </w:r>
    </w:p>
    <w:p w14:paraId="3DB0233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账号：</w:t>
      </w:r>
    </w:p>
    <w:p w14:paraId="2E37D06C">
      <w:pPr>
        <w:keepNext w:val="0"/>
        <w:keepLines w:val="0"/>
        <w:pageBreakBefore w:val="0"/>
        <w:widowControl w:val="0"/>
        <w:numPr>
          <w:ilvl w:val="0"/>
          <w:numId w:val="0"/>
        </w:numPr>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lang w:eastAsia="zh-CN"/>
        </w:rPr>
        <w:t>八、</w:t>
      </w:r>
      <w:r>
        <w:rPr>
          <w:rFonts w:hint="eastAsia" w:ascii="仿宋" w:hAnsi="仿宋" w:eastAsia="仿宋" w:cs="仿宋"/>
          <w:b/>
          <w:bCs/>
          <w:sz w:val="24"/>
          <w:szCs w:val="24"/>
        </w:rPr>
        <w:t>责任约定</w:t>
      </w:r>
    </w:p>
    <w:p w14:paraId="739C835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1.甲方因使用、保管不当等自身原因造成</w:t>
      </w:r>
      <w:r>
        <w:rPr>
          <w:rFonts w:hint="eastAsia" w:ascii="仿宋" w:hAnsi="仿宋" w:eastAsia="仿宋" w:cs="仿宋"/>
          <w:sz w:val="24"/>
          <w:szCs w:val="24"/>
          <w:lang w:eastAsia="zh-CN"/>
        </w:rPr>
        <w:t>耗材</w:t>
      </w:r>
      <w:r>
        <w:rPr>
          <w:rFonts w:hint="eastAsia" w:ascii="仿宋" w:hAnsi="仿宋" w:eastAsia="仿宋" w:cs="仿宋"/>
          <w:sz w:val="24"/>
          <w:szCs w:val="24"/>
        </w:rPr>
        <w:t>失效或质量下降的，责任由甲方承担。</w:t>
      </w:r>
    </w:p>
    <w:p w14:paraId="7450C4E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2.乙方保证所供医用耗材相关资质证照齐备、有效并符合《国家医疗器械管理条例》要求，相关资质证照到期前必须及时向甲方办理更新备案。</w:t>
      </w:r>
    </w:p>
    <w:p w14:paraId="1EF7E042">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 xml:space="preserve">3.乙方保证所供医用耗材符合国家医用耗材质量标准，确保临床医疗安全，因产品质量而引起的一切不良后果及责任由乙方承担，产品出现非人为损坏，乙方负责免费更换。         </w:t>
      </w:r>
    </w:p>
    <w:p w14:paraId="01EE430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4.乙方所提供的</w:t>
      </w:r>
      <w:r>
        <w:rPr>
          <w:rFonts w:hint="eastAsia" w:ascii="仿宋" w:hAnsi="仿宋" w:eastAsia="仿宋" w:cs="仿宋"/>
          <w:sz w:val="24"/>
          <w:szCs w:val="24"/>
          <w:lang w:eastAsia="zh-CN"/>
        </w:rPr>
        <w:t>耗材</w:t>
      </w:r>
      <w:r>
        <w:rPr>
          <w:rFonts w:hint="eastAsia" w:ascii="仿宋" w:hAnsi="仿宋" w:eastAsia="仿宋" w:cs="仿宋"/>
          <w:sz w:val="24"/>
          <w:szCs w:val="24"/>
        </w:rPr>
        <w:t>因包装、特许授权等引起的侵权行为或造成医疗纠纷的由乙方负全部法律责任和赔偿相关的经济损失。</w:t>
      </w:r>
    </w:p>
    <w:p w14:paraId="74B337F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5.甲方发出订单后乙方拒绝供货或延误供货而造成后果的，乙方应承担医院和病人的一切经济损失，并承担法律责任。</w:t>
      </w:r>
    </w:p>
    <w:p w14:paraId="79ABF19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6.乙方负责免费更换所供剩余有效期低于6个月的</w:t>
      </w:r>
      <w:r>
        <w:rPr>
          <w:rFonts w:hint="eastAsia" w:ascii="仿宋" w:hAnsi="仿宋" w:eastAsia="仿宋" w:cs="仿宋"/>
          <w:sz w:val="24"/>
          <w:szCs w:val="24"/>
          <w:lang w:eastAsia="zh-CN"/>
        </w:rPr>
        <w:t>耗材</w:t>
      </w:r>
      <w:r>
        <w:rPr>
          <w:rFonts w:hint="eastAsia" w:ascii="仿宋" w:hAnsi="仿宋" w:eastAsia="仿宋" w:cs="仿宋"/>
          <w:sz w:val="24"/>
          <w:szCs w:val="24"/>
        </w:rPr>
        <w:t>（含甲方未使用完的</w:t>
      </w:r>
      <w:r>
        <w:rPr>
          <w:rFonts w:hint="eastAsia" w:ascii="仿宋" w:hAnsi="仿宋" w:eastAsia="仿宋" w:cs="仿宋"/>
          <w:sz w:val="24"/>
          <w:szCs w:val="24"/>
          <w:lang w:eastAsia="zh-CN"/>
        </w:rPr>
        <w:t>耗材</w:t>
      </w:r>
      <w:r>
        <w:rPr>
          <w:rFonts w:hint="eastAsia" w:ascii="仿宋" w:hAnsi="仿宋" w:eastAsia="仿宋" w:cs="仿宋"/>
          <w:sz w:val="24"/>
          <w:szCs w:val="24"/>
        </w:rPr>
        <w:t>）。</w:t>
      </w:r>
    </w:p>
    <w:p w14:paraId="7792F410">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7.乙方不得在甲方搞临床促销等违规活动；一经发现，甲方将</w:t>
      </w:r>
      <w:r>
        <w:rPr>
          <w:rFonts w:hint="eastAsia" w:ascii="仿宋" w:hAnsi="仿宋" w:eastAsia="仿宋" w:cs="仿宋"/>
          <w:sz w:val="24"/>
          <w:szCs w:val="24"/>
          <w:lang w:eastAsia="zh-CN"/>
        </w:rPr>
        <w:t>扣押</w:t>
      </w:r>
      <w:r>
        <w:rPr>
          <w:rFonts w:hint="eastAsia" w:ascii="仿宋" w:hAnsi="仿宋" w:eastAsia="仿宋" w:cs="仿宋"/>
          <w:sz w:val="24"/>
          <w:szCs w:val="24"/>
        </w:rPr>
        <w:t>乙方所有货款，立即停止与乙方的业务来往并向业务主管部门报告。</w:t>
      </w:r>
    </w:p>
    <w:p w14:paraId="63CC342F">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8.若遇政府集中招标采购，按政府相关规定执行。</w:t>
      </w:r>
    </w:p>
    <w:p w14:paraId="7D645C6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lang w:eastAsia="zh-CN"/>
        </w:rPr>
      </w:pPr>
      <w:r>
        <w:rPr>
          <w:rFonts w:hint="eastAsia" w:ascii="仿宋" w:hAnsi="仿宋" w:eastAsia="仿宋" w:cs="仿宋"/>
          <w:sz w:val="24"/>
          <w:szCs w:val="24"/>
        </w:rPr>
        <w:t>9.乙方必须自觉遵守国家标准、税务等相关法律规定，若乙方违反相关规定，给甲方造成损失，责任由乙方承担</w:t>
      </w:r>
      <w:r>
        <w:rPr>
          <w:rFonts w:hint="eastAsia" w:ascii="仿宋" w:hAnsi="仿宋" w:eastAsia="仿宋" w:cs="仿宋"/>
          <w:sz w:val="24"/>
          <w:szCs w:val="24"/>
          <w:lang w:eastAsia="zh-CN"/>
        </w:rPr>
        <w:t>。</w:t>
      </w:r>
    </w:p>
    <w:p w14:paraId="6A034B77">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10.乙方</w:t>
      </w:r>
      <w:r>
        <w:rPr>
          <w:rFonts w:hint="eastAsia" w:ascii="仿宋" w:hAnsi="仿宋" w:eastAsia="仿宋" w:cs="仿宋"/>
          <w:sz w:val="24"/>
          <w:szCs w:val="24"/>
          <w:lang w:eastAsia="zh-CN"/>
        </w:rPr>
        <w:t>若违反</w:t>
      </w:r>
      <w:r>
        <w:rPr>
          <w:rFonts w:hint="eastAsia" w:ascii="仿宋" w:hAnsi="仿宋" w:eastAsia="仿宋" w:cs="仿宋"/>
          <w:sz w:val="24"/>
          <w:szCs w:val="24"/>
        </w:rPr>
        <w:t>约定，甲方有权终止本合同。</w:t>
      </w:r>
    </w:p>
    <w:p w14:paraId="4BA47EF1">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11.双方因不可抗力而导致合同实施延误或不能履行合同义务，不承担误期赔偿或终止合同的</w:t>
      </w:r>
      <w:r>
        <w:rPr>
          <w:rFonts w:hint="eastAsia" w:ascii="仿宋" w:hAnsi="仿宋" w:eastAsia="仿宋" w:cs="仿宋"/>
          <w:sz w:val="24"/>
          <w:szCs w:val="24"/>
          <w:lang w:eastAsia="zh-CN"/>
        </w:rPr>
        <w:t>责任</w:t>
      </w:r>
      <w:r>
        <w:rPr>
          <w:rFonts w:hint="eastAsia" w:ascii="仿宋" w:hAnsi="仿宋" w:eastAsia="仿宋" w:cs="仿宋"/>
          <w:sz w:val="24"/>
          <w:szCs w:val="24"/>
        </w:rPr>
        <w:t>。</w:t>
      </w:r>
    </w:p>
    <w:p w14:paraId="6D4DCCB9">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b/>
          <w:bCs/>
          <w:sz w:val="24"/>
          <w:szCs w:val="24"/>
        </w:rPr>
        <w:t>九、争议的解决：</w:t>
      </w:r>
      <w:r>
        <w:rPr>
          <w:rFonts w:hint="eastAsia" w:ascii="仿宋" w:hAnsi="仿宋" w:eastAsia="仿宋" w:cs="仿宋"/>
          <w:sz w:val="24"/>
          <w:szCs w:val="24"/>
        </w:rPr>
        <w:t>因本合同产生的一切争议，双方协商解决，如不能协商解决的，双方可向甲方所在地人民法院提起诉讼。</w:t>
      </w:r>
    </w:p>
    <w:p w14:paraId="11F0760F">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rPr>
      </w:pPr>
      <w:r>
        <w:rPr>
          <w:rFonts w:hint="eastAsia" w:ascii="仿宋" w:hAnsi="仿宋" w:eastAsia="仿宋" w:cs="仿宋"/>
          <w:b/>
          <w:bCs/>
          <w:sz w:val="24"/>
          <w:szCs w:val="24"/>
        </w:rPr>
        <w:t>十、其他</w:t>
      </w:r>
    </w:p>
    <w:p w14:paraId="51980169">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rPr>
        <w:t>1．合同组成：所有附件及本项目的采购文件、响应文件、会议记录均为本合同</w:t>
      </w:r>
      <w:r>
        <w:rPr>
          <w:rFonts w:hint="eastAsia" w:ascii="仿宋" w:hAnsi="仿宋" w:eastAsia="仿宋" w:cs="仿宋"/>
          <w:sz w:val="24"/>
          <w:szCs w:val="24"/>
          <w:lang w:eastAsia="zh-CN"/>
        </w:rPr>
        <w:t>的组成</w:t>
      </w:r>
      <w:r>
        <w:rPr>
          <w:rFonts w:hint="eastAsia" w:ascii="仿宋" w:hAnsi="仿宋" w:eastAsia="仿宋" w:cs="仿宋"/>
          <w:sz w:val="24"/>
          <w:szCs w:val="24"/>
        </w:rPr>
        <w:t>部分。</w:t>
      </w:r>
    </w:p>
    <w:p w14:paraId="5FC65C78">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2</w:t>
      </w:r>
      <w:r>
        <w:rPr>
          <w:rFonts w:hint="eastAsia" w:ascii="仿宋" w:hAnsi="仿宋" w:eastAsia="仿宋" w:cs="仿宋"/>
          <w:sz w:val="24"/>
          <w:szCs w:val="24"/>
        </w:rPr>
        <w:t>．合同执行期内，甲乙双方均不得随意变更或解除合同，如有未尽事宜，须经双方共同协商，做出补充协议，补充协议与本合同具有同等法律效力。</w:t>
      </w:r>
    </w:p>
    <w:p w14:paraId="0D798F3D">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3</w:t>
      </w:r>
      <w:r>
        <w:rPr>
          <w:rFonts w:hint="eastAsia" w:ascii="仿宋" w:hAnsi="仿宋" w:eastAsia="仿宋" w:cs="仿宋"/>
          <w:sz w:val="24"/>
          <w:szCs w:val="24"/>
        </w:rPr>
        <w:t>．本合</w:t>
      </w:r>
      <w:r>
        <w:rPr>
          <w:rFonts w:hint="eastAsia" w:ascii="仿宋" w:hAnsi="仿宋" w:eastAsia="仿宋" w:cs="仿宋"/>
          <w:sz w:val="24"/>
          <w:szCs w:val="24"/>
          <w:lang w:eastAsia="zh-CN"/>
        </w:rPr>
        <w:t>经甲乙双方签字盖章之日起生效，均具有同等法律效力，</w:t>
      </w:r>
      <w:r>
        <w:rPr>
          <w:rFonts w:hint="eastAsia" w:ascii="仿宋" w:hAnsi="仿宋" w:eastAsia="仿宋" w:cs="仿宋"/>
          <w:sz w:val="24"/>
          <w:szCs w:val="24"/>
        </w:rPr>
        <w:t>本合同一式</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肆</w:t>
      </w:r>
      <w:r>
        <w:rPr>
          <w:rFonts w:hint="eastAsia" w:ascii="仿宋" w:hAnsi="仿宋" w:eastAsia="仿宋" w:cs="仿宋"/>
          <w:sz w:val="24"/>
          <w:szCs w:val="24"/>
          <w:u w:val="single"/>
        </w:rPr>
        <w:t xml:space="preserve"> </w:t>
      </w:r>
      <w:r>
        <w:rPr>
          <w:rFonts w:hint="eastAsia" w:ascii="仿宋" w:hAnsi="仿宋" w:eastAsia="仿宋" w:cs="仿宋"/>
          <w:sz w:val="24"/>
          <w:szCs w:val="24"/>
        </w:rPr>
        <w:t>份，甲方执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叁</w:t>
      </w:r>
      <w:r>
        <w:rPr>
          <w:rFonts w:hint="eastAsia" w:ascii="仿宋" w:hAnsi="仿宋" w:eastAsia="仿宋" w:cs="仿宋"/>
          <w:sz w:val="24"/>
          <w:szCs w:val="24"/>
          <w:u w:val="single"/>
        </w:rPr>
        <w:t xml:space="preserve"> </w:t>
      </w:r>
      <w:r>
        <w:rPr>
          <w:rFonts w:hint="eastAsia" w:ascii="仿宋" w:hAnsi="仿宋" w:eastAsia="仿宋" w:cs="仿宋"/>
          <w:sz w:val="24"/>
          <w:szCs w:val="24"/>
        </w:rPr>
        <w:t>份、乙方执</w:t>
      </w:r>
      <w:r>
        <w:rPr>
          <w:rFonts w:hint="eastAsia" w:ascii="仿宋" w:hAnsi="仿宋" w:eastAsia="仿宋" w:cs="仿宋"/>
          <w:sz w:val="24"/>
          <w:szCs w:val="24"/>
          <w:u w:val="single"/>
        </w:rPr>
        <w:t xml:space="preserve"> </w:t>
      </w:r>
      <w:r>
        <w:rPr>
          <w:rFonts w:hint="eastAsia" w:ascii="仿宋" w:hAnsi="仿宋" w:eastAsia="仿宋" w:cs="仿宋"/>
          <w:sz w:val="24"/>
          <w:szCs w:val="24"/>
          <w:u w:val="single"/>
          <w:lang w:val="en-US" w:eastAsia="zh-CN"/>
        </w:rPr>
        <w:t>壹</w:t>
      </w:r>
      <w:r>
        <w:rPr>
          <w:rFonts w:hint="eastAsia" w:ascii="仿宋" w:hAnsi="仿宋" w:eastAsia="仿宋" w:cs="仿宋"/>
          <w:sz w:val="24"/>
          <w:szCs w:val="24"/>
          <w:u w:val="single"/>
        </w:rPr>
        <w:t xml:space="preserve"> </w:t>
      </w:r>
      <w:r>
        <w:rPr>
          <w:rFonts w:hint="eastAsia" w:ascii="仿宋" w:hAnsi="仿宋" w:eastAsia="仿宋" w:cs="仿宋"/>
          <w:sz w:val="24"/>
          <w:szCs w:val="24"/>
        </w:rPr>
        <w:t>份</w:t>
      </w:r>
      <w:r>
        <w:rPr>
          <w:rFonts w:hint="eastAsia" w:ascii="仿宋" w:hAnsi="仿宋" w:eastAsia="仿宋" w:cs="仿宋"/>
          <w:sz w:val="24"/>
          <w:szCs w:val="24"/>
          <w:lang w:eastAsia="zh-CN"/>
        </w:rPr>
        <w:t>。</w:t>
      </w:r>
    </w:p>
    <w:p w14:paraId="3A63FFFC">
      <w:pPr>
        <w:keepNext w:val="0"/>
        <w:keepLines w:val="0"/>
        <w:pageBreakBefore w:val="0"/>
        <w:widowControl w:val="0"/>
        <w:kinsoku/>
        <w:wordWrap/>
        <w:overflowPunct/>
        <w:topLinePunct w:val="0"/>
        <w:bidi w:val="0"/>
        <w:snapToGrid/>
        <w:spacing w:line="360" w:lineRule="auto"/>
        <w:ind w:firstLine="480" w:firstLineChars="200"/>
        <w:textAlignment w:val="auto"/>
        <w:rPr>
          <w:rFonts w:hint="eastAsia" w:ascii="仿宋" w:hAnsi="仿宋" w:eastAsia="仿宋" w:cs="仿宋"/>
          <w:sz w:val="24"/>
          <w:szCs w:val="24"/>
        </w:rPr>
      </w:pPr>
    </w:p>
    <w:p w14:paraId="21111CB0">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附件：</w:t>
      </w:r>
      <w:r>
        <w:rPr>
          <w:rFonts w:hint="eastAsia" w:ascii="仿宋" w:hAnsi="仿宋" w:eastAsia="仿宋" w:cs="仿宋"/>
          <w:sz w:val="24"/>
          <w:szCs w:val="24"/>
          <w:lang w:val="en-US" w:eastAsia="zh-CN"/>
        </w:rPr>
        <w:t xml:space="preserve"> </w:t>
      </w:r>
      <w:r>
        <w:rPr>
          <w:rFonts w:hint="eastAsia" w:ascii="仿宋" w:hAnsi="仿宋" w:eastAsia="仿宋" w:cs="仿宋"/>
          <w:sz w:val="24"/>
          <w:szCs w:val="24"/>
          <w:u w:val="single"/>
          <w:lang w:val="en-US" w:eastAsia="zh-CN"/>
        </w:rPr>
        <w:t xml:space="preserve">             </w:t>
      </w:r>
      <w:r>
        <w:rPr>
          <w:rFonts w:hint="eastAsia" w:ascii="仿宋" w:hAnsi="仿宋" w:eastAsia="仿宋" w:cs="仿宋"/>
          <w:sz w:val="24"/>
          <w:szCs w:val="24"/>
        </w:rPr>
        <w:t>采购合同附件清单</w:t>
      </w:r>
    </w:p>
    <w:p w14:paraId="0E585C2E">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p>
    <w:p w14:paraId="1C26CD4E">
      <w:pPr>
        <w:bidi w:val="0"/>
        <w:rPr>
          <w:rFonts w:hint="eastAsia"/>
        </w:rPr>
      </w:pPr>
    </w:p>
    <w:p w14:paraId="04A6EDE2">
      <w:pPr>
        <w:rPr>
          <w:rFonts w:hint="eastAsia" w:ascii="仿宋" w:hAnsi="仿宋" w:eastAsia="仿宋" w:cs="仿宋"/>
          <w:sz w:val="24"/>
          <w:szCs w:val="24"/>
        </w:rPr>
      </w:pPr>
    </w:p>
    <w:p w14:paraId="16A0C53F">
      <w:pPr>
        <w:bidi w:val="0"/>
        <w:rPr>
          <w:rFonts w:hint="eastAsia"/>
        </w:rPr>
      </w:pPr>
    </w:p>
    <w:p w14:paraId="5E203525">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甲方（盖章）：商洛市中医医院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乙方（盖章）：</w:t>
      </w:r>
    </w:p>
    <w:p w14:paraId="092A5536">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法人（签字）：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法人（签字）：</w:t>
      </w:r>
    </w:p>
    <w:p w14:paraId="14FFBE61">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p>
    <w:p w14:paraId="0148ACA4">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lang w:val="en-US" w:eastAsia="zh-CN"/>
        </w:rPr>
        <w:t>设备科主管院长</w:t>
      </w:r>
      <w:r>
        <w:rPr>
          <w:rFonts w:hint="eastAsia" w:ascii="仿宋" w:hAnsi="仿宋" w:eastAsia="仿宋" w:cs="仿宋"/>
          <w:sz w:val="24"/>
          <w:szCs w:val="24"/>
        </w:rPr>
        <w:t>（签字）：</w:t>
      </w:r>
    </w:p>
    <w:p w14:paraId="78D1970A">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p>
    <w:p w14:paraId="28925D07">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eastAsia="zh-CN"/>
        </w:rPr>
      </w:pPr>
      <w:r>
        <w:rPr>
          <w:rFonts w:hint="eastAsia" w:ascii="仿宋" w:hAnsi="仿宋" w:eastAsia="仿宋" w:cs="仿宋"/>
          <w:sz w:val="24"/>
          <w:szCs w:val="24"/>
          <w:lang w:val="en-US" w:eastAsia="zh-CN"/>
        </w:rPr>
        <w:t>设备科主管院长</w:t>
      </w:r>
      <w:r>
        <w:rPr>
          <w:rFonts w:hint="eastAsia" w:ascii="仿宋" w:hAnsi="仿宋" w:eastAsia="仿宋" w:cs="仿宋"/>
          <w:sz w:val="24"/>
          <w:szCs w:val="24"/>
        </w:rPr>
        <w:t xml:space="preserve">（签字）：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授权代表（签字）</w:t>
      </w:r>
      <w:r>
        <w:rPr>
          <w:rFonts w:hint="eastAsia" w:ascii="仿宋" w:hAnsi="仿宋" w:eastAsia="仿宋" w:cs="仿宋"/>
          <w:sz w:val="24"/>
          <w:szCs w:val="24"/>
          <w:lang w:eastAsia="zh-CN"/>
        </w:rPr>
        <w:t>：</w:t>
      </w:r>
    </w:p>
    <w:p w14:paraId="52313F15">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eastAsia="zh-CN"/>
        </w:rPr>
      </w:pPr>
    </w:p>
    <w:p w14:paraId="42453DD4">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使用科室：</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开户银行：</w:t>
      </w:r>
    </w:p>
    <w:p w14:paraId="1E92A524">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p>
    <w:p w14:paraId="33BC9FA0">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rPr>
        <w:t>设备科：</w:t>
      </w:r>
      <w:r>
        <w:rPr>
          <w:rFonts w:hint="eastAsia" w:ascii="仿宋" w:hAnsi="仿宋" w:eastAsia="仿宋" w:cs="仿宋"/>
          <w:sz w:val="24"/>
          <w:szCs w:val="24"/>
          <w:lang w:val="en-US" w:eastAsia="zh-CN"/>
        </w:rPr>
        <w:t xml:space="preserve">                           账号：</w:t>
      </w:r>
    </w:p>
    <w:p w14:paraId="1B02FB43">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p>
    <w:p w14:paraId="3CDF3109">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b/>
          <w:bCs/>
          <w:sz w:val="24"/>
          <w:szCs w:val="24"/>
          <w:lang w:val="en-US" w:eastAsia="zh-CN"/>
        </w:rPr>
      </w:pPr>
      <w:r>
        <w:rPr>
          <w:rFonts w:hint="eastAsia" w:ascii="仿宋" w:hAnsi="仿宋" w:eastAsia="仿宋" w:cs="仿宋"/>
          <w:sz w:val="24"/>
          <w:szCs w:val="24"/>
        </w:rPr>
        <w:t>招标办：</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联系电话：</w:t>
      </w:r>
    </w:p>
    <w:p w14:paraId="53867613">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p>
    <w:p w14:paraId="69C14035">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相关职能科室：</w:t>
      </w:r>
    </w:p>
    <w:p w14:paraId="57D3CD20">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lang w:val="en-US" w:eastAsia="zh-CN"/>
        </w:rPr>
      </w:pPr>
    </w:p>
    <w:p w14:paraId="4A9A256D">
      <w:pPr>
        <w:keepNext w:val="0"/>
        <w:keepLines w:val="0"/>
        <w:pageBreakBefore w:val="0"/>
        <w:widowControl w:val="0"/>
        <w:kinsoku/>
        <w:wordWrap/>
        <w:overflowPunct/>
        <w:topLinePunct w:val="0"/>
        <w:bidi w:val="0"/>
        <w:snapToGrid/>
        <w:spacing w:line="360" w:lineRule="auto"/>
        <w:textAlignment w:val="auto"/>
        <w:rPr>
          <w:rFonts w:hint="eastAsia" w:ascii="仿宋" w:hAnsi="仿宋" w:eastAsia="仿宋" w:cs="仿宋"/>
          <w:sz w:val="24"/>
          <w:szCs w:val="24"/>
        </w:rPr>
      </w:pPr>
      <w:r>
        <w:rPr>
          <w:rFonts w:hint="eastAsia" w:ascii="仿宋" w:hAnsi="仿宋" w:eastAsia="仿宋" w:cs="仿宋"/>
          <w:sz w:val="24"/>
          <w:szCs w:val="24"/>
        </w:rPr>
        <w:t xml:space="preserve">时间：  年  月  日           </w:t>
      </w: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时间：  年  月  日</w:t>
      </w:r>
    </w:p>
    <w:p w14:paraId="046E8ADE">
      <w:pPr>
        <w:sectPr>
          <w:pgSz w:w="11906" w:h="16838"/>
          <w:pgMar w:top="1440" w:right="1800" w:bottom="1440" w:left="1800" w:header="851" w:footer="992" w:gutter="0"/>
          <w:cols w:space="425" w:num="1"/>
          <w:docGrid w:type="lines" w:linePitch="312" w:charSpace="0"/>
        </w:sectPr>
      </w:pPr>
    </w:p>
    <w:p w14:paraId="3E171754">
      <w:pPr>
        <w:spacing w:line="360" w:lineRule="auto"/>
        <w:rPr>
          <w:rFonts w:hint="eastAsia" w:ascii="仿宋" w:hAnsi="仿宋" w:eastAsia="仿宋" w:cs="仿宋"/>
          <w:color w:val="auto"/>
          <w:sz w:val="36"/>
          <w:szCs w:val="36"/>
          <w:lang w:eastAsia="zh-CN"/>
        </w:rPr>
      </w:pPr>
      <w:r>
        <w:rPr>
          <w:rFonts w:hint="eastAsia" w:ascii="仿宋" w:hAnsi="仿宋" w:eastAsia="仿宋" w:cs="仿宋"/>
          <w:color w:val="auto"/>
          <w:sz w:val="36"/>
          <w:szCs w:val="36"/>
        </w:rPr>
        <w:t>附件</w:t>
      </w:r>
      <w:r>
        <w:rPr>
          <w:rFonts w:hint="eastAsia" w:ascii="仿宋" w:hAnsi="仿宋" w:eastAsia="仿宋" w:cs="仿宋"/>
          <w:color w:val="auto"/>
          <w:sz w:val="36"/>
          <w:szCs w:val="36"/>
          <w:lang w:eastAsia="zh-CN"/>
        </w:rPr>
        <w:t>：</w:t>
      </w:r>
    </w:p>
    <w:p w14:paraId="29843618">
      <w:pPr>
        <w:spacing w:line="360" w:lineRule="auto"/>
        <w:jc w:val="center"/>
        <w:rPr>
          <w:rFonts w:hint="eastAsia" w:ascii="仿宋" w:hAnsi="仿宋" w:eastAsia="仿宋" w:cs="仿宋"/>
          <w:b/>
          <w:bCs/>
          <w:color w:val="auto"/>
          <w:sz w:val="40"/>
          <w:szCs w:val="40"/>
        </w:rPr>
      </w:pPr>
      <w:r>
        <w:rPr>
          <w:rFonts w:hint="eastAsia" w:ascii="仿宋" w:hAnsi="仿宋" w:eastAsia="仿宋" w:cs="仿宋"/>
          <w:color w:val="auto"/>
          <w:sz w:val="28"/>
          <w:szCs w:val="28"/>
          <w:u w:val="single"/>
          <w:lang w:val="en-US" w:eastAsia="zh-CN"/>
        </w:rPr>
        <w:t xml:space="preserve">               </w:t>
      </w:r>
      <w:r>
        <w:rPr>
          <w:rFonts w:hint="eastAsia" w:ascii="仿宋" w:hAnsi="仿宋" w:eastAsia="仿宋" w:cs="仿宋"/>
          <w:b/>
          <w:bCs/>
          <w:color w:val="auto"/>
          <w:sz w:val="36"/>
          <w:szCs w:val="36"/>
        </w:rPr>
        <w:t>采购合同附件清单</w:t>
      </w:r>
    </w:p>
    <w:tbl>
      <w:tblPr>
        <w:tblStyle w:val="3"/>
        <w:tblW w:w="8522" w:type="dxa"/>
        <w:jc w:val="center"/>
        <w:tblLayout w:type="autofit"/>
        <w:tblCellMar>
          <w:top w:w="0" w:type="dxa"/>
          <w:left w:w="108" w:type="dxa"/>
          <w:bottom w:w="0" w:type="dxa"/>
          <w:right w:w="108" w:type="dxa"/>
        </w:tblCellMar>
      </w:tblPr>
      <w:tblGrid>
        <w:gridCol w:w="465"/>
        <w:gridCol w:w="608"/>
        <w:gridCol w:w="610"/>
        <w:gridCol w:w="610"/>
        <w:gridCol w:w="466"/>
        <w:gridCol w:w="466"/>
        <w:gridCol w:w="466"/>
        <w:gridCol w:w="466"/>
        <w:gridCol w:w="685"/>
        <w:gridCol w:w="562"/>
        <w:gridCol w:w="685"/>
        <w:gridCol w:w="748"/>
        <w:gridCol w:w="898"/>
        <w:gridCol w:w="787"/>
      </w:tblGrid>
      <w:tr w14:paraId="15513D72">
        <w:tblPrEx>
          <w:tblCellMar>
            <w:top w:w="0" w:type="dxa"/>
            <w:left w:w="108" w:type="dxa"/>
            <w:bottom w:w="0" w:type="dxa"/>
            <w:right w:w="108" w:type="dxa"/>
          </w:tblCellMar>
        </w:tblPrEx>
        <w:trPr>
          <w:trHeight w:val="0" w:hRule="atLeast"/>
          <w:tblHeader/>
          <w:jc w:val="center"/>
        </w:trPr>
        <w:tc>
          <w:tcPr>
            <w:tcW w:w="465" w:type="dxa"/>
            <w:tcBorders>
              <w:top w:val="single" w:color="000000" w:sz="8" w:space="0"/>
              <w:left w:val="single" w:color="000000" w:sz="8" w:space="0"/>
              <w:bottom w:val="single" w:color="auto" w:sz="4" w:space="0"/>
              <w:right w:val="single" w:color="000000" w:sz="8" w:space="0"/>
            </w:tcBorders>
            <w:noWrap w:val="0"/>
            <w:vAlign w:val="center"/>
          </w:tcPr>
          <w:p w14:paraId="6F183173">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序号</w:t>
            </w:r>
          </w:p>
        </w:tc>
        <w:tc>
          <w:tcPr>
            <w:tcW w:w="608" w:type="dxa"/>
            <w:tcBorders>
              <w:top w:val="single" w:color="000000" w:sz="8" w:space="0"/>
              <w:left w:val="nil"/>
              <w:bottom w:val="single" w:color="auto" w:sz="4" w:space="0"/>
              <w:right w:val="single" w:color="000000" w:sz="8" w:space="0"/>
            </w:tcBorders>
            <w:noWrap w:val="0"/>
            <w:vAlign w:val="center"/>
          </w:tcPr>
          <w:p w14:paraId="1A8A9F99">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组件编号</w:t>
            </w:r>
          </w:p>
        </w:tc>
        <w:tc>
          <w:tcPr>
            <w:tcW w:w="610" w:type="dxa"/>
            <w:tcBorders>
              <w:top w:val="single" w:color="000000" w:sz="8" w:space="0"/>
              <w:left w:val="nil"/>
              <w:bottom w:val="single" w:color="auto" w:sz="4" w:space="0"/>
              <w:right w:val="single" w:color="000000" w:sz="8" w:space="0"/>
            </w:tcBorders>
            <w:noWrap w:val="0"/>
            <w:vAlign w:val="center"/>
          </w:tcPr>
          <w:p w14:paraId="3A496A02">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大类名称</w:t>
            </w:r>
          </w:p>
        </w:tc>
        <w:tc>
          <w:tcPr>
            <w:tcW w:w="610" w:type="dxa"/>
            <w:tcBorders>
              <w:top w:val="single" w:color="000000" w:sz="8" w:space="0"/>
              <w:left w:val="nil"/>
              <w:bottom w:val="single" w:color="auto" w:sz="4" w:space="0"/>
              <w:right w:val="single" w:color="000000" w:sz="8" w:space="0"/>
            </w:tcBorders>
            <w:noWrap w:val="0"/>
            <w:vAlign w:val="center"/>
          </w:tcPr>
          <w:p w14:paraId="4C2D6F33">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组件名称</w:t>
            </w:r>
          </w:p>
        </w:tc>
        <w:tc>
          <w:tcPr>
            <w:tcW w:w="466" w:type="dxa"/>
            <w:tcBorders>
              <w:top w:val="single" w:color="000000" w:sz="8" w:space="0"/>
              <w:left w:val="nil"/>
              <w:bottom w:val="single" w:color="auto" w:sz="4" w:space="0"/>
              <w:right w:val="single" w:color="000000" w:sz="8" w:space="0"/>
            </w:tcBorders>
            <w:noWrap w:val="0"/>
            <w:vAlign w:val="center"/>
          </w:tcPr>
          <w:p w14:paraId="64A78395">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规格</w:t>
            </w:r>
          </w:p>
        </w:tc>
        <w:tc>
          <w:tcPr>
            <w:tcW w:w="466" w:type="dxa"/>
            <w:tcBorders>
              <w:top w:val="single" w:color="000000" w:sz="8" w:space="0"/>
              <w:left w:val="nil"/>
              <w:bottom w:val="single" w:color="auto" w:sz="4" w:space="0"/>
              <w:right w:val="single" w:color="000000" w:sz="8" w:space="0"/>
            </w:tcBorders>
            <w:noWrap w:val="0"/>
            <w:vAlign w:val="center"/>
          </w:tcPr>
          <w:p w14:paraId="33FEF1D9">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型号</w:t>
            </w:r>
          </w:p>
        </w:tc>
        <w:tc>
          <w:tcPr>
            <w:tcW w:w="466" w:type="dxa"/>
            <w:tcBorders>
              <w:top w:val="single" w:color="000000" w:sz="8" w:space="0"/>
              <w:left w:val="nil"/>
              <w:bottom w:val="single" w:color="auto" w:sz="4" w:space="0"/>
              <w:right w:val="single" w:color="000000" w:sz="8" w:space="0"/>
            </w:tcBorders>
            <w:noWrap w:val="0"/>
            <w:vAlign w:val="center"/>
          </w:tcPr>
          <w:p w14:paraId="7A586290">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产地</w:t>
            </w:r>
          </w:p>
        </w:tc>
        <w:tc>
          <w:tcPr>
            <w:tcW w:w="466" w:type="dxa"/>
            <w:tcBorders>
              <w:top w:val="single" w:color="000000" w:sz="8" w:space="0"/>
              <w:left w:val="nil"/>
              <w:bottom w:val="single" w:color="auto" w:sz="4" w:space="0"/>
              <w:right w:val="single" w:color="000000" w:sz="8" w:space="0"/>
            </w:tcBorders>
            <w:noWrap w:val="0"/>
            <w:vAlign w:val="center"/>
          </w:tcPr>
          <w:p w14:paraId="641412EF">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单位</w:t>
            </w:r>
          </w:p>
        </w:tc>
        <w:tc>
          <w:tcPr>
            <w:tcW w:w="685" w:type="dxa"/>
            <w:tcBorders>
              <w:top w:val="single" w:color="000000" w:sz="8" w:space="0"/>
              <w:left w:val="nil"/>
              <w:bottom w:val="single" w:color="auto" w:sz="4" w:space="0"/>
              <w:right w:val="single" w:color="000000" w:sz="8" w:space="0"/>
            </w:tcBorders>
            <w:noWrap w:val="0"/>
            <w:vAlign w:val="center"/>
          </w:tcPr>
          <w:p w14:paraId="2A4253CF">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pacing w:val="-11"/>
                <w:sz w:val="18"/>
                <w:szCs w:val="18"/>
              </w:rPr>
            </w:pPr>
            <w:r>
              <w:rPr>
                <w:rFonts w:hint="eastAsia" w:ascii="仿宋" w:hAnsi="仿宋" w:eastAsia="仿宋" w:cs="仿宋"/>
                <w:b/>
                <w:color w:val="auto"/>
                <w:spacing w:val="-11"/>
                <w:kern w:val="0"/>
                <w:sz w:val="18"/>
                <w:szCs w:val="18"/>
                <w:lang w:bidi="ar"/>
              </w:rPr>
              <w:t>生产企业名称</w:t>
            </w:r>
          </w:p>
        </w:tc>
        <w:tc>
          <w:tcPr>
            <w:tcW w:w="562" w:type="dxa"/>
            <w:tcBorders>
              <w:top w:val="single" w:color="000000" w:sz="8" w:space="0"/>
              <w:left w:val="nil"/>
              <w:bottom w:val="single" w:color="auto" w:sz="4" w:space="0"/>
              <w:right w:val="single" w:color="000000" w:sz="8" w:space="0"/>
            </w:tcBorders>
            <w:noWrap w:val="0"/>
            <w:vAlign w:val="center"/>
          </w:tcPr>
          <w:p w14:paraId="11E0CF27">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pacing w:val="-11"/>
                <w:sz w:val="18"/>
                <w:szCs w:val="18"/>
              </w:rPr>
            </w:pPr>
            <w:r>
              <w:rPr>
                <w:rFonts w:hint="eastAsia" w:ascii="仿宋" w:hAnsi="仿宋" w:eastAsia="仿宋" w:cs="仿宋"/>
                <w:b/>
                <w:color w:val="auto"/>
                <w:spacing w:val="-11"/>
                <w:kern w:val="0"/>
                <w:sz w:val="18"/>
                <w:szCs w:val="18"/>
                <w:lang w:bidi="ar"/>
              </w:rPr>
              <w:t>注册证号</w:t>
            </w:r>
          </w:p>
        </w:tc>
        <w:tc>
          <w:tcPr>
            <w:tcW w:w="685" w:type="dxa"/>
            <w:tcBorders>
              <w:top w:val="single" w:color="000000" w:sz="8" w:space="0"/>
              <w:left w:val="nil"/>
              <w:bottom w:val="single" w:color="auto" w:sz="4" w:space="0"/>
              <w:right w:val="single" w:color="000000" w:sz="8" w:space="0"/>
            </w:tcBorders>
            <w:noWrap w:val="0"/>
            <w:vAlign w:val="center"/>
          </w:tcPr>
          <w:p w14:paraId="3D9BF8CC">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pacing w:val="-11"/>
                <w:sz w:val="18"/>
                <w:szCs w:val="18"/>
              </w:rPr>
            </w:pPr>
            <w:r>
              <w:rPr>
                <w:rFonts w:hint="eastAsia" w:ascii="仿宋" w:hAnsi="仿宋" w:eastAsia="仿宋" w:cs="仿宋"/>
                <w:b/>
                <w:color w:val="auto"/>
                <w:spacing w:val="-11"/>
                <w:kern w:val="0"/>
                <w:sz w:val="18"/>
                <w:szCs w:val="18"/>
                <w:lang w:bidi="ar"/>
              </w:rPr>
              <w:t>注册证有效期</w:t>
            </w:r>
          </w:p>
        </w:tc>
        <w:tc>
          <w:tcPr>
            <w:tcW w:w="748" w:type="dxa"/>
            <w:tcBorders>
              <w:top w:val="single" w:color="000000" w:sz="8" w:space="0"/>
              <w:left w:val="nil"/>
              <w:bottom w:val="single" w:color="auto" w:sz="4" w:space="0"/>
              <w:right w:val="single" w:color="000000" w:sz="8" w:space="0"/>
            </w:tcBorders>
            <w:noWrap w:val="0"/>
            <w:vAlign w:val="center"/>
          </w:tcPr>
          <w:p w14:paraId="67501FB5">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pacing w:val="-11"/>
                <w:sz w:val="18"/>
                <w:szCs w:val="18"/>
              </w:rPr>
            </w:pPr>
            <w:r>
              <w:rPr>
                <w:rFonts w:hint="eastAsia" w:ascii="仿宋" w:hAnsi="仿宋" w:eastAsia="仿宋" w:cs="仿宋"/>
                <w:b/>
                <w:color w:val="auto"/>
                <w:spacing w:val="-11"/>
                <w:kern w:val="0"/>
                <w:sz w:val="18"/>
                <w:szCs w:val="18"/>
                <w:lang w:bidi="ar"/>
              </w:rPr>
              <w:t>阳光平台挂网价</w:t>
            </w:r>
          </w:p>
        </w:tc>
        <w:tc>
          <w:tcPr>
            <w:tcW w:w="898" w:type="dxa"/>
            <w:tcBorders>
              <w:top w:val="single" w:color="000000" w:sz="8" w:space="0"/>
              <w:left w:val="nil"/>
              <w:bottom w:val="single" w:color="auto" w:sz="4" w:space="0"/>
              <w:right w:val="single" w:color="000000" w:sz="8" w:space="0"/>
            </w:tcBorders>
            <w:noWrap w:val="0"/>
            <w:vAlign w:val="center"/>
          </w:tcPr>
          <w:p w14:paraId="03559610">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kern w:val="0"/>
                <w:sz w:val="18"/>
                <w:szCs w:val="18"/>
                <w:lang w:bidi="ar"/>
              </w:rPr>
            </w:pPr>
            <w:r>
              <w:rPr>
                <w:rFonts w:hint="eastAsia" w:ascii="仿宋" w:hAnsi="仿宋" w:eastAsia="仿宋" w:cs="仿宋"/>
                <w:b/>
                <w:color w:val="auto"/>
                <w:kern w:val="0"/>
                <w:sz w:val="18"/>
                <w:szCs w:val="18"/>
                <w:lang w:bidi="ar"/>
              </w:rPr>
              <w:t>单价</w:t>
            </w:r>
          </w:p>
          <w:p w14:paraId="61FCE4C9">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（元）</w:t>
            </w:r>
          </w:p>
        </w:tc>
        <w:tc>
          <w:tcPr>
            <w:tcW w:w="787" w:type="dxa"/>
            <w:tcBorders>
              <w:top w:val="single" w:color="000000" w:sz="8" w:space="0"/>
              <w:left w:val="nil"/>
              <w:bottom w:val="single" w:color="auto" w:sz="4" w:space="0"/>
              <w:right w:val="single" w:color="000000" w:sz="8" w:space="0"/>
            </w:tcBorders>
            <w:noWrap w:val="0"/>
            <w:vAlign w:val="center"/>
          </w:tcPr>
          <w:p w14:paraId="79792D93">
            <w:pPr>
              <w:widowControl/>
              <w:snapToGrid w:val="0"/>
              <w:spacing w:line="240" w:lineRule="auto"/>
              <w:ind w:left="0" w:leftChars="0" w:right="0" w:rightChars="0" w:firstLine="0" w:firstLineChars="0"/>
              <w:jc w:val="center"/>
              <w:textAlignment w:val="center"/>
              <w:rPr>
                <w:rFonts w:hint="eastAsia" w:ascii="仿宋" w:hAnsi="仿宋" w:eastAsia="仿宋" w:cs="仿宋"/>
                <w:b/>
                <w:color w:val="auto"/>
                <w:sz w:val="18"/>
                <w:szCs w:val="18"/>
              </w:rPr>
            </w:pPr>
            <w:r>
              <w:rPr>
                <w:rFonts w:hint="eastAsia" w:ascii="仿宋" w:hAnsi="仿宋" w:eastAsia="仿宋" w:cs="仿宋"/>
                <w:b/>
                <w:color w:val="auto"/>
                <w:kern w:val="0"/>
                <w:sz w:val="18"/>
                <w:szCs w:val="18"/>
                <w:lang w:bidi="ar"/>
              </w:rPr>
              <w:t>医保27位编码</w:t>
            </w:r>
          </w:p>
        </w:tc>
      </w:tr>
      <w:tr w14:paraId="5B9EFEFB">
        <w:tblPrEx>
          <w:tblCellMar>
            <w:top w:w="0" w:type="dxa"/>
            <w:left w:w="108" w:type="dxa"/>
            <w:bottom w:w="0" w:type="dxa"/>
            <w:right w:w="108" w:type="dxa"/>
          </w:tblCellMar>
        </w:tblPrEx>
        <w:trPr>
          <w:trHeight w:val="0" w:hRule="atLeast"/>
          <w:jc w:val="center"/>
        </w:trPr>
        <w:tc>
          <w:tcPr>
            <w:tcW w:w="465" w:type="dxa"/>
            <w:tcBorders>
              <w:top w:val="single" w:color="auto" w:sz="4" w:space="0"/>
              <w:left w:val="single" w:color="auto" w:sz="4" w:space="0"/>
              <w:bottom w:val="single" w:color="auto" w:sz="4" w:space="0"/>
              <w:right w:val="single" w:color="auto" w:sz="4" w:space="0"/>
            </w:tcBorders>
            <w:noWrap w:val="0"/>
            <w:vAlign w:val="center"/>
          </w:tcPr>
          <w:p w14:paraId="703D7DC8">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kern w:val="0"/>
                <w:sz w:val="18"/>
                <w:szCs w:val="18"/>
                <w:lang w:bidi="ar"/>
              </w:rPr>
            </w:pPr>
          </w:p>
        </w:tc>
        <w:tc>
          <w:tcPr>
            <w:tcW w:w="608" w:type="dxa"/>
            <w:tcBorders>
              <w:top w:val="single" w:color="auto" w:sz="4" w:space="0"/>
              <w:left w:val="single" w:color="auto" w:sz="4" w:space="0"/>
              <w:bottom w:val="single" w:color="auto" w:sz="4" w:space="0"/>
              <w:right w:val="single" w:color="auto" w:sz="4" w:space="0"/>
            </w:tcBorders>
            <w:noWrap w:val="0"/>
            <w:vAlign w:val="center"/>
          </w:tcPr>
          <w:p w14:paraId="4792CBB0">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6248EBC6">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64236675">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632AC5F">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C28C1CE">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470DB596">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0F057123">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7D97C0A9">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562" w:type="dxa"/>
            <w:tcBorders>
              <w:top w:val="single" w:color="auto" w:sz="4" w:space="0"/>
              <w:left w:val="single" w:color="auto" w:sz="4" w:space="0"/>
              <w:bottom w:val="single" w:color="auto" w:sz="4" w:space="0"/>
              <w:right w:val="single" w:color="auto" w:sz="4" w:space="0"/>
            </w:tcBorders>
            <w:noWrap w:val="0"/>
            <w:vAlign w:val="center"/>
          </w:tcPr>
          <w:p w14:paraId="4E44FA35">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7B3057D0">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75D70868">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898" w:type="dxa"/>
            <w:tcBorders>
              <w:top w:val="single" w:color="auto" w:sz="4" w:space="0"/>
              <w:left w:val="single" w:color="auto" w:sz="4" w:space="0"/>
              <w:bottom w:val="single" w:color="auto" w:sz="4" w:space="0"/>
              <w:right w:val="single" w:color="auto" w:sz="4" w:space="0"/>
            </w:tcBorders>
            <w:noWrap w:val="0"/>
            <w:vAlign w:val="center"/>
          </w:tcPr>
          <w:p w14:paraId="00834D2C">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87" w:type="dxa"/>
            <w:tcBorders>
              <w:top w:val="single" w:color="auto" w:sz="4" w:space="0"/>
              <w:left w:val="single" w:color="auto" w:sz="4" w:space="0"/>
              <w:bottom w:val="single" w:color="auto" w:sz="4" w:space="0"/>
              <w:right w:val="single" w:color="auto" w:sz="4" w:space="0"/>
            </w:tcBorders>
            <w:noWrap w:val="0"/>
            <w:vAlign w:val="center"/>
          </w:tcPr>
          <w:p w14:paraId="566EA117">
            <w:pPr>
              <w:snapToGrid w:val="0"/>
              <w:spacing w:line="240" w:lineRule="auto"/>
              <w:ind w:left="0" w:leftChars="0" w:right="0" w:rightChars="0" w:firstLine="0" w:firstLineChars="0"/>
              <w:jc w:val="center"/>
              <w:rPr>
                <w:rFonts w:hint="eastAsia" w:ascii="仿宋" w:hAnsi="仿宋" w:eastAsia="仿宋" w:cs="仿宋"/>
                <w:color w:val="auto"/>
              </w:rPr>
            </w:pPr>
          </w:p>
        </w:tc>
      </w:tr>
      <w:tr w14:paraId="11D51267">
        <w:tblPrEx>
          <w:tblCellMar>
            <w:top w:w="0" w:type="dxa"/>
            <w:left w:w="108" w:type="dxa"/>
            <w:bottom w:w="0" w:type="dxa"/>
            <w:right w:w="108" w:type="dxa"/>
          </w:tblCellMar>
        </w:tblPrEx>
        <w:trPr>
          <w:trHeight w:val="0" w:hRule="atLeast"/>
          <w:jc w:val="center"/>
        </w:trPr>
        <w:tc>
          <w:tcPr>
            <w:tcW w:w="465" w:type="dxa"/>
            <w:tcBorders>
              <w:top w:val="single" w:color="auto" w:sz="4" w:space="0"/>
              <w:left w:val="single" w:color="auto" w:sz="4" w:space="0"/>
              <w:bottom w:val="single" w:color="auto" w:sz="4" w:space="0"/>
              <w:right w:val="single" w:color="auto" w:sz="4" w:space="0"/>
            </w:tcBorders>
            <w:noWrap w:val="0"/>
            <w:vAlign w:val="center"/>
          </w:tcPr>
          <w:p w14:paraId="51A955BD">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kern w:val="0"/>
                <w:sz w:val="18"/>
                <w:szCs w:val="18"/>
                <w:lang w:bidi="ar"/>
              </w:rPr>
            </w:pPr>
          </w:p>
        </w:tc>
        <w:tc>
          <w:tcPr>
            <w:tcW w:w="608" w:type="dxa"/>
            <w:tcBorders>
              <w:top w:val="single" w:color="auto" w:sz="4" w:space="0"/>
              <w:left w:val="single" w:color="auto" w:sz="4" w:space="0"/>
              <w:bottom w:val="single" w:color="auto" w:sz="4" w:space="0"/>
              <w:right w:val="single" w:color="auto" w:sz="4" w:space="0"/>
            </w:tcBorders>
            <w:noWrap w:val="0"/>
            <w:vAlign w:val="center"/>
          </w:tcPr>
          <w:p w14:paraId="3DA2429D">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443139D8">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4F48327F">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6A22C428">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67B91D1D">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0AFC1224">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DCFF0B6">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3008D258">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562" w:type="dxa"/>
            <w:tcBorders>
              <w:top w:val="single" w:color="auto" w:sz="4" w:space="0"/>
              <w:left w:val="single" w:color="auto" w:sz="4" w:space="0"/>
              <w:bottom w:val="single" w:color="auto" w:sz="4" w:space="0"/>
              <w:right w:val="single" w:color="auto" w:sz="4" w:space="0"/>
            </w:tcBorders>
            <w:noWrap w:val="0"/>
            <w:vAlign w:val="center"/>
          </w:tcPr>
          <w:p w14:paraId="4EE05464">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20753B26">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37092827">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898" w:type="dxa"/>
            <w:tcBorders>
              <w:top w:val="single" w:color="auto" w:sz="4" w:space="0"/>
              <w:left w:val="single" w:color="auto" w:sz="4" w:space="0"/>
              <w:bottom w:val="single" w:color="auto" w:sz="4" w:space="0"/>
              <w:right w:val="single" w:color="auto" w:sz="4" w:space="0"/>
            </w:tcBorders>
            <w:noWrap w:val="0"/>
            <w:vAlign w:val="center"/>
          </w:tcPr>
          <w:p w14:paraId="6A7FB4D8">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87" w:type="dxa"/>
            <w:tcBorders>
              <w:top w:val="single" w:color="auto" w:sz="4" w:space="0"/>
              <w:left w:val="single" w:color="auto" w:sz="4" w:space="0"/>
              <w:bottom w:val="single" w:color="auto" w:sz="4" w:space="0"/>
              <w:right w:val="single" w:color="auto" w:sz="4" w:space="0"/>
            </w:tcBorders>
            <w:noWrap w:val="0"/>
            <w:vAlign w:val="center"/>
          </w:tcPr>
          <w:p w14:paraId="59781D85">
            <w:pPr>
              <w:snapToGrid w:val="0"/>
              <w:spacing w:line="240" w:lineRule="auto"/>
              <w:ind w:left="0" w:leftChars="0" w:right="0" w:rightChars="0" w:firstLine="0" w:firstLineChars="0"/>
              <w:jc w:val="center"/>
              <w:rPr>
                <w:rFonts w:hint="eastAsia" w:ascii="仿宋" w:hAnsi="仿宋" w:eastAsia="仿宋" w:cs="仿宋"/>
                <w:color w:val="auto"/>
              </w:rPr>
            </w:pPr>
          </w:p>
        </w:tc>
      </w:tr>
      <w:tr w14:paraId="3F296293">
        <w:tblPrEx>
          <w:tblCellMar>
            <w:top w:w="0" w:type="dxa"/>
            <w:left w:w="108" w:type="dxa"/>
            <w:bottom w:w="0" w:type="dxa"/>
            <w:right w:w="108" w:type="dxa"/>
          </w:tblCellMar>
        </w:tblPrEx>
        <w:trPr>
          <w:trHeight w:val="0" w:hRule="atLeast"/>
          <w:jc w:val="center"/>
        </w:trPr>
        <w:tc>
          <w:tcPr>
            <w:tcW w:w="465" w:type="dxa"/>
            <w:tcBorders>
              <w:top w:val="single" w:color="auto" w:sz="4" w:space="0"/>
              <w:left w:val="single" w:color="auto" w:sz="4" w:space="0"/>
              <w:bottom w:val="single" w:color="auto" w:sz="4" w:space="0"/>
              <w:right w:val="single" w:color="auto" w:sz="4" w:space="0"/>
            </w:tcBorders>
            <w:noWrap w:val="0"/>
            <w:vAlign w:val="center"/>
          </w:tcPr>
          <w:p w14:paraId="50B68CAC">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kern w:val="0"/>
                <w:sz w:val="18"/>
                <w:szCs w:val="18"/>
                <w:lang w:bidi="ar"/>
              </w:rPr>
            </w:pPr>
          </w:p>
        </w:tc>
        <w:tc>
          <w:tcPr>
            <w:tcW w:w="608" w:type="dxa"/>
            <w:tcBorders>
              <w:top w:val="single" w:color="auto" w:sz="4" w:space="0"/>
              <w:left w:val="single" w:color="auto" w:sz="4" w:space="0"/>
              <w:bottom w:val="single" w:color="auto" w:sz="4" w:space="0"/>
              <w:right w:val="single" w:color="auto" w:sz="4" w:space="0"/>
            </w:tcBorders>
            <w:noWrap w:val="0"/>
            <w:vAlign w:val="center"/>
          </w:tcPr>
          <w:p w14:paraId="5E2A8033">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18E7411D">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610" w:type="dxa"/>
            <w:tcBorders>
              <w:top w:val="single" w:color="auto" w:sz="4" w:space="0"/>
              <w:left w:val="single" w:color="auto" w:sz="4" w:space="0"/>
              <w:bottom w:val="single" w:color="auto" w:sz="4" w:space="0"/>
              <w:right w:val="single" w:color="auto" w:sz="4" w:space="0"/>
            </w:tcBorders>
            <w:noWrap w:val="0"/>
            <w:vAlign w:val="center"/>
          </w:tcPr>
          <w:p w14:paraId="0638E655">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465562E9">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0510BE52">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0239694">
            <w:pPr>
              <w:snapToGrid w:val="0"/>
              <w:spacing w:line="240" w:lineRule="auto"/>
              <w:ind w:left="0" w:leftChars="0" w:right="0" w:rightChars="0" w:firstLine="0" w:firstLineChars="0"/>
              <w:jc w:val="center"/>
              <w:rPr>
                <w:rFonts w:hint="eastAsia" w:ascii="仿宋" w:hAnsi="仿宋" w:eastAsia="仿宋" w:cs="仿宋"/>
                <w:color w:val="auto"/>
                <w:szCs w:val="21"/>
              </w:rPr>
            </w:pPr>
          </w:p>
        </w:tc>
        <w:tc>
          <w:tcPr>
            <w:tcW w:w="466" w:type="dxa"/>
            <w:tcBorders>
              <w:top w:val="single" w:color="auto" w:sz="4" w:space="0"/>
              <w:left w:val="single" w:color="auto" w:sz="4" w:space="0"/>
              <w:bottom w:val="single" w:color="auto" w:sz="4" w:space="0"/>
              <w:right w:val="single" w:color="auto" w:sz="4" w:space="0"/>
            </w:tcBorders>
            <w:noWrap w:val="0"/>
            <w:vAlign w:val="center"/>
          </w:tcPr>
          <w:p w14:paraId="1737216D">
            <w:pPr>
              <w:widowControl/>
              <w:snapToGrid w:val="0"/>
              <w:spacing w:line="240" w:lineRule="auto"/>
              <w:ind w:left="0" w:leftChars="0" w:right="0" w:rightChars="0" w:firstLine="0" w:firstLineChars="0"/>
              <w:jc w:val="center"/>
              <w:textAlignment w:val="center"/>
              <w:rPr>
                <w:rFonts w:hint="eastAsia" w:ascii="仿宋" w:hAnsi="仿宋" w:eastAsia="仿宋" w:cs="仿宋"/>
                <w:color w:val="auto"/>
                <w:szCs w:val="21"/>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661757A4">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562" w:type="dxa"/>
            <w:tcBorders>
              <w:top w:val="single" w:color="auto" w:sz="4" w:space="0"/>
              <w:left w:val="single" w:color="auto" w:sz="4" w:space="0"/>
              <w:bottom w:val="single" w:color="auto" w:sz="4" w:space="0"/>
              <w:right w:val="single" w:color="auto" w:sz="4" w:space="0"/>
            </w:tcBorders>
            <w:noWrap w:val="0"/>
            <w:vAlign w:val="center"/>
          </w:tcPr>
          <w:p w14:paraId="2D90120E">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685" w:type="dxa"/>
            <w:tcBorders>
              <w:top w:val="single" w:color="auto" w:sz="4" w:space="0"/>
              <w:left w:val="single" w:color="auto" w:sz="4" w:space="0"/>
              <w:bottom w:val="single" w:color="auto" w:sz="4" w:space="0"/>
              <w:right w:val="single" w:color="auto" w:sz="4" w:space="0"/>
            </w:tcBorders>
            <w:noWrap w:val="0"/>
            <w:vAlign w:val="center"/>
          </w:tcPr>
          <w:p w14:paraId="32D593F6">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48" w:type="dxa"/>
            <w:tcBorders>
              <w:top w:val="single" w:color="auto" w:sz="4" w:space="0"/>
              <w:left w:val="single" w:color="auto" w:sz="4" w:space="0"/>
              <w:bottom w:val="single" w:color="auto" w:sz="4" w:space="0"/>
              <w:right w:val="single" w:color="auto" w:sz="4" w:space="0"/>
            </w:tcBorders>
            <w:noWrap w:val="0"/>
            <w:vAlign w:val="center"/>
          </w:tcPr>
          <w:p w14:paraId="00A92BBE">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898" w:type="dxa"/>
            <w:tcBorders>
              <w:top w:val="single" w:color="auto" w:sz="4" w:space="0"/>
              <w:left w:val="single" w:color="auto" w:sz="4" w:space="0"/>
              <w:bottom w:val="single" w:color="auto" w:sz="4" w:space="0"/>
              <w:right w:val="single" w:color="auto" w:sz="4" w:space="0"/>
            </w:tcBorders>
            <w:noWrap w:val="0"/>
            <w:vAlign w:val="center"/>
          </w:tcPr>
          <w:p w14:paraId="0A3A12D6">
            <w:pPr>
              <w:snapToGrid w:val="0"/>
              <w:spacing w:line="240" w:lineRule="auto"/>
              <w:ind w:left="0" w:leftChars="0" w:right="0" w:rightChars="0" w:firstLine="0" w:firstLineChars="0"/>
              <w:jc w:val="center"/>
              <w:rPr>
                <w:rFonts w:hint="eastAsia" w:ascii="仿宋" w:hAnsi="仿宋" w:eastAsia="仿宋" w:cs="仿宋"/>
                <w:color w:val="auto"/>
                <w:sz w:val="18"/>
                <w:szCs w:val="18"/>
              </w:rPr>
            </w:pPr>
          </w:p>
        </w:tc>
        <w:tc>
          <w:tcPr>
            <w:tcW w:w="787" w:type="dxa"/>
            <w:tcBorders>
              <w:top w:val="single" w:color="auto" w:sz="4" w:space="0"/>
              <w:left w:val="single" w:color="auto" w:sz="4" w:space="0"/>
              <w:bottom w:val="single" w:color="auto" w:sz="4" w:space="0"/>
              <w:right w:val="single" w:color="auto" w:sz="4" w:space="0"/>
            </w:tcBorders>
            <w:noWrap w:val="0"/>
            <w:vAlign w:val="center"/>
          </w:tcPr>
          <w:p w14:paraId="00EFB054">
            <w:pPr>
              <w:snapToGrid w:val="0"/>
              <w:spacing w:line="240" w:lineRule="auto"/>
              <w:ind w:left="0" w:leftChars="0" w:right="0" w:rightChars="0" w:firstLine="0" w:firstLineChars="0"/>
              <w:jc w:val="center"/>
              <w:rPr>
                <w:rFonts w:hint="eastAsia" w:ascii="仿宋" w:hAnsi="仿宋" w:eastAsia="仿宋" w:cs="仿宋"/>
                <w:color w:val="auto"/>
              </w:rPr>
            </w:pPr>
          </w:p>
        </w:tc>
      </w:tr>
    </w:tbl>
    <w:p w14:paraId="40B977D7">
      <w:pPr>
        <w:rPr>
          <w:rFonts w:hint="eastAsia" w:ascii="仿宋" w:hAnsi="仿宋" w:eastAsia="仿宋" w:cs="仿宋"/>
          <w:color w:val="auto"/>
          <w:sz w:val="32"/>
          <w:szCs w:val="32"/>
        </w:rPr>
      </w:pPr>
      <w:r>
        <w:rPr>
          <w:rFonts w:hint="eastAsia" w:ascii="仿宋" w:hAnsi="仿宋" w:eastAsia="仿宋" w:cs="仿宋"/>
          <w:color w:val="auto"/>
          <w:sz w:val="32"/>
          <w:szCs w:val="32"/>
        </w:rPr>
        <w:t>甲方（盖章）：商洛市中医医院           乙方（盖章）：</w:t>
      </w:r>
    </w:p>
    <w:p w14:paraId="0E7BE384">
      <w:pPr>
        <w:spacing w:line="720" w:lineRule="auto"/>
        <w:rPr>
          <w:rFonts w:hint="eastAsia" w:ascii="仿宋" w:hAnsi="仿宋" w:eastAsia="仿宋" w:cs="仿宋"/>
          <w:color w:val="auto"/>
          <w:sz w:val="32"/>
          <w:szCs w:val="32"/>
        </w:rPr>
      </w:pPr>
      <w:r>
        <w:rPr>
          <w:rFonts w:hint="eastAsia" w:ascii="仿宋" w:hAnsi="仿宋" w:eastAsia="仿宋" w:cs="仿宋"/>
          <w:color w:val="auto"/>
          <w:sz w:val="32"/>
          <w:szCs w:val="32"/>
        </w:rPr>
        <w:t>法人（签字）：                         法人（签字）：</w:t>
      </w:r>
    </w:p>
    <w:p w14:paraId="2A3C28C3">
      <w:pPr>
        <w:spacing w:line="720" w:lineRule="auto"/>
        <w:rPr>
          <w:rFonts w:hint="eastAsia" w:ascii="仿宋" w:hAnsi="仿宋" w:eastAsia="仿宋" w:cs="仿宋"/>
          <w:sz w:val="32"/>
          <w:szCs w:val="32"/>
        </w:rPr>
      </w:pPr>
      <w:r>
        <w:rPr>
          <w:rFonts w:hint="eastAsia" w:ascii="仿宋" w:hAnsi="仿宋" w:eastAsia="仿宋" w:cs="仿宋"/>
          <w:sz w:val="32"/>
          <w:szCs w:val="32"/>
          <w:lang w:val="en-US" w:eastAsia="zh-CN"/>
        </w:rPr>
        <w:t>主管院长</w:t>
      </w:r>
      <w:r>
        <w:rPr>
          <w:rFonts w:hint="eastAsia" w:ascii="仿宋" w:hAnsi="仿宋" w:eastAsia="仿宋" w:cs="仿宋"/>
          <w:sz w:val="32"/>
          <w:szCs w:val="32"/>
        </w:rPr>
        <w:t>（签字）：                     授权代表（签字）</w:t>
      </w:r>
    </w:p>
    <w:p w14:paraId="71E0F057">
      <w:pPr>
        <w:rPr>
          <w:rFonts w:hint="eastAsia" w:ascii="仿宋" w:hAnsi="仿宋" w:eastAsia="仿宋" w:cs="仿宋"/>
          <w:sz w:val="32"/>
          <w:szCs w:val="32"/>
          <w:lang w:val="en-US" w:eastAsia="zh-CN"/>
        </w:rPr>
      </w:pPr>
      <w:r>
        <w:rPr>
          <w:rFonts w:hint="eastAsia" w:ascii="仿宋" w:hAnsi="仿宋" w:eastAsia="仿宋" w:cs="仿宋"/>
          <w:sz w:val="32"/>
          <w:szCs w:val="32"/>
        </w:rPr>
        <w:t>使用科室：</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设备科：</w:t>
      </w:r>
    </w:p>
    <w:p w14:paraId="1700F365">
      <w:pPr>
        <w:rPr>
          <w:rFonts w:hint="eastAsia" w:ascii="仿宋" w:hAnsi="仿宋" w:eastAsia="仿宋" w:cs="仿宋"/>
          <w:sz w:val="32"/>
          <w:szCs w:val="32"/>
        </w:rPr>
      </w:pPr>
      <w:r>
        <w:rPr>
          <w:rFonts w:hint="eastAsia" w:ascii="仿宋" w:hAnsi="仿宋" w:eastAsia="仿宋" w:cs="仿宋"/>
          <w:sz w:val="32"/>
          <w:szCs w:val="32"/>
        </w:rPr>
        <w:t>招标办：</w:t>
      </w:r>
      <w:r>
        <w:rPr>
          <w:rFonts w:hint="eastAsia" w:ascii="仿宋" w:hAnsi="仿宋" w:eastAsia="仿宋" w:cs="仿宋"/>
          <w:sz w:val="32"/>
          <w:szCs w:val="32"/>
          <w:lang w:val="en-US" w:eastAsia="zh-CN"/>
        </w:rPr>
        <w:t xml:space="preserve">          相关职能科室：</w:t>
      </w:r>
      <w:r>
        <w:rPr>
          <w:rFonts w:hint="eastAsia" w:ascii="仿宋" w:hAnsi="仿宋" w:eastAsia="仿宋" w:cs="仿宋"/>
          <w:sz w:val="32"/>
          <w:szCs w:val="32"/>
        </w:rPr>
        <w:t xml:space="preserve">               </w:t>
      </w:r>
    </w:p>
    <w:p w14:paraId="5B6BB023">
      <w:pPr>
        <w:pStyle w:val="2"/>
        <w:ind w:left="0" w:leftChars="0" w:firstLine="0" w:firstLineChars="0"/>
      </w:pPr>
      <w:r>
        <w:rPr>
          <w:rFonts w:hint="eastAsia" w:ascii="仿宋" w:hAnsi="仿宋" w:eastAsia="仿宋" w:cs="仿宋"/>
          <w:sz w:val="32"/>
          <w:szCs w:val="32"/>
        </w:rPr>
        <w:t xml:space="preserve">时间：  年  月  日        </w:t>
      </w:r>
      <w:r>
        <w:rPr>
          <w:rFonts w:hint="eastAsia" w:ascii="仿宋" w:hAnsi="仿宋" w:eastAsia="仿宋" w:cs="仿宋"/>
          <w:sz w:val="32"/>
          <w:szCs w:val="32"/>
          <w:lang w:val="en-US" w:eastAsia="zh-CN"/>
        </w:rPr>
        <w:t xml:space="preserve">     </w:t>
      </w:r>
      <w:r>
        <w:rPr>
          <w:rFonts w:hint="eastAsia" w:ascii="仿宋" w:hAnsi="仿宋" w:eastAsia="仿宋" w:cs="仿宋"/>
          <w:sz w:val="32"/>
          <w:szCs w:val="32"/>
        </w:rPr>
        <w:t xml:space="preserve">  时间：  年  月  日</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0292CCB"/>
    <w:rsid w:val="021F35DB"/>
    <w:rsid w:val="10345380"/>
    <w:rsid w:val="62A21E9E"/>
    <w:rsid w:val="6F0847FF"/>
    <w:rsid w:val="6F4E3F2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customStyle="1" w:styleId="2">
    <w:name w:val="段"/>
    <w:next w:val="1"/>
    <w:qFormat/>
    <w:uiPriority w:val="0"/>
    <w:pPr>
      <w:autoSpaceDE w:val="0"/>
      <w:autoSpaceDN w:val="0"/>
      <w:ind w:firstLine="200" w:firstLineChars="200"/>
      <w:jc w:val="both"/>
    </w:pPr>
    <w:rPr>
      <w:rFonts w:ascii="宋体" w:hAnsi="Calibri" w:eastAsia="Times New Roman" w:cs="Times New Roman"/>
      <w:sz w:val="21"/>
      <w:lang w:val="en-US" w:eastAsia="zh-CN" w:bidi="ar-SA"/>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2105</Words>
  <Characters>2175</Characters>
  <Lines>0</Lines>
  <Paragraphs>0</Paragraphs>
  <TotalTime>1</TotalTime>
  <ScaleCrop>false</ScaleCrop>
  <LinksUpToDate>false</LinksUpToDate>
  <CharactersWithSpaces>2557</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2025-12-13T02:23:00Z</dcterms:created>
  <dc:creator>Administrator</dc:creator>
  <cp:lastModifiedBy>李李李李李李李＊</cp:lastModifiedBy>
  <dcterms:modified xsi:type="dcterms:W3CDTF">2026-01-07T08:02:39Z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eyJoZGlkIjoiMDA0ZjkxY2QxMTgzNTZlNTkwMTE5MWMwYmY3ZjRjZWMiLCJ1c2VySWQiOiIxMDg0NzU1Nzk1In0=</vt:lpwstr>
  </property>
  <property fmtid="{D5CDD505-2E9C-101B-9397-08002B2CF9AE}" pid="4" name="ICV">
    <vt:lpwstr>A8CB19E8A501428E95419B20946C303D_12</vt:lpwstr>
  </property>
</Properties>
</file>