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版本号：SLSJ[2025]04520260120004</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商洛市“十五五”矿产资源规划编制项目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SLSJ[2025]045</w:t>
      </w:r>
      <w:r>
        <w:br/>
      </w:r>
      <w:r>
        <w:br/>
      </w:r>
      <w:r>
        <w:br/>
      </w:r>
    </w:p>
    <w:p>
      <w:pPr>
        <w:pStyle w:val="null3"/>
        <w:jc w:val="center"/>
        <w:outlineLvl w:val="2"/>
      </w:pPr>
      <w:r>
        <w:rPr>
          <w:rFonts w:ascii="仿宋_GB2312" w:hAnsi="仿宋_GB2312" w:cs="仿宋_GB2312" w:eastAsia="仿宋_GB2312"/>
          <w:sz w:val="28"/>
          <w:b/>
        </w:rPr>
        <w:t>商洛市自然资源局</w:t>
      </w:r>
    </w:p>
    <w:p>
      <w:pPr>
        <w:pStyle w:val="null3"/>
        <w:jc w:val="center"/>
        <w:outlineLvl w:val="2"/>
      </w:pPr>
      <w:r>
        <w:rPr>
          <w:rFonts w:ascii="仿宋_GB2312" w:hAnsi="仿宋_GB2312" w:cs="仿宋_GB2312" w:eastAsia="仿宋_GB2312"/>
          <w:sz w:val="28"/>
          <w:b/>
        </w:rPr>
        <w:t>商洛市建筑勘察设计院</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2026年01月20日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商洛市建筑勘察设计院</w:t>
      </w:r>
      <w:r>
        <w:rPr>
          <w:rFonts w:ascii="仿宋_GB2312" w:hAnsi="仿宋_GB2312" w:cs="仿宋_GB2312" w:eastAsia="仿宋_GB2312"/>
        </w:rPr>
        <w:t>（以下简称“代理机构”）受</w:t>
      </w:r>
      <w:r>
        <w:rPr>
          <w:rFonts w:ascii="仿宋_GB2312" w:hAnsi="仿宋_GB2312" w:cs="仿宋_GB2312" w:eastAsia="仿宋_GB2312"/>
        </w:rPr>
        <w:t>商洛市自然资源局</w:t>
      </w:r>
      <w:r>
        <w:rPr>
          <w:rFonts w:ascii="仿宋_GB2312" w:hAnsi="仿宋_GB2312" w:cs="仿宋_GB2312" w:eastAsia="仿宋_GB2312"/>
        </w:rPr>
        <w:t>委托，拟对</w:t>
      </w:r>
      <w:r>
        <w:rPr>
          <w:rFonts w:ascii="仿宋_GB2312" w:hAnsi="仿宋_GB2312" w:cs="仿宋_GB2312" w:eastAsia="仿宋_GB2312"/>
        </w:rPr>
        <w:t>商洛市“十五五”矿产资源规划编制项目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SLSJ[2025]045</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商洛市“十五五”矿产资源规划编制项目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 xml:space="preserve"> 根据《自然资源部办公厅关于做好“十五五”省级矿产资源规划编制前期工作的函》（自然资办函〔2024〕1816号）和《陕西省自然资源厅办公室关于做好“十五五”矿产资源规划编制前期工作的通知》（陕自然资矿保发〔2024〕1230号）相关文件要求，开展商洛市“十五五”矿产资源规划编制工作，为未来五年全市矿产资源勘查、开发、保护与管理工作提供科学依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采购包1（商洛市“十五五”矿产资源规划编制项目）：属于专门面向中小企业采购。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1、营业执照等证明文件：具有独立承担民事责任能力的法人、其他组织或自然人，并出具合法有效的营业执照或事业单位法人证书等国家规定的相关证明，自然人参与的提供其身份证明。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证明：提供2024年度经审计的财务审计报告（至少包括资产负债表、利润表、现金流量表，成立时间至提交磋商响应文件截止时间不足一年的可提供成立后任意时段的资产负债表、利润表、现金流量表）；或投标截止时间前三个月内其基本开户银行出具的资信证明及基本存款账户开户许可证（或存款信息）；或政府采购信用担保机构出具的投标担保函。</w:t>
      </w:r>
    </w:p>
    <w:p>
      <w:pPr>
        <w:pStyle w:val="null3"/>
      </w:pPr>
      <w:r>
        <w:rPr>
          <w:rFonts w:ascii="仿宋_GB2312" w:hAnsi="仿宋_GB2312" w:cs="仿宋_GB2312" w:eastAsia="仿宋_GB2312"/>
        </w:rPr>
        <w:t>3、税收缴纳证明：提供磋商截止日前六个月已缴纳的至少一个月的纳税证明或完税证明，依法免税的应提供相关证明材料。</w:t>
      </w:r>
    </w:p>
    <w:p>
      <w:pPr>
        <w:pStyle w:val="null3"/>
      </w:pPr>
      <w:r>
        <w:rPr>
          <w:rFonts w:ascii="仿宋_GB2312" w:hAnsi="仿宋_GB2312" w:cs="仿宋_GB2312" w:eastAsia="仿宋_GB2312"/>
        </w:rPr>
        <w:t>4、社会保障资金缴纳证明：提供磋商截止日前六个月已缴纳的至少一个月的社会保障资金缴存单据或社保机构开具的社会保险参保缴费情况证明，依法不需要缴纳社会保障资金的单位应提供相关证明材料。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5、无重大违法记录书面声明：提供参加政府采购活动前三年内，在经营活动中没有重大违法记录的书面声明。</w:t>
      </w:r>
    </w:p>
    <w:p>
      <w:pPr>
        <w:pStyle w:val="null3"/>
      </w:pPr>
      <w:r>
        <w:rPr>
          <w:rFonts w:ascii="仿宋_GB2312" w:hAnsi="仿宋_GB2312" w:cs="仿宋_GB2312" w:eastAsia="仿宋_GB2312"/>
        </w:rPr>
        <w:t>6、具有履行合同所必需的设备和专业技术能力：提供具备履行合同所必需的设备和专业技术能力的证明材料(由供应商根据项目需求提供说明材料或者承诺)。</w:t>
      </w:r>
    </w:p>
    <w:p>
      <w:pPr>
        <w:pStyle w:val="null3"/>
      </w:pPr>
      <w:r>
        <w:rPr>
          <w:rFonts w:ascii="仿宋_GB2312" w:hAnsi="仿宋_GB2312" w:cs="仿宋_GB2312" w:eastAsia="仿宋_GB2312"/>
        </w:rPr>
        <w:t>7、供应商应授权合法的人员参加投标全过程：法定代表人授权委托书（附法定代表人或负责人身份证复印件及被授权人身份证复印件）；法定代表人或负责人直接参加投标只需提供法定代表人资格证明书（附法定代表人或负责人身份证复印件）。</w:t>
      </w:r>
    </w:p>
    <w:p>
      <w:pPr>
        <w:pStyle w:val="null3"/>
      </w:pPr>
      <w:r>
        <w:rPr>
          <w:rFonts w:ascii="仿宋_GB2312" w:hAnsi="仿宋_GB2312" w:cs="仿宋_GB2312" w:eastAsia="仿宋_GB2312"/>
        </w:rPr>
        <w:t>8、供应商信誉要求：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提供相关网站查询截图）。</w:t>
      </w:r>
    </w:p>
    <w:p>
      <w:pPr>
        <w:pStyle w:val="null3"/>
      </w:pPr>
      <w:r>
        <w:rPr>
          <w:rFonts w:ascii="仿宋_GB2312" w:hAnsi="仿宋_GB2312" w:cs="仿宋_GB2312" w:eastAsia="仿宋_GB2312"/>
        </w:rPr>
        <w:t>9、承诺书：本项目不接受联合体磋商（提供承诺书）。</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商洛市自然资源局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商洛市商州区工农路12#</w:t>
      </w:r>
    </w:p>
    <w:p>
      <w:pPr>
        <w:pStyle w:val="null3"/>
      </w:pPr>
      <w:r>
        <w:rPr>
          <w:rFonts w:ascii="仿宋_GB2312" w:hAnsi="仿宋_GB2312" w:cs="仿宋_GB2312" w:eastAsia="仿宋_GB2312"/>
        </w:rPr>
        <w:t xml:space="preserve"> 邮编： </w:t>
      </w:r>
      <w:r>
        <w:rPr>
          <w:rFonts w:ascii="仿宋_GB2312" w:hAnsi="仿宋_GB2312" w:cs="仿宋_GB2312" w:eastAsia="仿宋_GB2312"/>
        </w:rPr>
        <w:t>726000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商洛市自然资源局经办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0914-2380826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商洛市建筑勘察设计院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陕西省商洛市商州区民和路商洛设计大厦</w:t>
      </w:r>
    </w:p>
    <w:p>
      <w:pPr>
        <w:pStyle w:val="null3"/>
      </w:pPr>
      <w:r>
        <w:rPr>
          <w:rFonts w:ascii="仿宋_GB2312" w:hAnsi="仿宋_GB2312" w:cs="仿宋_GB2312" w:eastAsia="仿宋_GB2312"/>
        </w:rPr>
        <w:t xml:space="preserve"> 邮编： </w:t>
      </w:r>
      <w:r>
        <w:rPr>
          <w:rFonts w:ascii="仿宋_GB2312" w:hAnsi="仿宋_GB2312" w:cs="仿宋_GB2312" w:eastAsia="仿宋_GB2312"/>
        </w:rPr>
        <w:t>726000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李华</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0914-2181180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商洛市财政局政府采购管理科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屈老师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0914-2330993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开户名称：商洛市建筑勘察设计院</w:t>
            </w:r>
          </w:p>
          <w:p>
            <w:pPr>
              <w:pStyle w:val="null3"/>
            </w:pPr>
            <w:r>
              <w:rPr>
                <w:rFonts w:ascii="仿宋_GB2312" w:hAnsi="仿宋_GB2312" w:cs="仿宋_GB2312" w:eastAsia="仿宋_GB2312"/>
              </w:rPr>
              <w:t>开户银行：中国邮政储蓄银行股份有限公司商洛市分行</w:t>
            </w:r>
          </w:p>
          <w:p>
            <w:pPr>
              <w:pStyle w:val="null3"/>
            </w:pPr>
            <w:r>
              <w:rPr>
                <w:rFonts w:ascii="仿宋_GB2312" w:hAnsi="仿宋_GB2312" w:cs="仿宋_GB2312" w:eastAsia="仿宋_GB2312"/>
              </w:rPr>
              <w:t>银行账号：961003010032488903</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lt;招标代理服务收费管理暂行办法&gt;的通知》（计价格〔2002〕1980号）、国家发展改革委员会办公厅颁发的《关于招标代理服务收费有关问题的通知》（发改价格[2003]857号）和《国家发展改革委关于降低部分建设项目收费标准规范收费行为等有关问题的通知》(发改价格【2011】534号)文件规定，以成交价为基数按标准取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商洛市自然资源局</w:t>
      </w:r>
      <w:r>
        <w:rPr>
          <w:rFonts w:ascii="仿宋_GB2312" w:hAnsi="仿宋_GB2312" w:cs="仿宋_GB2312" w:eastAsia="仿宋_GB2312"/>
        </w:rPr>
        <w:t>和</w:t>
      </w:r>
      <w:r>
        <w:rPr>
          <w:rFonts w:ascii="仿宋_GB2312" w:hAnsi="仿宋_GB2312" w:cs="仿宋_GB2312" w:eastAsia="仿宋_GB2312"/>
        </w:rPr>
        <w:t>商洛市建筑勘察设计院</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商洛市自然资源局</w:t>
      </w:r>
      <w:r>
        <w:rPr>
          <w:rFonts w:ascii="仿宋_GB2312" w:hAnsi="仿宋_GB2312" w:cs="仿宋_GB2312" w:eastAsia="仿宋_GB2312"/>
        </w:rPr>
        <w:t>负责解释。除上述磋商文件内容，其他内容由</w:t>
      </w:r>
      <w:r>
        <w:rPr>
          <w:rFonts w:ascii="仿宋_GB2312" w:hAnsi="仿宋_GB2312" w:cs="仿宋_GB2312" w:eastAsia="仿宋_GB2312"/>
        </w:rPr>
        <w:t>商洛市建筑勘察设计院</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商洛市自然资源局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商洛市建筑勘察设计院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严格按照《财政部关于进一步加强政府采购需求和履约验收管理的指导意见》（财库〔2016〕205号）、《政府采购需求管理办法》（财库〔2021〕22号）等相关法律法规、技术标准、规范流程、采购文件、响应文件及合同进行验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商洛市建筑勘察设计院</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商洛市建筑勘察设计院</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商洛市建筑勘察设计院</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联系人：李华</w:t>
      </w:r>
    </w:p>
    <w:p>
      <w:pPr>
        <w:pStyle w:val="null3"/>
      </w:pPr>
      <w:r>
        <w:rPr>
          <w:rFonts w:ascii="仿宋_GB2312" w:hAnsi="仿宋_GB2312" w:cs="仿宋_GB2312" w:eastAsia="仿宋_GB2312"/>
        </w:rPr>
        <w:t>联系电话：0914-2181180</w:t>
      </w:r>
    </w:p>
    <w:p>
      <w:pPr>
        <w:pStyle w:val="null3"/>
      </w:pPr>
      <w:r>
        <w:rPr>
          <w:rFonts w:ascii="仿宋_GB2312" w:hAnsi="仿宋_GB2312" w:cs="仿宋_GB2312" w:eastAsia="仿宋_GB2312"/>
        </w:rPr>
        <w:t>地址：陕西省商洛市商州区民和路商洛设计大厦</w:t>
      </w:r>
    </w:p>
    <w:p>
      <w:pPr>
        <w:pStyle w:val="null3"/>
      </w:pPr>
      <w:r>
        <w:rPr>
          <w:rFonts w:ascii="仿宋_GB2312" w:hAnsi="仿宋_GB2312" w:cs="仿宋_GB2312" w:eastAsia="仿宋_GB2312"/>
        </w:rPr>
        <w:t>邮编：726000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根据《自然资源部办公厅关于做好“十五五”省级矿产资源规划编制前期工作的函》（自然资办函〔2024〕1816号）和《陕西省自然资源厅办公室关于做好“十五五”矿产资源规划编制前期工作的通知》（陕自然资矿保发〔2024〕1230号）相关文件要求，开展商洛市“十五五”矿产资源规划编制工作，为未来五年全市矿产资源勘查、开发、保护与管理工作提供科学依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600,000.00</w:t>
      </w:r>
    </w:p>
    <w:p>
      <w:pPr>
        <w:pStyle w:val="null3"/>
      </w:pPr>
      <w:r>
        <w:rPr>
          <w:rFonts w:ascii="仿宋_GB2312" w:hAnsi="仿宋_GB2312" w:cs="仿宋_GB2312" w:eastAsia="仿宋_GB2312"/>
        </w:rPr>
        <w:t>采购包最高限价（元）: 600,000.00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商洛市“十五五”矿产资源规划编制项目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标的名称：商洛市“十五五”矿产资源规划编制项目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ind w:right="75"/>
            </w:pPr>
            <w:r>
              <w:rPr>
                <w:rFonts w:ascii="仿宋_GB2312" w:hAnsi="仿宋_GB2312" w:cs="仿宋_GB2312" w:eastAsia="仿宋_GB2312"/>
              </w:rPr>
              <w:t>一、项目依据</w:t>
            </w:r>
          </w:p>
          <w:p>
            <w:pPr>
              <w:pStyle w:val="null3"/>
              <w:ind w:left="75" w:right="75" w:firstLine="320"/>
            </w:pPr>
            <w:r>
              <w:rPr>
                <w:rFonts w:ascii="仿宋_GB2312" w:hAnsi="仿宋_GB2312" w:cs="仿宋_GB2312" w:eastAsia="仿宋_GB2312"/>
              </w:rPr>
              <w:t>根据</w:t>
            </w:r>
            <w:r>
              <w:rPr>
                <w:rFonts w:ascii="仿宋_GB2312" w:hAnsi="仿宋_GB2312" w:cs="仿宋_GB2312" w:eastAsia="仿宋_GB2312"/>
              </w:rPr>
              <w:t>2023</w:t>
            </w:r>
            <w:r>
              <w:rPr>
                <w:rFonts w:ascii="仿宋_GB2312" w:hAnsi="仿宋_GB2312" w:cs="仿宋_GB2312" w:eastAsia="仿宋_GB2312"/>
              </w:rPr>
              <w:t>年，中共中央、国务院印发《关于全面推进美丽中国建设的意见》，提出“统筹矿产资源开发与生态保护，优化矿产资源开发布局”的战略要求。</w:t>
            </w:r>
            <w:r>
              <w:rPr>
                <w:rFonts w:ascii="仿宋_GB2312" w:hAnsi="仿宋_GB2312" w:cs="仿宋_GB2312" w:eastAsia="仿宋_GB2312"/>
              </w:rPr>
              <w:t>2024</w:t>
            </w:r>
            <w:r>
              <w:rPr>
                <w:rFonts w:ascii="仿宋_GB2312" w:hAnsi="仿宋_GB2312" w:cs="仿宋_GB2312" w:eastAsia="仿宋_GB2312"/>
              </w:rPr>
              <w:t>年，自然资源部联合多部委印发《矿产资源安全保障行动计划》，明确“分区域、分矿种推进‘十五五’矿产资源规划编制，实现勘查开发与国土空间规划、生态保护红线精准衔接”。陕西省坚决贯彻党中央国务院决策部署，建立省级矿产资源规划编制联动工作机制，陕西省自然资源厅印发《关于开展“十五五”矿产资源规划编制工作的通知》（陕自然资发〔</w:t>
            </w:r>
            <w:r>
              <w:rPr>
                <w:rFonts w:ascii="仿宋_GB2312" w:hAnsi="仿宋_GB2312" w:cs="仿宋_GB2312" w:eastAsia="仿宋_GB2312"/>
              </w:rPr>
              <w:t>2024</w:t>
            </w:r>
            <w:r>
              <w:rPr>
                <w:rFonts w:ascii="仿宋_GB2312" w:hAnsi="仿宋_GB2312" w:cs="仿宋_GB2312" w:eastAsia="仿宋_GB2312"/>
              </w:rPr>
              <w:t>〕</w:t>
            </w:r>
            <w:r>
              <w:rPr>
                <w:rFonts w:ascii="仿宋_GB2312" w:hAnsi="仿宋_GB2312" w:cs="仿宋_GB2312" w:eastAsia="仿宋_GB2312"/>
              </w:rPr>
              <w:t>86</w:t>
            </w:r>
            <w:r>
              <w:rPr>
                <w:rFonts w:ascii="仿宋_GB2312" w:hAnsi="仿宋_GB2312" w:cs="仿宋_GB2312" w:eastAsia="仿宋_GB2312"/>
              </w:rPr>
              <w:t>号），要求各设区市全面开展市级规划编制，推动矿产资源高效利用与绿色发展全覆盖。</w:t>
            </w:r>
          </w:p>
          <w:p>
            <w:pPr>
              <w:pStyle w:val="null3"/>
              <w:ind w:right="75"/>
            </w:pPr>
            <w:r>
              <w:rPr>
                <w:rFonts w:ascii="仿宋_GB2312" w:hAnsi="仿宋_GB2312" w:cs="仿宋_GB2312" w:eastAsia="仿宋_GB2312"/>
              </w:rPr>
              <w:t>二、项目目标</w:t>
            </w:r>
          </w:p>
          <w:p>
            <w:pPr>
              <w:pStyle w:val="null3"/>
              <w:ind w:left="75" w:right="75" w:firstLine="320"/>
            </w:pPr>
            <w:r>
              <w:rPr>
                <w:rFonts w:ascii="仿宋_GB2312" w:hAnsi="仿宋_GB2312" w:cs="仿宋_GB2312" w:eastAsia="仿宋_GB2312"/>
              </w:rPr>
              <w:t>以商洛市矿产资源</w:t>
            </w:r>
            <w:r>
              <w:rPr>
                <w:rFonts w:ascii="仿宋_GB2312" w:hAnsi="仿宋_GB2312" w:cs="仿宋_GB2312" w:eastAsia="仿宋_GB2312"/>
              </w:rPr>
              <w:t>“十四五”规划实施评估结果、矿产资源储量数据库、国土空间规划“三区三线”划定成果为基础，对全市</w:t>
            </w:r>
            <w:r>
              <w:rPr>
                <w:rFonts w:ascii="仿宋_GB2312" w:hAnsi="仿宋_GB2312" w:cs="仿宋_GB2312" w:eastAsia="仿宋_GB2312"/>
              </w:rPr>
              <w:t>7</w:t>
            </w:r>
            <w:r>
              <w:rPr>
                <w:rFonts w:ascii="仿宋_GB2312" w:hAnsi="仿宋_GB2312" w:cs="仿宋_GB2312" w:eastAsia="仿宋_GB2312"/>
              </w:rPr>
              <w:t>个区县重点矿镇、主要矿区开展矿产资源勘查开发与保护现状调查，对影响矿产资源可持续利用的供给因素、需求因素、生态约束因素进行系统分析，识别需要重点管控的规划指标与空间布局问题，并根据识别结果制定差异化管控措施后，通过多轮论证优化开展可行性评估。重点聚焦优势矿产（钒、钼、金、萤石等）的安全保障与绿色开发，制定矿产资源勘查开发总量调控计划、空间布局优化方案，为“十五五”期间商洛市矿产资源精准管理、产业结构升级提供数据基础，为有效破解“资源开发与生态保护”矛盾、提升矿产资源对重点产业的支撑能力、保障区域资源安全提供技术支撑。</w:t>
            </w:r>
          </w:p>
          <w:p>
            <w:pPr>
              <w:pStyle w:val="null3"/>
              <w:ind w:right="75"/>
            </w:pPr>
            <w:r>
              <w:rPr>
                <w:rFonts w:ascii="仿宋_GB2312" w:hAnsi="仿宋_GB2312" w:cs="仿宋_GB2312" w:eastAsia="仿宋_GB2312"/>
              </w:rPr>
              <w:t>三、服务内容及要求</w:t>
            </w:r>
          </w:p>
          <w:p>
            <w:pPr>
              <w:pStyle w:val="null3"/>
              <w:ind w:left="75" w:right="75" w:firstLine="320"/>
            </w:pPr>
            <w:r>
              <w:rPr>
                <w:rFonts w:ascii="仿宋_GB2312" w:hAnsi="仿宋_GB2312" w:cs="仿宋_GB2312" w:eastAsia="仿宋_GB2312"/>
              </w:rPr>
              <w:t>编制《商洛市</w:t>
            </w:r>
            <w:r>
              <w:rPr>
                <w:rFonts w:ascii="仿宋_GB2312" w:hAnsi="仿宋_GB2312" w:cs="仿宋_GB2312" w:eastAsia="仿宋_GB2312"/>
              </w:rPr>
              <w:t>“十五五”矿产资源规划》，该规划将作为规划期内依法审批和监督管理矿产资源勘查、开发利用与保护活动以及指导县级矿产资源规划编制的重要依据。服务须严格遵循《自然资源部办公厅关于做好“十五五”省级矿产资源规划编制前期工作的函》（自然资办函〔</w:t>
            </w:r>
            <w:r>
              <w:rPr>
                <w:rFonts w:ascii="仿宋_GB2312" w:hAnsi="仿宋_GB2312" w:cs="仿宋_GB2312" w:eastAsia="仿宋_GB2312"/>
              </w:rPr>
              <w:t>2024</w:t>
            </w:r>
            <w:r>
              <w:rPr>
                <w:rFonts w:ascii="仿宋_GB2312" w:hAnsi="仿宋_GB2312" w:cs="仿宋_GB2312" w:eastAsia="仿宋_GB2312"/>
              </w:rPr>
              <w:t>〕</w:t>
            </w:r>
            <w:r>
              <w:rPr>
                <w:rFonts w:ascii="仿宋_GB2312" w:hAnsi="仿宋_GB2312" w:cs="仿宋_GB2312" w:eastAsia="仿宋_GB2312"/>
              </w:rPr>
              <w:t>1816</w:t>
            </w:r>
            <w:r>
              <w:rPr>
                <w:rFonts w:ascii="仿宋_GB2312" w:hAnsi="仿宋_GB2312" w:cs="仿宋_GB2312" w:eastAsia="仿宋_GB2312"/>
              </w:rPr>
              <w:t>号）和《陕西省自然资源厅办公室关于做好“十五五”矿产资源规划编制前期工作的通知》（陕自然资矿保发〔</w:t>
            </w:r>
            <w:r>
              <w:rPr>
                <w:rFonts w:ascii="仿宋_GB2312" w:hAnsi="仿宋_GB2312" w:cs="仿宋_GB2312" w:eastAsia="仿宋_GB2312"/>
              </w:rPr>
              <w:t>2024</w:t>
            </w:r>
            <w:r>
              <w:rPr>
                <w:rFonts w:ascii="仿宋_GB2312" w:hAnsi="仿宋_GB2312" w:cs="仿宋_GB2312" w:eastAsia="仿宋_GB2312"/>
              </w:rPr>
              <w:t>〕</w:t>
            </w:r>
            <w:r>
              <w:rPr>
                <w:rFonts w:ascii="仿宋_GB2312" w:hAnsi="仿宋_GB2312" w:cs="仿宋_GB2312" w:eastAsia="仿宋_GB2312"/>
              </w:rPr>
              <w:t>1230</w:t>
            </w:r>
            <w:r>
              <w:rPr>
                <w:rFonts w:ascii="仿宋_GB2312" w:hAnsi="仿宋_GB2312" w:cs="仿宋_GB2312" w:eastAsia="仿宋_GB2312"/>
              </w:rPr>
              <w:t>号）等文件要求。</w:t>
            </w:r>
          </w:p>
          <w:p>
            <w:pPr>
              <w:pStyle w:val="null3"/>
              <w:ind w:right="75"/>
            </w:pPr>
            <w:r>
              <w:rPr>
                <w:rFonts w:ascii="仿宋_GB2312" w:hAnsi="仿宋_GB2312" w:cs="仿宋_GB2312" w:eastAsia="仿宋_GB2312"/>
              </w:rPr>
              <w:t xml:space="preserve"> （一）、具体工作要求包括：</w:t>
            </w:r>
          </w:p>
          <w:p>
            <w:pPr>
              <w:pStyle w:val="null3"/>
              <w:ind w:left="75" w:right="75" w:firstLine="320"/>
            </w:pPr>
            <w:r>
              <w:rPr>
                <w:rFonts w:ascii="仿宋_GB2312" w:hAnsi="仿宋_GB2312" w:cs="仿宋_GB2312" w:eastAsia="仿宋_GB2312"/>
              </w:rPr>
              <w:t>1.</w:t>
            </w:r>
            <w:r>
              <w:rPr>
                <w:rFonts w:ascii="仿宋_GB2312" w:hAnsi="仿宋_GB2312" w:cs="仿宋_GB2312" w:eastAsia="仿宋_GB2312"/>
              </w:rPr>
              <w:t>全面收集并分析矿产资源储量、地质勘查、矿山开发利用、国土空间规划、生态保护红线、重点产业发展规划等基础资料与数据。</w:t>
            </w:r>
          </w:p>
          <w:p>
            <w:pPr>
              <w:pStyle w:val="null3"/>
              <w:ind w:left="75" w:right="75" w:firstLine="320"/>
            </w:pPr>
            <w:r>
              <w:rPr>
                <w:rFonts w:ascii="仿宋_GB2312" w:hAnsi="仿宋_GB2312" w:cs="仿宋_GB2312" w:eastAsia="仿宋_GB2312"/>
              </w:rPr>
              <w:t>2.</w:t>
            </w:r>
            <w:r>
              <w:rPr>
                <w:rFonts w:ascii="仿宋_GB2312" w:hAnsi="仿宋_GB2312" w:cs="仿宋_GB2312" w:eastAsia="仿宋_GB2312"/>
              </w:rPr>
              <w:t>开展全市矿产资源开发利用现状评估与区域发展需求研判，初步确定规划核心指标、空间布局与管控措施。</w:t>
            </w:r>
          </w:p>
          <w:p>
            <w:pPr>
              <w:pStyle w:val="null3"/>
              <w:ind w:left="75" w:right="75" w:firstLine="320"/>
            </w:pPr>
            <w:r>
              <w:rPr>
                <w:rFonts w:ascii="仿宋_GB2312" w:hAnsi="仿宋_GB2312" w:cs="仿宋_GB2312" w:eastAsia="仿宋_GB2312"/>
              </w:rPr>
              <w:t>3.</w:t>
            </w:r>
            <w:r>
              <w:rPr>
                <w:rFonts w:ascii="仿宋_GB2312" w:hAnsi="仿宋_GB2312" w:cs="仿宋_GB2312" w:eastAsia="仿宋_GB2312"/>
              </w:rPr>
              <w:t>对关键及存疑问题，组织开展补充调研、专项论证，明确规划核心内容。</w:t>
            </w:r>
          </w:p>
          <w:p>
            <w:pPr>
              <w:pStyle w:val="null3"/>
              <w:ind w:left="75" w:right="75" w:firstLine="320"/>
            </w:pPr>
            <w:r>
              <w:rPr>
                <w:rFonts w:ascii="仿宋_GB2312" w:hAnsi="仿宋_GB2312" w:cs="仿宋_GB2312" w:eastAsia="仿宋_GB2312"/>
              </w:rPr>
              <w:t>4.</w:t>
            </w:r>
            <w:r>
              <w:rPr>
                <w:rFonts w:ascii="仿宋_GB2312" w:hAnsi="仿宋_GB2312" w:cs="仿宋_GB2312" w:eastAsia="仿宋_GB2312"/>
              </w:rPr>
              <w:t>优化全市矿产资源勘查开发布局，研究提出矿产资源安全保障、绿色发展、节约集约利用等系统管控措施。</w:t>
            </w:r>
          </w:p>
          <w:p>
            <w:pPr>
              <w:pStyle w:val="null3"/>
              <w:ind w:left="75" w:right="75" w:firstLine="320"/>
            </w:pPr>
            <w:r>
              <w:rPr>
                <w:rFonts w:ascii="仿宋_GB2312" w:hAnsi="仿宋_GB2312" w:cs="仿宋_GB2312" w:eastAsia="仿宋_GB2312"/>
              </w:rPr>
              <w:t>5.</w:t>
            </w:r>
            <w:r>
              <w:rPr>
                <w:rFonts w:ascii="仿宋_GB2312" w:hAnsi="仿宋_GB2312" w:cs="仿宋_GB2312" w:eastAsia="仿宋_GB2312"/>
              </w:rPr>
              <w:t>对全市</w:t>
            </w:r>
            <w:r>
              <w:rPr>
                <w:rFonts w:ascii="仿宋_GB2312" w:hAnsi="仿宋_GB2312" w:cs="仿宋_GB2312" w:eastAsia="仿宋_GB2312"/>
              </w:rPr>
              <w:t>7</w:t>
            </w:r>
            <w:r>
              <w:rPr>
                <w:rFonts w:ascii="仿宋_GB2312" w:hAnsi="仿宋_GB2312" w:cs="仿宋_GB2312" w:eastAsia="仿宋_GB2312"/>
              </w:rPr>
              <w:t>县区开展规划范围确定、基础资料收集、“十四五”规划实施评估、核心目标指标研判、重点矿区现场踏勘与访谈、规划内容判定、专项论证、方案优化与管控措施制定等工作。</w:t>
            </w:r>
          </w:p>
          <w:p>
            <w:pPr>
              <w:pStyle w:val="null3"/>
              <w:ind w:left="75" w:right="75" w:firstLine="320"/>
            </w:pPr>
            <w:r>
              <w:rPr>
                <w:rFonts w:ascii="仿宋_GB2312" w:hAnsi="仿宋_GB2312" w:cs="仿宋_GB2312" w:eastAsia="仿宋_GB2312"/>
              </w:rPr>
              <w:t>6.</w:t>
            </w:r>
            <w:r>
              <w:rPr>
                <w:rFonts w:ascii="仿宋_GB2312" w:hAnsi="仿宋_GB2312" w:cs="仿宋_GB2312" w:eastAsia="仿宋_GB2312"/>
              </w:rPr>
              <w:t>系统进行基础数据核验与重点矿区实地勘查，集成全市规划成果、图件及档案资料。</w:t>
            </w:r>
          </w:p>
          <w:p>
            <w:pPr>
              <w:pStyle w:val="null3"/>
              <w:ind w:left="75" w:right="75" w:firstLine="320"/>
            </w:pPr>
            <w:r>
              <w:rPr>
                <w:rFonts w:ascii="仿宋_GB2312" w:hAnsi="仿宋_GB2312" w:cs="仿宋_GB2312" w:eastAsia="仿宋_GB2312"/>
              </w:rPr>
              <w:t>7.</w:t>
            </w:r>
            <w:r>
              <w:rPr>
                <w:rFonts w:ascii="仿宋_GB2312" w:hAnsi="仿宋_GB2312" w:cs="仿宋_GB2312" w:eastAsia="仿宋_GB2312"/>
              </w:rPr>
              <w:t>分县区编制矿产资源分区管控方案（含</w:t>
            </w:r>
            <w:r>
              <w:rPr>
                <w:rFonts w:ascii="仿宋_GB2312" w:hAnsi="仿宋_GB2312" w:cs="仿宋_GB2312" w:eastAsia="仿宋_GB2312"/>
              </w:rPr>
              <w:t>7</w:t>
            </w:r>
            <w:r>
              <w:rPr>
                <w:rFonts w:ascii="仿宋_GB2312" w:hAnsi="仿宋_GB2312" w:cs="仿宋_GB2312" w:eastAsia="仿宋_GB2312"/>
              </w:rPr>
              <w:t>县区重点矿区管控清单、优势矿产开发利用导向清单）。</w:t>
            </w:r>
          </w:p>
          <w:p>
            <w:pPr>
              <w:pStyle w:val="null3"/>
              <w:ind w:left="75" w:right="75" w:firstLine="320"/>
            </w:pPr>
            <w:r>
              <w:rPr>
                <w:rFonts w:ascii="仿宋_GB2312" w:hAnsi="仿宋_GB2312" w:cs="仿宋_GB2312" w:eastAsia="仿宋_GB2312"/>
              </w:rPr>
              <w:t>8.</w:t>
            </w:r>
            <w:r>
              <w:rPr>
                <w:rFonts w:ascii="仿宋_GB2312" w:hAnsi="仿宋_GB2312" w:cs="仿宋_GB2312" w:eastAsia="仿宋_GB2312"/>
              </w:rPr>
              <w:t>提出全市矿产资源安全保障与绿色发展管控建议，编制重点项目实施计划。</w:t>
            </w:r>
          </w:p>
          <w:p>
            <w:pPr>
              <w:pStyle w:val="null3"/>
              <w:ind w:left="75" w:right="75" w:firstLine="320"/>
            </w:pPr>
            <w:r>
              <w:rPr>
                <w:rFonts w:ascii="仿宋_GB2312" w:hAnsi="仿宋_GB2312" w:cs="仿宋_GB2312" w:eastAsia="仿宋_GB2312"/>
              </w:rPr>
              <w:t>（二）、规划主要内容包括如下：</w:t>
            </w:r>
          </w:p>
          <w:tbl>
            <w:tblPr>
              <w:tblBorders>
                <w:top w:val="none" w:color="000000" w:sz="4"/>
                <w:left w:val="none" w:color="000000" w:sz="4"/>
                <w:bottom w:val="none" w:color="000000" w:sz="4"/>
                <w:right w:val="none" w:color="000000" w:sz="4"/>
                <w:insideH w:val="none"/>
                <w:insideV w:val="none"/>
              </w:tblBorders>
            </w:tblPr>
            <w:tblGrid>
              <w:gridCol w:w="511"/>
              <w:gridCol w:w="511"/>
              <w:gridCol w:w="511"/>
              <w:gridCol w:w="511"/>
              <w:gridCol w:w="511"/>
            </w:tblGrid>
            <w:tr>
              <w:tc>
                <w:tcPr>
                  <w:tcW w:type="dxa" w:w="511"/>
                </w:tcPr>
                <w:p>
                  <w:pPr>
                    <w:pStyle w:val="null3"/>
                  </w:pPr>
                  <w:r>
                    <w:rPr>
                      <w:rFonts w:ascii="仿宋_GB2312" w:hAnsi="仿宋_GB2312" w:cs="仿宋_GB2312" w:eastAsia="仿宋_GB2312"/>
                      <w:sz w:val="19"/>
                    </w:rPr>
                    <w:t>序号</w:t>
                  </w:r>
                </w:p>
              </w:tc>
              <w:tc>
                <w:tcPr>
                  <w:tcW w:type="dxa" w:w="1022"/>
                  <w:gridSpan w:val="2"/>
                </w:tcPr>
                <w:p>
                  <w:pPr>
                    <w:pStyle w:val="null3"/>
                  </w:pPr>
                  <w:r>
                    <w:rPr>
                      <w:rFonts w:ascii="仿宋_GB2312" w:hAnsi="仿宋_GB2312" w:cs="仿宋_GB2312" w:eastAsia="仿宋_GB2312"/>
                      <w:sz w:val="19"/>
                    </w:rPr>
                    <w:t>工作内容</w:t>
                  </w:r>
                </w:p>
              </w:tc>
              <w:tc>
                <w:tcPr>
                  <w:tcW w:type="dxa" w:w="511"/>
                </w:tcPr>
                <w:p>
                  <w:pPr>
                    <w:pStyle w:val="null3"/>
                  </w:pPr>
                  <w:r>
                    <w:rPr>
                      <w:rFonts w:ascii="仿宋_GB2312" w:hAnsi="仿宋_GB2312" w:cs="仿宋_GB2312" w:eastAsia="仿宋_GB2312"/>
                      <w:sz w:val="19"/>
                    </w:rPr>
                    <w:t>内容详述</w:t>
                  </w:r>
                </w:p>
              </w:tc>
              <w:tc>
                <w:tcPr>
                  <w:tcW w:type="dxa" w:w="511"/>
                </w:tcPr>
                <w:p>
                  <w:pPr>
                    <w:pStyle w:val="null3"/>
                  </w:pPr>
                  <w:r>
                    <w:rPr>
                      <w:rFonts w:ascii="仿宋_GB2312" w:hAnsi="仿宋_GB2312" w:cs="仿宋_GB2312" w:eastAsia="仿宋_GB2312"/>
                      <w:sz w:val="19"/>
                    </w:rPr>
                    <w:t>数量/单位</w:t>
                  </w:r>
                </w:p>
              </w:tc>
            </w:tr>
            <w:tr>
              <w:tc>
                <w:tcPr>
                  <w:tcW w:type="dxa" w:w="511"/>
                  <w:vMerge w:val="restart"/>
                </w:tcPr>
                <w:p>
                  <w:pPr>
                    <w:pStyle w:val="null3"/>
                  </w:pPr>
                  <w:r>
                    <w:rPr>
                      <w:rFonts w:ascii="仿宋_GB2312" w:hAnsi="仿宋_GB2312" w:cs="仿宋_GB2312" w:eastAsia="仿宋_GB2312"/>
                      <w:sz w:val="19"/>
                    </w:rPr>
                    <w:t>1</w:t>
                  </w:r>
                </w:p>
              </w:tc>
              <w:tc>
                <w:tcPr>
                  <w:tcW w:type="dxa" w:w="511"/>
                  <w:vMerge w:val="restart"/>
                </w:tcPr>
                <w:p>
                  <w:pPr>
                    <w:pStyle w:val="null3"/>
                  </w:pPr>
                  <w:r>
                    <w:rPr>
                      <w:rFonts w:ascii="仿宋_GB2312" w:hAnsi="仿宋_GB2312" w:cs="仿宋_GB2312" w:eastAsia="仿宋_GB2312"/>
                      <w:sz w:val="19"/>
                    </w:rPr>
                    <w:t>商洛市矿产资源现状的分析，矿产资源供需变化趋势预测</w:t>
                  </w:r>
                </w:p>
              </w:tc>
              <w:tc>
                <w:tcPr>
                  <w:tcW w:type="dxa" w:w="511"/>
                </w:tcPr>
                <w:p>
                  <w:pPr>
                    <w:pStyle w:val="null3"/>
                  </w:pPr>
                  <w:r>
                    <w:rPr>
                      <w:rFonts w:ascii="仿宋_GB2312" w:hAnsi="仿宋_GB2312" w:cs="仿宋_GB2312" w:eastAsia="仿宋_GB2312"/>
                      <w:sz w:val="19"/>
                    </w:rPr>
                    <w:t>现状分析</w:t>
                  </w:r>
                </w:p>
              </w:tc>
              <w:tc>
                <w:tcPr>
                  <w:tcW w:type="dxa" w:w="511"/>
                </w:tcPr>
                <w:p>
                  <w:pPr>
                    <w:pStyle w:val="null3"/>
                  </w:pPr>
                  <w:r>
                    <w:rPr>
                      <w:rFonts w:ascii="仿宋_GB2312" w:hAnsi="仿宋_GB2312" w:cs="仿宋_GB2312" w:eastAsia="仿宋_GB2312"/>
                      <w:sz w:val="19"/>
                    </w:rPr>
                    <w:t>梳理全市已查明矿产的矿种、储量、分布及勘查程度，重点研判优势矿产开发潜力；评估 “十四五” 矿山规模、利用效率、产业结构等核心指标；排查资源开发与 “三区三线” 的重叠冲突及地质环境问题。</w:t>
                  </w:r>
                </w:p>
              </w:tc>
              <w:tc>
                <w:tcPr>
                  <w:tcW w:type="dxa" w:w="511"/>
                </w:tcPr>
                <w:p>
                  <w:pPr>
                    <w:pStyle w:val="null3"/>
                  </w:pPr>
                  <w:r>
                    <w:rPr>
                      <w:rFonts w:ascii="仿宋_GB2312" w:hAnsi="仿宋_GB2312" w:cs="仿宋_GB2312" w:eastAsia="仿宋_GB2312"/>
                      <w:sz w:val="19"/>
                    </w:rPr>
                    <w:t>7县（区）</w:t>
                  </w:r>
                </w:p>
              </w:tc>
            </w:tr>
            <w:tr>
              <w:tc>
                <w:tcPr>
                  <w:tcW w:type="dxa" w:w="511"/>
                  <w:vMerge/>
                </w:tcPr>
                <w:p/>
              </w:tc>
              <w:tc>
                <w:tcPr>
                  <w:tcW w:type="dxa" w:w="511"/>
                  <w:vMerge/>
                </w:tcPr>
                <w:p/>
              </w:tc>
              <w:tc>
                <w:tcPr>
                  <w:tcW w:type="dxa" w:w="511"/>
                </w:tcPr>
                <w:p>
                  <w:pPr>
                    <w:pStyle w:val="null3"/>
                  </w:pPr>
                  <w:r>
                    <w:rPr>
                      <w:rFonts w:ascii="仿宋_GB2312" w:hAnsi="仿宋_GB2312" w:cs="仿宋_GB2312" w:eastAsia="仿宋_GB2312"/>
                      <w:sz w:val="19"/>
                    </w:rPr>
                    <w:t>供需预测</w:t>
                  </w:r>
                </w:p>
              </w:tc>
              <w:tc>
                <w:tcPr>
                  <w:tcW w:type="dxa" w:w="511"/>
                </w:tcPr>
                <w:p>
                  <w:pPr>
                    <w:pStyle w:val="null3"/>
                  </w:pPr>
                  <w:r>
                    <w:rPr>
                      <w:rFonts w:ascii="仿宋_GB2312" w:hAnsi="仿宋_GB2312" w:cs="仿宋_GB2312" w:eastAsia="仿宋_GB2312"/>
                      <w:sz w:val="19"/>
                    </w:rPr>
                    <w:t>衔接市级 “十五五” 规划及重点产业需求，分析矿产资源消费特征；结合市场格局、资源替代、进口依赖度等因素，预测主要矿产供需缺口，提出应对策略。</w:t>
                  </w:r>
                </w:p>
              </w:tc>
              <w:tc>
                <w:tcPr>
                  <w:tcW w:type="dxa" w:w="511"/>
                </w:tcPr>
                <w:p>
                  <w:pPr>
                    <w:pStyle w:val="null3"/>
                  </w:pPr>
                  <w:r>
                    <w:rPr>
                      <w:rFonts w:ascii="仿宋_GB2312" w:hAnsi="仿宋_GB2312" w:cs="仿宋_GB2312" w:eastAsia="仿宋_GB2312"/>
                      <w:sz w:val="19"/>
                    </w:rPr>
                    <w:t>1项</w:t>
                  </w:r>
                </w:p>
              </w:tc>
            </w:tr>
            <w:tr>
              <w:tc>
                <w:tcPr>
                  <w:tcW w:type="dxa" w:w="511"/>
                  <w:vMerge w:val="restart"/>
                </w:tcPr>
                <w:p>
                  <w:pPr>
                    <w:pStyle w:val="null3"/>
                  </w:pPr>
                  <w:r>
                    <w:rPr>
                      <w:rFonts w:ascii="仿宋_GB2312" w:hAnsi="仿宋_GB2312" w:cs="仿宋_GB2312" w:eastAsia="仿宋_GB2312"/>
                      <w:sz w:val="19"/>
                    </w:rPr>
                    <w:t>2</w:t>
                  </w:r>
                </w:p>
              </w:tc>
              <w:tc>
                <w:tcPr>
                  <w:tcW w:type="dxa" w:w="511"/>
                  <w:vMerge w:val="restart"/>
                </w:tcPr>
                <w:p>
                  <w:pPr>
                    <w:pStyle w:val="null3"/>
                  </w:pPr>
                  <w:r>
                    <w:rPr>
                      <w:rFonts w:ascii="仿宋_GB2312" w:hAnsi="仿宋_GB2312" w:cs="仿宋_GB2312" w:eastAsia="仿宋_GB2312"/>
                      <w:sz w:val="19"/>
                    </w:rPr>
                    <w:t>地质勘查、开发利用和保护的目标与指标</w:t>
                  </w:r>
                </w:p>
              </w:tc>
              <w:tc>
                <w:tcPr>
                  <w:tcW w:type="dxa" w:w="511"/>
                </w:tcPr>
                <w:p>
                  <w:pPr>
                    <w:pStyle w:val="null3"/>
                  </w:pPr>
                  <w:r>
                    <w:rPr>
                      <w:rFonts w:ascii="仿宋_GB2312" w:hAnsi="仿宋_GB2312" w:cs="仿宋_GB2312" w:eastAsia="仿宋_GB2312"/>
                      <w:sz w:val="19"/>
                    </w:rPr>
                    <w:t>地质勘查</w:t>
                  </w:r>
                </w:p>
              </w:tc>
              <w:tc>
                <w:tcPr>
                  <w:tcW w:type="dxa" w:w="511"/>
                </w:tcPr>
                <w:p>
                  <w:pPr>
                    <w:pStyle w:val="null3"/>
                  </w:pPr>
                  <w:r>
                    <w:rPr>
                      <w:rFonts w:ascii="仿宋_GB2312" w:hAnsi="仿宋_GB2312" w:cs="仿宋_GB2312" w:eastAsia="仿宋_GB2312"/>
                      <w:sz w:val="19"/>
                    </w:rPr>
                    <w:t>聚焦 “增储保供”，明确优势及战略性矿产新增储量、勘查区覆盖、勘查精度、资金投入等核心指标。</w:t>
                  </w:r>
                </w:p>
              </w:tc>
              <w:tc>
                <w:tcPr>
                  <w:tcW w:type="dxa" w:w="511"/>
                </w:tcPr>
                <w:p>
                  <w:pPr>
                    <w:pStyle w:val="null3"/>
                  </w:pPr>
                  <w:r>
                    <w:rPr>
                      <w:rFonts w:ascii="仿宋_GB2312" w:hAnsi="仿宋_GB2312" w:cs="仿宋_GB2312" w:eastAsia="仿宋_GB2312"/>
                      <w:sz w:val="19"/>
                    </w:rPr>
                    <w:t>7县（区）</w:t>
                  </w:r>
                </w:p>
              </w:tc>
            </w:tr>
            <w:tr>
              <w:tc>
                <w:tcPr>
                  <w:tcW w:type="dxa" w:w="511"/>
                  <w:vMerge/>
                </w:tcPr>
                <w:p/>
              </w:tc>
              <w:tc>
                <w:tcPr>
                  <w:tcW w:type="dxa" w:w="511"/>
                  <w:vMerge/>
                </w:tcPr>
                <w:p/>
              </w:tc>
              <w:tc>
                <w:tcPr>
                  <w:tcW w:type="dxa" w:w="511"/>
                </w:tcPr>
                <w:p>
                  <w:pPr>
                    <w:pStyle w:val="null3"/>
                  </w:pPr>
                  <w:r>
                    <w:rPr>
                      <w:rFonts w:ascii="仿宋_GB2312" w:hAnsi="仿宋_GB2312" w:cs="仿宋_GB2312" w:eastAsia="仿宋_GB2312"/>
                      <w:sz w:val="19"/>
                    </w:rPr>
                    <w:t>开发利用</w:t>
                  </w:r>
                </w:p>
              </w:tc>
              <w:tc>
                <w:tcPr>
                  <w:tcW w:type="dxa" w:w="511"/>
                </w:tcPr>
                <w:p>
                  <w:pPr>
                    <w:pStyle w:val="null3"/>
                  </w:pPr>
                  <w:r>
                    <w:rPr>
                      <w:rFonts w:ascii="仿宋_GB2312" w:hAnsi="仿宋_GB2312" w:cs="仿宋_GB2312" w:eastAsia="仿宋_GB2312"/>
                      <w:sz w:val="19"/>
                    </w:rPr>
                    <w:t>推动矿山规模化、智能化、绿色化转型，明确大中型矿山占比、利用效率提升幅度、精深加工产值占比、开采总量控制等指标。</w:t>
                  </w:r>
                </w:p>
              </w:tc>
              <w:tc>
                <w:tcPr>
                  <w:tcW w:type="dxa" w:w="511"/>
                </w:tcPr>
                <w:p>
                  <w:pPr>
                    <w:pStyle w:val="null3"/>
                  </w:pPr>
                  <w:r>
                    <w:rPr>
                      <w:rFonts w:ascii="仿宋_GB2312" w:hAnsi="仿宋_GB2312" w:cs="仿宋_GB2312" w:eastAsia="仿宋_GB2312"/>
                      <w:sz w:val="19"/>
                    </w:rPr>
                    <w:t>7县（区）</w:t>
                  </w:r>
                </w:p>
              </w:tc>
            </w:tr>
            <w:tr>
              <w:tc>
                <w:tcPr>
                  <w:tcW w:type="dxa" w:w="511"/>
                  <w:vMerge/>
                </w:tcPr>
                <w:p/>
              </w:tc>
              <w:tc>
                <w:tcPr>
                  <w:tcW w:type="dxa" w:w="511"/>
                  <w:vMerge/>
                </w:tcPr>
                <w:p/>
              </w:tc>
              <w:tc>
                <w:tcPr>
                  <w:tcW w:type="dxa" w:w="511"/>
                </w:tcPr>
                <w:p>
                  <w:pPr>
                    <w:pStyle w:val="null3"/>
                  </w:pPr>
                  <w:r>
                    <w:rPr>
                      <w:rFonts w:ascii="仿宋_GB2312" w:hAnsi="仿宋_GB2312" w:cs="仿宋_GB2312" w:eastAsia="仿宋_GB2312"/>
                      <w:sz w:val="19"/>
                    </w:rPr>
                    <w:t>保护管控</w:t>
                  </w:r>
                </w:p>
              </w:tc>
              <w:tc>
                <w:tcPr>
                  <w:tcW w:type="dxa" w:w="511"/>
                </w:tcPr>
                <w:p>
                  <w:pPr>
                    <w:pStyle w:val="null3"/>
                  </w:pPr>
                  <w:r>
                    <w:rPr>
                      <w:rFonts w:ascii="仿宋_GB2312" w:hAnsi="仿宋_GB2312" w:cs="仿宋_GB2312" w:eastAsia="仿宋_GB2312"/>
                      <w:sz w:val="19"/>
                    </w:rPr>
                    <w:t>坚守生态底线，明确保护区面积占比、生态敏感区管控比例、战略储备规模、规划执行率等指标。</w:t>
                  </w:r>
                </w:p>
              </w:tc>
              <w:tc>
                <w:tcPr>
                  <w:tcW w:type="dxa" w:w="511"/>
                </w:tcPr>
                <w:p>
                  <w:pPr>
                    <w:pStyle w:val="null3"/>
                  </w:pPr>
                  <w:r>
                    <w:rPr>
                      <w:rFonts w:ascii="仿宋_GB2312" w:hAnsi="仿宋_GB2312" w:cs="仿宋_GB2312" w:eastAsia="仿宋_GB2312"/>
                      <w:sz w:val="19"/>
                    </w:rPr>
                    <w:t>7县（区）</w:t>
                  </w:r>
                </w:p>
              </w:tc>
            </w:tr>
            <w:tr>
              <w:tc>
                <w:tcPr>
                  <w:tcW w:type="dxa" w:w="511"/>
                  <w:vMerge w:val="restart"/>
                </w:tcPr>
                <w:p>
                  <w:pPr>
                    <w:pStyle w:val="null3"/>
                  </w:pPr>
                  <w:r>
                    <w:rPr>
                      <w:rFonts w:ascii="仿宋_GB2312" w:hAnsi="仿宋_GB2312" w:cs="仿宋_GB2312" w:eastAsia="仿宋_GB2312"/>
                      <w:sz w:val="19"/>
                    </w:rPr>
                    <w:t>3</w:t>
                  </w:r>
                </w:p>
              </w:tc>
              <w:tc>
                <w:tcPr>
                  <w:tcW w:type="dxa" w:w="511"/>
                  <w:vMerge w:val="restart"/>
                </w:tcPr>
                <w:p>
                  <w:pPr>
                    <w:pStyle w:val="null3"/>
                  </w:pPr>
                  <w:r>
                    <w:rPr>
                      <w:rFonts w:ascii="仿宋_GB2312" w:hAnsi="仿宋_GB2312" w:cs="仿宋_GB2312" w:eastAsia="仿宋_GB2312"/>
                      <w:sz w:val="19"/>
                    </w:rPr>
                    <w:t>地质勘查总体安排</w:t>
                  </w:r>
                </w:p>
              </w:tc>
              <w:tc>
                <w:tcPr>
                  <w:tcW w:type="dxa" w:w="511"/>
                </w:tcPr>
                <w:p>
                  <w:pPr>
                    <w:pStyle w:val="null3"/>
                  </w:pPr>
                  <w:r>
                    <w:rPr>
                      <w:rFonts w:ascii="仿宋_GB2312" w:hAnsi="仿宋_GB2312" w:cs="仿宋_GB2312" w:eastAsia="仿宋_GB2312"/>
                      <w:sz w:val="19"/>
                    </w:rPr>
                    <w:t>勘查区域布局</w:t>
                  </w:r>
                </w:p>
              </w:tc>
              <w:tc>
                <w:tcPr>
                  <w:tcW w:type="dxa" w:w="511"/>
                </w:tcPr>
                <w:p>
                  <w:pPr>
                    <w:pStyle w:val="null3"/>
                  </w:pPr>
                  <w:r>
                    <w:rPr>
                      <w:rFonts w:ascii="仿宋_GB2312" w:hAnsi="仿宋_GB2312" w:cs="仿宋_GB2312" w:eastAsia="仿宋_GB2312"/>
                      <w:sz w:val="19"/>
                    </w:rPr>
                    <w:t>科学划定重点勘查区、限制勘查区、禁止勘查区。重点勘查区聚焦优势矿产富集区、资源潜力较大空白区，明确勘查矿种、阶段及实施优先级；限制勘查区划定于生态敏感区外围、资源禀赋一般区域，严格管控勘查强度与技术方式；禁止勘查区严格落实生态保护红线、永久基本农田等刚性约束，严禁开展任何破坏性勘查活动。</w:t>
                  </w:r>
                </w:p>
              </w:tc>
              <w:tc>
                <w:tcPr>
                  <w:tcW w:type="dxa" w:w="511"/>
                </w:tcPr>
                <w:p>
                  <w:pPr>
                    <w:pStyle w:val="null3"/>
                  </w:pPr>
                  <w:r>
                    <w:rPr>
                      <w:rFonts w:ascii="仿宋_GB2312" w:hAnsi="仿宋_GB2312" w:cs="仿宋_GB2312" w:eastAsia="仿宋_GB2312"/>
                      <w:sz w:val="19"/>
                    </w:rPr>
                    <w:t>7县（区）</w:t>
                  </w:r>
                </w:p>
              </w:tc>
            </w:tr>
            <w:tr>
              <w:tc>
                <w:tcPr>
                  <w:tcW w:type="dxa" w:w="511"/>
                  <w:vMerge/>
                </w:tcPr>
                <w:p/>
              </w:tc>
              <w:tc>
                <w:tcPr>
                  <w:tcW w:type="dxa" w:w="511"/>
                  <w:vMerge/>
                </w:tcPr>
                <w:p/>
              </w:tc>
              <w:tc>
                <w:tcPr>
                  <w:tcW w:type="dxa" w:w="511"/>
                </w:tcPr>
                <w:p>
                  <w:pPr>
                    <w:pStyle w:val="null3"/>
                  </w:pPr>
                  <w:r>
                    <w:rPr>
                      <w:rFonts w:ascii="仿宋_GB2312" w:hAnsi="仿宋_GB2312" w:cs="仿宋_GB2312" w:eastAsia="仿宋_GB2312"/>
                      <w:sz w:val="19"/>
                    </w:rPr>
                    <w:t>勘查矿种部署</w:t>
                  </w:r>
                </w:p>
              </w:tc>
              <w:tc>
                <w:tcPr>
                  <w:tcW w:type="dxa" w:w="511"/>
                </w:tcPr>
                <w:p>
                  <w:pPr>
                    <w:pStyle w:val="null3"/>
                  </w:pPr>
                  <w:r>
                    <w:rPr>
                      <w:rFonts w:ascii="仿宋_GB2312" w:hAnsi="仿宋_GB2312" w:cs="仿宋_GB2312" w:eastAsia="仿宋_GB2312"/>
                      <w:sz w:val="19"/>
                    </w:rPr>
                    <w:t>优先保障战略性矿产（钒、萤石等）和区域优势矿产（钼、金等）勘查，兼顾紧缺矿产补充勘查；明确各矿种勘查重点任务，如钒矿聚焦深部及外围找矿、金矿强化整装勘查、萤石矿注重共伴生资源综合勘查。</w:t>
                  </w:r>
                </w:p>
              </w:tc>
              <w:tc>
                <w:tcPr>
                  <w:tcW w:type="dxa" w:w="511"/>
                </w:tcPr>
                <w:p>
                  <w:pPr>
                    <w:pStyle w:val="null3"/>
                  </w:pPr>
                  <w:r>
                    <w:rPr>
                      <w:rFonts w:ascii="仿宋_GB2312" w:hAnsi="仿宋_GB2312" w:cs="仿宋_GB2312" w:eastAsia="仿宋_GB2312"/>
                      <w:sz w:val="19"/>
                    </w:rPr>
                    <w:t>7县（区）</w:t>
                  </w:r>
                </w:p>
              </w:tc>
            </w:tr>
            <w:tr>
              <w:tc>
                <w:tcPr>
                  <w:tcW w:type="dxa" w:w="511"/>
                  <w:vMerge/>
                </w:tcPr>
                <w:p/>
              </w:tc>
              <w:tc>
                <w:tcPr>
                  <w:tcW w:type="dxa" w:w="511"/>
                  <w:vMerge/>
                </w:tcPr>
                <w:p/>
              </w:tc>
              <w:tc>
                <w:tcPr>
                  <w:tcW w:type="dxa" w:w="511"/>
                </w:tcPr>
                <w:p>
                  <w:pPr>
                    <w:pStyle w:val="null3"/>
                  </w:pPr>
                  <w:r>
                    <w:rPr>
                      <w:rFonts w:ascii="仿宋_GB2312" w:hAnsi="仿宋_GB2312" w:cs="仿宋_GB2312" w:eastAsia="仿宋_GB2312"/>
                      <w:sz w:val="19"/>
                    </w:rPr>
                    <w:t>勘查方式与技术要求</w:t>
                  </w:r>
                </w:p>
              </w:tc>
              <w:tc>
                <w:tcPr>
                  <w:tcW w:type="dxa" w:w="511"/>
                </w:tcPr>
                <w:p>
                  <w:pPr>
                    <w:pStyle w:val="null3"/>
                  </w:pPr>
                  <w:r>
                    <w:rPr>
                      <w:rFonts w:ascii="仿宋_GB2312" w:hAnsi="仿宋_GB2312" w:cs="仿宋_GB2312" w:eastAsia="仿宋_GB2312"/>
                      <w:sz w:val="19"/>
                    </w:rPr>
                    <w:t>推广无人机遥感、物探化探结合、环保型勘查设备等绿色勘查技术，最大限度减少生态扰动；规范勘查工作流程，明确勘查报告编制标准、储量评审备案要求；统筹公益性与商业性勘查，引导社会资本参与重点勘查区项目，强化财政资金对公益性、基础性勘查的保障作用。</w:t>
                  </w:r>
                </w:p>
              </w:tc>
              <w:tc>
                <w:tcPr>
                  <w:tcW w:type="dxa" w:w="511"/>
                </w:tcPr>
                <w:p>
                  <w:pPr>
                    <w:pStyle w:val="null3"/>
                  </w:pPr>
                  <w:r>
                    <w:rPr>
                      <w:rFonts w:ascii="仿宋_GB2312" w:hAnsi="仿宋_GB2312" w:cs="仿宋_GB2312" w:eastAsia="仿宋_GB2312"/>
                      <w:sz w:val="19"/>
                    </w:rPr>
                    <w:t>7县（区）</w:t>
                  </w:r>
                </w:p>
              </w:tc>
            </w:tr>
            <w:tr>
              <w:tc>
                <w:tcPr>
                  <w:tcW w:type="dxa" w:w="511"/>
                  <w:vMerge/>
                </w:tcPr>
                <w:p/>
              </w:tc>
              <w:tc>
                <w:tcPr>
                  <w:tcW w:type="dxa" w:w="511"/>
                  <w:vMerge/>
                </w:tcPr>
                <w:p/>
              </w:tc>
              <w:tc>
                <w:tcPr>
                  <w:tcW w:type="dxa" w:w="511"/>
                </w:tcPr>
                <w:p>
                  <w:pPr>
                    <w:pStyle w:val="null3"/>
                  </w:pPr>
                  <w:r>
                    <w:rPr>
                      <w:rFonts w:ascii="仿宋_GB2312" w:hAnsi="仿宋_GB2312" w:cs="仿宋_GB2312" w:eastAsia="仿宋_GB2312"/>
                      <w:sz w:val="19"/>
                    </w:rPr>
                    <w:t>勘查成果管理</w:t>
                  </w:r>
                </w:p>
              </w:tc>
              <w:tc>
                <w:tcPr>
                  <w:tcW w:type="dxa" w:w="511"/>
                </w:tcPr>
                <w:p>
                  <w:pPr>
                    <w:pStyle w:val="null3"/>
                  </w:pPr>
                  <w:r>
                    <w:rPr>
                      <w:rFonts w:ascii="仿宋_GB2312" w:hAnsi="仿宋_GB2312" w:cs="仿宋_GB2312" w:eastAsia="仿宋_GB2312"/>
                      <w:sz w:val="19"/>
                    </w:rPr>
                    <w:t>建立勘查成果动态更新机制，整合勘查数据纳入市级矿产资源数据库，实现数据共享；明确勘查成果转化路径，推动勘查成果与矿山开发、产业发展规划有效衔接。</w:t>
                  </w:r>
                </w:p>
              </w:tc>
              <w:tc>
                <w:tcPr>
                  <w:tcW w:type="dxa" w:w="511"/>
                </w:tcPr>
                <w:p>
                  <w:pPr>
                    <w:pStyle w:val="null3"/>
                  </w:pPr>
                  <w:r>
                    <w:rPr>
                      <w:rFonts w:ascii="仿宋_GB2312" w:hAnsi="仿宋_GB2312" w:cs="仿宋_GB2312" w:eastAsia="仿宋_GB2312"/>
                      <w:sz w:val="19"/>
                    </w:rPr>
                    <w:t>7县（区）</w:t>
                  </w:r>
                </w:p>
              </w:tc>
            </w:tr>
            <w:tr>
              <w:tc>
                <w:tcPr>
                  <w:tcW w:type="dxa" w:w="511"/>
                  <w:vMerge w:val="restart"/>
                </w:tcPr>
                <w:p>
                  <w:pPr>
                    <w:pStyle w:val="null3"/>
                  </w:pPr>
                  <w:r>
                    <w:rPr>
                      <w:rFonts w:ascii="仿宋_GB2312" w:hAnsi="仿宋_GB2312" w:cs="仿宋_GB2312" w:eastAsia="仿宋_GB2312"/>
                      <w:sz w:val="19"/>
                    </w:rPr>
                    <w:t>4</w:t>
                  </w:r>
                </w:p>
              </w:tc>
              <w:tc>
                <w:tcPr>
                  <w:tcW w:type="dxa" w:w="511"/>
                  <w:vMerge w:val="restart"/>
                </w:tcPr>
                <w:p>
                  <w:pPr>
                    <w:pStyle w:val="null3"/>
                  </w:pPr>
                  <w:r>
                    <w:rPr>
                      <w:rFonts w:ascii="仿宋_GB2312" w:hAnsi="仿宋_GB2312" w:cs="仿宋_GB2312" w:eastAsia="仿宋_GB2312"/>
                      <w:sz w:val="19"/>
                    </w:rPr>
                    <w:t>矿产资源开发利用方向和总量调控</w:t>
                  </w:r>
                </w:p>
              </w:tc>
              <w:tc>
                <w:tcPr>
                  <w:tcW w:type="dxa" w:w="511"/>
                </w:tcPr>
                <w:p>
                  <w:pPr>
                    <w:pStyle w:val="null3"/>
                  </w:pPr>
                  <w:r>
                    <w:rPr>
                      <w:rFonts w:ascii="仿宋_GB2312" w:hAnsi="仿宋_GB2312" w:cs="仿宋_GB2312" w:eastAsia="仿宋_GB2312"/>
                      <w:sz w:val="19"/>
                    </w:rPr>
                    <w:t>发展方向</w:t>
                  </w:r>
                </w:p>
              </w:tc>
              <w:tc>
                <w:tcPr>
                  <w:tcW w:type="dxa" w:w="511"/>
                </w:tcPr>
                <w:p>
                  <w:pPr>
                    <w:pStyle w:val="null3"/>
                  </w:pPr>
                  <w:r>
                    <w:rPr>
                      <w:rFonts w:ascii="仿宋_GB2312" w:hAnsi="仿宋_GB2312" w:cs="仿宋_GB2312" w:eastAsia="仿宋_GB2312"/>
                      <w:sz w:val="19"/>
                    </w:rPr>
                    <w:t>推动优势矿产精深加工，发展绿色智能矿山，淘汰落后产能，培育规模化龙头企业。</w:t>
                  </w:r>
                </w:p>
              </w:tc>
              <w:tc>
                <w:tcPr>
                  <w:tcW w:type="dxa" w:w="511"/>
                </w:tcPr>
                <w:p>
                  <w:pPr>
                    <w:pStyle w:val="null3"/>
                  </w:pPr>
                  <w:r>
                    <w:rPr>
                      <w:rFonts w:ascii="仿宋_GB2312" w:hAnsi="仿宋_GB2312" w:cs="仿宋_GB2312" w:eastAsia="仿宋_GB2312"/>
                      <w:sz w:val="19"/>
                    </w:rPr>
                    <w:t>7县（区）</w:t>
                  </w:r>
                </w:p>
              </w:tc>
            </w:tr>
            <w:tr>
              <w:tc>
                <w:tcPr>
                  <w:tcW w:type="dxa" w:w="511"/>
                  <w:vMerge/>
                </w:tcPr>
                <w:p/>
              </w:tc>
              <w:tc>
                <w:tcPr>
                  <w:tcW w:type="dxa" w:w="511"/>
                  <w:vMerge/>
                </w:tcPr>
                <w:p/>
              </w:tc>
              <w:tc>
                <w:tcPr>
                  <w:tcW w:type="dxa" w:w="511"/>
                </w:tcPr>
                <w:p>
                  <w:pPr>
                    <w:pStyle w:val="null3"/>
                  </w:pPr>
                  <w:r>
                    <w:rPr>
                      <w:rFonts w:ascii="仿宋_GB2312" w:hAnsi="仿宋_GB2312" w:cs="仿宋_GB2312" w:eastAsia="仿宋_GB2312"/>
                      <w:sz w:val="19"/>
                    </w:rPr>
                    <w:t>总量调控</w:t>
                  </w:r>
                </w:p>
              </w:tc>
              <w:tc>
                <w:tcPr>
                  <w:tcW w:type="dxa" w:w="511"/>
                </w:tcPr>
                <w:p>
                  <w:pPr>
                    <w:pStyle w:val="null3"/>
                  </w:pPr>
                  <w:r>
                    <w:rPr>
                      <w:rFonts w:ascii="仿宋_GB2312" w:hAnsi="仿宋_GB2312" w:cs="仿宋_GB2312" w:eastAsia="仿宋_GB2312"/>
                      <w:sz w:val="19"/>
                    </w:rPr>
                    <w:t>依据资源储量、市场需求及生态承载力，制定主要矿产开采总量控制指标，实行年度分解与动态调整。</w:t>
                  </w:r>
                </w:p>
              </w:tc>
              <w:tc>
                <w:tcPr>
                  <w:tcW w:type="dxa" w:w="511"/>
                </w:tcPr>
                <w:p>
                  <w:pPr>
                    <w:pStyle w:val="null3"/>
                  </w:pPr>
                  <w:r>
                    <w:rPr>
                      <w:rFonts w:ascii="仿宋_GB2312" w:hAnsi="仿宋_GB2312" w:cs="仿宋_GB2312" w:eastAsia="仿宋_GB2312"/>
                      <w:sz w:val="19"/>
                    </w:rPr>
                    <w:t>7县（区）</w:t>
                  </w:r>
                </w:p>
              </w:tc>
            </w:tr>
            <w:tr>
              <w:tc>
                <w:tcPr>
                  <w:tcW w:type="dxa" w:w="511"/>
                  <w:vMerge w:val="restart"/>
                </w:tcPr>
                <w:p>
                  <w:pPr>
                    <w:pStyle w:val="null3"/>
                  </w:pPr>
                  <w:r>
                    <w:rPr>
                      <w:rFonts w:ascii="仿宋_GB2312" w:hAnsi="仿宋_GB2312" w:cs="仿宋_GB2312" w:eastAsia="仿宋_GB2312"/>
                      <w:sz w:val="19"/>
                    </w:rPr>
                    <w:t>5</w:t>
                  </w:r>
                </w:p>
              </w:tc>
              <w:tc>
                <w:tcPr>
                  <w:tcW w:type="dxa" w:w="511"/>
                  <w:vMerge w:val="restart"/>
                </w:tcPr>
                <w:p>
                  <w:pPr>
                    <w:pStyle w:val="null3"/>
                  </w:pPr>
                  <w:r>
                    <w:rPr>
                      <w:rFonts w:ascii="仿宋_GB2312" w:hAnsi="仿宋_GB2312" w:cs="仿宋_GB2312" w:eastAsia="仿宋_GB2312"/>
                      <w:sz w:val="19"/>
                    </w:rPr>
                    <w:t>矿产资源勘查、开发、保护与储备的规划分区和结构调整</w:t>
                  </w:r>
                </w:p>
              </w:tc>
              <w:tc>
                <w:tcPr>
                  <w:tcW w:type="dxa" w:w="511"/>
                </w:tcPr>
                <w:p>
                  <w:pPr>
                    <w:pStyle w:val="null3"/>
                  </w:pPr>
                  <w:r>
                    <w:rPr>
                      <w:rFonts w:ascii="仿宋_GB2312" w:hAnsi="仿宋_GB2312" w:cs="仿宋_GB2312" w:eastAsia="仿宋_GB2312"/>
                      <w:sz w:val="19"/>
                    </w:rPr>
                    <w:t>规划分区优化</w:t>
                  </w:r>
                </w:p>
              </w:tc>
              <w:tc>
                <w:tcPr>
                  <w:tcW w:type="dxa" w:w="511"/>
                </w:tcPr>
                <w:p>
                  <w:pPr>
                    <w:pStyle w:val="null3"/>
                  </w:pPr>
                  <w:r>
                    <w:rPr>
                      <w:rFonts w:ascii="仿宋_GB2312" w:hAnsi="仿宋_GB2312" w:cs="仿宋_GB2312" w:eastAsia="仿宋_GB2312"/>
                      <w:sz w:val="19"/>
                    </w:rPr>
                    <w:t>整合形成 “勘查 - 开发 - 保护 - 储备” 一体化空间布局，明确各分区功能定位。重点开发区聚焦规模化、绿色化开发，配套建设精深加工园区；保护储备区实行严格管控，仅开展保护与监测工作，预留未来发展空间；生态修复区重点推进历史遗留矿山治理，暂缓新的开发活动。</w:t>
                  </w:r>
                </w:p>
              </w:tc>
              <w:tc>
                <w:tcPr>
                  <w:tcW w:type="dxa" w:w="511"/>
                </w:tcPr>
                <w:p>
                  <w:pPr>
                    <w:pStyle w:val="null3"/>
                  </w:pPr>
                  <w:r>
                    <w:rPr>
                      <w:rFonts w:ascii="仿宋_GB2312" w:hAnsi="仿宋_GB2312" w:cs="仿宋_GB2312" w:eastAsia="仿宋_GB2312"/>
                      <w:sz w:val="19"/>
                    </w:rPr>
                    <w:t>7县（区）</w:t>
                  </w:r>
                </w:p>
              </w:tc>
            </w:tr>
            <w:tr>
              <w:tc>
                <w:tcPr>
                  <w:tcW w:type="dxa" w:w="511"/>
                  <w:vMerge/>
                </w:tcPr>
                <w:p/>
              </w:tc>
              <w:tc>
                <w:tcPr>
                  <w:tcW w:type="dxa" w:w="511"/>
                  <w:vMerge/>
                </w:tcPr>
                <w:p/>
              </w:tc>
              <w:tc>
                <w:tcPr>
                  <w:tcW w:type="dxa" w:w="511"/>
                </w:tcPr>
                <w:p>
                  <w:pPr>
                    <w:pStyle w:val="null3"/>
                  </w:pPr>
                  <w:r>
                    <w:rPr>
                      <w:rFonts w:ascii="仿宋_GB2312" w:hAnsi="仿宋_GB2312" w:cs="仿宋_GB2312" w:eastAsia="仿宋_GB2312"/>
                      <w:sz w:val="19"/>
                    </w:rPr>
                    <w:t>开发布局调整</w:t>
                  </w:r>
                </w:p>
              </w:tc>
              <w:tc>
                <w:tcPr>
                  <w:tcW w:type="dxa" w:w="511"/>
                </w:tcPr>
                <w:p>
                  <w:pPr>
                    <w:pStyle w:val="null3"/>
                  </w:pPr>
                  <w:r>
                    <w:rPr>
                      <w:rFonts w:ascii="仿宋_GB2312" w:hAnsi="仿宋_GB2312" w:cs="仿宋_GB2312" w:eastAsia="仿宋_GB2312"/>
                      <w:sz w:val="19"/>
                    </w:rPr>
                    <w:t>优化矿山空间布局，推动矿山向资源富集区、产业园区集聚，减少 “小散乱” 矿山对生态环境的碎片化影响；统筹矿山布局与城镇发展、交通干线、生态保护区域的空间协调，避免各类空间冲突。</w:t>
                  </w:r>
                </w:p>
              </w:tc>
              <w:tc>
                <w:tcPr>
                  <w:tcW w:type="dxa" w:w="511"/>
                </w:tcPr>
                <w:p>
                  <w:pPr>
                    <w:pStyle w:val="null3"/>
                  </w:pPr>
                  <w:r>
                    <w:rPr>
                      <w:rFonts w:ascii="仿宋_GB2312" w:hAnsi="仿宋_GB2312" w:cs="仿宋_GB2312" w:eastAsia="仿宋_GB2312"/>
                      <w:sz w:val="19"/>
                    </w:rPr>
                    <w:t>7县（区）</w:t>
                  </w:r>
                </w:p>
              </w:tc>
            </w:tr>
            <w:tr>
              <w:tc>
                <w:tcPr>
                  <w:tcW w:type="dxa" w:w="511"/>
                  <w:vMerge/>
                </w:tcPr>
                <w:p/>
              </w:tc>
              <w:tc>
                <w:tcPr>
                  <w:tcW w:type="dxa" w:w="511"/>
                  <w:vMerge/>
                </w:tcPr>
                <w:p/>
              </w:tc>
              <w:tc>
                <w:tcPr>
                  <w:tcW w:type="dxa" w:w="511"/>
                </w:tcPr>
                <w:p>
                  <w:pPr>
                    <w:pStyle w:val="null3"/>
                  </w:pPr>
                  <w:r>
                    <w:rPr>
                      <w:rFonts w:ascii="仿宋_GB2312" w:hAnsi="仿宋_GB2312" w:cs="仿宋_GB2312" w:eastAsia="仿宋_GB2312"/>
                      <w:sz w:val="19"/>
                    </w:rPr>
                    <w:t>结构调整任务</w:t>
                  </w:r>
                </w:p>
              </w:tc>
              <w:tc>
                <w:tcPr>
                  <w:tcW w:type="dxa" w:w="511"/>
                </w:tcPr>
                <w:p>
                  <w:pPr>
                    <w:pStyle w:val="null3"/>
                  </w:pPr>
                  <w:r>
                    <w:rPr>
                      <w:rFonts w:ascii="仿宋_GB2312" w:hAnsi="仿宋_GB2312" w:cs="仿宋_GB2312" w:eastAsia="仿宋_GB2312"/>
                      <w:sz w:val="19"/>
                    </w:rPr>
                    <w:t>规模结构调整，通过兼并重组、淘汰落后产能，提升大中型矿山占比，形成 “大中小协调、规模化为主” 的格局；产品结构调整，降低原矿输出比例，提高精深加工产品占比，推动产业升级；技术结构调整，推广高效开采、选矿、综合利用技术，淘汰高耗水、高耗能、高污染落后技术与设备；投资结构调整，引导资金向绿色开采、精深加工、生态修复领域倾斜。</w:t>
                  </w:r>
                </w:p>
              </w:tc>
              <w:tc>
                <w:tcPr>
                  <w:tcW w:type="dxa" w:w="511"/>
                </w:tcPr>
                <w:p>
                  <w:pPr>
                    <w:pStyle w:val="null3"/>
                  </w:pPr>
                  <w:r>
                    <w:rPr>
                      <w:rFonts w:ascii="仿宋_GB2312" w:hAnsi="仿宋_GB2312" w:cs="仿宋_GB2312" w:eastAsia="仿宋_GB2312"/>
                      <w:sz w:val="19"/>
                    </w:rPr>
                    <w:t>7县（区）</w:t>
                  </w:r>
                </w:p>
              </w:tc>
            </w:tr>
            <w:tr>
              <w:tc>
                <w:tcPr>
                  <w:tcW w:type="dxa" w:w="511"/>
                  <w:vMerge/>
                </w:tcPr>
                <w:p/>
              </w:tc>
              <w:tc>
                <w:tcPr>
                  <w:tcW w:type="dxa" w:w="511"/>
                  <w:vMerge/>
                </w:tcPr>
                <w:p/>
              </w:tc>
              <w:tc>
                <w:tcPr>
                  <w:tcW w:type="dxa" w:w="511"/>
                </w:tcPr>
                <w:p>
                  <w:pPr>
                    <w:pStyle w:val="null3"/>
                  </w:pPr>
                  <w:r>
                    <w:rPr>
                      <w:rFonts w:ascii="仿宋_GB2312" w:hAnsi="仿宋_GB2312" w:cs="仿宋_GB2312" w:eastAsia="仿宋_GB2312"/>
                      <w:sz w:val="19"/>
                    </w:rPr>
                    <w:t>储备体系建设</w:t>
                  </w:r>
                </w:p>
              </w:tc>
              <w:tc>
                <w:tcPr>
                  <w:tcW w:type="dxa" w:w="511"/>
                </w:tcPr>
                <w:p>
                  <w:pPr>
                    <w:pStyle w:val="null3"/>
                  </w:pPr>
                  <w:r>
                    <w:rPr>
                      <w:rFonts w:ascii="仿宋_GB2312" w:hAnsi="仿宋_GB2312" w:cs="仿宋_GB2312" w:eastAsia="仿宋_GB2312"/>
                      <w:sz w:val="19"/>
                    </w:rPr>
                    <w:t>划定战略性矿产资源储备区，明确储备矿产地、储备规模及原生矿储备、成品矿储备等方式；建立储备资源动态管理机制，制定动用预案，保障应急供应；鼓励企业建立商业储备，落实相应政策支持。</w:t>
                  </w:r>
                </w:p>
              </w:tc>
              <w:tc>
                <w:tcPr>
                  <w:tcW w:type="dxa" w:w="511"/>
                </w:tcPr>
                <w:p>
                  <w:pPr>
                    <w:pStyle w:val="null3"/>
                  </w:pPr>
                  <w:r>
                    <w:rPr>
                      <w:rFonts w:ascii="仿宋_GB2312" w:hAnsi="仿宋_GB2312" w:cs="仿宋_GB2312" w:eastAsia="仿宋_GB2312"/>
                      <w:sz w:val="19"/>
                    </w:rPr>
                    <w:t>7县（区）</w:t>
                  </w:r>
                </w:p>
              </w:tc>
            </w:tr>
            <w:tr>
              <w:tc>
                <w:tcPr>
                  <w:tcW w:type="dxa" w:w="511"/>
                  <w:vMerge w:val="restart"/>
                </w:tcPr>
                <w:p>
                  <w:pPr>
                    <w:pStyle w:val="null3"/>
                  </w:pPr>
                  <w:r>
                    <w:rPr>
                      <w:rFonts w:ascii="仿宋_GB2312" w:hAnsi="仿宋_GB2312" w:cs="仿宋_GB2312" w:eastAsia="仿宋_GB2312"/>
                      <w:sz w:val="19"/>
                    </w:rPr>
                    <w:t>6</w:t>
                  </w:r>
                </w:p>
              </w:tc>
              <w:tc>
                <w:tcPr>
                  <w:tcW w:type="dxa" w:w="511"/>
                  <w:vMerge w:val="restart"/>
                </w:tcPr>
                <w:p>
                  <w:pPr>
                    <w:pStyle w:val="null3"/>
                  </w:pPr>
                  <w:r>
                    <w:rPr>
                      <w:rFonts w:ascii="仿宋_GB2312" w:hAnsi="仿宋_GB2312" w:cs="仿宋_GB2312" w:eastAsia="仿宋_GB2312"/>
                      <w:sz w:val="19"/>
                    </w:rPr>
                    <w:t>矿产资源节约与综合利用的目标、安排和措施</w:t>
                  </w:r>
                </w:p>
              </w:tc>
              <w:tc>
                <w:tcPr>
                  <w:tcW w:type="dxa" w:w="511"/>
                </w:tcPr>
                <w:p>
                  <w:pPr>
                    <w:pStyle w:val="null3"/>
                  </w:pPr>
                  <w:r>
                    <w:rPr>
                      <w:rFonts w:ascii="仿宋_GB2312" w:hAnsi="仿宋_GB2312" w:cs="仿宋_GB2312" w:eastAsia="仿宋_GB2312"/>
                      <w:sz w:val="19"/>
                    </w:rPr>
                    <w:t>核心目标</w:t>
                  </w:r>
                </w:p>
              </w:tc>
              <w:tc>
                <w:tcPr>
                  <w:tcW w:type="dxa" w:w="511"/>
                </w:tcPr>
                <w:p>
                  <w:pPr>
                    <w:pStyle w:val="null3"/>
                  </w:pPr>
                  <w:r>
                    <w:rPr>
                      <w:rFonts w:ascii="仿宋_GB2312" w:hAnsi="仿宋_GB2312" w:cs="仿宋_GB2312" w:eastAsia="仿宋_GB2312"/>
                      <w:sz w:val="19"/>
                    </w:rPr>
                    <w:t>主要矿产资源综合利用率较 “十四五” 末稳步提升，共伴生矿产综合回收率达到行业先进水平；尾矿、煤矸石等固体废弃物综合利用率显著提高，矿山水资源循环利用率持续优化；建立健全资源节约与综合利用标准体系和激励约束机制。</w:t>
                  </w:r>
                </w:p>
              </w:tc>
              <w:tc>
                <w:tcPr>
                  <w:tcW w:type="dxa" w:w="511"/>
                </w:tcPr>
                <w:p>
                  <w:pPr>
                    <w:pStyle w:val="null3"/>
                  </w:pPr>
                  <w:r>
                    <w:rPr>
                      <w:rFonts w:ascii="仿宋_GB2312" w:hAnsi="仿宋_GB2312" w:cs="仿宋_GB2312" w:eastAsia="仿宋_GB2312"/>
                      <w:sz w:val="19"/>
                    </w:rPr>
                    <w:t>7县（区）</w:t>
                  </w:r>
                </w:p>
              </w:tc>
            </w:tr>
            <w:tr>
              <w:tc>
                <w:tcPr>
                  <w:tcW w:type="dxa" w:w="511"/>
                  <w:vMerge/>
                </w:tcPr>
                <w:p/>
              </w:tc>
              <w:tc>
                <w:tcPr>
                  <w:tcW w:type="dxa" w:w="511"/>
                  <w:vMerge/>
                </w:tcPr>
                <w:p/>
              </w:tc>
              <w:tc>
                <w:tcPr>
                  <w:tcW w:type="dxa" w:w="511"/>
                </w:tcPr>
                <w:p>
                  <w:pPr>
                    <w:pStyle w:val="null3"/>
                  </w:pPr>
                  <w:r>
                    <w:rPr>
                      <w:rFonts w:ascii="仿宋_GB2312" w:hAnsi="仿宋_GB2312" w:cs="仿宋_GB2312" w:eastAsia="仿宋_GB2312"/>
                      <w:sz w:val="19"/>
                    </w:rPr>
                    <w:t>重点安排</w:t>
                  </w:r>
                </w:p>
              </w:tc>
              <w:tc>
                <w:tcPr>
                  <w:tcW w:type="dxa" w:w="511"/>
                </w:tcPr>
                <w:p>
                  <w:pPr>
                    <w:pStyle w:val="null3"/>
                  </w:pPr>
                  <w:r>
                    <w:rPr>
                      <w:rFonts w:ascii="仿宋_GB2312" w:hAnsi="仿宋_GB2312" w:cs="仿宋_GB2312" w:eastAsia="仿宋_GB2312"/>
                      <w:sz w:val="19"/>
                    </w:rPr>
                    <w:t>聚焦钼矿共伴生钨、铜，金矿共伴生银、铅锌等资源，制定专项综合利用方案；推进尾矿资源再利用，支持尾矿有价元素提取、建筑材料生产、采空区回填等项目；遴选示范矿山，建设资源节约与综合利用示范工程，推广先进技术与模式。</w:t>
                  </w:r>
                </w:p>
              </w:tc>
              <w:tc>
                <w:tcPr>
                  <w:tcW w:type="dxa" w:w="511"/>
                </w:tcPr>
                <w:p>
                  <w:pPr>
                    <w:pStyle w:val="null3"/>
                  </w:pPr>
                  <w:r>
                    <w:rPr>
                      <w:rFonts w:ascii="仿宋_GB2312" w:hAnsi="仿宋_GB2312" w:cs="仿宋_GB2312" w:eastAsia="仿宋_GB2312"/>
                      <w:sz w:val="19"/>
                    </w:rPr>
                    <w:t>7县（区）</w:t>
                  </w:r>
                </w:p>
              </w:tc>
            </w:tr>
            <w:tr>
              <w:tc>
                <w:tcPr>
                  <w:tcW w:type="dxa" w:w="511"/>
                  <w:vMerge/>
                </w:tcPr>
                <w:p/>
              </w:tc>
              <w:tc>
                <w:tcPr>
                  <w:tcW w:type="dxa" w:w="511"/>
                  <w:vMerge/>
                </w:tcPr>
                <w:p/>
              </w:tc>
              <w:tc>
                <w:tcPr>
                  <w:tcW w:type="dxa" w:w="511"/>
                </w:tcPr>
                <w:p>
                  <w:pPr>
                    <w:pStyle w:val="null3"/>
                  </w:pPr>
                  <w:r>
                    <w:rPr>
                      <w:rFonts w:ascii="仿宋_GB2312" w:hAnsi="仿宋_GB2312" w:cs="仿宋_GB2312" w:eastAsia="仿宋_GB2312"/>
                      <w:sz w:val="19"/>
                    </w:rPr>
                    <w:t>保障措施</w:t>
                  </w:r>
                </w:p>
              </w:tc>
              <w:tc>
                <w:tcPr>
                  <w:tcW w:type="dxa" w:w="511"/>
                </w:tcPr>
                <w:p>
                  <w:pPr>
                    <w:pStyle w:val="null3"/>
                  </w:pPr>
                  <w:r>
                    <w:rPr>
                      <w:rFonts w:ascii="仿宋_GB2312" w:hAnsi="仿宋_GB2312" w:cs="仿宋_GB2312" w:eastAsia="仿宋_GB2312"/>
                      <w:sz w:val="19"/>
                    </w:rPr>
                    <w:t>制定资源节约与综合利用技术推广目录，鼓励企业引进、研发高效利用技术；建立激励机制，对综合利用率达标的企业给予税收优惠、资金补贴；强化监管考核，将相关指标纳入矿山企业年度考核，对未达标企业限期整改；完善主要矿产节约与综合利用技术标准和评价方法。</w:t>
                  </w:r>
                </w:p>
              </w:tc>
              <w:tc>
                <w:tcPr>
                  <w:tcW w:type="dxa" w:w="511"/>
                </w:tcPr>
                <w:p>
                  <w:pPr>
                    <w:pStyle w:val="null3"/>
                  </w:pPr>
                  <w:r>
                    <w:rPr>
                      <w:rFonts w:ascii="仿宋_GB2312" w:hAnsi="仿宋_GB2312" w:cs="仿宋_GB2312" w:eastAsia="仿宋_GB2312"/>
                      <w:sz w:val="19"/>
                    </w:rPr>
                    <w:t>7县（区）</w:t>
                  </w:r>
                </w:p>
              </w:tc>
            </w:tr>
            <w:tr>
              <w:tc>
                <w:tcPr>
                  <w:tcW w:type="dxa" w:w="511"/>
                  <w:vMerge w:val="restart"/>
                </w:tcPr>
                <w:p>
                  <w:pPr>
                    <w:pStyle w:val="null3"/>
                  </w:pPr>
                  <w:r>
                    <w:rPr>
                      <w:rFonts w:ascii="仿宋_GB2312" w:hAnsi="仿宋_GB2312" w:cs="仿宋_GB2312" w:eastAsia="仿宋_GB2312"/>
                      <w:sz w:val="19"/>
                    </w:rPr>
                    <w:t>7</w:t>
                  </w:r>
                </w:p>
              </w:tc>
              <w:tc>
                <w:tcPr>
                  <w:tcW w:type="dxa" w:w="511"/>
                  <w:vMerge w:val="restart"/>
                </w:tcPr>
                <w:p>
                  <w:pPr>
                    <w:pStyle w:val="null3"/>
                  </w:pPr>
                  <w:r>
                    <w:rPr>
                      <w:rFonts w:ascii="仿宋_GB2312" w:hAnsi="仿宋_GB2312" w:cs="仿宋_GB2312" w:eastAsia="仿宋_GB2312"/>
                      <w:sz w:val="19"/>
                    </w:rPr>
                    <w:t>矿山地质环境保护与治理恢复、矿区土地复垦的总体安排</w:t>
                  </w:r>
                </w:p>
              </w:tc>
              <w:tc>
                <w:tcPr>
                  <w:tcW w:type="dxa" w:w="511"/>
                </w:tcPr>
                <w:p>
                  <w:pPr>
                    <w:pStyle w:val="null3"/>
                  </w:pPr>
                  <w:r>
                    <w:rPr>
                      <w:rFonts w:ascii="仿宋_GB2312" w:hAnsi="仿宋_GB2312" w:cs="仿宋_GB2312" w:eastAsia="仿宋_GB2312"/>
                      <w:sz w:val="19"/>
                    </w:rPr>
                    <w:t>总体目标</w:t>
                  </w:r>
                </w:p>
              </w:tc>
              <w:tc>
                <w:tcPr>
                  <w:tcW w:type="dxa" w:w="511"/>
                </w:tcPr>
                <w:p>
                  <w:pPr>
                    <w:pStyle w:val="null3"/>
                  </w:pPr>
                  <w:r>
                    <w:rPr>
                      <w:rFonts w:ascii="仿宋_GB2312" w:hAnsi="仿宋_GB2312" w:cs="仿宋_GB2312" w:eastAsia="仿宋_GB2312"/>
                      <w:sz w:val="19"/>
                    </w:rPr>
                    <w:t>矿山地质环境治理恢复率、矿区土地复垦率稳步提升，历史遗留矿山治理率达到省级要求；新增矿山地质环境问题及时管控，建立 “开发 - 保护 - 治理” 一体化长效机制，实现矿山生态环境持续改善。</w:t>
                  </w:r>
                </w:p>
              </w:tc>
              <w:tc>
                <w:tcPr>
                  <w:tcW w:type="dxa" w:w="511"/>
                </w:tcPr>
                <w:p>
                  <w:pPr>
                    <w:pStyle w:val="null3"/>
                  </w:pPr>
                  <w:r>
                    <w:rPr>
                      <w:rFonts w:ascii="仿宋_GB2312" w:hAnsi="仿宋_GB2312" w:cs="仿宋_GB2312" w:eastAsia="仿宋_GB2312"/>
                      <w:sz w:val="19"/>
                    </w:rPr>
                    <w:t>7县（区）</w:t>
                  </w:r>
                </w:p>
              </w:tc>
            </w:tr>
            <w:tr>
              <w:tc>
                <w:tcPr>
                  <w:tcW w:type="dxa" w:w="511"/>
                  <w:vMerge/>
                </w:tcPr>
                <w:p/>
              </w:tc>
              <w:tc>
                <w:tcPr>
                  <w:tcW w:type="dxa" w:w="511"/>
                  <w:vMerge/>
                </w:tcPr>
                <w:p/>
              </w:tc>
              <w:tc>
                <w:tcPr>
                  <w:tcW w:type="dxa" w:w="511"/>
                </w:tcPr>
                <w:p>
                  <w:pPr>
                    <w:pStyle w:val="null3"/>
                  </w:pPr>
                  <w:r>
                    <w:rPr>
                      <w:rFonts w:ascii="仿宋_GB2312" w:hAnsi="仿宋_GB2312" w:cs="仿宋_GB2312" w:eastAsia="仿宋_GB2312"/>
                      <w:sz w:val="19"/>
                    </w:rPr>
                    <w:t>地质环境保护</w:t>
                  </w:r>
                </w:p>
              </w:tc>
              <w:tc>
                <w:tcPr>
                  <w:tcW w:type="dxa" w:w="511"/>
                </w:tcPr>
                <w:p>
                  <w:pPr>
                    <w:pStyle w:val="null3"/>
                  </w:pPr>
                  <w:r>
                    <w:rPr>
                      <w:rFonts w:ascii="仿宋_GB2312" w:hAnsi="仿宋_GB2312" w:cs="仿宋_GB2312" w:eastAsia="仿宋_GB2312"/>
                      <w:sz w:val="19"/>
                    </w:rPr>
                    <w:t>严格执行矿山地质环境影响评价制度，新建矿山配套建设环境保护设施，落实 “三同时” 制度；强化生产矿山日常监管，规范废水、废气、废渣排放，防范水土流失、滑坡、塌陷等地质灾害；建立矿山地质环境动态监测网络，运用遥感、物联网等技术实现实时监测。</w:t>
                  </w:r>
                </w:p>
              </w:tc>
              <w:tc>
                <w:tcPr>
                  <w:tcW w:type="dxa" w:w="511"/>
                </w:tcPr>
                <w:p>
                  <w:pPr>
                    <w:pStyle w:val="null3"/>
                  </w:pPr>
                  <w:r>
                    <w:rPr>
                      <w:rFonts w:ascii="仿宋_GB2312" w:hAnsi="仿宋_GB2312" w:cs="仿宋_GB2312" w:eastAsia="仿宋_GB2312"/>
                      <w:sz w:val="19"/>
                    </w:rPr>
                    <w:t>7县（区）</w:t>
                  </w:r>
                </w:p>
              </w:tc>
            </w:tr>
            <w:tr>
              <w:tc>
                <w:tcPr>
                  <w:tcW w:type="dxa" w:w="511"/>
                  <w:vMerge/>
                </w:tcPr>
                <w:p/>
              </w:tc>
              <w:tc>
                <w:tcPr>
                  <w:tcW w:type="dxa" w:w="511"/>
                  <w:vMerge/>
                </w:tcPr>
                <w:p/>
              </w:tc>
              <w:tc>
                <w:tcPr>
                  <w:tcW w:type="dxa" w:w="511"/>
                </w:tcPr>
                <w:p>
                  <w:pPr>
                    <w:pStyle w:val="null3"/>
                  </w:pPr>
                  <w:r>
                    <w:rPr>
                      <w:rFonts w:ascii="仿宋_GB2312" w:hAnsi="仿宋_GB2312" w:cs="仿宋_GB2312" w:eastAsia="仿宋_GB2312"/>
                      <w:sz w:val="19"/>
                    </w:rPr>
                    <w:t>治理恢复重点任务</w:t>
                  </w:r>
                </w:p>
              </w:tc>
              <w:tc>
                <w:tcPr>
                  <w:tcW w:type="dxa" w:w="511"/>
                </w:tcPr>
                <w:p>
                  <w:pPr>
                    <w:pStyle w:val="null3"/>
                  </w:pPr>
                  <w:r>
                    <w:rPr>
                      <w:rFonts w:ascii="仿宋_GB2312" w:hAnsi="仿宋_GB2312" w:cs="仿宋_GB2312" w:eastAsia="仿宋_GB2312"/>
                      <w:sz w:val="19"/>
                    </w:rPr>
                    <w:t>分类推进历史遗留矿山和生产矿山治理。历史遗留矿山聚焦无主矿山、关闭矿山的地质环境问题，优先治理生态敏感区、交通干线沿线、城镇周边矿山，采取削坡减载、植被恢复、土壤改良等措施；生产矿山落实 “边开采、边治理” 要求，明确治理责任与时限，治理费用列入生产成本；重点治理矿山采空区、塌陷区、尾矿库、排土场等关键区域。</w:t>
                  </w:r>
                </w:p>
              </w:tc>
              <w:tc>
                <w:tcPr>
                  <w:tcW w:type="dxa" w:w="511"/>
                </w:tcPr>
                <w:p>
                  <w:pPr>
                    <w:pStyle w:val="null3"/>
                  </w:pPr>
                  <w:r>
                    <w:rPr>
                      <w:rFonts w:ascii="仿宋_GB2312" w:hAnsi="仿宋_GB2312" w:cs="仿宋_GB2312" w:eastAsia="仿宋_GB2312"/>
                      <w:sz w:val="19"/>
                    </w:rPr>
                    <w:t>7县（区）</w:t>
                  </w:r>
                </w:p>
              </w:tc>
            </w:tr>
            <w:tr>
              <w:tc>
                <w:tcPr>
                  <w:tcW w:type="dxa" w:w="511"/>
                  <w:vMerge/>
                </w:tcPr>
                <w:p/>
              </w:tc>
              <w:tc>
                <w:tcPr>
                  <w:tcW w:type="dxa" w:w="511"/>
                  <w:vMerge/>
                </w:tcPr>
                <w:p/>
              </w:tc>
              <w:tc>
                <w:tcPr>
                  <w:tcW w:type="dxa" w:w="511"/>
                </w:tcPr>
                <w:p>
                  <w:pPr>
                    <w:pStyle w:val="null3"/>
                  </w:pPr>
                  <w:r>
                    <w:rPr>
                      <w:rFonts w:ascii="仿宋_GB2312" w:hAnsi="仿宋_GB2312" w:cs="仿宋_GB2312" w:eastAsia="仿宋_GB2312"/>
                      <w:sz w:val="19"/>
                    </w:rPr>
                    <w:t>矿区土地复垦</w:t>
                  </w:r>
                </w:p>
              </w:tc>
              <w:tc>
                <w:tcPr>
                  <w:tcW w:type="dxa" w:w="511"/>
                </w:tcPr>
                <w:p>
                  <w:pPr>
                    <w:pStyle w:val="null3"/>
                  </w:pPr>
                  <w:r>
                    <w:rPr>
                      <w:rFonts w:ascii="仿宋_GB2312" w:hAnsi="仿宋_GB2312" w:cs="仿宋_GB2312" w:eastAsia="仿宋_GB2312"/>
                      <w:sz w:val="19"/>
                    </w:rPr>
                    <w:t>制定专项规划，明确复垦目标、范围、措施及时限；根据土地损毁类型（挖损、压占、污染）采取针对性复垦技术，优先复垦为耕地、林地、草地等生态用地；建立复垦质量验收标准，强化后期管护，确保复垦土地可持续利用；落实土地复垦义务人责任，建立复垦资金预存制度。</w:t>
                  </w:r>
                </w:p>
              </w:tc>
              <w:tc>
                <w:tcPr>
                  <w:tcW w:type="dxa" w:w="511"/>
                </w:tcPr>
                <w:p>
                  <w:pPr>
                    <w:pStyle w:val="null3"/>
                  </w:pPr>
                  <w:r>
                    <w:rPr>
                      <w:rFonts w:ascii="仿宋_GB2312" w:hAnsi="仿宋_GB2312" w:cs="仿宋_GB2312" w:eastAsia="仿宋_GB2312"/>
                      <w:sz w:val="19"/>
                    </w:rPr>
                    <w:t>7县（区）</w:t>
                  </w:r>
                </w:p>
              </w:tc>
            </w:tr>
            <w:tr>
              <w:tc>
                <w:tcPr>
                  <w:tcW w:type="dxa" w:w="511"/>
                  <w:vMerge w:val="restart"/>
                </w:tcPr>
                <w:p>
                  <w:pPr>
                    <w:pStyle w:val="null3"/>
                  </w:pPr>
                  <w:r>
                    <w:rPr>
                      <w:rFonts w:ascii="仿宋_GB2312" w:hAnsi="仿宋_GB2312" w:cs="仿宋_GB2312" w:eastAsia="仿宋_GB2312"/>
                      <w:sz w:val="19"/>
                    </w:rPr>
                    <w:t>8</w:t>
                  </w:r>
                </w:p>
              </w:tc>
              <w:tc>
                <w:tcPr>
                  <w:tcW w:type="dxa" w:w="511"/>
                  <w:vMerge w:val="restart"/>
                </w:tcPr>
                <w:p>
                  <w:pPr>
                    <w:pStyle w:val="null3"/>
                  </w:pPr>
                  <w:r>
                    <w:rPr>
                      <w:rFonts w:ascii="仿宋_GB2312" w:hAnsi="仿宋_GB2312" w:cs="仿宋_GB2312" w:eastAsia="仿宋_GB2312"/>
                      <w:sz w:val="19"/>
                    </w:rPr>
                    <w:t>重大工程安排</w:t>
                  </w:r>
                </w:p>
              </w:tc>
              <w:tc>
                <w:tcPr>
                  <w:tcW w:type="dxa" w:w="511"/>
                </w:tcPr>
                <w:p>
                  <w:pPr>
                    <w:pStyle w:val="null3"/>
                  </w:pPr>
                  <w:r>
                    <w:rPr>
                      <w:rFonts w:ascii="仿宋_GB2312" w:hAnsi="仿宋_GB2312" w:cs="仿宋_GB2312" w:eastAsia="仿宋_GB2312"/>
                      <w:sz w:val="19"/>
                    </w:rPr>
                    <w:t>优势矿产增储保供工程</w:t>
                  </w:r>
                </w:p>
              </w:tc>
              <w:tc>
                <w:tcPr>
                  <w:tcW w:type="dxa" w:w="511"/>
                </w:tcPr>
                <w:p>
                  <w:pPr>
                    <w:pStyle w:val="null3"/>
                  </w:pPr>
                  <w:r>
                    <w:rPr>
                      <w:rFonts w:ascii="仿宋_GB2312" w:hAnsi="仿宋_GB2312" w:cs="仿宋_GB2312" w:eastAsia="仿宋_GB2312"/>
                      <w:sz w:val="19"/>
                    </w:rPr>
                    <w:t>实施重点勘查区整装勘查项目，力争新增一批优势矿产资源储量；推进大型矿山深部及外围找矿工程，延长矿山服务年限；建设战略性矿产资源储备工程，划定储备矿产地并落实储备任务。</w:t>
                  </w:r>
                </w:p>
              </w:tc>
              <w:tc>
                <w:tcPr>
                  <w:tcW w:type="dxa" w:w="511"/>
                </w:tcPr>
                <w:p>
                  <w:pPr>
                    <w:pStyle w:val="null3"/>
                  </w:pPr>
                  <w:r>
                    <w:rPr>
                      <w:rFonts w:ascii="仿宋_GB2312" w:hAnsi="仿宋_GB2312" w:cs="仿宋_GB2312" w:eastAsia="仿宋_GB2312"/>
                      <w:sz w:val="19"/>
                    </w:rPr>
                    <w:t>7县（区）</w:t>
                  </w:r>
                </w:p>
              </w:tc>
            </w:tr>
            <w:tr>
              <w:tc>
                <w:tcPr>
                  <w:tcW w:type="dxa" w:w="511"/>
                  <w:vMerge/>
                </w:tcPr>
                <w:p/>
              </w:tc>
              <w:tc>
                <w:tcPr>
                  <w:tcW w:type="dxa" w:w="511"/>
                  <w:vMerge/>
                </w:tcPr>
                <w:p/>
              </w:tc>
              <w:tc>
                <w:tcPr>
                  <w:tcW w:type="dxa" w:w="511"/>
                </w:tcPr>
                <w:p>
                  <w:pPr>
                    <w:pStyle w:val="null3"/>
                  </w:pPr>
                  <w:r>
                    <w:rPr>
                      <w:rFonts w:ascii="仿宋_GB2312" w:hAnsi="仿宋_GB2312" w:cs="仿宋_GB2312" w:eastAsia="仿宋_GB2312"/>
                      <w:sz w:val="19"/>
                    </w:rPr>
                    <w:t>绿色矿业发展示范工程</w:t>
                  </w:r>
                </w:p>
              </w:tc>
              <w:tc>
                <w:tcPr>
                  <w:tcW w:type="dxa" w:w="511"/>
                </w:tcPr>
                <w:p>
                  <w:pPr>
                    <w:pStyle w:val="null3"/>
                  </w:pPr>
                  <w:r>
                    <w:rPr>
                      <w:rFonts w:ascii="仿宋_GB2312" w:hAnsi="仿宋_GB2312" w:cs="仿宋_GB2312" w:eastAsia="仿宋_GB2312"/>
                      <w:sz w:val="19"/>
                    </w:rPr>
                    <w:t>建设绿色矿山示范项目，推广智能开采、无废生产、生态修复一体化技术；打造矿产资源精深加工示范园区，推动优势矿产产业链延伸；实施矿山数字化转型工程，建设智慧监管平台，实现开采、加工、环保全流程数字化管控。</w:t>
                  </w:r>
                </w:p>
              </w:tc>
              <w:tc>
                <w:tcPr>
                  <w:tcW w:type="dxa" w:w="511"/>
                </w:tcPr>
                <w:p>
                  <w:pPr>
                    <w:pStyle w:val="null3"/>
                  </w:pPr>
                  <w:r>
                    <w:rPr>
                      <w:rFonts w:ascii="仿宋_GB2312" w:hAnsi="仿宋_GB2312" w:cs="仿宋_GB2312" w:eastAsia="仿宋_GB2312"/>
                      <w:sz w:val="19"/>
                    </w:rPr>
                    <w:t>7县（区）</w:t>
                  </w:r>
                </w:p>
              </w:tc>
            </w:tr>
            <w:tr>
              <w:tc>
                <w:tcPr>
                  <w:tcW w:type="dxa" w:w="511"/>
                  <w:vMerge/>
                </w:tcPr>
                <w:p/>
              </w:tc>
              <w:tc>
                <w:tcPr>
                  <w:tcW w:type="dxa" w:w="511"/>
                  <w:vMerge/>
                </w:tcPr>
                <w:p/>
              </w:tc>
              <w:tc>
                <w:tcPr>
                  <w:tcW w:type="dxa" w:w="511"/>
                </w:tcPr>
                <w:p>
                  <w:pPr>
                    <w:pStyle w:val="null3"/>
                  </w:pPr>
                  <w:r>
                    <w:rPr>
                      <w:rFonts w:ascii="仿宋_GB2312" w:hAnsi="仿宋_GB2312" w:cs="仿宋_GB2312" w:eastAsia="仿宋_GB2312"/>
                      <w:sz w:val="19"/>
                    </w:rPr>
                    <w:t>资源节约与综合利用工程</w:t>
                  </w:r>
                </w:p>
              </w:tc>
              <w:tc>
                <w:tcPr>
                  <w:tcW w:type="dxa" w:w="511"/>
                </w:tcPr>
                <w:p>
                  <w:pPr>
                    <w:pStyle w:val="null3"/>
                  </w:pPr>
                  <w:r>
                    <w:rPr>
                      <w:rFonts w:ascii="仿宋_GB2312" w:hAnsi="仿宋_GB2312" w:cs="仿宋_GB2312" w:eastAsia="仿宋_GB2312"/>
                      <w:sz w:val="19"/>
                    </w:rPr>
                    <w:t>开展共伴生矿产综合利用示范项目、尾矿资源再利用示范工程；实施高效选矿技术改造工程，支持现有矿山升级改造；建设固体废弃物综合利用基地，集中处理区域内矿山尾矿、煤矸石等废弃物。</w:t>
                  </w:r>
                </w:p>
              </w:tc>
              <w:tc>
                <w:tcPr>
                  <w:tcW w:type="dxa" w:w="511"/>
                </w:tcPr>
                <w:p>
                  <w:pPr>
                    <w:pStyle w:val="null3"/>
                  </w:pPr>
                  <w:r>
                    <w:rPr>
                      <w:rFonts w:ascii="仿宋_GB2312" w:hAnsi="仿宋_GB2312" w:cs="仿宋_GB2312" w:eastAsia="仿宋_GB2312"/>
                      <w:sz w:val="19"/>
                    </w:rPr>
                    <w:t>7县（区）</w:t>
                  </w:r>
                </w:p>
              </w:tc>
            </w:tr>
            <w:tr>
              <w:tc>
                <w:tcPr>
                  <w:tcW w:type="dxa" w:w="511"/>
                  <w:vMerge/>
                </w:tcPr>
                <w:p/>
              </w:tc>
              <w:tc>
                <w:tcPr>
                  <w:tcW w:type="dxa" w:w="511"/>
                  <w:vMerge/>
                </w:tcPr>
                <w:p/>
              </w:tc>
              <w:tc>
                <w:tcPr>
                  <w:tcW w:type="dxa" w:w="511"/>
                </w:tcPr>
                <w:p>
                  <w:pPr>
                    <w:pStyle w:val="null3"/>
                  </w:pPr>
                  <w:r>
                    <w:rPr>
                      <w:rFonts w:ascii="仿宋_GB2312" w:hAnsi="仿宋_GB2312" w:cs="仿宋_GB2312" w:eastAsia="仿宋_GB2312"/>
                      <w:sz w:val="19"/>
                    </w:rPr>
                    <w:t>矿山生态保护修复工程</w:t>
                  </w:r>
                </w:p>
              </w:tc>
              <w:tc>
                <w:tcPr>
                  <w:tcW w:type="dxa" w:w="511"/>
                </w:tcPr>
                <w:p>
                  <w:pPr>
                    <w:pStyle w:val="null3"/>
                  </w:pPr>
                  <w:r>
                    <w:rPr>
                      <w:rFonts w:ascii="仿宋_GB2312" w:hAnsi="仿宋_GB2312" w:cs="仿宋_GB2312" w:eastAsia="仿宋_GB2312"/>
                      <w:sz w:val="19"/>
                    </w:rPr>
                    <w:t>实施历史遗留矿山生态修复专项工程，重点治理生态敏感区、交通干线沿线矿山；开展生产矿山 “边开采、边治理” 示范工程，打造生态修复样板；推进矿区土地复垦示范项目，探索不同损毁类型土地的复垦技术模式。</w:t>
                  </w:r>
                </w:p>
              </w:tc>
              <w:tc>
                <w:tcPr>
                  <w:tcW w:type="dxa" w:w="511"/>
                </w:tcPr>
                <w:p>
                  <w:pPr>
                    <w:pStyle w:val="null3"/>
                  </w:pPr>
                  <w:r>
                    <w:rPr>
                      <w:rFonts w:ascii="仿宋_GB2312" w:hAnsi="仿宋_GB2312" w:cs="仿宋_GB2312" w:eastAsia="仿宋_GB2312"/>
                      <w:sz w:val="19"/>
                    </w:rPr>
                    <w:t>7县（区）</w:t>
                  </w:r>
                </w:p>
              </w:tc>
            </w:tr>
            <w:tr>
              <w:tc>
                <w:tcPr>
                  <w:tcW w:type="dxa" w:w="511"/>
                  <w:vMerge/>
                </w:tcPr>
                <w:p/>
              </w:tc>
              <w:tc>
                <w:tcPr>
                  <w:tcW w:type="dxa" w:w="511"/>
                  <w:vMerge/>
                </w:tcPr>
                <w:p/>
              </w:tc>
              <w:tc>
                <w:tcPr>
                  <w:tcW w:type="dxa" w:w="511"/>
                </w:tcPr>
                <w:p>
                  <w:pPr>
                    <w:pStyle w:val="null3"/>
                  </w:pPr>
                  <w:r>
                    <w:rPr>
                      <w:rFonts w:ascii="仿宋_GB2312" w:hAnsi="仿宋_GB2312" w:cs="仿宋_GB2312" w:eastAsia="仿宋_GB2312"/>
                      <w:sz w:val="19"/>
                    </w:rPr>
                    <w:t>规划实施保障工程</w:t>
                  </w:r>
                </w:p>
              </w:tc>
              <w:tc>
                <w:tcPr>
                  <w:tcW w:type="dxa" w:w="511"/>
                </w:tcPr>
                <w:p>
                  <w:pPr>
                    <w:pStyle w:val="null3"/>
                  </w:pPr>
                  <w:r>
                    <w:rPr>
                      <w:rFonts w:ascii="仿宋_GB2312" w:hAnsi="仿宋_GB2312" w:cs="仿宋_GB2312" w:eastAsia="仿宋_GB2312"/>
                      <w:sz w:val="19"/>
                    </w:rPr>
                    <w:t>建设市级矿产资源规划管理信息平台，整合勘查、开发、保护等数据，实现规划动态监测与评估；开展规划宣传培训，提升相关部门、矿山企业的规划执行力；建立规划实施评估与调整机制，定期开展成效评估，依法依规优化调整规划内容。</w:t>
                  </w:r>
                </w:p>
              </w:tc>
              <w:tc>
                <w:tcPr>
                  <w:tcW w:type="dxa" w:w="511"/>
                </w:tcPr>
                <w:p>
                  <w:pPr>
                    <w:pStyle w:val="null3"/>
                  </w:pPr>
                  <w:r>
                    <w:rPr>
                      <w:rFonts w:ascii="仿宋_GB2312" w:hAnsi="仿宋_GB2312" w:cs="仿宋_GB2312" w:eastAsia="仿宋_GB2312"/>
                      <w:sz w:val="19"/>
                    </w:rPr>
                    <w:t>7县（区）</w:t>
                  </w:r>
                </w:p>
              </w:tc>
            </w:tr>
            <w:tr>
              <w:tc>
                <w:tcPr>
                  <w:tcW w:type="dxa" w:w="511"/>
                  <w:vMerge/>
                </w:tcPr>
                <w:p/>
              </w:tc>
              <w:tc>
                <w:tcPr>
                  <w:tcW w:type="dxa" w:w="511"/>
                  <w:vMerge/>
                </w:tcPr>
                <w:p/>
              </w:tc>
              <w:tc>
                <w:tcPr>
                  <w:tcW w:type="dxa" w:w="511"/>
                </w:tcPr>
                <w:p>
                  <w:pPr>
                    <w:pStyle w:val="null3"/>
                  </w:pPr>
                  <w:r>
                    <w:rPr>
                      <w:rFonts w:ascii="仿宋_GB2312" w:hAnsi="仿宋_GB2312" w:cs="仿宋_GB2312" w:eastAsia="仿宋_GB2312"/>
                      <w:sz w:val="19"/>
                    </w:rPr>
                    <w:t>市级数据库建设</w:t>
                  </w:r>
                </w:p>
              </w:tc>
              <w:tc>
                <w:tcPr>
                  <w:tcW w:type="dxa" w:w="511"/>
                </w:tcPr>
                <w:p>
                  <w:pPr>
                    <w:pStyle w:val="null3"/>
                  </w:pPr>
                  <w:r>
                    <w:rPr>
                      <w:rFonts w:ascii="仿宋_GB2312" w:hAnsi="仿宋_GB2312" w:cs="仿宋_GB2312" w:eastAsia="仿宋_GB2312"/>
                      <w:sz w:val="19"/>
                    </w:rPr>
                    <w:t>按照矿产资源补充调查数据库建设要求，对各县区通过检查的调查成果进行汇总、编辑分析，建设市级矿产资源补充调查矢量数据库。</w:t>
                  </w:r>
                </w:p>
              </w:tc>
              <w:tc>
                <w:tcPr>
                  <w:tcW w:type="dxa" w:w="511"/>
                </w:tcPr>
                <w:p>
                  <w:pPr>
                    <w:pStyle w:val="null3"/>
                  </w:pPr>
                  <w:r>
                    <w:rPr>
                      <w:rFonts w:ascii="仿宋_GB2312" w:hAnsi="仿宋_GB2312" w:cs="仿宋_GB2312" w:eastAsia="仿宋_GB2312"/>
                      <w:sz w:val="19"/>
                    </w:rPr>
                    <w:t>1项</w:t>
                  </w:r>
                </w:p>
              </w:tc>
            </w:tr>
            <w:tr>
              <w:tc>
                <w:tcPr>
                  <w:tcW w:type="dxa" w:w="511"/>
                  <w:vMerge/>
                </w:tcPr>
                <w:p/>
              </w:tc>
              <w:tc>
                <w:tcPr>
                  <w:tcW w:type="dxa" w:w="511"/>
                  <w:vMerge/>
                </w:tcPr>
                <w:p/>
              </w:tc>
              <w:tc>
                <w:tcPr>
                  <w:tcW w:type="dxa" w:w="511"/>
                </w:tcPr>
                <w:p>
                  <w:pPr>
                    <w:pStyle w:val="null3"/>
                  </w:pPr>
                  <w:r>
                    <w:rPr>
                      <w:rFonts w:ascii="仿宋_GB2312" w:hAnsi="仿宋_GB2312" w:cs="仿宋_GB2312" w:eastAsia="仿宋_GB2312"/>
                      <w:sz w:val="19"/>
                    </w:rPr>
                    <w:t>数据统计与汇总</w:t>
                  </w:r>
                </w:p>
              </w:tc>
              <w:tc>
                <w:tcPr>
                  <w:tcW w:type="dxa" w:w="511"/>
                </w:tcPr>
                <w:p>
                  <w:pPr>
                    <w:pStyle w:val="null3"/>
                  </w:pPr>
                  <w:r>
                    <w:rPr>
                      <w:rFonts w:ascii="仿宋_GB2312" w:hAnsi="仿宋_GB2312" w:cs="仿宋_GB2312" w:eastAsia="仿宋_GB2312"/>
                      <w:sz w:val="19"/>
                    </w:rPr>
                    <w:t>统计各类表格和台账</w:t>
                  </w:r>
                </w:p>
              </w:tc>
              <w:tc>
                <w:tcPr>
                  <w:tcW w:type="dxa" w:w="511"/>
                </w:tcPr>
                <w:p>
                  <w:pPr>
                    <w:pStyle w:val="null3"/>
                  </w:pPr>
                  <w:r>
                    <w:rPr>
                      <w:rFonts w:ascii="仿宋_GB2312" w:hAnsi="仿宋_GB2312" w:cs="仿宋_GB2312" w:eastAsia="仿宋_GB2312"/>
                      <w:sz w:val="19"/>
                    </w:rPr>
                    <w:t>1项</w:t>
                  </w:r>
                </w:p>
              </w:tc>
            </w:tr>
            <w:tr>
              <w:tc>
                <w:tcPr>
                  <w:tcW w:type="dxa" w:w="511"/>
                  <w:vMerge/>
                </w:tcPr>
                <w:p/>
              </w:tc>
              <w:tc>
                <w:tcPr>
                  <w:tcW w:type="dxa" w:w="511"/>
                  <w:vMerge/>
                </w:tcPr>
                <w:p/>
              </w:tc>
              <w:tc>
                <w:tcPr>
                  <w:tcW w:type="dxa" w:w="511"/>
                </w:tcPr>
                <w:p>
                  <w:pPr>
                    <w:pStyle w:val="null3"/>
                  </w:pPr>
                  <w:r>
                    <w:rPr>
                      <w:rFonts w:ascii="仿宋_GB2312" w:hAnsi="仿宋_GB2312" w:cs="仿宋_GB2312" w:eastAsia="仿宋_GB2312"/>
                      <w:sz w:val="19"/>
                    </w:rPr>
                    <w:t>编写成果及打印</w:t>
                  </w:r>
                </w:p>
              </w:tc>
              <w:tc>
                <w:tcPr>
                  <w:tcW w:type="dxa" w:w="511"/>
                </w:tcPr>
                <w:p>
                  <w:pPr>
                    <w:pStyle w:val="null3"/>
                  </w:pPr>
                  <w:r>
                    <w:rPr>
                      <w:rFonts w:ascii="仿宋_GB2312" w:hAnsi="仿宋_GB2312" w:cs="仿宋_GB2312" w:eastAsia="仿宋_GB2312"/>
                      <w:sz w:val="19"/>
                    </w:rPr>
                    <w:t>评审稿、终稿打印精装</w:t>
                  </w:r>
                </w:p>
              </w:tc>
              <w:tc>
                <w:tcPr>
                  <w:tcW w:type="dxa" w:w="511"/>
                </w:tcPr>
                <w:p>
                  <w:pPr>
                    <w:pStyle w:val="null3"/>
                  </w:pPr>
                  <w:r>
                    <w:rPr>
                      <w:rFonts w:ascii="仿宋_GB2312" w:hAnsi="仿宋_GB2312" w:cs="仿宋_GB2312" w:eastAsia="仿宋_GB2312"/>
                      <w:sz w:val="19"/>
                    </w:rPr>
                    <w:t>1项</w:t>
                  </w:r>
                </w:p>
              </w:tc>
            </w:tr>
            <w:tr>
              <w:tc>
                <w:tcPr>
                  <w:tcW w:type="dxa" w:w="511"/>
                  <w:vMerge/>
                </w:tcPr>
                <w:p/>
              </w:tc>
              <w:tc>
                <w:tcPr>
                  <w:tcW w:type="dxa" w:w="511"/>
                  <w:vMerge/>
                </w:tcPr>
                <w:p/>
              </w:tc>
              <w:tc>
                <w:tcPr>
                  <w:tcW w:type="dxa" w:w="511"/>
                </w:tcPr>
                <w:p>
                  <w:pPr>
                    <w:pStyle w:val="null3"/>
                  </w:pPr>
                  <w:r>
                    <w:rPr>
                      <w:rFonts w:ascii="仿宋_GB2312" w:hAnsi="仿宋_GB2312" w:cs="仿宋_GB2312" w:eastAsia="仿宋_GB2312"/>
                      <w:sz w:val="19"/>
                    </w:rPr>
                    <w:t>其他费用</w:t>
                  </w:r>
                </w:p>
              </w:tc>
              <w:tc>
                <w:tcPr>
                  <w:tcW w:type="dxa" w:w="511"/>
                </w:tcPr>
                <w:p>
                  <w:pPr>
                    <w:pStyle w:val="null3"/>
                  </w:pPr>
                  <w:r>
                    <w:rPr>
                      <w:rFonts w:ascii="仿宋_GB2312" w:hAnsi="仿宋_GB2312" w:cs="仿宋_GB2312" w:eastAsia="仿宋_GB2312"/>
                      <w:sz w:val="19"/>
                    </w:rPr>
                    <w:t>项目招标代理服务费，邀请相关专家和部门参与召开会议以及评审产生的费用。（包含服务费、餐费、专家评审费、企业税金等）</w:t>
                  </w:r>
                </w:p>
              </w:tc>
              <w:tc>
                <w:tcPr>
                  <w:tcW w:type="dxa" w:w="511"/>
                </w:tcPr>
                <w:p>
                  <w:pPr>
                    <w:pStyle w:val="null3"/>
                  </w:pPr>
                  <w:r>
                    <w:rPr>
                      <w:rFonts w:ascii="仿宋_GB2312" w:hAnsi="仿宋_GB2312" w:cs="仿宋_GB2312" w:eastAsia="仿宋_GB2312"/>
                      <w:sz w:val="19"/>
                    </w:rPr>
                    <w:t>1项</w:t>
                  </w:r>
                </w:p>
              </w:tc>
            </w:tr>
            <w:tr>
              <w:tc>
                <w:tcPr>
                  <w:tcW w:type="dxa" w:w="2555"/>
                  <w:gridSpan w:val="5"/>
                </w:tcPr>
                <w:p>
                  <w:pPr>
                    <w:pStyle w:val="null3"/>
                  </w:pPr>
                  <w:r>
                    <w:rPr>
                      <w:rFonts w:ascii="仿宋_GB2312" w:hAnsi="仿宋_GB2312" w:cs="仿宋_GB2312" w:eastAsia="仿宋_GB2312"/>
                      <w:sz w:val="19"/>
                    </w:rPr>
                    <w:t>注：以上未尽事宜按有关规范、规定及采购人要求执行。</w:t>
                  </w:r>
                </w:p>
              </w:tc>
            </w:tr>
          </w:tbl>
          <w:p>
            <w:pPr>
              <w:pStyle w:val="null3"/>
              <w:ind w:left="75" w:right="75" w:firstLine="320"/>
            </w:pPr>
            <w:r>
              <w:rPr>
                <w:rFonts w:ascii="仿宋_GB2312" w:hAnsi="仿宋_GB2312" w:cs="仿宋_GB2312" w:eastAsia="仿宋_GB2312"/>
              </w:rPr>
              <w:t>（三）、成果要求：</w:t>
            </w:r>
          </w:p>
          <w:p>
            <w:pPr>
              <w:pStyle w:val="null3"/>
            </w:pPr>
            <w:r>
              <w:rPr>
                <w:rFonts w:ascii="仿宋_GB2312" w:hAnsi="仿宋_GB2312" w:cs="仿宋_GB2312" w:eastAsia="仿宋_GB2312"/>
              </w:rPr>
              <w:t>1、供应商必须对项目有深入理解，根据国家法律法规和行业规范要求，按期保质保量完成项目服务成果编制。</w:t>
            </w:r>
            <w:r>
              <w:rPr>
                <w:rFonts w:ascii="仿宋_GB2312" w:hAnsi="仿宋_GB2312" w:cs="仿宋_GB2312" w:eastAsia="仿宋_GB2312"/>
              </w:rPr>
              <w:t>编制流程及成果须符合国家现行法律法规、技术规范与标准，提交经内部审核的本项目矿产资源规划送审稿及全部配套成果，并配合完成省级自然资源主管部门组织的技术评审，确保最终成果通过评审并正式入库。</w:t>
            </w:r>
          </w:p>
          <w:p>
            <w:pPr>
              <w:pStyle w:val="null3"/>
            </w:pPr>
            <w:r>
              <w:rPr>
                <w:rFonts w:ascii="仿宋_GB2312" w:hAnsi="仿宋_GB2312" w:cs="仿宋_GB2312" w:eastAsia="仿宋_GB2312"/>
              </w:rPr>
              <w:t>2、成果文件制作完成后，须按采购人要求提交指定数量的成果文件。采购人如有特殊数量要求的，可在具体项目委托时或实际需要时另行约定或提出。</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为保证本项目顺利实施，供应商应针对本项目需求有合理的人员配置管理计划，选派技术全面、责任心强的相关专业技术人员承担本项目工作。各专业岗位人员不得兼任。要求搭配合理、职能健全，岗位分工明确、职责清晰，须满足本项目采购需求。2、合同签订后，供应商须安排专门人员与采购人对接，提交实施方案并经采购人批准后实施；供应商服务团队工作人员须实地开展工作，保证工作的准确性、客观性和科学性。3、在项目实施过程中供应商不得擅自更换项目团队成员，确需更换的，需向采购人提出申请，经采购人同意方可调整，更换后的人员资质及项目经验等不得低于更换之前。4、在项目实施过程中，根据实施情况及采购人指令，成交供应商须及时增配相关岗位人员，以满足项目实施要求。5、采购人有权定期核对供应商提供服务所配备的人员数量及相关信息，对于未按照采购文件及投标响应要求执行或存在不合理的部分有权下达整改通知书，并要求供应商限期整改；6、供应商定期及时向采购人通告本项目服务范围内有关服务的重大事项及其进度；7、接受项目行业管理部门及有关部门的指导，接受采购人的监督。</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按项目需求配置。</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1、服务范围：采购文件及合同中约定的所有内容。2、服务要求：依据国家及省市相关文件要求，完成商洛市 “十五五” 矿产资源规划编制全流程工作，形成符合规定的规划成果并配合通过省级技术评审及入库。3、服务标准： 满足采购人需求且符合国家法律法规的相关规定、技术规范及行业标准。 4、报价要求：（1）报价是供应商响应采购项目要求的全部工作内容的价格体现，包括完成本项目所涉及人员工资、办公费用、调研费用、交通费用、通讯费用、人员食宿费用、设备投入、税费、招标代理服务费、成果评审费用、资料收集等完成本项目所涉及的一切费用。供应商只允许有一个报价，并且在合同履行过程中是固定不变的，任何有选择或可调整的报价将不予接受，并按无效处理。供应商应充分考虑本项目合同实施期间可能发生的一切费用，并承担由此而带来的风险。凡供应商在报价中未列明但又为本次采购所必备的项目或遗漏项目，采购人将一律视为已包括在其报价中，在合同执行中将不予考虑。（2）供应商应在充分考虑本项目的实际工作量、技术含量、难易程度、复杂性及市场风险等因素的基础上按采购文件中的报价格式要求填报响应报价。不得超出本项目采购预算和最高限价，否则将按照无效响应处理。5、知识产权归属和处理方式：（1）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并且赔偿由此给采购人带来的损失。采购人享有本项目实施过程中产生的知识成果及知识产权。（2）供应商在采购项目实施过程中采用自有或者第三方知识成果的，使用该知识成果后，供应商需提供开发接口和开发手册等技术资料，并承诺提供无限期支持，采购人享有使用权（含采购人委托第三方在该项目后续开发的使用权）。 （3）如采用供应商所不拥有的知识产权，则在报价中必须包括合法使用该知识产权的相关费用。6、保密要求： 供应商须严格按照《中华人民共和国保守国家秘密法》《中华人民共和国保守国家秘密法实施办法》等以及数据建设相关法律法规及管理文件的要求，对项目实施过程及实施过程中获取的所有相关数据、信息、企业资料、研究成果等材料保密，未经采购人书面允许，不得以任意形式传播或泄露相关信息，否则采购人有权单方面终止合同，并且享有追究其法律责任的权利。供应商须建立严格完善的保密制度，加强对项目工作人员的保密管理及保密知识教育。 7、安全要求：本项目自签订政府采购合同之日起至提交全部成果验收合格之日止，成交供应商将负责该项目实施过程相应的防火安全、人身安全、财产安全、环境安全，因本项目实施过程造成的直接或间接损失，其相应责任由成交供应商自行承担。 8、本项目采购和执行过程中，如有国家新标准、新政策，则按新标准、新政策执行。</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服务期限2年：自合同签订之日起至2026年5月30日前提交成果文件，之后进行配合服务。如因省政策调整工作时间提前，提交成果时间相应提前。</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方法：严格按照《财政部关于进一步加强政府采购需求和履约验收管理的指导意见》（财库〔2016〕205号）、《政府采购需求管理办法》（财库〔2021〕22号）等相关法律法规、技术标准、规范流程、采购文件、响应文件及合同进行验收。验收标准：按采购文件要求、供应商的投标文件及承诺、签订的合同、国家及行业相关规范标准进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提交项目技术成果并通过采购人组织的评审验收后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项目最终成果通过省级自然资源主管部门技术评审并正式入库后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违约责任：①采购人及供应商双方必须遵守采购合同并执行合同中的各项规定，保证采购合同的正常履行。任何一方违约给对方造成的直接损失均负有赔偿责任，对方均有权视情况以书面形式要求对方继续履行合同或提出解除合同。② 如因供应商在履行过程中的疏忽、失职、过错等故意或者过失原因给采购人造成损失或侵害，包括但不限于采购人本身的财产损失、由此而导致的采购人对任何第三方的法律责任等，供应商对此均应承担相应的赔偿责任。（2）合同争议的解决：合同履行期间,若双方发生争议，可协商或由有关部门调解解决，协商或调解不成的，由当事人依法向项目所在地有管辖权的人民法院提起诉讼，维护其合法权益。</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项目的变更、解除和终止：（1）如果供应商丧失履约能力、资不抵债或进入破产程序等情形，采购人有权随时以书面形式通知供应商终止本项目执行，且无需给予供应商补偿。该终止行为不损害或影响采购人已采取或将要采取的任何合法行动或补救措施的权利。（2）如遇国家、行业管理部门等机构的有关标准和规定调整的，导致本项目内容须做相应调整时，双方应按照公平、合理的原则共同协商修改本项目对应的合同的相关条款。2、对于采购内容中未尽事宜，供应商应满足现行法律法规、相关规范、要求、标准及合同约定进行服务，并应与采购人及时沟通，确保服务顺利开展。响应文件不能有采购人不能接受的条件。3、本项目通过电子化交易系统采购，供应商需在电子化交易系统上传响应文件。成交供应商领取中标（成交）通知书时，向采购代理机构提供一正两副纸质响应文件及电子版2份（响应文件为系统上传的签章版，电子版为U盘存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营业执照等证明文件</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提供2024年度经审计的财务审计报告（至少包括资产负债表、利润表、现金流量表，成立时间至提交磋商响应文件截止时间不足一年的可提供成立后任意时段的资产负债表、利润表、现金流量表）；或投标截止时间前三个月内其基本开户银行出具的资信证明及基本存款账户开户许可证（或存款信息）；或政府采购信用担保机构出具的投标担保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提供磋商截止日前六个月已缴纳的至少一个月的纳税证明或完税证明，依法免税的应提供相关证明材料。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提供磋商截止日前六个月已缴纳的至少一个月的社会保障资金缴存单据或社保机构开具的社会保险参保缴费情况证明，依法不需要缴纳社会保障资金的单位应提供相关证明材料。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无重大违法记录书面声明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提供具备履行合同所必需的设备和专业技术能力的证明材料(由供应商根据项目需求提供说明材料或者承诺)。</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供应商应授权合法的人员参加投标全过程</w:t>
            </w:r>
          </w:p>
        </w:tc>
        <w:tc>
          <w:tcPr>
            <w:tcW w:type="dxa" w:w="3322"/>
          </w:tcPr>
          <w:p>
            <w:pPr>
              <w:pStyle w:val="null3"/>
            </w:pPr>
            <w:r>
              <w:rPr>
                <w:rFonts w:ascii="仿宋_GB2312" w:hAnsi="仿宋_GB2312" w:cs="仿宋_GB2312" w:eastAsia="仿宋_GB2312"/>
              </w:rPr>
              <w:t>法定代表人授权委托书（附法定代表人或负责人身份证复印件及被授权人身份证复印件）；法定代表人或负责人直接参加投标只需提供法定代表人资格证明书（附法定代表人或负责人身份证复印件）。</w:t>
            </w:r>
          </w:p>
        </w:tc>
        <w:tc>
          <w:tcPr>
            <w:tcW w:type="dxa" w:w="1661"/>
          </w:tcPr>
          <w:p>
            <w:pPr>
              <w:pStyle w:val="null3"/>
            </w:pPr>
            <w:r>
              <w:rPr>
                <w:rFonts w:ascii="仿宋_GB2312" w:hAnsi="仿宋_GB2312" w:cs="仿宋_GB2312" w:eastAsia="仿宋_GB2312"/>
              </w:rPr>
              <w:t>供应商应提交的相关资格证明材料 法定代表人证明与授权委托书</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供应商信誉要求</w:t>
            </w:r>
          </w:p>
        </w:tc>
        <w:tc>
          <w:tcPr>
            <w:tcW w:type="dxa" w:w="3322"/>
          </w:tcPr>
          <w:p>
            <w:pPr>
              <w:pStyle w:val="null3"/>
            </w:pPr>
            <w:r>
              <w:rPr>
                <w:rFonts w:ascii="仿宋_GB2312" w:hAnsi="仿宋_GB2312" w:cs="仿宋_GB2312" w:eastAsia="仿宋_GB2312"/>
              </w:rPr>
              <w:t>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提供相关网站查询截图）。</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承诺书</w:t>
            </w:r>
          </w:p>
        </w:tc>
        <w:tc>
          <w:tcPr>
            <w:tcW w:type="dxa" w:w="3322"/>
          </w:tcPr>
          <w:p>
            <w:pPr>
              <w:pStyle w:val="null3"/>
            </w:pPr>
            <w:r>
              <w:rPr>
                <w:rFonts w:ascii="仿宋_GB2312" w:hAnsi="仿宋_GB2312" w:cs="仿宋_GB2312" w:eastAsia="仿宋_GB2312"/>
              </w:rPr>
              <w:t>本项目不接受联合体磋商（提供承诺书）。</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分项报价表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应符合采购文件中签字、签章要求，且无遗漏。</w:t>
            </w:r>
          </w:p>
        </w:tc>
        <w:tc>
          <w:tcPr>
            <w:tcW w:type="dxa" w:w="1661"/>
          </w:tcPr>
          <w:p>
            <w:pPr>
              <w:pStyle w:val="null3"/>
            </w:pPr>
            <w:r>
              <w:rPr>
                <w:rFonts w:ascii="仿宋_GB2312" w:hAnsi="仿宋_GB2312" w:cs="仿宋_GB2312" w:eastAsia="仿宋_GB2312"/>
              </w:rPr>
              <w:t>服务内容及服务邀请应答表 磋商保证金 分项报价表 中小企业声明函 商务应答表 供应商应提交的相关资格证明材料 报价表 法定代表人证明与授权委托书 响应文件封面 残疾人福利性单位声明函 服务方案 标的清单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响应文件格式、语言、计量单位、报价货币</w:t>
            </w:r>
          </w:p>
        </w:tc>
        <w:tc>
          <w:tcPr>
            <w:tcW w:type="dxa" w:w="3322"/>
          </w:tcPr>
          <w:p>
            <w:pPr>
              <w:pStyle w:val="null3"/>
            </w:pPr>
            <w:r>
              <w:rPr>
                <w:rFonts w:ascii="仿宋_GB2312" w:hAnsi="仿宋_GB2312" w:cs="仿宋_GB2312" w:eastAsia="仿宋_GB2312"/>
              </w:rPr>
              <w:t>应符合“响应文件格式”和采购文件要求。</w:t>
            </w:r>
          </w:p>
        </w:tc>
        <w:tc>
          <w:tcPr>
            <w:tcW w:type="dxa" w:w="1661"/>
          </w:tcPr>
          <w:p>
            <w:pPr>
              <w:pStyle w:val="null3"/>
            </w:pPr>
            <w:r>
              <w:rPr>
                <w:rFonts w:ascii="仿宋_GB2312" w:hAnsi="仿宋_GB2312" w:cs="仿宋_GB2312" w:eastAsia="仿宋_GB2312"/>
              </w:rPr>
              <w:t>服务内容及服务邀请应答表 磋商保证金 分项报价表 中小企业声明函 商务应答表 供应商应提交的相关资格证明材料 报价表 法定代表人证明与授权委托书 响应文件封面 残疾人福利性单位声明函 服务方案 标的清单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响应文件内容</w:t>
            </w:r>
          </w:p>
        </w:tc>
        <w:tc>
          <w:tcPr>
            <w:tcW w:type="dxa" w:w="3322"/>
          </w:tcPr>
          <w:p>
            <w:pPr>
              <w:pStyle w:val="null3"/>
            </w:pPr>
            <w:r>
              <w:rPr>
                <w:rFonts w:ascii="仿宋_GB2312" w:hAnsi="仿宋_GB2312" w:cs="仿宋_GB2312" w:eastAsia="仿宋_GB2312"/>
              </w:rPr>
              <w:t>响应文件内容须清晰辨认、齐全、无遗漏。</w:t>
            </w:r>
          </w:p>
        </w:tc>
        <w:tc>
          <w:tcPr>
            <w:tcW w:type="dxa" w:w="1661"/>
          </w:tcPr>
          <w:p>
            <w:pPr>
              <w:pStyle w:val="null3"/>
            </w:pPr>
            <w:r>
              <w:rPr>
                <w:rFonts w:ascii="仿宋_GB2312" w:hAnsi="仿宋_GB2312" w:cs="仿宋_GB2312" w:eastAsia="仿宋_GB2312"/>
              </w:rPr>
              <w:t>服务内容及服务邀请应答表 磋商保证金 分项报价表 中小企业声明函 商务应答表 供应商应提交的相关资格证明材料 报价表 法定代表人证明与授权委托书 响应文件封面 残疾人福利性单位声明函 服务方案 标的清单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同时满足以下条款： （1）货币单位符合采购文件要求；（2）报价符合唯一性要求；（3）未超出采购预算和最高限价；（4）符合采购文件规定的填报要求。</w:t>
            </w:r>
          </w:p>
        </w:tc>
        <w:tc>
          <w:tcPr>
            <w:tcW w:type="dxa" w:w="1661"/>
          </w:tcPr>
          <w:p>
            <w:pPr>
              <w:pStyle w:val="null3"/>
            </w:pPr>
            <w:r>
              <w:rPr>
                <w:rFonts w:ascii="仿宋_GB2312" w:hAnsi="仿宋_GB2312" w:cs="仿宋_GB2312" w:eastAsia="仿宋_GB2312"/>
              </w:rPr>
              <w:t>分项报价表 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服务内容及服务要求</w:t>
            </w:r>
          </w:p>
        </w:tc>
        <w:tc>
          <w:tcPr>
            <w:tcW w:type="dxa" w:w="3322"/>
          </w:tcPr>
          <w:p>
            <w:pPr>
              <w:pStyle w:val="null3"/>
            </w:pPr>
            <w:r>
              <w:rPr>
                <w:rFonts w:ascii="仿宋_GB2312" w:hAnsi="仿宋_GB2312" w:cs="仿宋_GB2312" w:eastAsia="仿宋_GB2312"/>
              </w:rPr>
              <w:t>是否响应采购文件要求。</w:t>
            </w:r>
          </w:p>
        </w:tc>
        <w:tc>
          <w:tcPr>
            <w:tcW w:type="dxa" w:w="1661"/>
          </w:tcPr>
          <w:p>
            <w:pPr>
              <w:pStyle w:val="null3"/>
            </w:pPr>
            <w:r>
              <w:rPr>
                <w:rFonts w:ascii="仿宋_GB2312" w:hAnsi="仿宋_GB2312" w:cs="仿宋_GB2312" w:eastAsia="仿宋_GB2312"/>
              </w:rPr>
              <w:t>服务内容及服务邀请应答表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商务要求</w:t>
            </w:r>
          </w:p>
        </w:tc>
        <w:tc>
          <w:tcPr>
            <w:tcW w:type="dxa" w:w="3322"/>
          </w:tcPr>
          <w:p>
            <w:pPr>
              <w:pStyle w:val="null3"/>
            </w:pPr>
            <w:r>
              <w:rPr>
                <w:rFonts w:ascii="仿宋_GB2312" w:hAnsi="仿宋_GB2312" w:cs="仿宋_GB2312" w:eastAsia="仿宋_GB2312"/>
              </w:rPr>
              <w:t>是否响应采购文件要求。</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是否响应采购文件要求。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是否按照采购文件要求足额并按时交纳。</w:t>
            </w:r>
          </w:p>
        </w:tc>
        <w:tc>
          <w:tcPr>
            <w:tcW w:type="dxa" w:w="1661"/>
          </w:tcPr>
          <w:p>
            <w:pPr>
              <w:pStyle w:val="null3"/>
            </w:pPr>
            <w:r>
              <w:rPr>
                <w:rFonts w:ascii="仿宋_GB2312" w:hAnsi="仿宋_GB2312" w:cs="仿宋_GB2312" w:eastAsia="仿宋_GB2312"/>
              </w:rPr>
              <w:t>磋商保证金</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是否有采购人不能接受的附加条件</w:t>
            </w:r>
          </w:p>
        </w:tc>
        <w:tc>
          <w:tcPr>
            <w:tcW w:type="dxa" w:w="3322"/>
          </w:tcPr>
          <w:p>
            <w:pPr>
              <w:pStyle w:val="null3"/>
            </w:pPr>
            <w:r>
              <w:rPr>
                <w:rFonts w:ascii="仿宋_GB2312" w:hAnsi="仿宋_GB2312" w:cs="仿宋_GB2312" w:eastAsia="仿宋_GB2312"/>
              </w:rPr>
              <w:t>没有采购人不能接受的附加条件。</w:t>
            </w:r>
          </w:p>
        </w:tc>
        <w:tc>
          <w:tcPr>
            <w:tcW w:type="dxa" w:w="1661"/>
          </w:tcPr>
          <w:p>
            <w:pPr>
              <w:pStyle w:val="null3"/>
            </w:pPr>
            <w:r>
              <w:rPr>
                <w:rFonts w:ascii="仿宋_GB2312" w:hAnsi="仿宋_GB2312" w:cs="仿宋_GB2312" w:eastAsia="仿宋_GB2312"/>
              </w:rPr>
              <w:t>服务内容及服务邀请应答表 磋商保证金 分项报价表 中小企业声明函 商务应答表 供应商应提交的相关资格证明材料 报价表 法定代表人证明与授权委托书 响应文件封面 残疾人福利性单位声明函 服务方案 标的清单 响应函 监狱企业的证明文件</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未出现不符合法律、法规和采购文件中规定的其他实质性要求，否则响应文件作无效处理。</w:t>
            </w:r>
          </w:p>
        </w:tc>
        <w:tc>
          <w:tcPr>
            <w:tcW w:type="dxa" w:w="1661"/>
          </w:tcPr>
          <w:p>
            <w:pPr>
              <w:pStyle w:val="null3"/>
            </w:pPr>
            <w:r>
              <w:rPr>
                <w:rFonts w:ascii="仿宋_GB2312" w:hAnsi="仿宋_GB2312" w:cs="仿宋_GB2312" w:eastAsia="仿宋_GB2312"/>
              </w:rPr>
              <w:t>服务内容及服务邀请应答表 磋商保证金 分项报价表 中小企业声明函 商务应答表 供应商应提交的相关资格证明材料 报价表 法定代表人证明与授权委托书 响应文件封面 残疾人福利性单位声明函 服务方案 标的清单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项目理解、重难点分析及应对方案</w:t>
            </w:r>
          </w:p>
        </w:tc>
        <w:tc>
          <w:tcPr>
            <w:tcW w:type="dxa" w:w="2492"/>
          </w:tcPr>
          <w:p>
            <w:pPr>
              <w:pStyle w:val="null3"/>
            </w:pPr>
            <w:r>
              <w:rPr>
                <w:rFonts w:ascii="仿宋_GB2312" w:hAnsi="仿宋_GB2312" w:cs="仿宋_GB2312" w:eastAsia="仿宋_GB2312"/>
              </w:rPr>
              <w:t>根据供应商对本项目任务要求的理解深度和对国家相关领域政策、标准的掌握程度，对本项目难点、重点技术问题分析和论述进行综合评比。项目理解到位、分析准确，掌握项目各项工作要求，任务分析全面完善，对项目重难点、关键性技术问题的把握精准、分析透彻，所提供的对策措施科学完善，针对性极强得6分； 项目理解准确全面，熟悉项目相关情况，熟练掌握项目各项工作要求，任务分析较为全面，对项目重难点、关键性技术问题的把握准确、分析到位，所提供的对策措施合理可行，针对性较强得 5 分；项目理解基本准确，清楚项目相关情况，基本掌握项目核心工作要求，任务分析基本全面，对项目重难点、关键性技术问题的把握基本准确、分析清晰，所提供的对策措施具有一定合理性和针对性得 4 分；项目理解存在一定欠缺，对项目相关情况了解不够深入，仅掌握项目基础工作要求，任务分析较为片面，对项目重难点、关键性技术问题的把握基本准确但分析简单，所提供的对策措施基本合理但针对性不足得3分；项目理解不准确，对项目相关情况了解欠缺，未能全面掌握项目工作要求，任务分析存在明显欠缺，对项目重难点、关键性技术问题的把握有偏差、分析不足，所提供的对策措施简单笼统，针对性较弱得 2 分；其他或未提供不得分。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总体实施方案</w:t>
            </w:r>
          </w:p>
        </w:tc>
        <w:tc>
          <w:tcPr>
            <w:tcW w:type="dxa" w:w="2492"/>
          </w:tcPr>
          <w:p>
            <w:pPr>
              <w:pStyle w:val="null3"/>
            </w:pPr>
            <w:r>
              <w:rPr>
                <w:rFonts w:ascii="仿宋_GB2312" w:hAnsi="仿宋_GB2312" w:cs="仿宋_GB2312" w:eastAsia="仿宋_GB2312"/>
              </w:rPr>
              <w:t>供应商应充分理解项目背景和内容，根据项目实际情况提供总体实施方案。总体实施方案内容包括但不限于项目认识、实施计划、投入设备和技术工具、工作程序、技术路线和技术方法、成果交付等。要求总体思路清晰，内容全面，符合项目需求，各项措施与本项目实际联系紧密，具体可行到位，各环节安排有序，重点突出、技术建议叙述全面、合理、可操作性强。磋商小组根据上述内容进行综合评比。总体思路清晰透彻，内容全面覆盖项目认识、实施计划、投入设备和技术工具、工作程序、技术路线和技术方法、成果交付等所有核心要素，完全契合项目背景与需求，各项措施与项目实际联系紧密、具体可行，各环节安排有序、重点突出，技术建议叙述全面合理、可操作性极强，得 18分；总体思路清晰，内容较全面，覆盖核心要素，符合项目需求，各项措施与项目实际联系较紧密、具备可行性，各环节安排较有序，技术建议叙述合理、可操作性较强，得 14分；总体思路基本清晰，内容基本完整，覆盖主要核心要素，基本符合项目需求，各项措施具备一定可行性，各环节安排基本有序，技术建议有一定合理性和可操作性，得 11分；总体思路不够清晰，内容不够全面，核心要素覆盖不全，与项目需求契合度一般，各项措施可行性不足，各环节安排不够有序，技术建议合理性和可操作性一般，得 7 分；总体思路混乱，内容缺失较多，核心要素未有效覆盖，与项目需求偏离较大，各项措施缺乏可行性，各环节安排无序，技术建议不充分，得 3 分；其他或未提供，不得分。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应急措施</w:t>
            </w:r>
          </w:p>
        </w:tc>
        <w:tc>
          <w:tcPr>
            <w:tcW w:type="dxa" w:w="2492"/>
          </w:tcPr>
          <w:p>
            <w:pPr>
              <w:pStyle w:val="null3"/>
            </w:pPr>
            <w:r>
              <w:rPr>
                <w:rFonts w:ascii="仿宋_GB2312" w:hAnsi="仿宋_GB2312" w:cs="仿宋_GB2312" w:eastAsia="仿宋_GB2312"/>
              </w:rPr>
              <w:t>供应商针对本项目须提供应急措施，确保在发生紧急事件及其他问题时，能够及时、有效的解决问题，保证项目顺利进行，能在发生紧急事件及其他问题时提供详细的有效补救措施。根据供应商提供的针对突发特殊情况应急保障措施进行综合评比。全面识别项目实施过程中可能出现的政策调整、数据缺失、技术难题、突发灾害等各类应急事件，应急响应机制快速高效，处置措施具体详实、针对性极强，应急保障（人员、设备、技术等）充足有力，能确保项目不受影响顺利推进，得 8 分；有效识别主要应急事件，应急响应机制较完善，处置措施合理可行、针对性较强，应急保障基本充足，能有效应对常见应急情况，保障项目基本推进，得 6 分；识别部分主要应急事件，应急响应机制基本建立，处置措施具备一定合理性和针对性，应急保障有一定基础，能应对简单应急情况，得 4 分；应急事件识别不全，应急响应机制不完善，处置措施笼统模糊、针对性不足，应急保障薄弱，难以有效应对应急情况，得 2 分；其他或未提供，不得分。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人员团队</w:t>
            </w:r>
          </w:p>
        </w:tc>
        <w:tc>
          <w:tcPr>
            <w:tcW w:type="dxa" w:w="2492"/>
          </w:tcPr>
          <w:p>
            <w:pPr>
              <w:pStyle w:val="null3"/>
            </w:pPr>
            <w:r>
              <w:rPr>
                <w:rFonts w:ascii="仿宋_GB2312" w:hAnsi="仿宋_GB2312" w:cs="仿宋_GB2312" w:eastAsia="仿宋_GB2312"/>
              </w:rPr>
              <w:t>1、项目负责人：具有地质调查与矿产勘查专业或水文地质、工程地质与环境地质专业或测绘工程类专业高级及以上职称证书的得 3 分，中级职称的得 1 分，其他不得分，本项最高得3分。2、项目团队成员（除项目负责人外）具有地质调查与矿产勘查专业或水文地质、工程地质与环境地质专业或测绘工程类专业中级及以上职称的，每提供1人得1分，同一人具有多个证书不可累计，只作1名计。本项最高得5分。注：以上人员须提供相关证书及身份证复印件并加盖供应商公章。未提供或未按要求提供此项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成果管理方案</w:t>
            </w:r>
          </w:p>
        </w:tc>
        <w:tc>
          <w:tcPr>
            <w:tcW w:type="dxa" w:w="2492"/>
          </w:tcPr>
          <w:p>
            <w:pPr>
              <w:pStyle w:val="null3"/>
            </w:pPr>
            <w:r>
              <w:rPr>
                <w:rFonts w:ascii="仿宋_GB2312" w:hAnsi="仿宋_GB2312" w:cs="仿宋_GB2312" w:eastAsia="仿宋_GB2312"/>
              </w:rPr>
              <w:t>提供成果管理内容方案包括但不限以下内容：①成果收集与整理；②成果审核与验收；③成果保管；④成果更新与维护；⑤成果共享与应用等内容。方案全面覆盖成果收集与整理、审核与验收、保管、更新与维护、共享与应用等所有核心内容，各环节要求规范严谨、科学合理，可操作性极强，能充分保障成果质量、安全性和有效应用，得 8 分；方案覆盖主要核心内容，各环节要求较规范合理，可操作性较强，能基本保障成果质量和应用需求，得 6 分；方案覆盖部分核心内容，各环节要求基本合理，具备一定可操作性，能满足成果管理基础需求，得 4 分；方案内容不全面，各环节要求不够规范，可操作性不足，难以有效保障成果管理需求，得 2 分；其他或未提供，不得分。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评审专家根据供应商提供的质量保证措施进行综合评分。项目质量保证措施包括但不限于①质量检查人员配备方案、②实施过程质量控制方案、③成果质量最终检查方案、④各项实施措施和预案措施等内容。质量保障措施描述严谨、完整合理、切实可行，针对性、可行性强，得8分； 质量保障措施描述清晰但不够完整，基本合理性，针对性、可行性一般，得6分； 质量保障措施描述简单，合理性、严谨度一般，针对性、可行性一般，得4分； 质量保障措施描述不够清晰，合理性一般，针对性、可行性欠缺，得2分； 其他或未提供不得分。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进度计划及保障措施</w:t>
            </w:r>
          </w:p>
        </w:tc>
        <w:tc>
          <w:tcPr>
            <w:tcW w:type="dxa" w:w="2492"/>
          </w:tcPr>
          <w:p>
            <w:pPr>
              <w:pStyle w:val="null3"/>
            </w:pPr>
            <w:r>
              <w:rPr>
                <w:rFonts w:ascii="仿宋_GB2312" w:hAnsi="仿宋_GB2312" w:cs="仿宋_GB2312" w:eastAsia="仿宋_GB2312"/>
              </w:rPr>
              <w:t>根据工作进度计划安排的合理性、与本项目实际情况的符合性，进度保证措施的可靠性、可实施性进行评分。 进度计划及保障措施内容应包括但不限于①项目的总体计划安排；②子项任务的衔接；③工作任务时间分配；④保证工作进度计划的实施措施等内容。进度安排合理可行，进度保证措施详细、工作节点清晰得8分； 进度安排基本合理，进度保证措施不明确，工作节点清晰得6分； 进度安排基本合理，进度保证措施不明确，工作节点不清晰得4分；进度安排与本项目实际需求不匹配、缺乏可行性，进度保证措施不明确，需要进一步协调得 2 分； 其他或未提供不得分。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供应商提供2020年1月1日以来已完成的与本项目相类似业绩，每提供一个得2分，本评分项满分10分。 评审依据：提供中标通知书或合同复印件并加盖供应商公章。未提供或提供不全不得分。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项目管理和组织实施</w:t>
            </w:r>
          </w:p>
        </w:tc>
        <w:tc>
          <w:tcPr>
            <w:tcW w:type="dxa" w:w="2492"/>
          </w:tcPr>
          <w:p>
            <w:pPr>
              <w:pStyle w:val="null3"/>
            </w:pPr>
            <w:r>
              <w:rPr>
                <w:rFonts w:ascii="仿宋_GB2312" w:hAnsi="仿宋_GB2312" w:cs="仿宋_GB2312" w:eastAsia="仿宋_GB2312"/>
              </w:rPr>
              <w:t>根据供应商针对本项目是否有完备的组织构架，各项管理制度是否齐全（保密制度、档案管理制度、设备管理制度、安全管理制度、沟通协调机制等），管理是否符合项目特点且详尽可行，人员配备是否齐全，分工是否合理、职责划分是否明确，内控机制是否完善等进行综合评定。组织构架完备、层级清晰，管理制度（保密、档案、设备、安全、沟通协调等）齐全详尽、贴合项目特点，人员配备充足、专业适配、分工合理、职责明确，内控机制完善，能全面保障项目规范高效推进，得 8 分；组织构架较完备，管理制度较齐全、基本贴合项目需求，人员配备基本充足、分工较明确，内控机制较完善，能保障项目基本规范推进，得 6 分；组织构架基本完整，管理制度基本齐全但不够详尽，人员配备基本满足需求、分工基本明确，内控机制基本建立，能保障项目有序推进，得 4 分；组织构架不完善，管理制度缺失较多，人员配备不足、分工不明确，内控机制不完善，对项目推进有一定影响，得 2 分；其他或未提供，不得分。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后续服务方案</w:t>
            </w:r>
          </w:p>
        </w:tc>
        <w:tc>
          <w:tcPr>
            <w:tcW w:type="dxa" w:w="2492"/>
          </w:tcPr>
          <w:p>
            <w:pPr>
              <w:pStyle w:val="null3"/>
            </w:pPr>
            <w:r>
              <w:rPr>
                <w:rFonts w:ascii="仿宋_GB2312" w:hAnsi="仿宋_GB2312" w:cs="仿宋_GB2312" w:eastAsia="仿宋_GB2312"/>
              </w:rPr>
              <w:t>评审专家根据供应商提供的后续服务方案进行综合评分，后续服务方案包括但不限于以下内容:①供应商的后续服务响应方案、②服务响应时间、③服务体系、④服务质量保障、⑤投入的售后服务团队以上5项内容。后续服务响应方案完善，服务响应及时（接到需求后快速响应并提供解决方案），服务体系健全，服务质量保障措施严格有力，售后服务团队专业素质高、配备充足，能全面高效满足采购人后续各类服务需求，得 8 分；后续服务响应方案较完善，服务响应较及时，服务体系基本健全，服务质量保障措施合理，售后服务团队能满足主要服务需求，得 6 分；后续服务响应方案基本可行，服务响应基本及时，服务体系基本建立，服务质量保障措施有一定基础，售后服务团队能满足基础服务需求，得 4 分；后续服务响应方案不完善，服务响应不及时，服务体系不健全，服务质量保障措施薄弱，售后服务团队难以满足核心服务需求，得 2 分；其他或未提供，不得分。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初审合格的供应商，其响应报价为有效报价。评标基准价：即满足竞争性磋商文件要求且最终响应报价最低的报价为评标基准价。其他供应商的价格分统一按照下列公式计算。响应报价计分=(评标基准价／响应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详见附件：磋商保证金</w:t>
      </w:r>
    </w:p>
    <w:p>
      <w:pPr>
        <w:pStyle w:val="null3"/>
        <w:ind w:firstLine="960"/>
      </w:pPr>
      <w:r>
        <w:rPr>
          <w:rFonts w:ascii="仿宋_GB2312" w:hAnsi="仿宋_GB2312" w:cs="仿宋_GB2312" w:eastAsia="仿宋_GB2312"/>
        </w:rPr>
        <w:t>详见附件：法定代表人证明与授权委托书</w:t>
      </w:r>
    </w:p>
    <w:p>
      <w:pPr>
        <w:pStyle w:val="null3"/>
        <w:ind w:firstLine="960"/>
      </w:pPr>
      <w:r>
        <w:rPr>
          <w:rFonts w:ascii="仿宋_GB2312" w:hAnsi="仿宋_GB2312" w:cs="仿宋_GB2312" w:eastAsia="仿宋_GB2312"/>
        </w:rPr>
        <w:t>详见附件：分项报价表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详见附件：政府采购项目合同（示范文本）.docx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