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72076">
      <w:pPr>
        <w:jc w:val="center"/>
        <w:rPr>
          <w:rFonts w:hint="eastAsia" w:eastAsia="新宋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分项报价表</w:t>
      </w:r>
    </w:p>
    <w:tbl>
      <w:tblPr>
        <w:tblStyle w:val="4"/>
        <w:tblW w:w="10075" w:type="dxa"/>
        <w:tblInd w:w="34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492"/>
        <w:gridCol w:w="1044"/>
        <w:gridCol w:w="2638"/>
        <w:gridCol w:w="1162"/>
        <w:gridCol w:w="1025"/>
        <w:gridCol w:w="1338"/>
        <w:gridCol w:w="950"/>
      </w:tblGrid>
      <w:tr w14:paraId="598907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</w:tcPr>
          <w:p w14:paraId="637C0F4A">
            <w:pPr>
              <w:pStyle w:val="8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序号</w:t>
            </w:r>
          </w:p>
        </w:tc>
        <w:tc>
          <w:tcPr>
            <w:tcW w:w="2536" w:type="dxa"/>
            <w:gridSpan w:val="2"/>
            <w:vAlign w:val="center"/>
          </w:tcPr>
          <w:p w14:paraId="60AC8BBE">
            <w:pPr>
              <w:pStyle w:val="8"/>
              <w:jc w:val="center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工作内容</w:t>
            </w:r>
          </w:p>
        </w:tc>
        <w:tc>
          <w:tcPr>
            <w:tcW w:w="2638" w:type="dxa"/>
            <w:vAlign w:val="center"/>
          </w:tcPr>
          <w:p w14:paraId="7E9FCD14">
            <w:pPr>
              <w:pStyle w:val="8"/>
              <w:jc w:val="center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内容详述</w:t>
            </w:r>
          </w:p>
        </w:tc>
        <w:tc>
          <w:tcPr>
            <w:tcW w:w="1162" w:type="dxa"/>
            <w:vAlign w:val="center"/>
          </w:tcPr>
          <w:p w14:paraId="435B4977">
            <w:pPr>
              <w:pStyle w:val="8"/>
              <w:jc w:val="center"/>
              <w:rPr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数量/单位</w:t>
            </w:r>
          </w:p>
        </w:tc>
        <w:tc>
          <w:tcPr>
            <w:tcW w:w="1025" w:type="dxa"/>
            <w:vAlign w:val="center"/>
          </w:tcPr>
          <w:p w14:paraId="0C86B7B5">
            <w:pPr>
              <w:pStyle w:val="8"/>
              <w:jc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单价（元）</w:t>
            </w:r>
          </w:p>
        </w:tc>
        <w:tc>
          <w:tcPr>
            <w:tcW w:w="1338" w:type="dxa"/>
            <w:vAlign w:val="center"/>
          </w:tcPr>
          <w:p w14:paraId="36FF64D0">
            <w:pPr>
              <w:pStyle w:val="8"/>
              <w:jc w:val="center"/>
              <w:rPr>
                <w:rFonts w:hint="default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总价（元）</w:t>
            </w:r>
          </w:p>
        </w:tc>
        <w:tc>
          <w:tcPr>
            <w:tcW w:w="950" w:type="dxa"/>
            <w:vAlign w:val="center"/>
          </w:tcPr>
          <w:p w14:paraId="5110F4E9">
            <w:pPr>
              <w:pStyle w:val="8"/>
              <w:jc w:val="center"/>
              <w:rPr>
                <w:rFonts w:hint="default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备注</w:t>
            </w:r>
          </w:p>
        </w:tc>
      </w:tr>
      <w:tr w14:paraId="652F77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vAlign w:val="center"/>
          </w:tcPr>
          <w:p w14:paraId="5156EE73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1</w:t>
            </w:r>
          </w:p>
        </w:tc>
        <w:tc>
          <w:tcPr>
            <w:tcW w:w="1492" w:type="dxa"/>
            <w:vMerge w:val="restart"/>
            <w:vAlign w:val="center"/>
          </w:tcPr>
          <w:p w14:paraId="2C9799B3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商洛市矿产资源现状的分析，矿产资源供需变化趋势预测</w:t>
            </w:r>
          </w:p>
        </w:tc>
        <w:tc>
          <w:tcPr>
            <w:tcW w:w="1044" w:type="dxa"/>
            <w:vAlign w:val="center"/>
          </w:tcPr>
          <w:p w14:paraId="638F86AC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现状分析</w:t>
            </w:r>
          </w:p>
        </w:tc>
        <w:tc>
          <w:tcPr>
            <w:tcW w:w="2638" w:type="dxa"/>
            <w:vAlign w:val="center"/>
          </w:tcPr>
          <w:p w14:paraId="0F99EBC7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梳理全市已查明矿产的矿种、储量、分布及勘查程度，重点研判优势矿产开发潜力；评估 “十四五” 矿山规模、利用效率、产业结构等核心指标；排查资源开发与 “三区三线” 的重叠冲突及地质环境问题。</w:t>
            </w:r>
          </w:p>
        </w:tc>
        <w:tc>
          <w:tcPr>
            <w:tcW w:w="1162" w:type="dxa"/>
            <w:vAlign w:val="center"/>
          </w:tcPr>
          <w:p w14:paraId="56063B79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747DDAD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088091F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162A3C3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3A55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417C6AAC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0BDAA034">
            <w:pPr>
              <w:jc w:val="both"/>
            </w:pPr>
          </w:p>
        </w:tc>
        <w:tc>
          <w:tcPr>
            <w:tcW w:w="1044" w:type="dxa"/>
            <w:vAlign w:val="center"/>
          </w:tcPr>
          <w:p w14:paraId="6F826247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供需预测</w:t>
            </w:r>
          </w:p>
        </w:tc>
        <w:tc>
          <w:tcPr>
            <w:tcW w:w="2638" w:type="dxa"/>
            <w:vAlign w:val="center"/>
          </w:tcPr>
          <w:p w14:paraId="6541DC25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衔接市级 “十五五” 规划及重点产业需求，分析矿产资源消费特征；结合市场格局、资源替代、进口依赖度等因素，预测主要矿产供需缺口，提出应对策略。</w:t>
            </w:r>
          </w:p>
        </w:tc>
        <w:tc>
          <w:tcPr>
            <w:tcW w:w="1162" w:type="dxa"/>
            <w:vAlign w:val="center"/>
          </w:tcPr>
          <w:p w14:paraId="7587F1D3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1项</w:t>
            </w:r>
          </w:p>
        </w:tc>
        <w:tc>
          <w:tcPr>
            <w:tcW w:w="1025" w:type="dxa"/>
            <w:vAlign w:val="center"/>
          </w:tcPr>
          <w:p w14:paraId="3139B646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18A888B0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52EFCD0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D9AE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vAlign w:val="center"/>
          </w:tcPr>
          <w:p w14:paraId="1B5D747B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2</w:t>
            </w:r>
          </w:p>
        </w:tc>
        <w:tc>
          <w:tcPr>
            <w:tcW w:w="1492" w:type="dxa"/>
            <w:vMerge w:val="restart"/>
            <w:vAlign w:val="center"/>
          </w:tcPr>
          <w:p w14:paraId="666E1941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地质勘查、开发利用和保护的目标与指标</w:t>
            </w:r>
          </w:p>
        </w:tc>
        <w:tc>
          <w:tcPr>
            <w:tcW w:w="1044" w:type="dxa"/>
            <w:vAlign w:val="center"/>
          </w:tcPr>
          <w:p w14:paraId="08171A20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地质勘查</w:t>
            </w:r>
          </w:p>
        </w:tc>
        <w:tc>
          <w:tcPr>
            <w:tcW w:w="2638" w:type="dxa"/>
            <w:vAlign w:val="center"/>
          </w:tcPr>
          <w:p w14:paraId="20EC75AB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聚焦 “增储保供”，明确优势及战略性矿产新增储量、勘查区覆盖、勘查精度、资金投入等核心指标。</w:t>
            </w:r>
          </w:p>
        </w:tc>
        <w:tc>
          <w:tcPr>
            <w:tcW w:w="1162" w:type="dxa"/>
            <w:vAlign w:val="center"/>
          </w:tcPr>
          <w:p w14:paraId="4F3AD7FE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4F6F94A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237CE60A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3F688D83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488C65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009D29C2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0DCB5F7A">
            <w:pPr>
              <w:jc w:val="both"/>
            </w:pPr>
          </w:p>
        </w:tc>
        <w:tc>
          <w:tcPr>
            <w:tcW w:w="1044" w:type="dxa"/>
            <w:vAlign w:val="center"/>
          </w:tcPr>
          <w:p w14:paraId="633CE534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开发利用</w:t>
            </w:r>
          </w:p>
        </w:tc>
        <w:tc>
          <w:tcPr>
            <w:tcW w:w="2638" w:type="dxa"/>
            <w:vAlign w:val="center"/>
          </w:tcPr>
          <w:p w14:paraId="580C62AF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推动矿山规模化、智能化、绿色化转型，明确大中型矿山占比、利用效率提升幅度、精深加工产值占比、开采总量控制等指标。</w:t>
            </w:r>
          </w:p>
        </w:tc>
        <w:tc>
          <w:tcPr>
            <w:tcW w:w="1162" w:type="dxa"/>
            <w:vAlign w:val="center"/>
          </w:tcPr>
          <w:p w14:paraId="16148A82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6B65C9B5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62D40DF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21D93D67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5AD54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5A7E0977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2DF6114C">
            <w:pPr>
              <w:jc w:val="both"/>
            </w:pPr>
          </w:p>
        </w:tc>
        <w:tc>
          <w:tcPr>
            <w:tcW w:w="1044" w:type="dxa"/>
            <w:vAlign w:val="center"/>
          </w:tcPr>
          <w:p w14:paraId="2D7719E9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保护管控</w:t>
            </w:r>
          </w:p>
        </w:tc>
        <w:tc>
          <w:tcPr>
            <w:tcW w:w="2638" w:type="dxa"/>
            <w:vAlign w:val="center"/>
          </w:tcPr>
          <w:p w14:paraId="18FB9D7A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坚守生态底线，明确保护区面积占比、生态敏感区管控比例、战略储备规模、规划执行率等指标。</w:t>
            </w:r>
          </w:p>
        </w:tc>
        <w:tc>
          <w:tcPr>
            <w:tcW w:w="1162" w:type="dxa"/>
            <w:vAlign w:val="center"/>
          </w:tcPr>
          <w:p w14:paraId="1BB9D446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1D6A7283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7ED1A76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30E4E8E2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06E60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vAlign w:val="center"/>
          </w:tcPr>
          <w:p w14:paraId="008A5EB2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3</w:t>
            </w:r>
          </w:p>
        </w:tc>
        <w:tc>
          <w:tcPr>
            <w:tcW w:w="1492" w:type="dxa"/>
            <w:vMerge w:val="restart"/>
            <w:vAlign w:val="center"/>
          </w:tcPr>
          <w:p w14:paraId="46278F85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地质勘查总体安排</w:t>
            </w:r>
          </w:p>
        </w:tc>
        <w:tc>
          <w:tcPr>
            <w:tcW w:w="1044" w:type="dxa"/>
            <w:vAlign w:val="center"/>
          </w:tcPr>
          <w:p w14:paraId="5C6EB6B2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勘查区域布局</w:t>
            </w:r>
          </w:p>
        </w:tc>
        <w:tc>
          <w:tcPr>
            <w:tcW w:w="2638" w:type="dxa"/>
            <w:vAlign w:val="center"/>
          </w:tcPr>
          <w:p w14:paraId="7BA1DEE8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科学划定重点勘查区、限制勘查区、禁止勘查区。重点勘查区聚焦优势矿产富集区、资源潜力较大空白区，明确勘查矿种、阶段及实施优先级；限制勘查区划定于生态敏感区外围、资源禀赋一般区域，严格管控勘查强度与技术方式；禁止勘查区严格落实生态保护红线、永久基本农田等刚性约束，严禁开展任何破坏性勘查活动。</w:t>
            </w:r>
          </w:p>
        </w:tc>
        <w:tc>
          <w:tcPr>
            <w:tcW w:w="1162" w:type="dxa"/>
            <w:vAlign w:val="center"/>
          </w:tcPr>
          <w:p w14:paraId="49720021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620CD8F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4AF6D53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6995C5B8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DE615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04EBB1F6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6A95202D">
            <w:pPr>
              <w:jc w:val="both"/>
            </w:pPr>
          </w:p>
        </w:tc>
        <w:tc>
          <w:tcPr>
            <w:tcW w:w="1044" w:type="dxa"/>
            <w:vAlign w:val="center"/>
          </w:tcPr>
          <w:p w14:paraId="0E602C9A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勘查矿种部署</w:t>
            </w:r>
          </w:p>
        </w:tc>
        <w:tc>
          <w:tcPr>
            <w:tcW w:w="2638" w:type="dxa"/>
            <w:vAlign w:val="center"/>
          </w:tcPr>
          <w:p w14:paraId="298572EA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优先保障战略性矿产（钒、萤石等）和区域优势矿产（钼、金等）勘查，兼顾紧缺矿产补充勘查；明确各矿种勘查重点任务，如钒矿聚焦深部及外围找矿、金矿强化整装勘查、萤石矿注重共伴生资源综合勘查。</w:t>
            </w:r>
          </w:p>
        </w:tc>
        <w:tc>
          <w:tcPr>
            <w:tcW w:w="1162" w:type="dxa"/>
            <w:vAlign w:val="center"/>
          </w:tcPr>
          <w:p w14:paraId="075FAB14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4433E7B5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5A87D67B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2F7C0C1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FBAD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78E75931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670B776D">
            <w:pPr>
              <w:jc w:val="both"/>
            </w:pPr>
          </w:p>
        </w:tc>
        <w:tc>
          <w:tcPr>
            <w:tcW w:w="1044" w:type="dxa"/>
            <w:vAlign w:val="center"/>
          </w:tcPr>
          <w:p w14:paraId="36C930D4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勘查方式与技术要求</w:t>
            </w:r>
          </w:p>
        </w:tc>
        <w:tc>
          <w:tcPr>
            <w:tcW w:w="2638" w:type="dxa"/>
            <w:vAlign w:val="center"/>
          </w:tcPr>
          <w:p w14:paraId="7D7A220D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推广无人机遥感、物探化探结合、环保型勘查设备等绿色勘查技术，最大限度减少生态扰动；规范勘查工作流程，明确勘查报告编制标准、储量评审备案要求；统筹公益性与商业性勘查，引导社会资本参与重点勘查区项目，强化财政资金对公益性、基础性勘查的保障作用。</w:t>
            </w:r>
          </w:p>
        </w:tc>
        <w:tc>
          <w:tcPr>
            <w:tcW w:w="1162" w:type="dxa"/>
            <w:vAlign w:val="center"/>
          </w:tcPr>
          <w:p w14:paraId="72D4761B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4B7728A0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2A18017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3F05612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65E6DA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7182BE18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47A0CB76">
            <w:pPr>
              <w:jc w:val="both"/>
            </w:pPr>
          </w:p>
        </w:tc>
        <w:tc>
          <w:tcPr>
            <w:tcW w:w="1044" w:type="dxa"/>
            <w:vAlign w:val="center"/>
          </w:tcPr>
          <w:p w14:paraId="2D6A121B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勘查成果管理</w:t>
            </w:r>
          </w:p>
        </w:tc>
        <w:tc>
          <w:tcPr>
            <w:tcW w:w="2638" w:type="dxa"/>
            <w:vAlign w:val="center"/>
          </w:tcPr>
          <w:p w14:paraId="646B4A40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建立勘查成果动态更新机制，整合勘查数据纳入市级矿产资源数据库，实现数据共享；明确勘查成果转化路径，推动勘查成果与矿山开发、产业发展规划有效衔接。</w:t>
            </w:r>
          </w:p>
        </w:tc>
        <w:tc>
          <w:tcPr>
            <w:tcW w:w="1162" w:type="dxa"/>
            <w:vAlign w:val="center"/>
          </w:tcPr>
          <w:p w14:paraId="076F6E62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153031C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58B13653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48E8C236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30B2F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vAlign w:val="center"/>
          </w:tcPr>
          <w:p w14:paraId="52F29449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4</w:t>
            </w:r>
          </w:p>
        </w:tc>
        <w:tc>
          <w:tcPr>
            <w:tcW w:w="1492" w:type="dxa"/>
            <w:vMerge w:val="restart"/>
            <w:vAlign w:val="center"/>
          </w:tcPr>
          <w:p w14:paraId="24C27D1C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矿产资源开发利用方向和总量调控</w:t>
            </w:r>
          </w:p>
        </w:tc>
        <w:tc>
          <w:tcPr>
            <w:tcW w:w="1044" w:type="dxa"/>
            <w:vAlign w:val="center"/>
          </w:tcPr>
          <w:p w14:paraId="05EBD708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发展方向</w:t>
            </w:r>
          </w:p>
        </w:tc>
        <w:tc>
          <w:tcPr>
            <w:tcW w:w="2638" w:type="dxa"/>
            <w:vAlign w:val="center"/>
          </w:tcPr>
          <w:p w14:paraId="549BA865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推动优势矿产精深加工，发展绿色智能矿山，淘汰落后产能，培育规模化龙头企业。</w:t>
            </w:r>
          </w:p>
        </w:tc>
        <w:tc>
          <w:tcPr>
            <w:tcW w:w="1162" w:type="dxa"/>
            <w:vAlign w:val="center"/>
          </w:tcPr>
          <w:p w14:paraId="61107607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4B5D774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1FB53792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20E7E65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35FE7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340B7BE4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70290C76">
            <w:pPr>
              <w:jc w:val="both"/>
            </w:pPr>
          </w:p>
        </w:tc>
        <w:tc>
          <w:tcPr>
            <w:tcW w:w="1044" w:type="dxa"/>
            <w:vAlign w:val="center"/>
          </w:tcPr>
          <w:p w14:paraId="64FD0B38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总量调控</w:t>
            </w:r>
          </w:p>
        </w:tc>
        <w:tc>
          <w:tcPr>
            <w:tcW w:w="2638" w:type="dxa"/>
            <w:vAlign w:val="center"/>
          </w:tcPr>
          <w:p w14:paraId="5A7390DA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依据资源储量、市场需求及生态承载力，制定主要矿产开采总量控制指标，实行年度分解与动态调整。</w:t>
            </w:r>
          </w:p>
        </w:tc>
        <w:tc>
          <w:tcPr>
            <w:tcW w:w="1162" w:type="dxa"/>
            <w:vAlign w:val="center"/>
          </w:tcPr>
          <w:p w14:paraId="45BADFA1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7EDC801B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3DA063E8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11ED0805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E08A6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vAlign w:val="center"/>
          </w:tcPr>
          <w:p w14:paraId="0A6E242B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5</w:t>
            </w:r>
          </w:p>
        </w:tc>
        <w:tc>
          <w:tcPr>
            <w:tcW w:w="1492" w:type="dxa"/>
            <w:vMerge w:val="restart"/>
            <w:vAlign w:val="center"/>
          </w:tcPr>
          <w:p w14:paraId="52494892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矿产资源勘查、开发、保护与储备的规划分区和结构调整</w:t>
            </w:r>
          </w:p>
        </w:tc>
        <w:tc>
          <w:tcPr>
            <w:tcW w:w="1044" w:type="dxa"/>
            <w:vAlign w:val="center"/>
          </w:tcPr>
          <w:p w14:paraId="564E0E94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规划分区优化</w:t>
            </w:r>
          </w:p>
        </w:tc>
        <w:tc>
          <w:tcPr>
            <w:tcW w:w="2638" w:type="dxa"/>
            <w:vAlign w:val="center"/>
          </w:tcPr>
          <w:p w14:paraId="1D45D4E4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整合形成 “勘查 - 开发 - 保护 - 储备” 一体化空间布局，明确各分区功能定位。重点开发区聚焦规模化、绿色化开发，配套建设精深加工园区；保护储备区实行严格管控，仅开展保护与监测工作，预留未来发展空间；生态修复区重点推进历史遗留矿山治理，暂缓新的开发活动。</w:t>
            </w:r>
          </w:p>
        </w:tc>
        <w:tc>
          <w:tcPr>
            <w:tcW w:w="1162" w:type="dxa"/>
            <w:vAlign w:val="center"/>
          </w:tcPr>
          <w:p w14:paraId="60BAF72B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379F596D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6037E7B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18C1CFC3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21F37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16AD77B0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567BB148">
            <w:pPr>
              <w:jc w:val="both"/>
            </w:pPr>
          </w:p>
        </w:tc>
        <w:tc>
          <w:tcPr>
            <w:tcW w:w="1044" w:type="dxa"/>
            <w:vAlign w:val="center"/>
          </w:tcPr>
          <w:p w14:paraId="196AB858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开发布局调整</w:t>
            </w:r>
          </w:p>
        </w:tc>
        <w:tc>
          <w:tcPr>
            <w:tcW w:w="2638" w:type="dxa"/>
            <w:vAlign w:val="center"/>
          </w:tcPr>
          <w:p w14:paraId="1B790967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优化矿山空间布局，推动矿山向资源富集区、产业园区集聚，减少 “小散乱” 矿山对生态环境的碎片化影响；统筹矿山布局与城镇发展、交通干线、生态保护区域的空间协调，避免各类空间冲突。</w:t>
            </w:r>
          </w:p>
        </w:tc>
        <w:tc>
          <w:tcPr>
            <w:tcW w:w="1162" w:type="dxa"/>
            <w:vAlign w:val="center"/>
          </w:tcPr>
          <w:p w14:paraId="08CB09F5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74B4B4DA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7760DC4A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04958B5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DD357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4C8A0F75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23510083">
            <w:pPr>
              <w:jc w:val="both"/>
            </w:pPr>
          </w:p>
        </w:tc>
        <w:tc>
          <w:tcPr>
            <w:tcW w:w="1044" w:type="dxa"/>
            <w:vAlign w:val="center"/>
          </w:tcPr>
          <w:p w14:paraId="08ABDA72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结构调整任务</w:t>
            </w:r>
          </w:p>
        </w:tc>
        <w:tc>
          <w:tcPr>
            <w:tcW w:w="2638" w:type="dxa"/>
            <w:vAlign w:val="center"/>
          </w:tcPr>
          <w:p w14:paraId="0671E4F5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规模结构调整，通过兼并重组、淘汰落后产能，提升大中型矿山占比，形成 “大中小协调、规模化为主” 的格局；产品结构调整，降低原矿输出比例，提高精深加工产品占比，推动产业升级；技术结构调整，推广高效开采、选矿、综合利用技术，淘汰高耗水、高耗能、高污染落后技术与设备；投资结构调整，引导资金向绿色开采、精深加工、生态修复领域倾斜。</w:t>
            </w:r>
          </w:p>
        </w:tc>
        <w:tc>
          <w:tcPr>
            <w:tcW w:w="1162" w:type="dxa"/>
            <w:vAlign w:val="center"/>
          </w:tcPr>
          <w:p w14:paraId="20133931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351BBA1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6B591CB6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243E86A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42D1DA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1276A7ED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70C67A6D">
            <w:pPr>
              <w:jc w:val="both"/>
            </w:pPr>
          </w:p>
        </w:tc>
        <w:tc>
          <w:tcPr>
            <w:tcW w:w="1044" w:type="dxa"/>
            <w:vAlign w:val="center"/>
          </w:tcPr>
          <w:p w14:paraId="65CD7901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储备体系建设</w:t>
            </w:r>
          </w:p>
        </w:tc>
        <w:tc>
          <w:tcPr>
            <w:tcW w:w="2638" w:type="dxa"/>
            <w:vAlign w:val="center"/>
          </w:tcPr>
          <w:p w14:paraId="053E4667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划定战略性矿产资源储备区，明确储备矿产地、储备规模及原生矿储备、成品矿储备等方式；建立储备资源动态管理机制，制定动用预案，保障应急供应；鼓励企业建立商业储备，落实相应政策支持。</w:t>
            </w:r>
          </w:p>
        </w:tc>
        <w:tc>
          <w:tcPr>
            <w:tcW w:w="1162" w:type="dxa"/>
            <w:vAlign w:val="center"/>
          </w:tcPr>
          <w:p w14:paraId="29C99F80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0A384760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3ED255DB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217CF05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AE8ED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vAlign w:val="center"/>
          </w:tcPr>
          <w:p w14:paraId="0B6771A7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6</w:t>
            </w:r>
          </w:p>
        </w:tc>
        <w:tc>
          <w:tcPr>
            <w:tcW w:w="1492" w:type="dxa"/>
            <w:vMerge w:val="restart"/>
            <w:vAlign w:val="center"/>
          </w:tcPr>
          <w:p w14:paraId="124409A3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矿产资源节约与综合利用的目标、安排和措施</w:t>
            </w:r>
          </w:p>
        </w:tc>
        <w:tc>
          <w:tcPr>
            <w:tcW w:w="1044" w:type="dxa"/>
            <w:vAlign w:val="center"/>
          </w:tcPr>
          <w:p w14:paraId="20FA3403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核心目标</w:t>
            </w:r>
          </w:p>
        </w:tc>
        <w:tc>
          <w:tcPr>
            <w:tcW w:w="2638" w:type="dxa"/>
            <w:vAlign w:val="center"/>
          </w:tcPr>
          <w:p w14:paraId="05888C92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主要矿产资源综合利用率较 “十四五” 末稳步提升，共伴生矿产综合回收率达到行业先进水平；尾矿、煤矸石等固体废弃物综合利用率显著提高，矿山水资源循环利用率持续优化；建立健全资源节约与综合利用标准体系和激励约束机制。</w:t>
            </w:r>
          </w:p>
        </w:tc>
        <w:tc>
          <w:tcPr>
            <w:tcW w:w="1162" w:type="dxa"/>
            <w:vAlign w:val="center"/>
          </w:tcPr>
          <w:p w14:paraId="08A40B43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26E4A286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268B918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3BEF040B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82FF6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028411BF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416AA35F">
            <w:pPr>
              <w:jc w:val="both"/>
            </w:pPr>
          </w:p>
        </w:tc>
        <w:tc>
          <w:tcPr>
            <w:tcW w:w="1044" w:type="dxa"/>
            <w:vAlign w:val="center"/>
          </w:tcPr>
          <w:p w14:paraId="67A26230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重点安排</w:t>
            </w:r>
          </w:p>
        </w:tc>
        <w:tc>
          <w:tcPr>
            <w:tcW w:w="2638" w:type="dxa"/>
            <w:vAlign w:val="center"/>
          </w:tcPr>
          <w:p w14:paraId="1A0E46DA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聚焦钼矿共伴生钨、铜，金矿共伴生银、铅锌等资源，制定专项综合利用方案；推进尾矿资源再利用，支持尾矿有价元素提取、建筑材料生产、采空区回填等项目；遴选示范矿山，建设资源节约与综合利用示范工程，推广先进技术与模式。</w:t>
            </w:r>
          </w:p>
        </w:tc>
        <w:tc>
          <w:tcPr>
            <w:tcW w:w="1162" w:type="dxa"/>
            <w:vAlign w:val="center"/>
          </w:tcPr>
          <w:p w14:paraId="06C31CAA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597AF395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524668A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00CC75E3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62542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34BD45B8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3B6D6B40">
            <w:pPr>
              <w:jc w:val="both"/>
            </w:pPr>
          </w:p>
        </w:tc>
        <w:tc>
          <w:tcPr>
            <w:tcW w:w="1044" w:type="dxa"/>
            <w:vAlign w:val="center"/>
          </w:tcPr>
          <w:p w14:paraId="67037C9B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保障措施</w:t>
            </w:r>
          </w:p>
        </w:tc>
        <w:tc>
          <w:tcPr>
            <w:tcW w:w="2638" w:type="dxa"/>
            <w:vAlign w:val="center"/>
          </w:tcPr>
          <w:p w14:paraId="35685B7C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制定资源节约与综合利用技术推广目录，鼓励企业引进、研发高效利用技术；建立激励机制，对综合利用率达标的企业给予税收优惠、资金补贴；强化监管考核，将相关指标纳入矿山企业年度考核，对未达标企业限期整改；完善主要矿产节约与综合利用技术标准和评价方法。</w:t>
            </w:r>
          </w:p>
        </w:tc>
        <w:tc>
          <w:tcPr>
            <w:tcW w:w="1162" w:type="dxa"/>
            <w:vAlign w:val="center"/>
          </w:tcPr>
          <w:p w14:paraId="6117D445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6053378D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5BF567AF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22A8489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9CC13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vAlign w:val="center"/>
          </w:tcPr>
          <w:p w14:paraId="4318D0FB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7</w:t>
            </w:r>
          </w:p>
        </w:tc>
        <w:tc>
          <w:tcPr>
            <w:tcW w:w="1492" w:type="dxa"/>
            <w:vMerge w:val="restart"/>
            <w:vAlign w:val="center"/>
          </w:tcPr>
          <w:p w14:paraId="16362E1F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矿山地质环境保护与治理恢复、矿区土地复垦的总体安排</w:t>
            </w:r>
          </w:p>
        </w:tc>
        <w:tc>
          <w:tcPr>
            <w:tcW w:w="1044" w:type="dxa"/>
            <w:vAlign w:val="center"/>
          </w:tcPr>
          <w:p w14:paraId="61EA6BA2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总体目标</w:t>
            </w:r>
          </w:p>
        </w:tc>
        <w:tc>
          <w:tcPr>
            <w:tcW w:w="2638" w:type="dxa"/>
            <w:vAlign w:val="center"/>
          </w:tcPr>
          <w:p w14:paraId="1468F86B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矿山地质环境治理恢复率、矿区土地复垦率稳步提升，历史遗留矿山治理率达到省级要求；新增矿山地质环境问题及时管控，建立 “开发 - 保护 - 治理” 一体化长效机制，实现矿山生态环境持续改善。</w:t>
            </w:r>
          </w:p>
        </w:tc>
        <w:tc>
          <w:tcPr>
            <w:tcW w:w="1162" w:type="dxa"/>
            <w:vAlign w:val="center"/>
          </w:tcPr>
          <w:p w14:paraId="4105139E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3E00AB07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3530BE7D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162606DC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60C7F1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260141E7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7F19AA82">
            <w:pPr>
              <w:jc w:val="both"/>
            </w:pPr>
          </w:p>
        </w:tc>
        <w:tc>
          <w:tcPr>
            <w:tcW w:w="1044" w:type="dxa"/>
            <w:vAlign w:val="center"/>
          </w:tcPr>
          <w:p w14:paraId="01CF83EE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地质环境保护</w:t>
            </w:r>
          </w:p>
        </w:tc>
        <w:tc>
          <w:tcPr>
            <w:tcW w:w="2638" w:type="dxa"/>
            <w:vAlign w:val="center"/>
          </w:tcPr>
          <w:p w14:paraId="5D13A2FB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严格执行矿山地质环境影响评价制度，新建矿山配套建设环境保护设施，落实 “三同时” 制度；强化生产矿山日常监管，规范废水、废气、废渣排放，防范水土流失、滑坡、塌陷等地质灾害；建立矿山地质环境动态监测网络，运用遥感、物联网等技术实现实时监测。</w:t>
            </w:r>
          </w:p>
        </w:tc>
        <w:tc>
          <w:tcPr>
            <w:tcW w:w="1162" w:type="dxa"/>
            <w:vAlign w:val="center"/>
          </w:tcPr>
          <w:p w14:paraId="48AF7EA4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3298F96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1C083D1A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0D993688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480260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3EDFC4B9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3F23922B">
            <w:pPr>
              <w:jc w:val="both"/>
            </w:pPr>
          </w:p>
        </w:tc>
        <w:tc>
          <w:tcPr>
            <w:tcW w:w="1044" w:type="dxa"/>
            <w:vAlign w:val="center"/>
          </w:tcPr>
          <w:p w14:paraId="4CAAE161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治理恢复重点任务</w:t>
            </w:r>
          </w:p>
        </w:tc>
        <w:tc>
          <w:tcPr>
            <w:tcW w:w="2638" w:type="dxa"/>
            <w:vAlign w:val="center"/>
          </w:tcPr>
          <w:p w14:paraId="534D5449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分类推进历史遗留矿山和生产矿山治理。历史遗留矿山聚焦无主矿山、关闭矿山的地质环境问题，优先治理生态敏感区、交通干线沿线、城镇周边矿山，采取削坡减载、植被恢复、土壤改良等措施；生产矿山落实 “边开采、边治理” 要求，明确治理责任与时限，治理费用列入生产成本；重点治理矿山采空区、塌陷区、尾矿库、排土场等关键区域。</w:t>
            </w:r>
          </w:p>
        </w:tc>
        <w:tc>
          <w:tcPr>
            <w:tcW w:w="1162" w:type="dxa"/>
            <w:vAlign w:val="center"/>
          </w:tcPr>
          <w:p w14:paraId="4EA2ADD8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7357A40B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2056FD73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0B308BF0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CE305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25ADF782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25E6192E">
            <w:pPr>
              <w:jc w:val="both"/>
            </w:pPr>
          </w:p>
        </w:tc>
        <w:tc>
          <w:tcPr>
            <w:tcW w:w="1044" w:type="dxa"/>
            <w:vAlign w:val="center"/>
          </w:tcPr>
          <w:p w14:paraId="60BC080D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矿区土地复垦</w:t>
            </w:r>
          </w:p>
        </w:tc>
        <w:tc>
          <w:tcPr>
            <w:tcW w:w="2638" w:type="dxa"/>
            <w:vAlign w:val="center"/>
          </w:tcPr>
          <w:p w14:paraId="213D5ED0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制定专项规划，明确复垦目标、范围、措施及时限；根据土地损毁类型（挖损、压占、污染）采取针对性复垦技术，优先复垦为耕地、林地、草地等生态用地；建立复垦质量验收标准，强化后期管护，确保复垦土地可持续利用；落实土地复垦义务人责任，建立复垦资金预存制度。</w:t>
            </w:r>
          </w:p>
        </w:tc>
        <w:tc>
          <w:tcPr>
            <w:tcW w:w="1162" w:type="dxa"/>
            <w:vAlign w:val="center"/>
          </w:tcPr>
          <w:p w14:paraId="61A1FA27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3E668EEF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4D36BC4D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1B02CB9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0901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  <w:vAlign w:val="center"/>
          </w:tcPr>
          <w:p w14:paraId="49CBD7CE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8</w:t>
            </w:r>
          </w:p>
        </w:tc>
        <w:tc>
          <w:tcPr>
            <w:tcW w:w="1492" w:type="dxa"/>
            <w:vMerge w:val="restart"/>
            <w:vAlign w:val="center"/>
          </w:tcPr>
          <w:p w14:paraId="71FF65B9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重大工程安排</w:t>
            </w:r>
          </w:p>
        </w:tc>
        <w:tc>
          <w:tcPr>
            <w:tcW w:w="1044" w:type="dxa"/>
            <w:vAlign w:val="center"/>
          </w:tcPr>
          <w:p w14:paraId="750AE94A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优势矿产增储保供工程</w:t>
            </w:r>
          </w:p>
        </w:tc>
        <w:tc>
          <w:tcPr>
            <w:tcW w:w="2638" w:type="dxa"/>
            <w:vAlign w:val="center"/>
          </w:tcPr>
          <w:p w14:paraId="0FACB5CF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实施重点勘查区整装勘查项目，力争新增一批优势矿产资源储量；推进大型矿山深部及外围找矿工程，延长矿山服务年限；建设战略性矿产资源储备工程，划定储备矿产地并落实储备任务。</w:t>
            </w:r>
          </w:p>
        </w:tc>
        <w:tc>
          <w:tcPr>
            <w:tcW w:w="1162" w:type="dxa"/>
            <w:vAlign w:val="center"/>
          </w:tcPr>
          <w:p w14:paraId="380ED00E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36E155B3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5417A57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428DDDF3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92641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41C4F166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74D9BE78">
            <w:pPr>
              <w:jc w:val="both"/>
            </w:pPr>
          </w:p>
        </w:tc>
        <w:tc>
          <w:tcPr>
            <w:tcW w:w="1044" w:type="dxa"/>
            <w:vAlign w:val="center"/>
          </w:tcPr>
          <w:p w14:paraId="1E2DE302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绿色矿业发展示范工程</w:t>
            </w:r>
          </w:p>
        </w:tc>
        <w:tc>
          <w:tcPr>
            <w:tcW w:w="2638" w:type="dxa"/>
            <w:vAlign w:val="center"/>
          </w:tcPr>
          <w:p w14:paraId="0536FCDE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建设绿色矿山示范项目，推广智能开采、无废生产、生态修复一体化技术；打造矿产资源精深加工示范园区，推动优势矿产产业链延伸；实施矿山数字化转型工程，建设智慧监管平台，实现开采、加工、环保全流程数字化管控。</w:t>
            </w:r>
          </w:p>
        </w:tc>
        <w:tc>
          <w:tcPr>
            <w:tcW w:w="1162" w:type="dxa"/>
            <w:vAlign w:val="center"/>
          </w:tcPr>
          <w:p w14:paraId="5DBACAC4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4E095C06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11CDCFD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249A9362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06B74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4132B27B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5B26C3A3">
            <w:pPr>
              <w:jc w:val="both"/>
            </w:pPr>
          </w:p>
        </w:tc>
        <w:tc>
          <w:tcPr>
            <w:tcW w:w="1044" w:type="dxa"/>
            <w:vAlign w:val="center"/>
          </w:tcPr>
          <w:p w14:paraId="36492951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资源节约与综合利用工程</w:t>
            </w:r>
          </w:p>
        </w:tc>
        <w:tc>
          <w:tcPr>
            <w:tcW w:w="2638" w:type="dxa"/>
            <w:vAlign w:val="center"/>
          </w:tcPr>
          <w:p w14:paraId="13A21C2E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开展共伴生矿产综合利用示范项目、尾矿资源再利用示范工程；实施高效选矿技术改造工程，支持现有矿山升级改造；建设固体废弃物综合利用基地，集中处理区域内矿山尾矿、煤矸石等废弃物。</w:t>
            </w:r>
          </w:p>
        </w:tc>
        <w:tc>
          <w:tcPr>
            <w:tcW w:w="1162" w:type="dxa"/>
            <w:vAlign w:val="center"/>
          </w:tcPr>
          <w:p w14:paraId="7701EF7C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4D03AF2E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77C7BE9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347AA8AC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7972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75EBD76B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4B9DF58B">
            <w:pPr>
              <w:jc w:val="both"/>
            </w:pPr>
          </w:p>
        </w:tc>
        <w:tc>
          <w:tcPr>
            <w:tcW w:w="1044" w:type="dxa"/>
            <w:vAlign w:val="center"/>
          </w:tcPr>
          <w:p w14:paraId="3FA5661C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矿山生态保护修复工程</w:t>
            </w:r>
          </w:p>
        </w:tc>
        <w:tc>
          <w:tcPr>
            <w:tcW w:w="2638" w:type="dxa"/>
            <w:vAlign w:val="center"/>
          </w:tcPr>
          <w:p w14:paraId="6E478A2C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实施历史遗留矿山生态修复专项工程，重点治理生态敏感区、交通干线沿线矿山；开展生产矿山 “边开采、边治理” 示范工程，打造生态修复样板；推进矿区土地复垦示范项目，探索不同损毁类型土地的复垦技术模式。</w:t>
            </w:r>
          </w:p>
        </w:tc>
        <w:tc>
          <w:tcPr>
            <w:tcW w:w="1162" w:type="dxa"/>
            <w:vAlign w:val="center"/>
          </w:tcPr>
          <w:p w14:paraId="01D4AA9E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330D2072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75C92A4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3394FF2C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299BB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6C58D13E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6FEB054B">
            <w:pPr>
              <w:jc w:val="both"/>
            </w:pPr>
          </w:p>
        </w:tc>
        <w:tc>
          <w:tcPr>
            <w:tcW w:w="1044" w:type="dxa"/>
            <w:vAlign w:val="center"/>
          </w:tcPr>
          <w:p w14:paraId="6385A87F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规划实施保障工程</w:t>
            </w:r>
          </w:p>
        </w:tc>
        <w:tc>
          <w:tcPr>
            <w:tcW w:w="2638" w:type="dxa"/>
            <w:vAlign w:val="center"/>
          </w:tcPr>
          <w:p w14:paraId="6320FE54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建设市级矿产资源规划管理信息平台，整合勘查、开发、保护等数据，实现规划动态监测与评估；开展规划宣传培训，提升相关部门、矿山企业的规划执行力；建立规划实施评估与调整机制，定期开展成效评估，依法依规优化调整规划内容。</w:t>
            </w:r>
          </w:p>
        </w:tc>
        <w:tc>
          <w:tcPr>
            <w:tcW w:w="1162" w:type="dxa"/>
            <w:vAlign w:val="center"/>
          </w:tcPr>
          <w:p w14:paraId="332DF2DD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7县（区）</w:t>
            </w:r>
          </w:p>
        </w:tc>
        <w:tc>
          <w:tcPr>
            <w:tcW w:w="1025" w:type="dxa"/>
            <w:vAlign w:val="center"/>
          </w:tcPr>
          <w:p w14:paraId="54717E58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4E2628D4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4DDAEC58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87428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5434B49C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622829F4">
            <w:pPr>
              <w:jc w:val="both"/>
            </w:pPr>
          </w:p>
        </w:tc>
        <w:tc>
          <w:tcPr>
            <w:tcW w:w="1044" w:type="dxa"/>
            <w:vAlign w:val="center"/>
          </w:tcPr>
          <w:p w14:paraId="1BCFF9E0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市级数据库建设</w:t>
            </w:r>
          </w:p>
        </w:tc>
        <w:tc>
          <w:tcPr>
            <w:tcW w:w="2638" w:type="dxa"/>
            <w:vAlign w:val="center"/>
          </w:tcPr>
          <w:p w14:paraId="186E3857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按照矿产资源补充调查数据库建设要求，对各县区通过检查的调查成果进行汇总、编辑分析，建设市级矿产资源补充调查矢量数据库。</w:t>
            </w:r>
          </w:p>
        </w:tc>
        <w:tc>
          <w:tcPr>
            <w:tcW w:w="1162" w:type="dxa"/>
            <w:vAlign w:val="center"/>
          </w:tcPr>
          <w:p w14:paraId="2C4D5EC5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1项</w:t>
            </w:r>
          </w:p>
        </w:tc>
        <w:tc>
          <w:tcPr>
            <w:tcW w:w="1025" w:type="dxa"/>
            <w:vAlign w:val="center"/>
          </w:tcPr>
          <w:p w14:paraId="2AE26605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1EE38BDA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3340D3A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5D4A4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2F295D4C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2B043EFD">
            <w:pPr>
              <w:jc w:val="both"/>
            </w:pPr>
          </w:p>
        </w:tc>
        <w:tc>
          <w:tcPr>
            <w:tcW w:w="1044" w:type="dxa"/>
            <w:vAlign w:val="center"/>
          </w:tcPr>
          <w:p w14:paraId="5884CA6A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数据统计与汇总</w:t>
            </w:r>
          </w:p>
        </w:tc>
        <w:tc>
          <w:tcPr>
            <w:tcW w:w="2638" w:type="dxa"/>
            <w:vAlign w:val="center"/>
          </w:tcPr>
          <w:p w14:paraId="53FED4D7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统计各类表格和台账</w:t>
            </w:r>
          </w:p>
        </w:tc>
        <w:tc>
          <w:tcPr>
            <w:tcW w:w="1162" w:type="dxa"/>
            <w:vAlign w:val="center"/>
          </w:tcPr>
          <w:p w14:paraId="2817A115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1项</w:t>
            </w:r>
          </w:p>
        </w:tc>
        <w:tc>
          <w:tcPr>
            <w:tcW w:w="1025" w:type="dxa"/>
            <w:vAlign w:val="center"/>
          </w:tcPr>
          <w:p w14:paraId="44F27D3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25CB5380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0B3FF0C1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E9B04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0B8F1E8E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663BB6E9">
            <w:pPr>
              <w:jc w:val="both"/>
            </w:pPr>
          </w:p>
        </w:tc>
        <w:tc>
          <w:tcPr>
            <w:tcW w:w="1044" w:type="dxa"/>
            <w:vAlign w:val="center"/>
          </w:tcPr>
          <w:p w14:paraId="48CD9EAD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编写成果及打印</w:t>
            </w:r>
          </w:p>
        </w:tc>
        <w:tc>
          <w:tcPr>
            <w:tcW w:w="2638" w:type="dxa"/>
            <w:vAlign w:val="center"/>
          </w:tcPr>
          <w:p w14:paraId="029C4FCE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评审稿、终稿打印精装</w:t>
            </w:r>
          </w:p>
        </w:tc>
        <w:tc>
          <w:tcPr>
            <w:tcW w:w="1162" w:type="dxa"/>
            <w:vAlign w:val="center"/>
          </w:tcPr>
          <w:p w14:paraId="0DE23BA2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1项</w:t>
            </w:r>
          </w:p>
        </w:tc>
        <w:tc>
          <w:tcPr>
            <w:tcW w:w="1025" w:type="dxa"/>
            <w:vAlign w:val="center"/>
          </w:tcPr>
          <w:p w14:paraId="624841F0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1AD565AF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5DE8B6F9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371AE0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  <w:vAlign w:val="center"/>
          </w:tcPr>
          <w:p w14:paraId="2FA489C6">
            <w:pPr>
              <w:jc w:val="both"/>
            </w:pPr>
          </w:p>
        </w:tc>
        <w:tc>
          <w:tcPr>
            <w:tcW w:w="1492" w:type="dxa"/>
            <w:vMerge w:val="continue"/>
            <w:vAlign w:val="center"/>
          </w:tcPr>
          <w:p w14:paraId="0D2C370E">
            <w:pPr>
              <w:jc w:val="both"/>
            </w:pPr>
          </w:p>
        </w:tc>
        <w:tc>
          <w:tcPr>
            <w:tcW w:w="1044" w:type="dxa"/>
            <w:vAlign w:val="center"/>
          </w:tcPr>
          <w:p w14:paraId="2B17BF01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其他费用</w:t>
            </w:r>
          </w:p>
        </w:tc>
        <w:tc>
          <w:tcPr>
            <w:tcW w:w="2638" w:type="dxa"/>
            <w:vAlign w:val="center"/>
          </w:tcPr>
          <w:p w14:paraId="2204486A">
            <w:pPr>
              <w:pStyle w:val="8"/>
              <w:jc w:val="both"/>
            </w:pPr>
            <w:r>
              <w:rPr>
                <w:rFonts w:ascii="仿宋_GB2312" w:hAnsi="仿宋_GB2312" w:eastAsia="仿宋_GB2312" w:cs="仿宋_GB2312"/>
              </w:rPr>
              <w:t>项目招标代理服务费，邀请相关专家和部门参与召开会议以及评审产生的费用。（包含服务费、餐费、专家评审费、企业税金等）</w:t>
            </w:r>
          </w:p>
        </w:tc>
        <w:tc>
          <w:tcPr>
            <w:tcW w:w="1162" w:type="dxa"/>
            <w:vAlign w:val="center"/>
          </w:tcPr>
          <w:p w14:paraId="06081E40">
            <w:pPr>
              <w:pStyle w:val="8"/>
              <w:jc w:val="center"/>
            </w:pPr>
            <w:r>
              <w:rPr>
                <w:rFonts w:ascii="仿宋_GB2312" w:hAnsi="仿宋_GB2312" w:eastAsia="仿宋_GB2312" w:cs="仿宋_GB2312"/>
              </w:rPr>
              <w:t>1项</w:t>
            </w:r>
          </w:p>
        </w:tc>
        <w:tc>
          <w:tcPr>
            <w:tcW w:w="1025" w:type="dxa"/>
            <w:vAlign w:val="center"/>
          </w:tcPr>
          <w:p w14:paraId="17F1CB9D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338" w:type="dxa"/>
            <w:vAlign w:val="center"/>
          </w:tcPr>
          <w:p w14:paraId="76432ADD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50" w:type="dxa"/>
            <w:vAlign w:val="center"/>
          </w:tcPr>
          <w:p w14:paraId="66309F45">
            <w:pPr>
              <w:pStyle w:val="8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D366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7787" w:type="dxa"/>
            <w:gridSpan w:val="6"/>
            <w:vAlign w:val="center"/>
          </w:tcPr>
          <w:p w14:paraId="4AB37B6C">
            <w:pPr>
              <w:pStyle w:val="8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合       计</w:t>
            </w:r>
          </w:p>
        </w:tc>
        <w:tc>
          <w:tcPr>
            <w:tcW w:w="1338" w:type="dxa"/>
            <w:vAlign w:val="center"/>
          </w:tcPr>
          <w:p w14:paraId="4CB1498B">
            <w:pPr>
              <w:pStyle w:val="8"/>
              <w:jc w:val="center"/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950" w:type="dxa"/>
            <w:vAlign w:val="center"/>
          </w:tcPr>
          <w:p w14:paraId="12BAFD58">
            <w:pPr>
              <w:pStyle w:val="8"/>
              <w:tabs>
                <w:tab w:val="left" w:pos="597"/>
              </w:tabs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ab/>
            </w:r>
          </w:p>
        </w:tc>
      </w:tr>
      <w:tr w14:paraId="6B3DD8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0075" w:type="dxa"/>
            <w:gridSpan w:val="8"/>
            <w:shd w:val="clear" w:color="auto" w:fill="auto"/>
            <w:vAlign w:val="center"/>
          </w:tcPr>
          <w:p w14:paraId="2C7E8C69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注：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  <w:b/>
                <w:bCs/>
              </w:rPr>
              <w:t>以上未尽事宜按有关规范、规定及采购人要求执行。</w:t>
            </w:r>
          </w:p>
          <w:p w14:paraId="46D7EAEA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0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供应商须按本表的格式详细报出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总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报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价的各个组成部分的报价，否则作无效响应文件处理；报价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货币及单位为人民币/元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，精确到小数点后两位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各项内容报价为服务期内完成各项服务内容的全部费用。</w:t>
            </w:r>
          </w:p>
          <w:p w14:paraId="467DE6EA"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0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须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对所报相关内容的真实性负责，采购代理机构有权将相关内容进行公示，因弄虚作假导致的后果由供应商自行承担；</w:t>
            </w:r>
          </w:p>
          <w:p w14:paraId="43C0B15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40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4、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表格行数或空间不足时，供应商可自行扩展表格行或列，扩展部分须遵循本表原有格式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本表各分项报价合计金额（含扩展部分）应当与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报价表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b/>
                <w:bCs/>
              </w:rPr>
              <w:t>中总价一致，否则按无效响应处理。</w:t>
            </w:r>
          </w:p>
        </w:tc>
      </w:tr>
    </w:tbl>
    <w:p w14:paraId="1EC01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right="0" w:righ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2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4"/>
          <w:highlight w:val="none"/>
          <w:lang w:val="en-US" w:eastAsia="zh-CN"/>
        </w:rPr>
        <w:t xml:space="preserve">                                           </w:t>
      </w:r>
    </w:p>
    <w:p w14:paraId="06D8AF16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right="0" w:rightChars="0" w:firstLine="4840" w:firstLineChars="2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4"/>
          <w:highlight w:val="none"/>
          <w:u w:val="single"/>
          <w:lang w:val="en-US" w:eastAsia="zh-CN"/>
        </w:rPr>
        <w:t xml:space="preserve">  （供应商名称） 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4"/>
          <w:highlight w:val="none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4"/>
          <w:highlight w:val="none"/>
          <w:lang w:val="en-US" w:eastAsia="zh-CN"/>
        </w:rPr>
        <w:t>签章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4"/>
          <w:highlight w:val="none"/>
        </w:rPr>
        <w:t>）</w:t>
      </w:r>
    </w:p>
    <w:p w14:paraId="4DBE6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2"/>
          <w:highlight w:val="none"/>
          <w:lang w:val="en-US" w:eastAsia="zh-CN"/>
        </w:rPr>
      </w:pPr>
    </w:p>
    <w:p w14:paraId="088C2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right="0" w:rightChars="0" w:firstLine="4788" w:firstLineChars="21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2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2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2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2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2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2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2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 w:val="22"/>
          <w:szCs w:val="22"/>
          <w:highlight w:val="none"/>
          <w:u w:val="none"/>
          <w:lang w:val="en-US" w:eastAsia="zh-CN"/>
        </w:rPr>
        <w:t>）：</w:t>
      </w:r>
    </w:p>
    <w:p w14:paraId="1C3B8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2"/>
          <w:szCs w:val="24"/>
          <w:highlight w:val="none"/>
          <w:lang w:val="en-US" w:eastAsia="zh-CN"/>
        </w:rPr>
      </w:pPr>
    </w:p>
    <w:p w14:paraId="6626E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right="0" w:rightChars="0" w:firstLine="4840" w:firstLineChars="2200"/>
        <w:jc w:val="left"/>
        <w:textAlignment w:val="auto"/>
        <w:rPr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4"/>
          <w:highlight w:val="none"/>
        </w:rPr>
        <w:t>日    期：</w:t>
      </w:r>
    </w:p>
    <w:sectPr>
      <w:pgSz w:w="11906" w:h="16838"/>
      <w:pgMar w:top="1440" w:right="726" w:bottom="1440" w:left="89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B15FCC"/>
    <w:multiLevelType w:val="singleLevel"/>
    <w:tmpl w:val="8FB15FC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8B45B6"/>
    <w:rsid w:val="19B412DF"/>
    <w:rsid w:val="19EE47F1"/>
    <w:rsid w:val="1B944F25"/>
    <w:rsid w:val="27BF3329"/>
    <w:rsid w:val="35B73B18"/>
    <w:rsid w:val="42B31BBF"/>
    <w:rsid w:val="55DD6EED"/>
    <w:rsid w:val="58D2260D"/>
    <w:rsid w:val="61642270"/>
    <w:rsid w:val="688C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新宋体" w:hAnsi="新宋体" w:eastAsia="新宋体" w:cs="新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1"/>
      <w:szCs w:val="21"/>
    </w:rPr>
  </w:style>
  <w:style w:type="paragraph" w:styleId="3">
    <w:name w:val="footer"/>
    <w:basedOn w:val="1"/>
    <w:next w:val="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1"/>
    <w:pPr>
      <w:ind w:left="393" w:hanging="526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3530</Words>
  <Characters>3530</Characters>
  <Lines>0</Lines>
  <Paragraphs>0</Paragraphs>
  <TotalTime>18</TotalTime>
  <ScaleCrop>false</ScaleCrop>
  <LinksUpToDate>false</LinksUpToDate>
  <CharactersWithSpaces>3621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2026-01-19T14:02:00Z</dcterms:created>
  <dc:creator>Dell</dc:creator>
  <cp:lastModifiedBy>Dell</cp:lastModifiedBy>
  <dcterms:modified xsi:type="dcterms:W3CDTF">2026-01-20T03:01:45Z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eyJoZGlkIjoiOTE2Yzg4OTRjZTA3ZjJkNTc4ZDNiMjI1MDQ2OTc5MDkiLCJ1c2VySWQiOiI0MjU3NTgyNjMifQ==</vt:lpwstr>
  </property>
  <property fmtid="{D5CDD505-2E9C-101B-9397-08002B2CF9AE}" pid="4" name="ICV">
    <vt:lpwstr>E692A959106741C7B874FC3015987437_12</vt:lpwstr>
  </property>
</Properties>
</file>