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版本号：JZZBSL-【2026】-03.1B120260226001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商洛经开区东片区樊湾社区江滨大道北侧地块地震安全性评价（二次）(二次)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JZZBSL-【2026】-03.1B1</w:t>
      </w:r>
      <w:r>
        <w:br/>
      </w:r>
      <w:r>
        <w:br/>
      </w:r>
      <w:r>
        <w:br/>
      </w:r>
    </w:p>
    <w:p>
      <w:pPr>
        <w:pStyle w:val="null3"/>
        <w:jc w:val="center"/>
        <w:outlineLvl w:val="2"/>
      </w:pPr>
      <w:r>
        <w:rPr>
          <w:rFonts w:ascii="仿宋_GB2312" w:hAnsi="仿宋_GB2312" w:cs="仿宋_GB2312" w:eastAsia="仿宋_GB2312"/>
          <w:sz w:val="28"/>
          <w:b/>
        </w:rPr>
        <w:t>商洛经济技术开发区管理委员会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商洛经济技术开发区管理委员会</w:t>
      </w:r>
      <w:r>
        <w:rPr>
          <w:rFonts w:ascii="仿宋_GB2312" w:hAnsi="仿宋_GB2312" w:cs="仿宋_GB2312" w:eastAsia="仿宋_GB2312"/>
        </w:rPr>
        <w:t>委托，拟对</w:t>
      </w:r>
      <w:r>
        <w:rPr>
          <w:rFonts w:ascii="仿宋_GB2312" w:hAnsi="仿宋_GB2312" w:cs="仿宋_GB2312" w:eastAsia="仿宋_GB2312"/>
        </w:rPr>
        <w:t>商洛经开区东片区樊湾社区江滨大道北侧地块地震安全性评价（二次）(二次)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JZZBSL-【2026】-03.1B1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商洛经开区东片区樊湾社区江滨大道北侧地块地震安全性评价（二次）(二次)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经开区东片区樊湾社区江滨大道北侧地块位于煌朝玻璃项目对面，用地面积52.437亩，拟建制造产业园二期。根据标准地6＋N建设有关要求，需开展前期区域地震安全性评价工作，总费用39.6万元（含泰华制药公司东侧70余亩、邦友公司门前40余亩两地块地震安全评价工作及费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 2024 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3、税收缴纳证明：提供开标前半年内任意一月的纳税凭据或完税证明（任意税种），依法免税的应提供相关证明材料；</w:t>
      </w:r>
    </w:p>
    <w:p>
      <w:pPr>
        <w:pStyle w:val="null3"/>
      </w:pPr>
      <w:r>
        <w:rPr>
          <w:rFonts w:ascii="仿宋_GB2312" w:hAnsi="仿宋_GB2312" w:cs="仿宋_GB2312" w:eastAsia="仿宋_GB2312"/>
        </w:rPr>
        <w:t>4、社会保障资金缴纳证明：提供开标前半年内任意一月的社会保障资金缴存单据或 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8、信用记录：不得为“信用中国”网站 (ww.creditchina.gov.cn) 或“中国执行信息公开网”网站(http://zxgk.cour t.gov.cn/shixin/) 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商洛经济技术开发区管理委员会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商洛市洛南县城关街道办城北社区58号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商洛经济技术开发区管理委员会经办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0914-3208512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商洛市市环保局对面金泽盛业三楼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13488306622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商洛经开区财政金融局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刘芳华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0914-2091124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 管理暂行办法》（计价格〔2002〕1980 号）、国家发展和改 革委员会办公厅颁发的《关于招标代理服务收费有关问题的通 知》（发改办价格〔2003〕857 号）标准收取。 2.由中标人承担招标代理服务费，中标单位在领取中标通知书前，须向采购代理机构一次性支付招标代理服务费。 开户名称：陕西金泽盛业项目管理有限公司商洛分公司 开户银行：西安银行股份有限公司商洛分行 账 号：751011580000014275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商洛经济技术开发区管理委员会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商洛经济技术开发区管理委员会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商洛经济技术开发区管理委员会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联系人：刘维</w:t>
      </w:r>
    </w:p>
    <w:p>
      <w:pPr>
        <w:pStyle w:val="null3"/>
      </w:pPr>
      <w:r>
        <w:rPr>
          <w:rFonts w:ascii="仿宋_GB2312" w:hAnsi="仿宋_GB2312" w:cs="仿宋_GB2312" w:eastAsia="仿宋_GB2312"/>
        </w:rPr>
        <w:t>联系电话：1348806622</w:t>
      </w:r>
    </w:p>
    <w:p>
      <w:pPr>
        <w:pStyle w:val="null3"/>
      </w:pPr>
      <w:r>
        <w:rPr>
          <w:rFonts w:ascii="仿宋_GB2312" w:hAnsi="仿宋_GB2312" w:cs="仿宋_GB2312" w:eastAsia="仿宋_GB2312"/>
        </w:rPr>
        <w:t>地址：商洛市市环保局对面金泽盛业三楼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经开区东片区樊湾社区江滨大道北侧地块位于煌朝玻璃项目对面，用地面积52.437亩，拟建制造产业园二期。根据标准地6＋N建设有关要求，需开展前期区域地震安全性评价工作，总费用39.6万元（含泰华制药公司东侧70余亩、邦友公司门前40余亩两地块地震安全评价工作及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396,000.00</w:t>
      </w:r>
    </w:p>
    <w:p>
      <w:pPr>
        <w:pStyle w:val="null3"/>
      </w:pPr>
      <w:r>
        <w:rPr>
          <w:rFonts w:ascii="仿宋_GB2312" w:hAnsi="仿宋_GB2312" w:cs="仿宋_GB2312" w:eastAsia="仿宋_GB2312"/>
        </w:rPr>
        <w:t>采购包最高限价（元）: 396,000.00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396000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标的名称：396000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商洛经开区东片区樊湾社区江滨大道北侧地块位于煌朝玻璃项目对面，用地面积</w:t>
            </w:r>
            <w:r>
              <w:rPr>
                <w:rFonts w:ascii="仿宋_GB2312" w:hAnsi="仿宋_GB2312" w:cs="仿宋_GB2312" w:eastAsia="仿宋_GB2312"/>
                <w:sz w:val="21"/>
              </w:rPr>
              <w:t>52.437亩，拟建制造产业园二期。根据标准地6＋N建设有关要求，需开展前期区域地震安全性评价工作，总费用39.6万元（含泰华制药公司东侧70余亩、邦友公司门前40余亩两地块地震安全评价工作及费用）。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符合国家行业及现行技术规范与标准，并通过专家组技术审查。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递交详细实施方案与阶段性验收目标并签订合同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完成方案并进行书面确认后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项目实施完成并完成验收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按照相关法律规范、规定。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提供开标前半年内任意一月的纳税凭据或完税证明（任意税种），依法免税的应提供相关证明材料；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提供开标前半年内任意一月的社会保障资金缴存单据或 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 (ww.creditchina.gov.cn) 或“中国执行信息公开网”网站(http://zxgk.cour t.gov.cn/shixin/) 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供应商应提交的相关资格证明材料 报价表 响应函 资格证明文件.docx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根据项目方案及效果，项目方案功能齐备，满足竞争性磋商文件要求11-15分，项目方案及效果基本满足要求得6-11分，项目方案及效果不满足要求得0-6分。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项目质量保证体系</w:t>
            </w:r>
          </w:p>
        </w:tc>
        <w:tc>
          <w:tcPr>
            <w:tcW w:type="dxa" w:w="2492"/>
          </w:tcPr>
          <w:p>
            <w:pPr>
              <w:pStyle w:val="null3"/>
            </w:pPr>
            <w:r>
              <w:rPr>
                <w:rFonts w:ascii="仿宋_GB2312" w:hAnsi="仿宋_GB2312" w:cs="仿宋_GB2312" w:eastAsia="仿宋_GB2312"/>
              </w:rPr>
              <w:t>项目质量保证体系完备8-15分；项目质量保证体系基本完善0-8分。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项目进度控制措施</w:t>
            </w:r>
          </w:p>
        </w:tc>
        <w:tc>
          <w:tcPr>
            <w:tcW w:type="dxa" w:w="2492"/>
          </w:tcPr>
          <w:p>
            <w:pPr>
              <w:pStyle w:val="null3"/>
            </w:pPr>
            <w:r>
              <w:rPr>
                <w:rFonts w:ascii="仿宋_GB2312" w:hAnsi="仿宋_GB2312" w:cs="仿宋_GB2312" w:eastAsia="仿宋_GB2312"/>
              </w:rPr>
              <w:t>项目进度满足业主要求8-15分；项目进度基本满足要求0-8分。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主要包含后续服务承诺、售后服务方案两方面，以上两方面内容齐全无缺陷且能完全满足采购人针对本项目的采购需求的得15分，每缺少一项内容扣5分，每项内容有缺陷、存在错误或不足的扣5分，扣完本项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 2023 年 1 月至今类似项目业绩，每提供一份得 2 分，最高得 10 分；没有提供不得分。 注：（以合同签订时间为准，复印件加盖供应商公章）。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项目实施各阶段的服务保障措施，积极配合，安排合理、后期服务承诺得当可行得6-10分，安排基本合理、后期服务承诺基本可行得1-6分。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1、经资格审查合格的投标文件，其磋商报价有效； 2、磋商报价得分=（评标基准价／最终磋商报价）×20； 3、评标基准价=各供应商报价中的最低价； 4.磋商报价不完整的，不进入评标标准价的计算，本项得 0 分； 5.经磋商小组一致认定，供应商的磋商最终报价低于公认市场成本，或超过采购预算,其响应将被拒绝。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