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版本号：HDFX-2026-Z07220260228001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校园公共安全系统升级改造项目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HDFX-2026-Z072</w:t>
      </w:r>
      <w:r>
        <w:br/>
      </w:r>
      <w:r>
        <w:br/>
      </w:r>
      <w:r>
        <w:br/>
      </w:r>
    </w:p>
    <w:p>
      <w:pPr>
        <w:pStyle w:val="null3"/>
        <w:jc w:val="center"/>
        <w:outlineLvl w:val="2"/>
      </w:pPr>
      <w:r>
        <w:rPr>
          <w:rFonts w:ascii="仿宋_GB2312" w:hAnsi="仿宋_GB2312" w:cs="仿宋_GB2312" w:eastAsia="仿宋_GB2312"/>
          <w:sz w:val="28"/>
          <w:b/>
        </w:rPr>
        <w:t>商洛市初级中学</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商洛市初级中学</w:t>
      </w:r>
      <w:r>
        <w:rPr>
          <w:rFonts w:ascii="仿宋_GB2312" w:hAnsi="仿宋_GB2312" w:cs="仿宋_GB2312" w:eastAsia="仿宋_GB2312"/>
        </w:rPr>
        <w:t>委托，拟对</w:t>
      </w:r>
      <w:r>
        <w:rPr>
          <w:rFonts w:ascii="仿宋_GB2312" w:hAnsi="仿宋_GB2312" w:cs="仿宋_GB2312" w:eastAsia="仿宋_GB2312"/>
        </w:rPr>
        <w:t>校园公共安全系统升级改造项目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HDFX-2026-Z072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校园公共安全系统升级改造项目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智慧校园的建设，各系统及业务在使用的过程中不断的产生数据，汇集所有的数据，实现大数据的分析与预警，实现学校的安全态势分析，能耗分析，教学分析等多种数据看板，辅助学校管理者基于数据的决策与管理。校园全域可视化监管、安全风险实时预警及应急事件快速响应，为师生营造安全、有序的教学与生活环境，同时提升校园安防管理的智能化与信息化水平，助力学校构建现代化智慧校园管理模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w:t>
      </w:r>
    </w:p>
    <w:p>
      <w:pPr>
        <w:pStyle w:val="null3"/>
      </w:pPr>
      <w:r>
        <w:rPr>
          <w:rFonts w:ascii="仿宋_GB2312" w:hAnsi="仿宋_GB2312" w:cs="仿宋_GB2312" w:eastAsia="仿宋_GB2312"/>
        </w:rPr>
        <w:t>3、财务状况报告：提供2024年度的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5、税收缴纳证明：提供投标截止时间前6个月内至少一个月的纳税证明或完税证明（任意税种，个人所得税除外），依法免税的单位应提供相关证明材料。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7、履行合同的书面承诺：承诺具备履行合同所必需的设备和专业技术能力。</w:t>
      </w:r>
    </w:p>
    <w:p>
      <w:pPr>
        <w:pStyle w:val="null3"/>
      </w:pPr>
      <w:r>
        <w:rPr>
          <w:rFonts w:ascii="仿宋_GB2312" w:hAnsi="仿宋_GB2312" w:cs="仿宋_GB2312" w:eastAsia="仿宋_GB2312"/>
        </w:rPr>
        <w:t>8、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9、非联合体声明函：本项目不接受联合体投标。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商洛市商州区北新街西段窑头巷1号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13991493376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采购包1：915,625.33元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2、服务费参照《国家计委关于印发&lt;招标代理服务收费管理暂行办法&gt;的通知》（计价格[2002]1980号）规定收取。3、成交单位服务费交纳信息 银行户名：陕西华达峰信项目管理有限公司 开户银行：中国工商银行股份有限公司西安未央支行 账 号：3700 0340 0910 0001 556 行 号：102 791 000 525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商洛市初级中学</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地址：陕西省西安市未央区朱宏路福清商会大厦11层1101室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915,625.33</w:t>
      </w:r>
    </w:p>
    <w:p>
      <w:pPr>
        <w:pStyle w:val="null3"/>
      </w:pPr>
      <w:r>
        <w:rPr>
          <w:rFonts w:ascii="仿宋_GB2312" w:hAnsi="仿宋_GB2312" w:cs="仿宋_GB2312" w:eastAsia="仿宋_GB2312"/>
        </w:rPr>
        <w:t>采购包最高限价（元）: 915,625.33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校园公共安全系统升级改造项目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915,625.33</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工业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标的名称：校园公共安全系统升级改造项目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一、技术参数：</w:t>
            </w:r>
          </w:p>
          <w:p>
            <w:pPr>
              <w:pStyle w:val="null3"/>
              <w:jc w:val="both"/>
            </w:pPr>
            <w:r>
              <w:rPr>
                <w:rFonts w:ascii="仿宋_GB2312" w:hAnsi="仿宋_GB2312" w:cs="仿宋_GB2312" w:eastAsia="仿宋_GB2312"/>
                <w:sz w:val="20"/>
                <w:b/>
              </w:rPr>
              <w:t>AI 智 能 安 全</w:t>
            </w:r>
          </w:p>
          <w:tbl>
            <w:tblPr>
              <w:tblInd w:type="dxa" w:w="120"/>
              <w:tblBorders>
                <w:top w:val="none" w:color="000000" w:sz="4"/>
                <w:left w:val="none" w:color="000000" w:sz="4"/>
                <w:bottom w:val="none" w:color="000000" w:sz="4"/>
                <w:right w:val="none" w:color="000000" w:sz="4"/>
                <w:insideH w:val="none"/>
                <w:insideV w:val="none"/>
              </w:tblBorders>
            </w:tblPr>
            <w:tblGrid>
              <w:gridCol w:w="152"/>
              <w:gridCol w:w="266"/>
              <w:gridCol w:w="1607"/>
              <w:gridCol w:w="254"/>
              <w:gridCol w:w="260"/>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w:t>
                  </w:r>
                </w:p>
              </w:tc>
              <w:tc>
                <w:tcPr>
                  <w:tcW w:type="dxa" w:w="1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▲全景网络摄像机</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最低照度: ≤0.0005 Lux 传感器 ≥ 1/2.5" ≥400万 支持: 移动侦测，遮挡报警，异常 报警越界侦测、区域入侵侦测 接口 摄像机输出接口：RJ45，10M/100M自适应以太网口 支持一路音频，彩全彩夜视    网络协议: 支持协议：TCP/IP、HTTP、UDP，网络视频接口开放型，支持H.264 H.265 支持Smart265编码工作温湿度: -30 °C~60 °C，供电方式供电方式：支持DC12V和PoE+(802.3at)防水防护等级: ≥IP66</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▲全景智能枪球一体机</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360°全景视角可全彩变焦</w:t>
                  </w:r>
                </w:p>
                <w:p>
                  <w:pPr>
                    <w:pStyle w:val="null3"/>
                  </w:pPr>
                  <w:r>
                    <w:rPr>
                      <w:rFonts w:ascii="仿宋_GB2312" w:hAnsi="仿宋_GB2312" w:cs="仿宋_GB2312" w:eastAsia="仿宋_GB2312"/>
                      <w:sz w:val="19"/>
                    </w:rPr>
                    <w:t>传感器类型：全景：1/1.8英寸CMOS；细节：1/2.8英寸CMOS；像素：全景：400万；细节：400万；≥20倍光学变倍 支持音频: 1路音频输入，输出网络接口: RJ45网口;自适应10M/100M网络数据，支持SD卡槽  支持网络协议：TCP/IP、HTTP、UDP、并具备国际通用ONVIF协议支持第三放平台接入;GB/T28181协议:  支持IE客户端访问 白光≥30m 红外距离≥150 m；支持除雾: 支持预置点≥300个巡航扫描:最大支持8轨迹，有断恢复功能:: 双镜头设计: 【全景】≥2560 ×1440，编码支持Smart 264: 支持Smart 265:）: 支持人脸抓拍: 抓拍≥5张，多功能检测: 移动侦测;遮挡报警: 区域入侵侦测、越界侦测、进入区域侦测、离开区域侦测、工作温湿度不低于: -30℃-65℃防水防护等级≥IP66室外</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▲室外高清网络摄像机</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≥600万像素最低照度: 彩色：≤0.005 Lux 支持报警出触发: 移动侦测。接口网络: 1个RJ45 10 M/100 M自适应以太网口，支持1路内置音频 红外距离≥50 m，白光距离≥30 m支持网络协议：TCP/IP、HTTP、UDP、: 开放型网络视频接口，ISAPI，SDK，GB28181（2016）自定义切换图像增强: 背光补偿，强光抑制等，3D数字降噪；工作温湿度不低于: -30 °C~60 °C供电方式：支持DC12V和PoE+(802.3at)防水防护等级: ≥IP66</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▲网络周界防范摄像机</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 ≥1/1.8"  ≥400万像素最低照度: 彩色：≤0.0005 Lux @支持声音报警输出，报警联动，报警科实现 越界侦测，区域入侵侦测，进入区域侦测，离开区域侦测 支持RESET 按键，支持IE启动，认证防护: IP66音频音频环境噪声过滤: 支持1路报警输入，1路报警输出，支持音频: 1个内置麦克风，1个内置扬声器1路输入（Line in）；支持网络 1个RJ45 10 M/100 M自适应以太网口，智能编码: 支持H.265+智能编码设置1个固定区域图像日夜转换模式自定时切换。</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球机支架</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含设备安装调试及相关配套施工辅材</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▲室内彩色半球</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摄像机传感器数值参考1/3" CMOS ICR日夜型半球型网络摄像机400万像素，支持低照度: 彩色：0.005 Lux @（F1.2，AGC ON)），黑白：0 Lux with IR宽动态: 120 dB调节角度: 水平：0°~360°，垂直：0°</w:t>
                  </w:r>
                  <w:r>
                    <w:rPr>
                      <w:rFonts w:ascii="仿宋_GB2312" w:hAnsi="仿宋_GB2312" w:cs="仿宋_GB2312" w:eastAsia="仿宋_GB2312"/>
                      <w:sz w:val="19"/>
                      <w:color w:val="0000FF"/>
                    </w:rPr>
                    <w:t>~75°</w:t>
                  </w:r>
                  <w:r>
                    <w:rPr>
                      <w:rFonts w:ascii="仿宋_GB2312" w:hAnsi="仿宋_GB2312" w:cs="仿宋_GB2312" w:eastAsia="仿宋_GB2312"/>
                      <w:sz w:val="19"/>
                    </w:rPr>
                    <w:t>，旋转：0°~360°；红外灯补光距离≥30 m支持编码规格H.265/H.264支持音频内置音频:1个RJ45 10 M/100 M自适应以太网口供电方式供电方式：支持DC12V和PoE+(802.3at)防水防护等级: ≥IP66，可靠性高</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▲室内筒形彩色网络摄像机</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筒型网络摄像机最高分辨率可达2560 × 1440 @25 fps，网络视频接口，ISAPI，SDK，GB28181协议，可靠性高传感器数值参考值1/3 Progressive Scan CMOS 最大图像尺寸：2560 × 1440 宽动态：数字宽动态；支持平台接入，支持 补红外灯补光距离：最远距离≥50 m支持1路内置麦克风输入输出，最少不低于1个RJ45 10 M/100 M自适应以太网口支持DC12V和PoE+(802.3at)防水防护等级: ≥IP66</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摄像机支架</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适用范围适合枪型、筒型、一体型摄像机壁装材料铝合金</w:t>
                  </w:r>
                  <w:r>
                    <w:rPr>
                      <w:rFonts w:ascii="仿宋_GB2312" w:hAnsi="仿宋_GB2312" w:cs="仿宋_GB2312" w:eastAsia="仿宋_GB2312"/>
                      <w:sz w:val="20"/>
                    </w:rPr>
                    <w:t>。</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后端存储及机房核心设备</w:t>
                  </w:r>
                </w:p>
              </w:tc>
              <w:tc>
                <w:tcPr>
                  <w:tcW w:type="dxa" w:w="514"/>
                  <w:gridSpan w:val="2"/>
                  <w:tcBorders>
                    <w:top w:val="none" w:color="000000" w:sz="4"/>
                    <w:left w:val="none" w:color="000000" w:sz="4"/>
                    <w:bottom w:val="none" w:color="000000" w:sz="4"/>
                    <w:right w:val="none" w:color="000000" w:sz="4"/>
                  </w:tcBorders>
                </w:tcPr>
                <w:p>
                  <w:pPr>
                    <w:pStyle w:val="null3"/>
                  </w:pP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19"/>
                    </w:rPr>
                    <w:t>网络硬盘录像机</w:t>
                  </w:r>
                </w:p>
              </w:tc>
              <w:tc>
                <w:tcPr>
                  <w:tcW w:type="dxa" w:w="1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【硬件规格】 存储接口≥16个SATA接口，支持硬盘热插拔，视频支持接口;HDMI，VGA、 网络接口：2×RJ45 10/100/1000Mbps自适应以太网口 USB接口：≥2×USB 2.0，2×USB 3.0  【产品性能】接入能力：≥128路 H.264、H.265格式高清码流接入 解码能力：不低于1080P、 4K异源输出 支持RAID模式  支持热备盘满足≥60天录像</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▲周界防范主机</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接入路数：≥32路。</w:t>
                  </w:r>
                </w:p>
                <w:p>
                  <w:pPr>
                    <w:pStyle w:val="null3"/>
                    <w:jc w:val="left"/>
                  </w:pPr>
                  <w:r>
                    <w:rPr>
                      <w:rFonts w:ascii="仿宋_GB2312" w:hAnsi="仿宋_GB2312" w:cs="仿宋_GB2312" w:eastAsia="仿宋_GB2312"/>
                      <w:sz w:val="19"/>
                    </w:rPr>
                    <w:t>视频输出：≥1路HDMI，≥1路VGA；支持音频输出：1路，RCA接口语音对讲输入：1路，RCA接口5、网络接口支持≥2个RJ45 10/100/1000Mbps自适应以太网口  支持USB接口：支持报警输入≥4路，支持一路报警智能分析目标名单库；满足60天</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▲汇聚交换机</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1.支持固化千兆以太网口≥24个，PoE端口≥24个，千兆光上联端口≥2个</w:t>
                  </w:r>
                </w:p>
                <w:p>
                  <w:pPr>
                    <w:pStyle w:val="null3"/>
                    <w:jc w:val="left"/>
                  </w:pPr>
                  <w:r>
                    <w:rPr>
                      <w:rFonts w:ascii="仿宋_GB2312" w:hAnsi="仿宋_GB2312" w:cs="仿宋_GB2312" w:eastAsia="仿宋_GB2312"/>
                      <w:sz w:val="19"/>
                    </w:rPr>
                    <w:t>2.交换容量≥52Gbps，包转发率≥39Mpps；</w:t>
                  </w:r>
                </w:p>
                <w:p>
                  <w:pPr>
                    <w:pStyle w:val="null3"/>
                    <w:jc w:val="left"/>
                  </w:pPr>
                  <w:r>
                    <w:rPr>
                      <w:rFonts w:ascii="仿宋_GB2312" w:hAnsi="仿宋_GB2312" w:cs="仿宋_GB2312" w:eastAsia="仿宋_GB2312"/>
                      <w:sz w:val="19"/>
                    </w:rPr>
                    <w:t>3.支持端口防雷等级≥6kV</w:t>
                  </w:r>
                </w:p>
                <w:p>
                  <w:pPr>
                    <w:pStyle w:val="null3"/>
                    <w:jc w:val="left"/>
                  </w:pPr>
                  <w:r>
                    <w:rPr>
                      <w:rFonts w:ascii="仿宋_GB2312" w:hAnsi="仿宋_GB2312" w:cs="仿宋_GB2312" w:eastAsia="仿宋_GB2312"/>
                      <w:sz w:val="19"/>
                    </w:rPr>
                    <w:t>4.支持电源防雷等级≥6kV</w:t>
                  </w:r>
                </w:p>
                <w:p>
                  <w:pPr>
                    <w:pStyle w:val="null3"/>
                    <w:jc w:val="left"/>
                  </w:pPr>
                  <w:r>
                    <w:rPr>
                      <w:rFonts w:ascii="仿宋_GB2312" w:hAnsi="仿宋_GB2312" w:cs="仿宋_GB2312" w:eastAsia="仿宋_GB2312"/>
                      <w:sz w:val="19"/>
                    </w:rPr>
                    <w:t>5.提供电信设备进网许可证证书复印件</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▲汇聚交换机</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支持固化千兆以太网口≥17个，其中PoE端口≥16个，千兆光上联端口≥1个</w:t>
                  </w:r>
                </w:p>
                <w:p>
                  <w:pPr>
                    <w:pStyle w:val="null3"/>
                    <w:jc w:val="left"/>
                  </w:pPr>
                  <w:r>
                    <w:rPr>
                      <w:rFonts w:ascii="仿宋_GB2312" w:hAnsi="仿宋_GB2312" w:cs="仿宋_GB2312" w:eastAsia="仿宋_GB2312"/>
                      <w:sz w:val="19"/>
                    </w:rPr>
                    <w:t>交换容量≥36Gbps，包转发率≥27Mpps；</w:t>
                  </w:r>
                </w:p>
                <w:p>
                  <w:pPr>
                    <w:pStyle w:val="null3"/>
                    <w:jc w:val="left"/>
                  </w:pPr>
                  <w:r>
                    <w:rPr>
                      <w:rFonts w:ascii="仿宋_GB2312" w:hAnsi="仿宋_GB2312" w:cs="仿宋_GB2312" w:eastAsia="仿宋_GB2312"/>
                      <w:sz w:val="19"/>
                    </w:rPr>
                    <w:t>支持端口防雷等级≥6kV</w:t>
                  </w:r>
                </w:p>
                <w:p>
                  <w:pPr>
                    <w:pStyle w:val="null3"/>
                    <w:jc w:val="left"/>
                  </w:pPr>
                  <w:r>
                    <w:rPr>
                      <w:rFonts w:ascii="仿宋_GB2312" w:hAnsi="仿宋_GB2312" w:cs="仿宋_GB2312" w:eastAsia="仿宋_GB2312"/>
                      <w:sz w:val="19"/>
                    </w:rPr>
                    <w:t>支持电源防雷等级≥6kV</w:t>
                  </w:r>
                </w:p>
                <w:p>
                  <w:pPr>
                    <w:pStyle w:val="null3"/>
                    <w:jc w:val="left"/>
                  </w:pPr>
                  <w:r>
                    <w:rPr>
                      <w:rFonts w:ascii="仿宋_GB2312" w:hAnsi="仿宋_GB2312" w:cs="仿宋_GB2312" w:eastAsia="仿宋_GB2312"/>
                      <w:sz w:val="19"/>
                    </w:rPr>
                    <w:t>提供电信设备进网许可证证书复印件</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▲汇聚交换机</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可上1U机架，实配固化千兆电接口数≥24个，千兆SFP光口≥2个，最大可用端口≥26个。</w:t>
                  </w:r>
                </w:p>
                <w:p>
                  <w:pPr>
                    <w:pStyle w:val="null3"/>
                    <w:jc w:val="left"/>
                  </w:pPr>
                  <w:r>
                    <w:rPr>
                      <w:rFonts w:ascii="仿宋_GB2312" w:hAnsi="仿宋_GB2312" w:cs="仿宋_GB2312" w:eastAsia="仿宋_GB2312"/>
                      <w:sz w:val="20"/>
                    </w:rPr>
                    <w:t>交换容量≥336Gbps，包转发率≥92Mpps，提供官网查询链接及截图作为证明材料。</w:t>
                  </w:r>
                </w:p>
                <w:p>
                  <w:pPr>
                    <w:pStyle w:val="null3"/>
                    <w:jc w:val="left"/>
                  </w:pPr>
                  <w:r>
                    <w:rPr>
                      <w:rFonts w:ascii="仿宋_GB2312" w:hAnsi="仿宋_GB2312" w:cs="仿宋_GB2312" w:eastAsia="仿宋_GB2312"/>
                      <w:sz w:val="20"/>
                    </w:rPr>
                    <w:t>支持VLAN划分，可以显著提升网络的安全性、灵活性和管理效率。</w:t>
                  </w:r>
                </w:p>
                <w:p>
                  <w:pPr>
                    <w:pStyle w:val="null3"/>
                    <w:jc w:val="left"/>
                  </w:pPr>
                  <w:r>
                    <w:rPr>
                      <w:rFonts w:ascii="仿宋_GB2312" w:hAnsi="仿宋_GB2312" w:cs="仿宋_GB2312" w:eastAsia="仿宋_GB2312"/>
                      <w:sz w:val="20"/>
                    </w:rPr>
                    <w:t>支持Web管理，App和云管理。</w:t>
                  </w:r>
                </w:p>
                <w:p>
                  <w:pPr>
                    <w:pStyle w:val="null3"/>
                    <w:jc w:val="left"/>
                  </w:pPr>
                  <w:r>
                    <w:rPr>
                      <w:rFonts w:ascii="仿宋_GB2312" w:hAnsi="仿宋_GB2312" w:cs="仿宋_GB2312" w:eastAsia="仿宋_GB2312"/>
                      <w:sz w:val="20"/>
                    </w:rPr>
                    <w:t>为了提升运维的便捷性，要求所投交换机支持手机App集中管理，能够实现拓扑呈现、端口状态显示、VLAN配置等，提供官网截图及App界面截图作为证明。</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▲核心交换机</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固化端口：≥28个10/100/1000Mbps电口，≥4个复用千兆光口，≥4个SFP+光口</w:t>
                  </w:r>
                </w:p>
                <w:p>
                  <w:pPr>
                    <w:pStyle w:val="null3"/>
                    <w:jc w:val="left"/>
                  </w:pPr>
                  <w:r>
                    <w:rPr>
                      <w:rFonts w:ascii="仿宋_GB2312" w:hAnsi="仿宋_GB2312" w:cs="仿宋_GB2312" w:eastAsia="仿宋_GB2312"/>
                      <w:sz w:val="20"/>
                    </w:rPr>
                    <w:t>设备管理配置1个MGMT端口、1个Console 端口、1个Mini USB Console口、1个USB端口</w:t>
                  </w:r>
                </w:p>
                <w:p>
                  <w:pPr>
                    <w:pStyle w:val="null3"/>
                    <w:jc w:val="left"/>
                  </w:pPr>
                  <w:r>
                    <w:rPr>
                      <w:rFonts w:ascii="仿宋_GB2312" w:hAnsi="仿宋_GB2312" w:cs="仿宋_GB2312" w:eastAsia="仿宋_GB2312"/>
                      <w:sz w:val="20"/>
                    </w:rPr>
                    <w:t>交换容量≥598G/5.98T，包转发率≥162M/222M</w:t>
                  </w:r>
                </w:p>
                <w:p>
                  <w:pPr>
                    <w:pStyle w:val="null3"/>
                    <w:jc w:val="left"/>
                  </w:pPr>
                  <w:r>
                    <w:rPr>
                      <w:rFonts w:ascii="仿宋_GB2312" w:hAnsi="仿宋_GB2312" w:cs="仿宋_GB2312" w:eastAsia="仿宋_GB2312"/>
                      <w:sz w:val="20"/>
                    </w:rPr>
                    <w:t>要求所投设备MAC地址≥32K</w:t>
                  </w:r>
                </w:p>
                <w:p>
                  <w:pPr>
                    <w:pStyle w:val="null3"/>
                    <w:jc w:val="left"/>
                  </w:pPr>
                  <w:r>
                    <w:rPr>
                      <w:rFonts w:ascii="仿宋_GB2312" w:hAnsi="仿宋_GB2312" w:cs="仿宋_GB2312" w:eastAsia="仿宋_GB2312"/>
                      <w:sz w:val="20"/>
                    </w:rPr>
                    <w:t>整机采用节能设计，满负荷时功耗≤45W</w:t>
                  </w:r>
                </w:p>
                <w:p>
                  <w:pPr>
                    <w:pStyle w:val="null3"/>
                    <w:jc w:val="left"/>
                  </w:pPr>
                  <w:r>
                    <w:rPr>
                      <w:rFonts w:ascii="仿宋_GB2312" w:hAnsi="仿宋_GB2312" w:cs="仿宋_GB2312" w:eastAsia="仿宋_GB2312"/>
                      <w:sz w:val="20"/>
                    </w:rPr>
                    <w:t>支持基本的QinQ，支持灵活的QinQ</w:t>
                  </w:r>
                </w:p>
                <w:p>
                  <w:pPr>
                    <w:pStyle w:val="null3"/>
                    <w:jc w:val="left"/>
                  </w:pPr>
                  <w:r>
                    <w:rPr>
                      <w:rFonts w:ascii="仿宋_GB2312" w:hAnsi="仿宋_GB2312" w:cs="仿宋_GB2312" w:eastAsia="仿宋_GB2312"/>
                      <w:sz w:val="20"/>
                    </w:rPr>
                    <w:t>支持支持静态路由、RIP/RIPng，OSPF/OSPF v3，IS-IS/IS-IS v6，BGP/BGP4+，等价路由（ECMP）基于包的负载均衡和基于流的负载均衡</w:t>
                  </w:r>
                </w:p>
                <w:p>
                  <w:pPr>
                    <w:pStyle w:val="null3"/>
                    <w:jc w:val="left"/>
                  </w:pPr>
                  <w:r>
                    <w:rPr>
                      <w:rFonts w:ascii="仿宋_GB2312" w:hAnsi="仿宋_GB2312" w:cs="仿宋_GB2312" w:eastAsia="仿宋_GB2312"/>
                      <w:sz w:val="20"/>
                    </w:rPr>
                    <w:t>提供有效的工信部电信设备进网许可证复印件</w:t>
                  </w:r>
                  <w:r>
                    <w:rPr>
                      <w:rFonts w:ascii="仿宋_GB2312" w:hAnsi="仿宋_GB2312" w:cs="仿宋_GB2312" w:eastAsia="仿宋_GB2312"/>
                      <w:sz w:val="20"/>
                    </w:rPr>
                    <w:t>。</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高转数存储器</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单盘容量：8TB；</w:t>
                  </w:r>
                </w:p>
                <w:p>
                  <w:pPr>
                    <w:pStyle w:val="null3"/>
                    <w:jc w:val="left"/>
                  </w:pPr>
                  <w:r>
                    <w:rPr>
                      <w:rFonts w:ascii="仿宋_GB2312" w:hAnsi="仿宋_GB2312" w:cs="仿宋_GB2312" w:eastAsia="仿宋_GB2312"/>
                      <w:sz w:val="20"/>
                    </w:rPr>
                    <w:t>缓存：256MB；</w:t>
                  </w:r>
                </w:p>
                <w:p>
                  <w:pPr>
                    <w:pStyle w:val="null3"/>
                    <w:jc w:val="left"/>
                  </w:pPr>
                  <w:r>
                    <w:rPr>
                      <w:rFonts w:ascii="仿宋_GB2312" w:hAnsi="仿宋_GB2312" w:cs="仿宋_GB2312" w:eastAsia="仿宋_GB2312"/>
                      <w:sz w:val="20"/>
                    </w:rPr>
                    <w:t>转速：5400RPM；</w:t>
                  </w:r>
                </w:p>
                <w:p>
                  <w:pPr>
                    <w:pStyle w:val="null3"/>
                    <w:jc w:val="left"/>
                  </w:pPr>
                  <w:r>
                    <w:rPr>
                      <w:rFonts w:ascii="仿宋_GB2312" w:hAnsi="仿宋_GB2312" w:cs="仿宋_GB2312" w:eastAsia="仿宋_GB2312"/>
                      <w:sz w:val="20"/>
                    </w:rPr>
                    <w:t>硬盘接口：SATA</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▲综合安防管理平台</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【授权包含】：基础包、视频监控、门禁管理、出入口车辆放行管理、停车场车辆收费管理、视频联网、入侵报警、设备网络管理等；</w:t>
                  </w:r>
                </w:p>
                <w:p>
                  <w:pPr>
                    <w:pStyle w:val="null3"/>
                    <w:jc w:val="left"/>
                  </w:pPr>
                  <w:r>
                    <w:rPr>
                      <w:rFonts w:ascii="仿宋_GB2312" w:hAnsi="仿宋_GB2312" w:cs="仿宋_GB2312" w:eastAsia="仿宋_GB2312"/>
                      <w:sz w:val="20"/>
                    </w:rPr>
                    <w:t>【关键规格】：300路视频，50个门禁， 4车道，200个防区管理等。</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室外光缆</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12芯国标</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传输线缆</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国标</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光纤配件收发器</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光纤</w:t>
                  </w:r>
                  <w:r>
                    <w:rPr>
                      <w:rFonts w:ascii="仿宋_GB2312" w:hAnsi="仿宋_GB2312" w:cs="仿宋_GB2312" w:eastAsia="仿宋_GB2312"/>
                      <w:sz w:val="20"/>
                    </w:rPr>
                    <w:t>熔纤</w:t>
                  </w:r>
                  <w:r>
                    <w:rPr>
                      <w:rFonts w:ascii="仿宋_GB2312" w:hAnsi="仿宋_GB2312" w:cs="仿宋_GB2312" w:eastAsia="仿宋_GB2312"/>
                      <w:sz w:val="20"/>
                    </w:rPr>
                    <w:t>、</w:t>
                  </w:r>
                  <w:r>
                    <w:rPr>
                      <w:rFonts w:ascii="仿宋_GB2312" w:hAnsi="仿宋_GB2312" w:cs="仿宋_GB2312" w:eastAsia="仿宋_GB2312"/>
                      <w:sz w:val="20"/>
                    </w:rPr>
                    <w:t>光电转换器</w:t>
                  </w:r>
                  <w:r>
                    <w:rPr>
                      <w:rFonts w:ascii="仿宋_GB2312" w:hAnsi="仿宋_GB2312" w:cs="仿宋_GB2312" w:eastAsia="仿宋_GB2312"/>
                      <w:sz w:val="20"/>
                    </w:rPr>
                    <w:t>及配电箱等</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线管辅料</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辅材</w:t>
                  </w:r>
                  <w:r>
                    <w:rPr>
                      <w:rFonts w:ascii="仿宋_GB2312" w:hAnsi="仿宋_GB2312" w:cs="仿宋_GB2312" w:eastAsia="仿宋_GB2312"/>
                      <w:sz w:val="20"/>
                    </w:rPr>
                    <w:t>、</w:t>
                  </w:r>
                  <w:r>
                    <w:rPr>
                      <w:rFonts w:ascii="仿宋_GB2312" w:hAnsi="仿宋_GB2312" w:cs="仿宋_GB2312" w:eastAsia="仿宋_GB2312"/>
                      <w:sz w:val="20"/>
                    </w:rPr>
                    <w:t>线管</w:t>
                  </w:r>
                  <w:r>
                    <w:rPr>
                      <w:rFonts w:ascii="仿宋_GB2312" w:hAnsi="仿宋_GB2312" w:cs="仿宋_GB2312" w:eastAsia="仿宋_GB2312"/>
                      <w:sz w:val="20"/>
                    </w:rPr>
                    <w:t>、</w:t>
                  </w:r>
                  <w:r>
                    <w:rPr>
                      <w:rFonts w:ascii="仿宋_GB2312" w:hAnsi="仿宋_GB2312" w:cs="仿宋_GB2312" w:eastAsia="仿宋_GB2312"/>
                      <w:sz w:val="20"/>
                    </w:rPr>
                    <w:t>管材</w:t>
                  </w:r>
                  <w:r>
                    <w:rPr>
                      <w:rFonts w:ascii="仿宋_GB2312" w:hAnsi="仿宋_GB2312" w:cs="仿宋_GB2312" w:eastAsia="仿宋_GB2312"/>
                      <w:sz w:val="20"/>
                    </w:rPr>
                    <w:t>、</w:t>
                  </w:r>
                  <w:r>
                    <w:rPr>
                      <w:rFonts w:ascii="仿宋_GB2312" w:hAnsi="仿宋_GB2312" w:cs="仿宋_GB2312" w:eastAsia="仿宋_GB2312"/>
                      <w:sz w:val="20"/>
                    </w:rPr>
                    <w:t>管</w:t>
                  </w:r>
                  <w:r>
                    <w:rPr>
                      <w:rFonts w:ascii="仿宋_GB2312" w:hAnsi="仿宋_GB2312" w:cs="仿宋_GB2312" w:eastAsia="仿宋_GB2312"/>
                      <w:sz w:val="20"/>
                    </w:rPr>
                    <w:t>卡等国产耗材</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LCD液晶拼接屏</w:t>
                  </w:r>
                </w:p>
              </w:tc>
              <w:tc>
                <w:tcPr>
                  <w:tcW w:type="dxa" w:w="514"/>
                  <w:gridSpan w:val="2"/>
                  <w:tcBorders>
                    <w:top w:val="none" w:color="000000" w:sz="4"/>
                    <w:left w:val="none" w:color="000000" w:sz="4"/>
                    <w:bottom w:val="none" w:color="000000" w:sz="4"/>
                    <w:right w:val="none" w:color="000000" w:sz="4"/>
                  </w:tcBorders>
                </w:tcPr>
                <w:p>
                  <w:pPr>
                    <w:pStyle w:val="null3"/>
                  </w:pP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1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▲LCD拼接屏</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采用金属外壳≥55寸直下式LED背光源，亮度</w:t>
                  </w:r>
                  <w:r>
                    <w:rPr>
                      <w:rFonts w:ascii="仿宋_GB2312" w:hAnsi="仿宋_GB2312" w:cs="仿宋_GB2312" w:eastAsia="仿宋_GB2312"/>
                      <w:sz w:val="20"/>
                    </w:rPr>
                    <w:t>：</w:t>
                  </w:r>
                  <w:r>
                    <w:rPr>
                      <w:rFonts w:ascii="仿宋_GB2312" w:hAnsi="仿宋_GB2312" w:cs="仿宋_GB2312" w:eastAsia="仿宋_GB2312"/>
                      <w:sz w:val="20"/>
                    </w:rPr>
                    <w:t>≥500，亮度</w:t>
                  </w:r>
                  <w:r>
                    <w:rPr>
                      <w:rFonts w:ascii="仿宋_GB2312" w:hAnsi="仿宋_GB2312" w:cs="仿宋_GB2312" w:eastAsia="仿宋_GB2312"/>
                      <w:sz w:val="20"/>
                    </w:rPr>
                    <w:t>均匀，无边界暗影现象。单个物理分辨率1920 × 1080。视角178°。超窄边设计。支持7*24小时持续工作。防辐射、防磁场、防强电场干扰等达到国标。</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LCD拼接屏</w:t>
                  </w:r>
                  <w:r>
                    <w:rPr>
                      <w:rFonts w:ascii="仿宋_GB2312" w:hAnsi="仿宋_GB2312" w:cs="仿宋_GB2312" w:eastAsia="仿宋_GB2312"/>
                      <w:sz w:val="20"/>
                    </w:rPr>
                    <w:t>支架</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w:t>
                  </w:r>
                  <w:r>
                    <w:rPr>
                      <w:rFonts w:ascii="仿宋_GB2312" w:hAnsi="仿宋_GB2312" w:cs="仿宋_GB2312" w:eastAsia="仿宋_GB2312"/>
                      <w:sz w:val="20"/>
                    </w:rPr>
                    <w:t>落地电视墙支架</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▲解码器</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4路输入+20路HDMI输出</w:t>
                  </w:r>
                </w:p>
                <w:p>
                  <w:pPr>
                    <w:pStyle w:val="null3"/>
                  </w:pPr>
                  <w:r>
                    <w:rPr>
                      <w:rFonts w:ascii="仿宋_GB2312" w:hAnsi="仿宋_GB2312" w:cs="仿宋_GB2312" w:eastAsia="仿宋_GB2312"/>
                      <w:sz w:val="19"/>
                    </w:rPr>
                    <w:t>标准机架式机箱，运营级ATCA机箱系统，满足中小规模的监控需求</w:t>
                  </w:r>
                </w:p>
                <w:p>
                  <w:pPr>
                    <w:pStyle w:val="null3"/>
                  </w:pPr>
                  <w:r>
                    <w:rPr>
                      <w:rFonts w:ascii="仿宋_GB2312" w:hAnsi="仿宋_GB2312" w:cs="仿宋_GB2312" w:eastAsia="仿宋_GB2312"/>
                      <w:sz w:val="19"/>
                    </w:rPr>
                    <w:t>插拔式模块化设计，可根据需求灵活选择机型</w:t>
                  </w:r>
                </w:p>
                <w:p>
                  <w:pPr>
                    <w:pStyle w:val="null3"/>
                  </w:pPr>
                  <w:r>
                    <w:rPr>
                      <w:rFonts w:ascii="仿宋_GB2312" w:hAnsi="仿宋_GB2312" w:cs="仿宋_GB2312" w:eastAsia="仿宋_GB2312"/>
                      <w:sz w:val="19"/>
                    </w:rPr>
                    <w:t>业务模块支持智能风扇自动调温，确保系统稳定可靠</w:t>
                  </w:r>
                </w:p>
                <w:p>
                  <w:pPr>
                    <w:pStyle w:val="null3"/>
                  </w:pPr>
                  <w:r>
                    <w:rPr>
                      <w:rFonts w:ascii="仿宋_GB2312" w:hAnsi="仿宋_GB2312" w:cs="仿宋_GB2312" w:eastAsia="仿宋_GB2312"/>
                      <w:sz w:val="19"/>
                    </w:rPr>
                    <w:t>支持HDMI信号输入输出</w:t>
                  </w:r>
                </w:p>
                <w:p>
                  <w:pPr>
                    <w:pStyle w:val="null3"/>
                  </w:pPr>
                  <w:r>
                    <w:rPr>
                      <w:rFonts w:ascii="仿宋_GB2312" w:hAnsi="仿宋_GB2312" w:cs="仿宋_GB2312" w:eastAsia="仿宋_GB2312"/>
                      <w:sz w:val="19"/>
                    </w:rPr>
                    <w:t>支持H.264/H.265编码，默认采用H.264</w:t>
                  </w:r>
                </w:p>
                <w:p>
                  <w:pPr>
                    <w:pStyle w:val="null3"/>
                  </w:pPr>
                  <w:r>
                    <w:rPr>
                      <w:rFonts w:ascii="仿宋_GB2312" w:hAnsi="仿宋_GB2312" w:cs="仿宋_GB2312" w:eastAsia="仿宋_GB2312"/>
                      <w:sz w:val="19"/>
                    </w:rPr>
                    <w:t>解码支持H.265、H.264、MJPEG等主流的编码格式</w:t>
                  </w:r>
                </w:p>
                <w:p>
                  <w:pPr>
                    <w:pStyle w:val="null3"/>
                  </w:pPr>
                  <w:r>
                    <w:rPr>
                      <w:rFonts w:ascii="仿宋_GB2312" w:hAnsi="仿宋_GB2312" w:cs="仿宋_GB2312" w:eastAsia="仿宋_GB2312"/>
                      <w:sz w:val="19"/>
                    </w:rPr>
                    <w:t>支持4路高清视频编码能力</w:t>
                  </w:r>
                </w:p>
                <w:p>
                  <w:pPr>
                    <w:pStyle w:val="null3"/>
                  </w:pPr>
                  <w:r>
                    <w:rPr>
                      <w:rFonts w:ascii="仿宋_GB2312" w:hAnsi="仿宋_GB2312" w:cs="仿宋_GB2312" w:eastAsia="仿宋_GB2312"/>
                      <w:sz w:val="19"/>
                    </w:rPr>
                    <w:t>支持160路高清视频解码能力</w:t>
                  </w:r>
                </w:p>
                <w:p>
                  <w:pPr>
                    <w:pStyle w:val="null3"/>
                  </w:pPr>
                  <w:r>
                    <w:rPr>
                      <w:rFonts w:ascii="仿宋_GB2312" w:hAnsi="仿宋_GB2312" w:cs="仿宋_GB2312" w:eastAsia="仿宋_GB2312"/>
                      <w:sz w:val="19"/>
                    </w:rPr>
                    <w:t>视频输出最大的LED带载能力为单口230W</w:t>
                  </w:r>
                </w:p>
                <w:p>
                  <w:pPr>
                    <w:pStyle w:val="null3"/>
                  </w:pPr>
                  <w:r>
                    <w:rPr>
                      <w:rFonts w:ascii="仿宋_GB2312" w:hAnsi="仿宋_GB2312" w:cs="仿宋_GB2312" w:eastAsia="仿宋_GB2312"/>
                      <w:sz w:val="19"/>
                    </w:rPr>
                    <w:t>支持3200W高清视频解码</w:t>
                  </w:r>
                </w:p>
                <w:p>
                  <w:pPr>
                    <w:pStyle w:val="null3"/>
                  </w:pPr>
                  <w:r>
                    <w:rPr>
                      <w:rFonts w:ascii="仿宋_GB2312" w:hAnsi="仿宋_GB2312" w:cs="仿宋_GB2312" w:eastAsia="仿宋_GB2312"/>
                      <w:sz w:val="19"/>
                    </w:rPr>
                    <w:t>支持20个显示屏的任意大屏拼接</w:t>
                  </w:r>
                </w:p>
                <w:p>
                  <w:pPr>
                    <w:pStyle w:val="null3"/>
                  </w:pPr>
                  <w:r>
                    <w:rPr>
                      <w:rFonts w:ascii="仿宋_GB2312" w:hAnsi="仿宋_GB2312" w:cs="仿宋_GB2312" w:eastAsia="仿宋_GB2312"/>
                      <w:sz w:val="19"/>
                    </w:rPr>
                    <w:t>支持开窗和漫游</w:t>
                  </w:r>
                </w:p>
                <w:p>
                  <w:pPr>
                    <w:pStyle w:val="null3"/>
                  </w:pPr>
                  <w:r>
                    <w:rPr>
                      <w:rFonts w:ascii="仿宋_GB2312" w:hAnsi="仿宋_GB2312" w:cs="仿宋_GB2312" w:eastAsia="仿宋_GB2312"/>
                      <w:sz w:val="19"/>
                    </w:rPr>
                    <w:t>支持电视墙预览</w:t>
                  </w:r>
                </w:p>
                <w:p>
                  <w:pPr>
                    <w:pStyle w:val="null3"/>
                  </w:pPr>
                  <w:r>
                    <w:rPr>
                      <w:rFonts w:ascii="仿宋_GB2312" w:hAnsi="仿宋_GB2312" w:cs="仿宋_GB2312" w:eastAsia="仿宋_GB2312"/>
                      <w:sz w:val="19"/>
                    </w:rPr>
                    <w:t>支持预设场景，用户可以自定义每个场景电视墙布局</w:t>
                  </w:r>
                </w:p>
                <w:p>
                  <w:pPr>
                    <w:pStyle w:val="null3"/>
                  </w:pPr>
                  <w:r>
                    <w:rPr>
                      <w:rFonts w:ascii="仿宋_GB2312" w:hAnsi="仿宋_GB2312" w:cs="仿宋_GB2312" w:eastAsia="仿宋_GB2312"/>
                      <w:sz w:val="19"/>
                    </w:rPr>
                    <w:t>支持虚拟LED功能</w:t>
                  </w:r>
                </w:p>
                <w:p>
                  <w:pPr>
                    <w:pStyle w:val="null3"/>
                  </w:pPr>
                  <w:r>
                    <w:rPr>
                      <w:rFonts w:ascii="仿宋_GB2312" w:hAnsi="仿宋_GB2312" w:cs="仿宋_GB2312" w:eastAsia="仿宋_GB2312"/>
                      <w:sz w:val="19"/>
                    </w:rPr>
                    <w:t>支持WEB方式、客户端访问和操作</w:t>
                  </w:r>
                </w:p>
                <w:p>
                  <w:pPr>
                    <w:pStyle w:val="null3"/>
                  </w:pPr>
                  <w:r>
                    <w:rPr>
                      <w:rFonts w:ascii="仿宋_GB2312" w:hAnsi="仿宋_GB2312" w:cs="仿宋_GB2312" w:eastAsia="仿宋_GB2312"/>
                      <w:sz w:val="19"/>
                    </w:rPr>
                    <w:t>支持ONVIF协议接入设备解码</w:t>
                  </w:r>
                </w:p>
                <w:p>
                  <w:pPr>
                    <w:pStyle w:val="null3"/>
                    <w:jc w:val="left"/>
                  </w:pPr>
                  <w:r>
                    <w:rPr>
                      <w:rFonts w:ascii="仿宋_GB2312" w:hAnsi="仿宋_GB2312" w:cs="仿宋_GB2312" w:eastAsia="仿宋_GB2312"/>
                      <w:sz w:val="19"/>
                    </w:rPr>
                    <w:t>支持GB28181协议接入平台实现管理和操作</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高清HDMI线</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国产国标线</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校园广播远程喊话设备</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包括但不限于一套广播话筒、线缆及辅料等，实现在校园总监控室可对全校紧急喊话与通知功能等。</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设备存储柜</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规格尺寸根据实际需求而定</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机房操作台</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w:t>
                  </w:r>
                  <w:r>
                    <w:rPr>
                      <w:rFonts w:ascii="仿宋_GB2312" w:hAnsi="仿宋_GB2312" w:cs="仿宋_GB2312" w:eastAsia="仿宋_GB2312"/>
                      <w:sz w:val="20"/>
                    </w:rPr>
                    <w:t>≥</w:t>
                  </w:r>
                  <w:r>
                    <w:rPr>
                      <w:rFonts w:ascii="仿宋_GB2312" w:hAnsi="仿宋_GB2312" w:cs="仿宋_GB2312" w:eastAsia="仿宋_GB2312"/>
                      <w:sz w:val="20"/>
                    </w:rPr>
                    <w:t>2400mm*800mm*750mm（长度*深度*高度），主机位</w:t>
                  </w:r>
                  <w:r>
                    <w:rPr>
                      <w:rFonts w:ascii="仿宋_GB2312" w:hAnsi="仿宋_GB2312" w:cs="仿宋_GB2312" w:eastAsia="仿宋_GB2312"/>
                      <w:sz w:val="20"/>
                    </w:rPr>
                    <w:t>：</w:t>
                  </w:r>
                  <w:r>
                    <w:rPr>
                      <w:rFonts w:ascii="仿宋_GB2312" w:hAnsi="仿宋_GB2312" w:cs="仿宋_GB2312" w:eastAsia="仿宋_GB2312"/>
                      <w:sz w:val="20"/>
                    </w:rPr>
                    <w:t>≥2个</w:t>
                  </w:r>
                  <w:r>
                    <w:rPr>
                      <w:rFonts w:ascii="仿宋_GB2312" w:hAnsi="仿宋_GB2312" w:cs="仿宋_GB2312" w:eastAsia="仿宋_GB2312"/>
                      <w:sz w:val="20"/>
                    </w:rPr>
                    <w:t>，工作台台体上方配置液压显示器支架，支持</w:t>
                  </w:r>
                  <w:r>
                    <w:rPr>
                      <w:rFonts w:ascii="仿宋_GB2312" w:hAnsi="仿宋_GB2312" w:cs="仿宋_GB2312" w:eastAsia="仿宋_GB2312"/>
                      <w:sz w:val="20"/>
                    </w:rPr>
                    <w:t>≥</w:t>
                  </w:r>
                  <w:r>
                    <w:rPr>
                      <w:rFonts w:ascii="仿宋_GB2312" w:hAnsi="仿宋_GB2312" w:cs="仿宋_GB2312" w:eastAsia="仿宋_GB2312"/>
                      <w:sz w:val="20"/>
                    </w:rPr>
                    <w:t>4台液晶显示器安装，可调整高度和俯仰角。</w:t>
                  </w:r>
                  <w:r>
                    <w:rPr>
                      <w:rFonts w:ascii="仿宋_GB2312" w:hAnsi="仿宋_GB2312" w:cs="仿宋_GB2312" w:eastAsia="仿宋_GB2312"/>
                      <w:sz w:val="20"/>
                    </w:rPr>
                    <w:t>配备不低于两套国</w:t>
                  </w:r>
                  <w:r>
                    <w:rPr>
                      <w:rFonts w:ascii="仿宋_GB2312" w:hAnsi="仿宋_GB2312" w:cs="仿宋_GB2312" w:eastAsia="仿宋_GB2312"/>
                      <w:sz w:val="20"/>
                    </w:rPr>
                    <w:t>标5孔8位PDU</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2）工作台柜体深度</w:t>
                  </w:r>
                  <w:r>
                    <w:rPr>
                      <w:rFonts w:ascii="仿宋_GB2312" w:hAnsi="仿宋_GB2312" w:cs="仿宋_GB2312" w:eastAsia="仿宋_GB2312"/>
                      <w:sz w:val="20"/>
                    </w:rPr>
                    <w:t>≥</w:t>
                  </w:r>
                  <w:r>
                    <w:rPr>
                      <w:rFonts w:ascii="仿宋_GB2312" w:hAnsi="仿宋_GB2312" w:cs="仿宋_GB2312" w:eastAsia="仿宋_GB2312"/>
                      <w:sz w:val="20"/>
                    </w:rPr>
                    <w:t>440mm。</w:t>
                  </w:r>
                </w:p>
                <w:p>
                  <w:pPr>
                    <w:pStyle w:val="null3"/>
                    <w:jc w:val="left"/>
                  </w:pPr>
                  <w:r>
                    <w:rPr>
                      <w:rFonts w:ascii="仿宋_GB2312" w:hAnsi="仿宋_GB2312" w:cs="仿宋_GB2312" w:eastAsia="仿宋_GB2312"/>
                      <w:sz w:val="20"/>
                    </w:rPr>
                    <w:t>3）工作台主框架采用</w:t>
                  </w:r>
                  <w:r>
                    <w:rPr>
                      <w:rFonts w:ascii="仿宋_GB2312" w:hAnsi="仿宋_GB2312" w:cs="仿宋_GB2312" w:eastAsia="仿宋_GB2312"/>
                      <w:sz w:val="20"/>
                    </w:rPr>
                    <w:t>≥</w:t>
                  </w:r>
                  <w:r>
                    <w:rPr>
                      <w:rFonts w:ascii="仿宋_GB2312" w:hAnsi="仿宋_GB2312" w:cs="仿宋_GB2312" w:eastAsia="仿宋_GB2312"/>
                      <w:sz w:val="20"/>
                    </w:rPr>
                    <w:t>2.0mm冷轧钢加工，表面做喷塑处理。</w:t>
                  </w:r>
                </w:p>
                <w:p>
                  <w:pPr>
                    <w:pStyle w:val="null3"/>
                    <w:jc w:val="left"/>
                  </w:pPr>
                  <w:r>
                    <w:rPr>
                      <w:rFonts w:ascii="仿宋_GB2312" w:hAnsi="仿宋_GB2312" w:cs="仿宋_GB2312" w:eastAsia="仿宋_GB2312"/>
                      <w:sz w:val="20"/>
                    </w:rPr>
                    <w:t>4）台面采用实木颗粒板双贴防火板，厚度不低于26mm，台面手枕采用聚氨酯材料，宽度不低于20mm；背墙采用冷轧钢板及铝合金型材制作，表面喷塑处理；操作台桌面设置走线毛刷，便于设备布线取电。</w:t>
                  </w:r>
                </w:p>
                <w:p>
                  <w:pPr>
                    <w:pStyle w:val="null3"/>
                    <w:jc w:val="left"/>
                  </w:pPr>
                  <w:r>
                    <w:rPr>
                      <w:rFonts w:ascii="仿宋_GB2312" w:hAnsi="仿宋_GB2312" w:cs="仿宋_GB2312" w:eastAsia="仿宋_GB2312"/>
                      <w:sz w:val="20"/>
                    </w:rPr>
                    <w:t>5）工作台台体内部提供计算机主机、键鼠等设备存储空间；前后门板均采用1.2～1.5mm冷轧钢板加工，应具备通风、散气、散热。</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拼控管理电脑</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主板芯片组：≥Intel  670 系列主板芯片组</w:t>
                  </w:r>
                </w:p>
                <w:p>
                  <w:pPr>
                    <w:pStyle w:val="null3"/>
                    <w:jc w:val="left"/>
                  </w:pPr>
                  <w:r>
                    <w:rPr>
                      <w:rFonts w:ascii="仿宋_GB2312" w:hAnsi="仿宋_GB2312" w:cs="仿宋_GB2312" w:eastAsia="仿宋_GB2312"/>
                      <w:sz w:val="20"/>
                    </w:rPr>
                    <w:t>处理器：≥I5-12500</w:t>
                  </w:r>
                </w:p>
                <w:p>
                  <w:pPr>
                    <w:pStyle w:val="null3"/>
                    <w:jc w:val="left"/>
                  </w:pPr>
                  <w:r>
                    <w:rPr>
                      <w:rFonts w:ascii="仿宋_GB2312" w:hAnsi="仿宋_GB2312" w:cs="仿宋_GB2312" w:eastAsia="仿宋_GB2312"/>
                      <w:sz w:val="20"/>
                    </w:rPr>
                    <w:t>内存：≥8G DDR4-2933， 2个DIMM，系统最多支持64G及以上</w:t>
                  </w:r>
                </w:p>
                <w:p>
                  <w:pPr>
                    <w:pStyle w:val="null3"/>
                    <w:jc w:val="left"/>
                  </w:pPr>
                  <w:r>
                    <w:rPr>
                      <w:rFonts w:ascii="仿宋_GB2312" w:hAnsi="仿宋_GB2312" w:cs="仿宋_GB2312" w:eastAsia="仿宋_GB2312"/>
                      <w:sz w:val="20"/>
                    </w:rPr>
                    <w:t>硬盘：≥256 SSD M.2- NVME</w:t>
                  </w:r>
                </w:p>
                <w:p>
                  <w:pPr>
                    <w:pStyle w:val="null3"/>
                    <w:jc w:val="left"/>
                  </w:pPr>
                  <w:r>
                    <w:rPr>
                      <w:rFonts w:ascii="仿宋_GB2312" w:hAnsi="仿宋_GB2312" w:cs="仿宋_GB2312" w:eastAsia="仿宋_GB2312"/>
                      <w:sz w:val="20"/>
                    </w:rPr>
                    <w:t>输入设备USB抗菌键盘、USB抗菌光电鼠标</w:t>
                  </w:r>
                </w:p>
                <w:p>
                  <w:pPr>
                    <w:pStyle w:val="null3"/>
                    <w:jc w:val="left"/>
                  </w:pPr>
                  <w:r>
                    <w:rPr>
                      <w:rFonts w:ascii="仿宋_GB2312" w:hAnsi="仿宋_GB2312" w:cs="仿宋_GB2312" w:eastAsia="仿宋_GB2312"/>
                      <w:sz w:val="20"/>
                    </w:rPr>
                    <w:t>网卡：主板集成1000M自适应以太网卡；</w:t>
                  </w:r>
                </w:p>
                <w:p>
                  <w:pPr>
                    <w:pStyle w:val="null3"/>
                    <w:jc w:val="left"/>
                  </w:pPr>
                  <w:r>
                    <w:rPr>
                      <w:rFonts w:ascii="仿宋_GB2312" w:hAnsi="仿宋_GB2312" w:cs="仿宋_GB2312" w:eastAsia="仿宋_GB2312"/>
                      <w:sz w:val="20"/>
                    </w:rPr>
                    <w:t>电源：180W能效电源；90%效能转换</w:t>
                  </w:r>
                </w:p>
                <w:p>
                  <w:pPr>
                    <w:pStyle w:val="null3"/>
                    <w:jc w:val="left"/>
                  </w:pPr>
                  <w:r>
                    <w:rPr>
                      <w:rFonts w:ascii="仿宋_GB2312" w:hAnsi="仿宋_GB2312" w:cs="仿宋_GB2312" w:eastAsia="仿宋_GB2312"/>
                      <w:sz w:val="20"/>
                    </w:rPr>
                    <w:t>端口：USB 接口不低于8个（满足前置6个USB 3.2或以上）；1个VGA+HDMI接口，</w:t>
                  </w:r>
                </w:p>
                <w:p>
                  <w:pPr>
                    <w:pStyle w:val="null3"/>
                    <w:jc w:val="left"/>
                  </w:pPr>
                  <w:r>
                    <w:rPr>
                      <w:rFonts w:ascii="仿宋_GB2312" w:hAnsi="仿宋_GB2312" w:cs="仿宋_GB2312" w:eastAsia="仿宋_GB2312"/>
                      <w:sz w:val="20"/>
                    </w:rPr>
                    <w:t xml:space="preserve">显示器：与主机同品牌23.8"宽屏16:9 LED背光液晶显示器，分辨率：1920*1080   </w:t>
                  </w:r>
                </w:p>
                <w:p>
                  <w:pPr>
                    <w:pStyle w:val="null3"/>
                    <w:jc w:val="left"/>
                  </w:pPr>
                  <w:r>
                    <w:rPr>
                      <w:rFonts w:ascii="仿宋_GB2312" w:hAnsi="仿宋_GB2312" w:cs="仿宋_GB2312" w:eastAsia="仿宋_GB2312"/>
                      <w:sz w:val="20"/>
                    </w:rPr>
                    <w:t>操作系统：出厂预装正版windows 11操作系统</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jc w:val="both"/>
            </w:pPr>
            <w:r>
              <w:rPr>
                <w:rFonts w:ascii="仿宋_GB2312" w:hAnsi="仿宋_GB2312" w:cs="仿宋_GB2312" w:eastAsia="仿宋_GB2312"/>
                <w:sz w:val="22"/>
                <w:b/>
              </w:rPr>
              <w:t>本项目核心产品为：</w:t>
            </w:r>
            <w:r>
              <w:rPr>
                <w:rFonts w:ascii="仿宋_GB2312" w:hAnsi="仿宋_GB2312" w:cs="仿宋_GB2312" w:eastAsia="仿宋_GB2312"/>
                <w:sz w:val="22"/>
                <w:b/>
              </w:rPr>
              <w:t>1.</w:t>
            </w:r>
            <w:r>
              <w:rPr>
                <w:rFonts w:ascii="仿宋_GB2312" w:hAnsi="仿宋_GB2312" w:cs="仿宋_GB2312" w:eastAsia="仿宋_GB2312"/>
                <w:sz w:val="22"/>
                <w:b/>
              </w:rPr>
              <w:t>全景智能枪球一体机</w:t>
            </w:r>
            <w:r>
              <w:rPr>
                <w:rFonts w:ascii="仿宋_GB2312" w:hAnsi="仿宋_GB2312" w:cs="仿宋_GB2312" w:eastAsia="仿宋_GB2312"/>
                <w:sz w:val="22"/>
                <w:b/>
              </w:rPr>
              <w:t>；</w:t>
            </w:r>
            <w:r>
              <w:rPr>
                <w:rFonts w:ascii="仿宋_GB2312" w:hAnsi="仿宋_GB2312" w:cs="仿宋_GB2312" w:eastAsia="仿宋_GB2312"/>
                <w:sz w:val="22"/>
                <w:b/>
              </w:rPr>
              <w:t>2.</w:t>
            </w:r>
            <w:r>
              <w:rPr>
                <w:rFonts w:ascii="仿宋_GB2312" w:hAnsi="仿宋_GB2312" w:cs="仿宋_GB2312" w:eastAsia="仿宋_GB2312"/>
                <w:sz w:val="22"/>
                <w:b/>
              </w:rPr>
              <w:t>网络硬盘录像机。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二、商务要求：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交付</w:t>
            </w:r>
            <w:r>
              <w:rPr>
                <w:rFonts w:ascii="仿宋_GB2312" w:hAnsi="仿宋_GB2312" w:cs="仿宋_GB2312" w:eastAsia="仿宋_GB2312"/>
                <w:sz w:val="20"/>
              </w:rPr>
              <w:t>地点：</w:t>
            </w:r>
            <w:r>
              <w:rPr>
                <w:rFonts w:ascii="仿宋_GB2312" w:hAnsi="仿宋_GB2312" w:cs="仿宋_GB2312" w:eastAsia="仿宋_GB2312"/>
                <w:sz w:val="20"/>
              </w:rPr>
              <w:t>商洛市初级中学</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工期</w:t>
            </w:r>
            <w:r>
              <w:rPr>
                <w:rFonts w:ascii="仿宋_GB2312" w:hAnsi="仿宋_GB2312" w:cs="仿宋_GB2312" w:eastAsia="仿宋_GB2312"/>
                <w:sz w:val="20"/>
              </w:rPr>
              <w:t>：自合同签订之日起，</w:t>
            </w:r>
            <w:r>
              <w:rPr>
                <w:rFonts w:ascii="仿宋_GB2312" w:hAnsi="仿宋_GB2312" w:cs="仿宋_GB2312" w:eastAsia="仿宋_GB2312"/>
                <w:sz w:val="20"/>
              </w:rPr>
              <w:t>70日历天交付采购人并验收合格。</w:t>
            </w:r>
          </w:p>
          <w:p>
            <w:pPr>
              <w:pStyle w:val="null3"/>
              <w:ind w:firstLine="400"/>
              <w:jc w:val="left"/>
            </w:pPr>
            <w:r>
              <w:rPr>
                <w:rFonts w:ascii="仿宋_GB2312" w:hAnsi="仿宋_GB2312" w:cs="仿宋_GB2312" w:eastAsia="仿宋_GB2312"/>
                <w:sz w:val="20"/>
              </w:rPr>
              <w:t>3、质保期：2年</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、结算方式与付款方式</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合同签订</w:t>
            </w:r>
            <w:r>
              <w:rPr>
                <w:rFonts w:ascii="仿宋_GB2312" w:hAnsi="仿宋_GB2312" w:cs="仿宋_GB2312" w:eastAsia="仿宋_GB2312"/>
                <w:sz w:val="20"/>
              </w:rPr>
              <w:t>之日起</w:t>
            </w:r>
            <w:r>
              <w:rPr>
                <w:rFonts w:ascii="仿宋_GB2312" w:hAnsi="仿宋_GB2312" w:cs="仿宋_GB2312" w:eastAsia="仿宋_GB2312"/>
                <w:sz w:val="20"/>
              </w:rPr>
              <w:t>甲方应付乙方项目预付款合同额的</w:t>
            </w:r>
            <w:r>
              <w:rPr>
                <w:rFonts w:ascii="仿宋_GB2312" w:hAnsi="仿宋_GB2312" w:cs="仿宋_GB2312" w:eastAsia="仿宋_GB2312"/>
                <w:sz w:val="20"/>
              </w:rPr>
              <w:t>[50%]，按照合同清单所有设备甲方清点核对后，乙方进场施工，竣工后</w:t>
            </w:r>
            <w:r>
              <w:rPr>
                <w:rFonts w:ascii="仿宋_GB2312" w:hAnsi="仿宋_GB2312" w:cs="仿宋_GB2312" w:eastAsia="仿宋_GB2312"/>
                <w:sz w:val="20"/>
              </w:rPr>
              <w:t>甲方应付乙方</w:t>
            </w:r>
            <w:r>
              <w:rPr>
                <w:rFonts w:ascii="仿宋_GB2312" w:hAnsi="仿宋_GB2312" w:cs="仿宋_GB2312" w:eastAsia="仿宋_GB2312"/>
                <w:sz w:val="20"/>
              </w:rPr>
              <w:t>合同额的</w:t>
            </w:r>
            <w:r>
              <w:rPr>
                <w:rFonts w:ascii="仿宋_GB2312" w:hAnsi="仿宋_GB2312" w:cs="仿宋_GB2312" w:eastAsia="仿宋_GB2312"/>
                <w:sz w:val="20"/>
              </w:rPr>
              <w:t>[40%]，</w:t>
            </w:r>
            <w:r>
              <w:rPr>
                <w:rFonts w:ascii="仿宋_GB2312" w:hAnsi="仿宋_GB2312" w:cs="仿宋_GB2312" w:eastAsia="仿宋_GB2312"/>
                <w:sz w:val="20"/>
              </w:rPr>
              <w:t>施工验收合格后，</w:t>
            </w:r>
            <w:r>
              <w:rPr>
                <w:rFonts w:ascii="仿宋_GB2312" w:hAnsi="仿宋_GB2312" w:cs="仿宋_GB2312" w:eastAsia="仿宋_GB2312"/>
                <w:sz w:val="20"/>
              </w:rPr>
              <w:t>甲方应付乙方</w:t>
            </w:r>
            <w:r>
              <w:rPr>
                <w:rFonts w:ascii="仿宋_GB2312" w:hAnsi="仿宋_GB2312" w:cs="仿宋_GB2312" w:eastAsia="仿宋_GB2312"/>
                <w:sz w:val="20"/>
              </w:rPr>
              <w:t>合同额的</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结算方式：银行转账。</w:t>
            </w:r>
          </w:p>
          <w:p>
            <w:pPr>
              <w:pStyle w:val="null3"/>
              <w:jc w:val="both"/>
            </w:pPr>
            <w:r>
              <w:rPr>
                <w:rFonts w:ascii="仿宋_GB2312" w:hAnsi="仿宋_GB2312" w:cs="仿宋_GB2312" w:eastAsia="仿宋_GB2312"/>
                <w:sz w:val="20"/>
                <w:b/>
              </w:rPr>
              <w:t>四、其他</w:t>
            </w:r>
          </w:p>
          <w:p>
            <w:pPr>
              <w:pStyle w:val="null3"/>
              <w:ind w:left="660"/>
              <w:jc w:val="both"/>
            </w:pPr>
            <w:r>
              <w:rPr>
                <w:rFonts w:ascii="仿宋_GB2312" w:hAnsi="仿宋_GB2312" w:cs="仿宋_GB2312" w:eastAsia="仿宋_GB2312"/>
                <w:sz w:val="20"/>
                <w:color w:val="000000"/>
              </w:rPr>
              <w:t>（一）质量验收标准或规范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1）符合国家和行业制定的相应的标准和规范；</w:t>
            </w:r>
          </w:p>
          <w:p>
            <w:pPr>
              <w:pStyle w:val="null3"/>
              <w:ind w:left="660"/>
              <w:jc w:val="both"/>
            </w:pPr>
            <w:r>
              <w:rPr>
                <w:rFonts w:ascii="仿宋_GB2312" w:hAnsi="仿宋_GB2312" w:cs="仿宋_GB2312" w:eastAsia="仿宋_GB2312"/>
                <w:sz w:val="20"/>
                <w:color w:val="000000"/>
              </w:rPr>
              <w:t>（二）违约责任</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按</w:t>
            </w:r>
            <w:r>
              <w:rPr>
                <w:rFonts w:ascii="仿宋_GB2312" w:hAnsi="仿宋_GB2312" w:cs="仿宋_GB2312" w:eastAsia="仿宋_GB2312"/>
                <w:sz w:val="20"/>
              </w:rPr>
              <w:t>《</w:t>
            </w:r>
            <w:r>
              <w:rPr>
                <w:rFonts w:ascii="仿宋_GB2312" w:hAnsi="仿宋_GB2312" w:cs="仿宋_GB2312" w:eastAsia="仿宋_GB2312"/>
                <w:sz w:val="20"/>
                <w:color w:val="222222"/>
                <w:shd w:fill="FFFFFF" w:val="clear"/>
              </w:rPr>
              <w:t>中华人民共和国民法典</w:t>
            </w:r>
            <w:r>
              <w:rPr>
                <w:rFonts w:ascii="仿宋_GB2312" w:hAnsi="仿宋_GB2312" w:cs="仿宋_GB2312" w:eastAsia="仿宋_GB2312"/>
                <w:sz w:val="20"/>
              </w:rPr>
              <w:t>》</w:t>
            </w:r>
            <w:r>
              <w:rPr>
                <w:rFonts w:ascii="仿宋_GB2312" w:hAnsi="仿宋_GB2312" w:cs="仿宋_GB2312" w:eastAsia="仿宋_GB2312"/>
                <w:sz w:val="20"/>
              </w:rPr>
              <w:t>中的相关条款执行。</w:t>
            </w:r>
          </w:p>
          <w:p>
            <w:pPr>
              <w:pStyle w:val="null3"/>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未按合同或磋商文件要求提供合同约定事项不能满足采购人技术要求，采购单位有权单方终止合同，甚至对供应商违约行为进行追究。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1、对于投标报价中清单单价的不平衡报价，其报价高于或低于招标上限控制价中清单综合单价的5%时，工程结算执行招标上限控制价中清单综合单价。拦标价与中标价之间的差额部分由中标人承担。 2、工程竣工结算时，工程量清单项目工程量的变化幅度在10%以内的，其综合单价不做调整，执行原有综合单价；工程量清单项目工程量的变化幅度在10%以外的，且其影响分部分项工程费超过0.1%的，其综合单价以及对应的措施费（如有）均应做调整。调整的方法是由中标企业对增加的工程量或减少后剩余的工程量提出新的综合单价和措施项目费，经建设单位确认并由建设单位报市财政局审定后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报价要求：（1）投标人应结合项目招标要求、自身生产或供应能力、价格水平、货物及服务的全周期综合成本进行报价。（2）投标人在填报投标报价时应综合考虑以下各类价格组成内容，包括但不限于人工费、设备费（主材及辅材）、保险、利润、规费、税金、货物运至最终目的地的运输费、专用工具使用费、伴随货物交运的有关费用等与之相关的一切直接费、间接费。要求的其他相关费用以本招标文件的内容和要求作为投标依据。2、为顺利推进政府采购电子化交易平台试点应用工作，供应商需要在线提交所有通过电子化交易平台实施的政府采购项目的响应文件，发布成交结果公告后，成交供应商应及时向采购代理机构 提交一正二副，书籍（胶装）方式装订的盖章的纸质文件，若正本和副本不一致的，以正本为准。送至陕西省西安市未央区朱宏路福清商会大厦11楼1101室（陕西华达峰信项目管理有限公司）。 3、供应商务必在开标截止时间30分钟前，通过项目电子化交易系统进行签到，如未进行签到，产生的一起后果由供应商自行承担。4、本项目需落实的政府采购政策：（1）《国务院办公厅关于建立政府强制采购节能产品制度的通知》（国办发〔2007〕51号）；（2）《关于印发环境标志产品政府采购品目清单的通知》（财库〔2019〕18号）（3）《关于印发节能产品政府采购品目清单的通知》（财库〔2019〕19号）（4）《财政部 司法部关于政府采购支持监狱企业发展有关问题的通知》（财库〔2014〕68号）；（5）《关于促进残疾人就业政府采购政策的通知》（财库〔2017〕141号）；（6）《关于调整优化节能产品、环境标志产品政府采购执行机制的通知》（财库〔2019〕9号）；（7）《关于运用政府采购政策支持乡村产业振兴的通知》（财库〔2021〕19号）；（8）《政府采购促进中小企业发展管理办法》（财库〔2020〕46号）；（9）《陕西省财政厅关于印发&lt;陕西省中小企业政府采购信用融资办法&gt;的通知》（陕财办采〔2018〕23 号）；（10）陕西省财政厅《关于进一步加强政府绿色采购有关问题的通知》（陕财办采〔2021〕29号）；（11）《关于进一步加大政府采购支持中小企业力度的通知》（财库〔2022〕19号）；（12）《关于扩大政府采购支持绿色建材促进建筑品质提升政策实施范围的通知》（财库〔2022〕35号）；（13）陕西省财政厅 中国人民银行西安分行关于深入推进政府采购信用融资业务通知(陕财办采〔2023〕5号)；（14）其他需执行的政府采购政策。5、本项目非专门面向中小企业采购。6、因系统技术原因，第四章 资格审查中“资格审查由采购人或代理机构组建的资格审查小组依据法律法规和磋商文件的规定，对响应文件中的资格证明等进行审查，以确定投标人是否具备投标资格，并出具资格审查报告。”无法修改。特在此做出说明，本项目资格审查由磋商小组依据法律法规和磋商文件的规定，对响应文件中的资格证明等进行审查，以确定投标人是否具备投标资格，并出具资格审查报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响应文件格式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磋商响应文件构成无重大缺项，按照磋商文件要求的格式编写磋商响应文件。</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磋商报价未超预算或高于最高限价的。</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工期响应磋商文件要求。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评审中出现下列情形之一的，磋商小组应当启动异常低价投标审查程序：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4）磋商小组认为供应商报价过低，有可能影响产品质量或者不能诚信履约的其他情形。</w:t>
            </w:r>
          </w:p>
        </w:tc>
        <w:tc>
          <w:tcPr>
            <w:tcW w:type="dxa" w:w="1661"/>
          </w:tcPr>
          <w:p>
            <w:pPr>
              <w:pStyle w:val="null3"/>
            </w:pPr>
            <w:r>
              <w:rPr>
                <w:rFonts w:ascii="仿宋_GB2312" w:hAnsi="仿宋_GB2312" w:cs="仿宋_GB2312" w:eastAsia="仿宋_GB2312"/>
              </w:rPr>
              <w:t>响应文件格式</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1.技术指标及产品功能全部满足招标文件要求,赋满分30分； 2.技术要求中标“▲”号的技术指标及产品功能，任何一项低于招标要求或不满足，扣2分。非“▲”号任何一项低于招标要求或不满足扣0.5分。扣完为止。（供应商须提供相关技术指标证明材料予以佐证。证明材料不限于检测报告、试验报告、产品彩页、厂家出具的技术证明文件、实物照片、功能截图等。并标注在投标文件中的具体页码。未按要求提供证明材料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根据所投产品品牌及配置清单，从设备先进性、配置完整性、性能稳定性等方面进行综合评审。 产品配置齐全、选型合理、规格描述详细、性能稳定，得6分。 产品配置齐全、选型较合理、规格描述较详细、性能较稳定，得4分。 产品配置齐全、选型一般、性能一般，2分。 产品配置齐全、选型不够合理，得1分。未提供此项不得分。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提供投标产品货源渠道合法的证明文件。证明文件齐全，文件来源合法合规，确保产品性能稳定，无产权纠纷，得3分。（货源渠道证明材料包括但不限于销售协议、代理协议、原厂授权、售后服务承诺函等） 未提供此项不得分。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供货、配送、安装、调试</w:t>
            </w:r>
          </w:p>
        </w:tc>
        <w:tc>
          <w:tcPr>
            <w:tcW w:type="dxa" w:w="2492"/>
          </w:tcPr>
          <w:p>
            <w:pPr>
              <w:pStyle w:val="null3"/>
            </w:pPr>
            <w:r>
              <w:rPr>
                <w:rFonts w:ascii="仿宋_GB2312" w:hAnsi="仿宋_GB2312" w:cs="仿宋_GB2312" w:eastAsia="仿宋_GB2312"/>
              </w:rPr>
              <w:t>提供针对本项目的供货、配送、安装、调试方案。 方案全面完整，针对性强，合理可行、可操作性强，满足项目实际需求，得5分。 方案较全面完整，较有针对性，较合理可行、可操作性较强，得3分。 方案不够全面完整，没有针对性，具有一定的可操作性，得1分。未提供此项不得分。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实施计划和技术人员配备</w:t>
            </w:r>
          </w:p>
        </w:tc>
        <w:tc>
          <w:tcPr>
            <w:tcW w:type="dxa" w:w="2492"/>
          </w:tcPr>
          <w:p>
            <w:pPr>
              <w:pStyle w:val="null3"/>
            </w:pPr>
            <w:r>
              <w:rPr>
                <w:rFonts w:ascii="仿宋_GB2312" w:hAnsi="仿宋_GB2312" w:cs="仿宋_GB2312" w:eastAsia="仿宋_GB2312"/>
              </w:rPr>
              <w:t>提供针对本项目的实施计划和技术人员配备计划。 实施计划全面详细，合理可行，可操作性强，技术人员配备数量充足、岗位职责明确、分工合理，得3分。 实施计划较全面详细，较合理可行，可操作性较强，技术人员配备数量较充足、岗位职责较明确、分工较合理，得2分。 实施计划简单欠合理，岗位职责混乱，得1分 ； 未提供此项不得分。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产品测试、验收措施</w:t>
            </w:r>
          </w:p>
        </w:tc>
        <w:tc>
          <w:tcPr>
            <w:tcW w:type="dxa" w:w="2492"/>
          </w:tcPr>
          <w:p>
            <w:pPr>
              <w:pStyle w:val="null3"/>
            </w:pPr>
            <w:r>
              <w:rPr>
                <w:rFonts w:ascii="仿宋_GB2312" w:hAnsi="仿宋_GB2312" w:cs="仿宋_GB2312" w:eastAsia="仿宋_GB2312"/>
              </w:rPr>
              <w:t>提供针对本项目的产品测试、验收措施计划。 产品测试内容全面，验收计划全面详细，合理可行，可操作性强，得5分。 产品测试内容较全面，验收计划较为全面详细，较为合理可行，可操作性较强，得3分。 产品测试内容简单，验收计划安排不合理，得1分； 未提供此项不得分。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提供可行的售后服务计划、售后服务措施、服务承诺等内容。 售后服务计划、售后服务措施、服务承诺全面详细，合理可行、可操作性强，得6分； 售后服务计划、售后服务措施、服务承诺较全面详细，较合理可行、可操作性较强，得4分； 售后服务计划、售后服务措施、服务承诺不够全面详细，具有可操作性，得2分； 售后服务计划、售后服务措施、服务承诺简单，欠合理，得1分；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提供可行的技术培训方案，保证使用单位能熟练操作维护和正常使用。 培训方案内容齐全，列出了详细的培训内容、培训方式、培训课时、培训人员等内容，合理可行，可操作性强，完全满足项目实施需求，得5分。 培训方案内容较为齐全，列出的培训内容、培训方式、培训课时、培训人员等内容较简单，可操作性一般，可以满足项目实施需求，得3分。 培训方案内容不够齐全，未列出或缺少培训内容、培训方式、培训课时、培训人员等相关内容，得1分。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设备使用期间可能会发生的故障，及故障发生后的响应时间及补救方案。方案中风险故障考虑全面，故障发生后响应时间及时、补救方案合理可行、可操作性强，完全可以保障医院设备的使用需求，得5分。方案中风险故障考虑较为全面，故障发生后响应时间及时、补救方案较为合理可行、可操作性一般，可以保障医院设备的使用需求，得3分。方案中风险故障考虑不够全面，故障发生后响应时间基本满足项目需求、补救方案欠合理，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提供自2023年1月1日起至投标截止日同类项目业绩，提供合同的复印件，以合同的签订日期为准。每提供1份得1分，最高得2分。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各有效供应商的评审价中，取最低的供应商的价格作为基准价。各有效供应商的价格评分统一按照下列公式计算： 价格评分＝（基准价/评审价）×30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