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技术参数清单</w:t>
      </w:r>
    </w:p>
    <w:tbl>
      <w:tblPr>
        <w:tblStyle w:val="2"/>
        <w:tblW w:w="9084"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24"/>
        <w:gridCol w:w="1080"/>
        <w:gridCol w:w="73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24" w:type="dxa"/>
          </w:tcPr>
          <w:p>
            <w:pPr>
              <w:pStyle w:val="4"/>
              <w:jc w:val="center"/>
              <w:rPr>
                <w:b/>
                <w:bCs/>
              </w:rPr>
            </w:pPr>
            <w:r>
              <w:rPr>
                <w:rFonts w:ascii="仿宋_GB2312" w:hAnsi="仿宋_GB2312" w:eastAsia="仿宋_GB2312" w:cs="仿宋_GB2312"/>
                <w:b/>
                <w:bCs/>
              </w:rPr>
              <w:t>序号</w:t>
            </w:r>
          </w:p>
        </w:tc>
        <w:tc>
          <w:tcPr>
            <w:tcW w:w="1080" w:type="dxa"/>
          </w:tcPr>
          <w:p>
            <w:pPr>
              <w:pStyle w:val="4"/>
              <w:jc w:val="center"/>
              <w:rPr>
                <w:b/>
                <w:bCs/>
              </w:rPr>
            </w:pPr>
            <w:r>
              <w:rPr>
                <w:rFonts w:ascii="仿宋_GB2312" w:hAnsi="仿宋_GB2312" w:eastAsia="仿宋_GB2312" w:cs="仿宋_GB2312"/>
                <w:b/>
                <w:bCs/>
              </w:rPr>
              <w:t>参数性质</w:t>
            </w:r>
          </w:p>
        </w:tc>
        <w:tc>
          <w:tcPr>
            <w:tcW w:w="7380" w:type="dxa"/>
          </w:tcPr>
          <w:p>
            <w:pPr>
              <w:pStyle w:val="4"/>
              <w:jc w:val="center"/>
              <w:rPr>
                <w:b/>
                <w:bCs/>
              </w:rPr>
            </w:pPr>
            <w:r>
              <w:rPr>
                <w:rFonts w:ascii="仿宋_GB2312" w:hAnsi="仿宋_GB2312" w:eastAsia="仿宋_GB2312" w:cs="仿宋_GB2312"/>
                <w:b/>
                <w:bCs/>
              </w:rPr>
              <w:t>技术参数与性能指标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24" w:type="dxa"/>
            <w:vAlign w:val="center"/>
          </w:tcPr>
          <w:p>
            <w:pPr>
              <w:pStyle w:val="4"/>
              <w:jc w:val="center"/>
            </w:pPr>
            <w:r>
              <w:rPr>
                <w:rFonts w:ascii="仿宋_GB2312" w:hAnsi="仿宋_GB2312" w:eastAsia="仿宋_GB2312" w:cs="仿宋_GB2312"/>
              </w:rPr>
              <w:t>1</w:t>
            </w:r>
          </w:p>
        </w:tc>
        <w:tc>
          <w:tcPr>
            <w:tcW w:w="1080" w:type="dxa"/>
            <w:vAlign w:val="center"/>
          </w:tcPr>
          <w:p>
            <w:pPr>
              <w:jc w:val="center"/>
            </w:pPr>
          </w:p>
        </w:tc>
        <w:tc>
          <w:tcPr>
            <w:tcW w:w="7380" w:type="dxa"/>
          </w:tcPr>
          <w:p>
            <w:pPr>
              <w:pStyle w:val="4"/>
              <w:jc w:val="both"/>
              <w:rPr>
                <w:rFonts w:ascii="仿宋_GB2312" w:hAnsi="仿宋_GB2312" w:eastAsia="仿宋_GB2312" w:cs="仿宋_GB2312"/>
                <w:b/>
                <w:sz w:val="20"/>
              </w:rPr>
            </w:pPr>
            <w:r>
              <w:rPr>
                <w:rFonts w:ascii="仿宋_GB2312" w:hAnsi="仿宋_GB2312" w:eastAsia="仿宋_GB2312" w:cs="仿宋_GB2312"/>
                <w:b/>
                <w:sz w:val="20"/>
              </w:rPr>
              <w:t>一、技术参数：</w:t>
            </w:r>
          </w:p>
          <w:p>
            <w:pPr>
              <w:pStyle w:val="4"/>
              <w:jc w:val="both"/>
              <w:rPr>
                <w:rFonts w:ascii="仿宋_GB2312" w:hAnsi="仿宋_GB2312" w:eastAsia="仿宋_GB2312" w:cs="仿宋_GB2312"/>
                <w:b/>
                <w:sz w:val="20"/>
              </w:rPr>
            </w:pPr>
            <w:r>
              <w:rPr>
                <w:rFonts w:ascii="仿宋_GB2312" w:hAnsi="仿宋_GB2312" w:eastAsia="仿宋_GB2312" w:cs="仿宋_GB2312"/>
                <w:b/>
                <w:sz w:val="20"/>
              </w:rPr>
              <w:t>AI 智 能 安 全</w:t>
            </w:r>
          </w:p>
          <w:tbl>
            <w:tblPr>
              <w:tblStyle w:val="2"/>
              <w:tblW w:w="6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710"/>
              <w:gridCol w:w="4271"/>
              <w:gridCol w:w="675"/>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pPr>
                  <w:r>
                    <w:rPr>
                      <w:rFonts w:ascii="仿宋_GB2312" w:hAnsi="仿宋_GB2312" w:eastAsia="仿宋_GB2312" w:cs="仿宋_GB2312"/>
                      <w:b/>
                      <w:sz w:val="20"/>
                    </w:rPr>
                    <w:t>序号</w:t>
                  </w:r>
                </w:p>
              </w:tc>
              <w:tc>
                <w:tcPr>
                  <w:tcW w:w="710" w:type="dxa"/>
                  <w:tcMar>
                    <w:top w:w="0" w:type="dxa"/>
                    <w:left w:w="105" w:type="dxa"/>
                    <w:bottom w:w="0" w:type="dxa"/>
                    <w:right w:w="105" w:type="dxa"/>
                  </w:tcMar>
                  <w:vAlign w:val="top"/>
                </w:tcPr>
                <w:p>
                  <w:pPr>
                    <w:pStyle w:val="4"/>
                    <w:jc w:val="center"/>
                  </w:pPr>
                  <w:r>
                    <w:rPr>
                      <w:rFonts w:ascii="仿宋_GB2312" w:hAnsi="仿宋_GB2312" w:eastAsia="仿宋_GB2312" w:cs="仿宋_GB2312"/>
                      <w:b/>
                      <w:sz w:val="20"/>
                    </w:rPr>
                    <w:t>产品</w:t>
                  </w:r>
                </w:p>
              </w:tc>
              <w:tc>
                <w:tcPr>
                  <w:tcW w:w="4271" w:type="dxa"/>
                  <w:tcMar>
                    <w:top w:w="0" w:type="dxa"/>
                    <w:left w:w="105" w:type="dxa"/>
                    <w:bottom w:w="0" w:type="dxa"/>
                    <w:right w:w="105" w:type="dxa"/>
                  </w:tcMar>
                  <w:vAlign w:val="top"/>
                </w:tcPr>
                <w:p>
                  <w:pPr>
                    <w:pStyle w:val="4"/>
                    <w:jc w:val="center"/>
                  </w:pPr>
                  <w:r>
                    <w:rPr>
                      <w:rFonts w:ascii="仿宋_GB2312" w:hAnsi="仿宋_GB2312" w:eastAsia="仿宋_GB2312" w:cs="仿宋_GB2312"/>
                      <w:b/>
                      <w:sz w:val="20"/>
                    </w:rPr>
                    <w:t>技术参数</w:t>
                  </w:r>
                </w:p>
              </w:tc>
              <w:tc>
                <w:tcPr>
                  <w:tcW w:w="675" w:type="dxa"/>
                  <w:tcMar>
                    <w:top w:w="0" w:type="dxa"/>
                    <w:left w:w="105" w:type="dxa"/>
                    <w:bottom w:w="0" w:type="dxa"/>
                    <w:right w:w="105" w:type="dxa"/>
                  </w:tcMar>
                  <w:vAlign w:val="top"/>
                </w:tcPr>
                <w:p>
                  <w:pPr>
                    <w:pStyle w:val="4"/>
                    <w:jc w:val="center"/>
                  </w:pPr>
                  <w:r>
                    <w:rPr>
                      <w:rFonts w:ascii="仿宋_GB2312" w:hAnsi="仿宋_GB2312" w:eastAsia="仿宋_GB2312" w:cs="仿宋_GB2312"/>
                      <w:b/>
                      <w:sz w:val="20"/>
                    </w:rPr>
                    <w:t>单位</w:t>
                  </w:r>
                </w:p>
              </w:tc>
              <w:tc>
                <w:tcPr>
                  <w:tcW w:w="695" w:type="dxa"/>
                  <w:tcMar>
                    <w:top w:w="0" w:type="dxa"/>
                    <w:left w:w="105" w:type="dxa"/>
                    <w:bottom w:w="0" w:type="dxa"/>
                    <w:right w:w="105" w:type="dxa"/>
                  </w:tcMar>
                  <w:vAlign w:val="top"/>
                </w:tcPr>
                <w:p>
                  <w:pPr>
                    <w:pStyle w:val="4"/>
                    <w:jc w:val="center"/>
                  </w:pPr>
                  <w:r>
                    <w:rPr>
                      <w:rFonts w:ascii="仿宋_GB2312" w:hAnsi="仿宋_GB2312" w:eastAsia="仿宋_GB2312" w:cs="仿宋_GB2312"/>
                      <w:b/>
                      <w:sz w:val="20"/>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▲全景网络摄像机</w:t>
                  </w:r>
                </w:p>
              </w:tc>
              <w:tc>
                <w:tcPr>
                  <w:tcW w:w="4271" w:type="dxa"/>
                  <w:tcMar>
                    <w:top w:w="0" w:type="dxa"/>
                    <w:left w:w="105" w:type="dxa"/>
                    <w:bottom w:w="0" w:type="dxa"/>
                    <w:right w:w="105" w:type="dxa"/>
                  </w:tcMar>
                  <w:vAlign w:val="top"/>
                </w:tcPr>
                <w:p>
                  <w:pPr>
                    <w:pStyle w:val="4"/>
                    <w:jc w:val="left"/>
                    <w:rPr>
                      <w:highlight w:val="none"/>
                    </w:rPr>
                  </w:pPr>
                  <w:r>
                    <w:rPr>
                      <w:rFonts w:ascii="仿宋_GB2312" w:hAnsi="仿宋_GB2312" w:eastAsia="仿宋_GB2312" w:cs="仿宋_GB2312"/>
                      <w:highlight w:val="none"/>
                    </w:rPr>
                    <w:t>最低照度: ≤0.0005 Lux 传感器 ≥ 1/2.5" ≥400万 支持: 移动侦测，遮挡报警，异常 报警越界侦测、区域入侵侦测 接口 摄像机输出接口：RJ45，10M/100M自适应以太网口 支持一路音频，彩全彩夜视    网络协议: 支持协议：TCP/IP、HTTP、UDP，网络视频接口开放型，支持H.264 H.265 支持Smart265编码工作温湿度: -30 °C~60 °C，供电方式供电方式：支持DC12V和PoE+(802.3at)防水防护等级: ≥IP66</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2</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▲全景智能枪球一体机</w:t>
                  </w:r>
                </w:p>
              </w:tc>
              <w:tc>
                <w:tcPr>
                  <w:tcW w:w="4271" w:type="dxa"/>
                  <w:shd w:val="clear" w:color="auto" w:fill="auto"/>
                  <w:tcMar>
                    <w:top w:w="0" w:type="dxa"/>
                    <w:left w:w="105" w:type="dxa"/>
                    <w:bottom w:w="0" w:type="dxa"/>
                    <w:right w:w="105" w:type="dxa"/>
                  </w:tcMar>
                  <w:vAlign w:val="top"/>
                </w:tcPr>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360°全景视角可全彩变焦</w:t>
                  </w:r>
                </w:p>
                <w:p>
                  <w:pPr>
                    <w:pStyle w:val="4"/>
                    <w:rPr>
                      <w:rFonts w:hint="default" w:ascii="仿宋_GB2312" w:hAnsi="仿宋_GB2312" w:eastAsia="仿宋_GB2312" w:cs="仿宋_GB2312"/>
                      <w:highlight w:val="none"/>
                      <w:lang w:val="en-US" w:eastAsia="zh-Hans"/>
                    </w:rPr>
                  </w:pPr>
                  <w:r>
                    <w:rPr>
                      <w:rFonts w:ascii="仿宋_GB2312" w:hAnsi="仿宋_GB2312" w:eastAsia="仿宋_GB2312" w:cs="仿宋_GB2312"/>
                      <w:highlight w:val="none"/>
                    </w:rPr>
                    <w:t>传感器类型：全景：1/1.8英寸CMOS；细节：1/2.8英寸CMOS；像素：全景：400万；细节：400万；≥20倍光学变倍 支持音频: 1路音频输入，输出网络接口: RJ45网口;自适应10M/100M网络数据，支持SD卡槽  支持网络协议：TCP/IP、HTTP、UDP、并具备国际通用ONVIF协议支持第三放平台接入;GB/T28181协议:  支持IE客户端访问 白光≥30m 红外距离≥150 m；支持除雾: 支持预置点≥300个巡航扫描:最大支持8轨迹，有断恢复功能:: 双镜头设计: 【全景】≥2560 ×1440，编码支持Smart 264: 支持Smart 265:）: 支持人脸抓拍: 抓拍≥5张，多功能检测: 移动侦测;遮挡报警: 区域入侵侦测、越界侦测、进入区域侦测、离开区域侦测、工作温湿度不低于: -30℃-65℃防水防护等级≥IP66室外</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3</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▲室外高清网络摄像机</w:t>
                  </w:r>
                </w:p>
              </w:tc>
              <w:tc>
                <w:tcPr>
                  <w:tcW w:w="4271" w:type="dxa"/>
                  <w:tcMar>
                    <w:top w:w="0" w:type="dxa"/>
                    <w:left w:w="105" w:type="dxa"/>
                    <w:bottom w:w="0" w:type="dxa"/>
                    <w:right w:w="105" w:type="dxa"/>
                  </w:tcMar>
                  <w:vAlign w:val="top"/>
                </w:tcPr>
                <w:p>
                  <w:pPr>
                    <w:pStyle w:val="4"/>
                    <w:jc w:val="left"/>
                    <w:rPr>
                      <w:highlight w:val="none"/>
                    </w:rPr>
                  </w:pPr>
                  <w:r>
                    <w:rPr>
                      <w:rFonts w:ascii="仿宋_GB2312" w:hAnsi="仿宋_GB2312" w:eastAsia="仿宋_GB2312" w:cs="仿宋_GB2312"/>
                      <w:highlight w:val="none"/>
                    </w:rPr>
                    <w:t>≥600万像素最低照度: 彩色：≤0.005 Lux 支持报警出触发: 移动侦测。接口网络: 1个RJ45 10 M/100 M自适应以太网口，支持1路内置音频 红外距离≥50 m，白光距离≥30 m支持网络协议：TCP/IP、HTTP、UDP、: 开放型网络视频接口，ISAPI，SDK，GB28181（2016）自定义切换图像增强: 背光补偿，强光抑制等，3D数字降噪</w:t>
                  </w:r>
                  <w:r>
                    <w:rPr>
                      <w:rFonts w:ascii="仿宋_GB2312" w:hAnsi="仿宋_GB2312" w:eastAsia="仿宋_GB2312" w:cs="仿宋_GB2312"/>
                      <w:highlight w:val="none"/>
                      <w:lang w:eastAsia="zh-CN"/>
                    </w:rPr>
                    <w:t>；</w:t>
                  </w:r>
                  <w:r>
                    <w:rPr>
                      <w:rFonts w:ascii="仿宋_GB2312" w:hAnsi="仿宋_GB2312" w:eastAsia="仿宋_GB2312" w:cs="仿宋_GB2312"/>
                      <w:highlight w:val="none"/>
                    </w:rPr>
                    <w:t>工作温湿度不低于: -30 °C~60 °C供电方式：支持DC12V和PoE+(802.3at)防水防护等级: ≥IP66</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4</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▲网络周界防范摄像机</w:t>
                  </w:r>
                </w:p>
              </w:tc>
              <w:tc>
                <w:tcPr>
                  <w:tcW w:w="4271" w:type="dxa"/>
                  <w:tcMar>
                    <w:top w:w="0" w:type="dxa"/>
                    <w:left w:w="105" w:type="dxa"/>
                    <w:bottom w:w="0" w:type="dxa"/>
                    <w:right w:w="105" w:type="dxa"/>
                  </w:tcMar>
                  <w:vAlign w:val="top"/>
                </w:tcPr>
                <w:p>
                  <w:pPr>
                    <w:pStyle w:val="4"/>
                    <w:jc w:val="left"/>
                    <w:rPr>
                      <w:highlight w:val="none"/>
                    </w:rPr>
                  </w:pPr>
                  <w:r>
                    <w:rPr>
                      <w:rFonts w:ascii="仿宋_GB2312" w:hAnsi="仿宋_GB2312" w:eastAsia="仿宋_GB2312" w:cs="仿宋_GB2312"/>
                      <w:highlight w:val="none"/>
                    </w:rPr>
                    <w:t>传感器: ≥1/1.8"  ≥400万像素最低照度: 彩色：≤0.0005 Lux @支持声音报警输出，报警联动，报警科实现 越界侦测，区域入侵侦测，进入区域侦测，离开区域侦测 支持RESET 按键，支持IE启动，认证防护: IP66音频音频环境噪声过滤: 支持1路报警输入，1路报警输出，支持音频: 1个内置麦克风，1个内置扬声器1路输入（Line in）</w:t>
                  </w:r>
                  <w:r>
                    <w:rPr>
                      <w:rFonts w:ascii="仿宋_GB2312" w:hAnsi="仿宋_GB2312" w:eastAsia="仿宋_GB2312" w:cs="仿宋_GB2312"/>
                      <w:highlight w:val="none"/>
                      <w:lang w:eastAsia="zh-CN"/>
                    </w:rPr>
                    <w:t>；</w:t>
                  </w:r>
                  <w:r>
                    <w:rPr>
                      <w:rFonts w:ascii="仿宋_GB2312" w:hAnsi="仿宋_GB2312" w:eastAsia="仿宋_GB2312" w:cs="仿宋_GB2312"/>
                      <w:highlight w:val="none"/>
                    </w:rPr>
                    <w:t>支持网络 1个RJ45 10 M/100 M自适应以太网口，智能编码: 支持H.265+智能编码设置1个固定区域图像日夜转换模式自定时切换</w:t>
                  </w:r>
                  <w:r>
                    <w:rPr>
                      <w:rFonts w:ascii="仿宋_GB2312" w:hAnsi="仿宋_GB2312" w:eastAsia="仿宋_GB2312" w:cs="仿宋_GB2312"/>
                      <w:highlight w:val="none"/>
                      <w:lang w:eastAsia="zh-CN"/>
                    </w:rPr>
                    <w:t>。</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pPr>
                  <w:r>
                    <w:rPr>
                      <w:rFonts w:ascii="仿宋_GB2312" w:hAnsi="仿宋_GB2312" w:eastAsia="仿宋_GB2312" w:cs="仿宋_GB2312"/>
                      <w:sz w:val="20"/>
                    </w:rPr>
                    <w:t>5</w:t>
                  </w:r>
                </w:p>
              </w:tc>
              <w:tc>
                <w:tcPr>
                  <w:tcW w:w="710" w:type="dxa"/>
                  <w:tcMar>
                    <w:top w:w="0" w:type="dxa"/>
                    <w:left w:w="105" w:type="dxa"/>
                    <w:bottom w:w="0" w:type="dxa"/>
                    <w:right w:w="105" w:type="dxa"/>
                  </w:tcMar>
                  <w:vAlign w:val="top"/>
                </w:tcPr>
                <w:p>
                  <w:pPr>
                    <w:pStyle w:val="4"/>
                    <w:jc w:val="center"/>
                  </w:pPr>
                  <w:r>
                    <w:rPr>
                      <w:rFonts w:ascii="仿宋_GB2312" w:hAnsi="仿宋_GB2312" w:eastAsia="仿宋_GB2312" w:cs="仿宋_GB2312"/>
                      <w:sz w:val="20"/>
                    </w:rPr>
                    <w:t>球机支架</w:t>
                  </w:r>
                </w:p>
              </w:tc>
              <w:tc>
                <w:tcPr>
                  <w:tcW w:w="4271" w:type="dxa"/>
                  <w:tcMar>
                    <w:top w:w="0" w:type="dxa"/>
                    <w:left w:w="105" w:type="dxa"/>
                    <w:bottom w:w="0" w:type="dxa"/>
                    <w:right w:w="105" w:type="dxa"/>
                  </w:tcMar>
                  <w:vAlign w:val="top"/>
                </w:tcPr>
                <w:p>
                  <w:pPr>
                    <w:pStyle w:val="4"/>
                    <w:jc w:val="left"/>
                  </w:pPr>
                  <w:r>
                    <w:rPr>
                      <w:rFonts w:ascii="仿宋_GB2312" w:hAnsi="仿宋_GB2312" w:eastAsia="仿宋_GB2312" w:cs="仿宋_GB2312"/>
                      <w:sz w:val="20"/>
                    </w:rPr>
                    <w:t>含设备安装调试及相关配套施工辅材</w:t>
                  </w:r>
                </w:p>
              </w:tc>
              <w:tc>
                <w:tcPr>
                  <w:tcW w:w="675" w:type="dxa"/>
                  <w:tcMar>
                    <w:top w:w="0" w:type="dxa"/>
                    <w:left w:w="105" w:type="dxa"/>
                    <w:bottom w:w="0" w:type="dxa"/>
                    <w:right w:w="105" w:type="dxa"/>
                  </w:tcMar>
                  <w:vAlign w:val="top"/>
                </w:tcPr>
                <w:p>
                  <w:pPr>
                    <w:pStyle w:val="4"/>
                    <w:jc w:val="center"/>
                  </w:pPr>
                  <w:r>
                    <w:rPr>
                      <w:rFonts w:ascii="仿宋_GB2312" w:hAnsi="仿宋_GB2312" w:eastAsia="仿宋_GB2312" w:cs="仿宋_GB2312"/>
                      <w:sz w:val="20"/>
                    </w:rPr>
                    <w:t>个</w:t>
                  </w:r>
                </w:p>
              </w:tc>
              <w:tc>
                <w:tcPr>
                  <w:tcW w:w="695" w:type="dxa"/>
                  <w:tcMar>
                    <w:top w:w="0" w:type="dxa"/>
                    <w:left w:w="105" w:type="dxa"/>
                    <w:bottom w:w="0" w:type="dxa"/>
                    <w:right w:w="105" w:type="dxa"/>
                  </w:tcMar>
                  <w:vAlign w:val="top"/>
                </w:tcPr>
                <w:p>
                  <w:pPr>
                    <w:pStyle w:val="4"/>
                    <w:jc w:val="center"/>
                  </w:pPr>
                  <w:r>
                    <w:rPr>
                      <w:rFonts w:ascii="仿宋_GB2312" w:hAnsi="仿宋_GB2312" w:eastAsia="仿宋_GB2312" w:cs="仿宋_GB2312"/>
                      <w:sz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6</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▲室内彩色半球</w:t>
                  </w:r>
                </w:p>
              </w:tc>
              <w:tc>
                <w:tcPr>
                  <w:tcW w:w="4271" w:type="dxa"/>
                  <w:tcMar>
                    <w:top w:w="0" w:type="dxa"/>
                    <w:left w:w="105" w:type="dxa"/>
                    <w:bottom w:w="0" w:type="dxa"/>
                    <w:right w:w="105" w:type="dxa"/>
                  </w:tcMar>
                  <w:vAlign w:val="top"/>
                </w:tcPr>
                <w:p>
                  <w:pPr>
                    <w:pStyle w:val="4"/>
                    <w:jc w:val="left"/>
                    <w:rPr>
                      <w:highlight w:val="none"/>
                    </w:rPr>
                  </w:pPr>
                  <w:r>
                    <w:rPr>
                      <w:rFonts w:ascii="仿宋_GB2312" w:hAnsi="仿宋_GB2312" w:eastAsia="仿宋_GB2312" w:cs="仿宋_GB2312"/>
                      <w:highlight w:val="none"/>
                    </w:rPr>
                    <w:t>摄像机传感器数值参考1/3" CMOS ICR日夜型半球型网络摄像机400万像素，支持低照度: 彩色：0.005 Lux @（F1.2，AGC ON)），黑白：0 Lux with IR宽动态: 120 dB调节角度: 水平：0°~360°，垂直：0°</w:t>
                  </w:r>
                  <w:r>
                    <w:rPr>
                      <w:rFonts w:ascii="仿宋_GB2312" w:hAnsi="仿宋_GB2312" w:eastAsia="仿宋_GB2312" w:cs="仿宋_GB2312"/>
                      <w:color w:val="0000FF"/>
                      <w:highlight w:val="none"/>
                    </w:rPr>
                    <w:t>~75°</w:t>
                  </w:r>
                  <w:r>
                    <w:rPr>
                      <w:rFonts w:ascii="仿宋_GB2312" w:hAnsi="仿宋_GB2312" w:eastAsia="仿宋_GB2312" w:cs="仿宋_GB2312"/>
                      <w:highlight w:val="none"/>
                    </w:rPr>
                    <w:t>，旋转：0°~360°</w:t>
                  </w:r>
                  <w:r>
                    <w:rPr>
                      <w:rFonts w:ascii="仿宋_GB2312" w:hAnsi="仿宋_GB2312" w:eastAsia="仿宋_GB2312" w:cs="仿宋_GB2312"/>
                      <w:highlight w:val="none"/>
                      <w:lang w:eastAsia="zh-CN"/>
                    </w:rPr>
                    <w:t>；</w:t>
                  </w:r>
                  <w:r>
                    <w:rPr>
                      <w:rFonts w:ascii="仿宋_GB2312" w:hAnsi="仿宋_GB2312" w:eastAsia="仿宋_GB2312" w:cs="仿宋_GB2312"/>
                      <w:highlight w:val="none"/>
                    </w:rPr>
                    <w:t>红外灯补光距离≥30 m支持编码规格H.265/H.264支持音频内置音频:1个RJ45 10 M/100 M自适应以太网口供电方式供电方式：支持DC12V和PoE+(802.3at)防水防护等级: ≥IP66，可靠性高</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7</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▲室内筒形彩色网络摄像机</w:t>
                  </w:r>
                </w:p>
              </w:tc>
              <w:tc>
                <w:tcPr>
                  <w:tcW w:w="4271" w:type="dxa"/>
                  <w:tcMar>
                    <w:top w:w="0" w:type="dxa"/>
                    <w:left w:w="105" w:type="dxa"/>
                    <w:bottom w:w="0" w:type="dxa"/>
                    <w:right w:w="105" w:type="dxa"/>
                  </w:tcMar>
                  <w:vAlign w:val="top"/>
                </w:tcPr>
                <w:p>
                  <w:pPr>
                    <w:pStyle w:val="4"/>
                    <w:jc w:val="left"/>
                    <w:rPr>
                      <w:highlight w:val="none"/>
                    </w:rPr>
                  </w:pPr>
                  <w:r>
                    <w:rPr>
                      <w:rFonts w:ascii="仿宋_GB2312" w:hAnsi="仿宋_GB2312" w:eastAsia="仿宋_GB2312" w:cs="仿宋_GB2312"/>
                      <w:highlight w:val="none"/>
                    </w:rPr>
                    <w:t>筒型网络摄像机最高分辨率可达2560 × 1440 @25 fps，网络视频接口，ISAPI，SDK，GB28181协议，可靠性高传感器数值参考值1/</w:t>
                  </w:r>
                  <w:r>
                    <w:rPr>
                      <w:rFonts w:ascii="仿宋_GB2312" w:hAnsi="仿宋_GB2312" w:eastAsia="仿宋_GB2312" w:cs="仿宋_GB2312"/>
                      <w:highlight w:val="none"/>
                      <w:lang w:eastAsia="zh-CN"/>
                    </w:rPr>
                    <w:t>3</w:t>
                  </w:r>
                  <w:r>
                    <w:rPr>
                      <w:rFonts w:hint="default" w:ascii="仿宋_GB2312" w:hAnsi="仿宋_GB2312" w:eastAsia="仿宋_GB2312" w:cs="仿宋_GB2312"/>
                      <w:highlight w:val="none"/>
                      <w:lang w:eastAsia="zh-CN"/>
                    </w:rPr>
                    <w:t xml:space="preserve"> </w:t>
                  </w:r>
                  <w:r>
                    <w:rPr>
                      <w:rFonts w:ascii="仿宋_GB2312" w:hAnsi="仿宋_GB2312" w:eastAsia="仿宋_GB2312" w:cs="仿宋_GB2312"/>
                      <w:highlight w:val="none"/>
                    </w:rPr>
                    <w:t>Progressive Scan CMOS 最大图像尺寸：2560 × 1440 宽动态：数字宽动态</w:t>
                  </w:r>
                  <w:r>
                    <w:rPr>
                      <w:rFonts w:ascii="仿宋_GB2312" w:hAnsi="仿宋_GB2312" w:eastAsia="仿宋_GB2312" w:cs="仿宋_GB2312"/>
                      <w:highlight w:val="none"/>
                      <w:lang w:eastAsia="zh-CN"/>
                    </w:rPr>
                    <w:t>；</w:t>
                  </w:r>
                  <w:r>
                    <w:rPr>
                      <w:rFonts w:ascii="仿宋_GB2312" w:hAnsi="仿宋_GB2312" w:eastAsia="仿宋_GB2312" w:cs="仿宋_GB2312"/>
                      <w:highlight w:val="none"/>
                    </w:rPr>
                    <w:t>支持平台接入，支持 补红外灯补光距离：最远距离≥50 m支持1路内置麦克风输入输出，最少不低于1个RJ45 10 M/100 M自适应以太网口支持DC12V和PoE+(802.3at)防水防护等级: ≥IP66</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ascii="仿宋_GB2312" w:hAnsi="仿宋_GB2312" w:eastAsia="仿宋_GB2312" w:cs="仿宋_GB2312"/>
                      <w:sz w:val="20"/>
                      <w:highlight w:val="none"/>
                      <w:lang w:val="en-US" w:eastAsia="zh-CN"/>
                    </w:rPr>
                  </w:pPr>
                  <w:r>
                    <w:rPr>
                      <w:rFonts w:hint="eastAsia" w:ascii="仿宋_GB2312" w:hAnsi="仿宋_GB2312" w:eastAsia="仿宋_GB2312" w:cs="仿宋_GB2312"/>
                      <w:sz w:val="20"/>
                      <w:highlight w:val="none"/>
                      <w:lang w:val="en-US" w:eastAsia="zh-CN"/>
                    </w:rPr>
                    <w:t>8</w:t>
                  </w:r>
                </w:p>
              </w:tc>
              <w:tc>
                <w:tcPr>
                  <w:tcW w:w="710" w:type="dxa"/>
                  <w:tcMar>
                    <w:top w:w="0" w:type="dxa"/>
                    <w:left w:w="105" w:type="dxa"/>
                    <w:bottom w:w="0" w:type="dxa"/>
                    <w:right w:w="105" w:type="dxa"/>
                  </w:tcMar>
                  <w:vAlign w:val="top"/>
                </w:tcPr>
                <w:p>
                  <w:pPr>
                    <w:pStyle w:val="4"/>
                    <w:jc w:val="center"/>
                    <w:rPr>
                      <w:rFonts w:ascii="仿宋_GB2312" w:hAnsi="仿宋_GB2312" w:eastAsia="仿宋_GB2312" w:cs="仿宋_GB2312"/>
                      <w:sz w:val="20"/>
                      <w:highlight w:val="none"/>
                    </w:rPr>
                  </w:pPr>
                  <w:r>
                    <w:rPr>
                      <w:rFonts w:ascii="仿宋_GB2312" w:hAnsi="仿宋_GB2312" w:eastAsia="仿宋_GB2312" w:cs="仿宋_GB2312"/>
                      <w:sz w:val="20"/>
                      <w:highlight w:val="none"/>
                    </w:rPr>
                    <w:t>摄像机支架</w:t>
                  </w:r>
                </w:p>
              </w:tc>
              <w:tc>
                <w:tcPr>
                  <w:tcW w:w="4271" w:type="dxa"/>
                  <w:tcMar>
                    <w:top w:w="0" w:type="dxa"/>
                    <w:left w:w="105" w:type="dxa"/>
                    <w:bottom w:w="0" w:type="dxa"/>
                    <w:right w:w="105" w:type="dxa"/>
                  </w:tcMar>
                  <w:vAlign w:val="top"/>
                </w:tcPr>
                <w:p>
                  <w:pPr>
                    <w:pStyle w:val="4"/>
                    <w:jc w:val="left"/>
                    <w:rPr>
                      <w:rFonts w:hint="eastAsia" w:ascii="仿宋_GB2312" w:hAnsi="仿宋_GB2312" w:eastAsia="仿宋_GB2312" w:cs="仿宋_GB2312"/>
                      <w:sz w:val="20"/>
                      <w:highlight w:val="none"/>
                      <w:lang w:eastAsia="zh-CN"/>
                    </w:rPr>
                  </w:pPr>
                  <w:r>
                    <w:rPr>
                      <w:rFonts w:ascii="仿宋_GB2312" w:hAnsi="仿宋_GB2312" w:eastAsia="仿宋_GB2312" w:cs="仿宋_GB2312"/>
                      <w:sz w:val="20"/>
                      <w:highlight w:val="none"/>
                    </w:rPr>
                    <w:t>适用范围适合枪型、筒型、一体型摄像机壁装材料铝合金</w:t>
                  </w:r>
                  <w:r>
                    <w:rPr>
                      <w:rFonts w:hint="eastAsia" w:ascii="仿宋_GB2312" w:hAnsi="仿宋_GB2312" w:eastAsia="仿宋_GB2312" w:cs="仿宋_GB2312"/>
                      <w:sz w:val="20"/>
                      <w:highlight w:val="none"/>
                      <w:lang w:eastAsia="zh-CN"/>
                    </w:rPr>
                    <w:t>。</w:t>
                  </w:r>
                </w:p>
              </w:tc>
              <w:tc>
                <w:tcPr>
                  <w:tcW w:w="675" w:type="dxa"/>
                  <w:tcMar>
                    <w:top w:w="0" w:type="dxa"/>
                    <w:left w:w="105" w:type="dxa"/>
                    <w:bottom w:w="0" w:type="dxa"/>
                    <w:right w:w="105" w:type="dxa"/>
                  </w:tcMar>
                  <w:vAlign w:val="top"/>
                </w:tcPr>
                <w:p>
                  <w:pPr>
                    <w:pStyle w:val="4"/>
                    <w:jc w:val="center"/>
                    <w:rPr>
                      <w:rFonts w:hint="eastAsia" w:ascii="仿宋_GB2312" w:hAnsi="仿宋_GB2312" w:eastAsia="仿宋_GB2312" w:cs="仿宋_GB2312"/>
                      <w:sz w:val="20"/>
                      <w:highlight w:val="none"/>
                      <w:lang w:val="en-US" w:eastAsia="zh-CN"/>
                    </w:rPr>
                  </w:pPr>
                  <w:r>
                    <w:rPr>
                      <w:rFonts w:hint="eastAsia" w:ascii="仿宋_GB2312" w:hAnsi="仿宋_GB2312" w:eastAsia="仿宋_GB2312" w:cs="仿宋_GB2312"/>
                      <w:sz w:val="20"/>
                      <w:highlight w:val="none"/>
                      <w:lang w:val="en-US" w:eastAsia="zh-CN"/>
                    </w:rPr>
                    <w:t>个</w:t>
                  </w:r>
                </w:p>
              </w:tc>
              <w:tc>
                <w:tcPr>
                  <w:tcW w:w="695" w:type="dxa"/>
                  <w:tcMar>
                    <w:top w:w="0" w:type="dxa"/>
                    <w:left w:w="105" w:type="dxa"/>
                    <w:bottom w:w="0" w:type="dxa"/>
                    <w:right w:w="105" w:type="dxa"/>
                  </w:tcMar>
                  <w:vAlign w:val="top"/>
                </w:tcPr>
                <w:p>
                  <w:pPr>
                    <w:pStyle w:val="4"/>
                    <w:jc w:val="center"/>
                    <w:rPr>
                      <w:rFonts w:hint="default" w:ascii="仿宋_GB2312" w:hAnsi="仿宋_GB2312" w:eastAsia="仿宋_GB2312" w:cs="仿宋_GB2312"/>
                      <w:sz w:val="20"/>
                      <w:highlight w:val="none"/>
                      <w:lang w:val="en-US" w:eastAsia="zh-CN"/>
                    </w:rPr>
                  </w:pPr>
                  <w:r>
                    <w:rPr>
                      <w:rFonts w:hint="eastAsia" w:ascii="仿宋_GB2312" w:hAnsi="仿宋_GB2312" w:eastAsia="仿宋_GB2312" w:cs="仿宋_GB2312"/>
                      <w:sz w:val="20"/>
                      <w:highlight w:val="none"/>
                      <w:lang w:val="en-US" w:eastAsia="zh-CN"/>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370" w:type="dxa"/>
              </w:trPr>
              <w:tc>
                <w:tcPr>
                  <w:tcW w:w="5392" w:type="dxa"/>
                  <w:gridSpan w:val="3"/>
                  <w:tcMar>
                    <w:top w:w="0" w:type="dxa"/>
                    <w:left w:w="105" w:type="dxa"/>
                    <w:bottom w:w="0" w:type="dxa"/>
                    <w:right w:w="105" w:type="dxa"/>
                  </w:tcMar>
                  <w:vAlign w:val="top"/>
                </w:tcPr>
                <w:p>
                  <w:pPr>
                    <w:pStyle w:val="4"/>
                    <w:jc w:val="left"/>
                  </w:pPr>
                  <w:r>
                    <w:rPr>
                      <w:rFonts w:ascii="仿宋_GB2312" w:hAnsi="仿宋_GB2312" w:eastAsia="仿宋_GB2312" w:cs="仿宋_GB2312"/>
                      <w:b/>
                      <w:sz w:val="20"/>
                    </w:rPr>
                    <w:t>后端存储及机房核心设备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0" w:hRule="atLeast"/>
              </w:trPr>
              <w:tc>
                <w:tcPr>
                  <w:tcW w:w="411" w:type="dxa"/>
                  <w:tcMar>
                    <w:top w:w="0" w:type="dxa"/>
                    <w:left w:w="105" w:type="dxa"/>
                    <w:bottom w:w="0" w:type="dxa"/>
                    <w:right w:w="105" w:type="dxa"/>
                  </w:tcMar>
                  <w:vAlign w:val="top"/>
                </w:tcPr>
                <w:p>
                  <w:pPr>
                    <w:pStyle w:val="4"/>
                    <w:jc w:val="center"/>
                    <w:rPr>
                      <w:rFonts w:hint="eastAsia" w:eastAsiaTheme="minorEastAsia"/>
                      <w:highlight w:val="none"/>
                      <w:lang w:eastAsia="zh-CN"/>
                    </w:rPr>
                  </w:pPr>
                  <w:r>
                    <w:rPr>
                      <w:rFonts w:hint="eastAsia" w:ascii="仿宋_GB2312" w:hAnsi="仿宋_GB2312" w:eastAsia="仿宋_GB2312" w:cs="仿宋_GB2312"/>
                      <w:sz w:val="20"/>
                      <w:highlight w:val="none"/>
                      <w:lang w:val="en-US" w:eastAsia="zh-CN"/>
                    </w:rPr>
                    <w:t>1</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w:t>
                  </w:r>
                  <w:r>
                    <w:rPr>
                      <w:rFonts w:ascii="仿宋_GB2312" w:hAnsi="仿宋_GB2312" w:eastAsia="仿宋_GB2312" w:cs="仿宋_GB2312"/>
                      <w:highlight w:val="none"/>
                    </w:rPr>
                    <w:t>网络硬盘录像机</w:t>
                  </w:r>
                </w:p>
              </w:tc>
              <w:tc>
                <w:tcPr>
                  <w:tcW w:w="4271" w:type="dxa"/>
                  <w:tcMar>
                    <w:top w:w="0" w:type="dxa"/>
                    <w:left w:w="105" w:type="dxa"/>
                    <w:bottom w:w="0" w:type="dxa"/>
                    <w:right w:w="105" w:type="dxa"/>
                  </w:tcMar>
                  <w:vAlign w:val="top"/>
                </w:tcPr>
                <w:p>
                  <w:pPr>
                    <w:pStyle w:val="4"/>
                    <w:jc w:val="left"/>
                    <w:rPr>
                      <w:highlight w:val="none"/>
                    </w:rPr>
                  </w:pPr>
                  <w:r>
                    <w:rPr>
                      <w:rFonts w:ascii="仿宋_GB2312" w:hAnsi="仿宋_GB2312" w:eastAsia="仿宋_GB2312" w:cs="仿宋_GB2312"/>
                      <w:highlight w:val="none"/>
                    </w:rPr>
                    <w:t>【硬件规格】 存储接口≥16个SATA接口，支持硬盘热插拔，视频支持接口;HDMI，VGA、 网络接口：2×RJ45 10/100/1000Mbps自适应以太网口 USB接口：≥2×USB 2.0，2×USB 3.0  【产品性能】接入能力：≥128路</w:t>
                  </w:r>
                  <w:r>
                    <w:rPr>
                      <w:rFonts w:ascii="仿宋_GB2312" w:hAnsi="仿宋_GB2312" w:eastAsia="仿宋_GB2312" w:cs="仿宋_GB2312"/>
                      <w:highlight w:val="none"/>
                      <w:lang w:eastAsia="zh-CN"/>
                    </w:rPr>
                    <w:t xml:space="preserve"> </w:t>
                  </w:r>
                  <w:r>
                    <w:rPr>
                      <w:rFonts w:ascii="仿宋_GB2312" w:hAnsi="仿宋_GB2312" w:eastAsia="仿宋_GB2312" w:cs="仿宋_GB2312"/>
                      <w:highlight w:val="none"/>
                    </w:rPr>
                    <w:t>H.264、H.265格式高清码流接入 解码能力：不低于1080P、 4K异源输出 支持RAID模式  支持热备盘满足≥60天录像</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eastAsiaTheme="minorEastAsia"/>
                      <w:highlight w:val="none"/>
                      <w:lang w:eastAsia="zh-CN"/>
                    </w:rPr>
                  </w:pPr>
                  <w:r>
                    <w:rPr>
                      <w:rFonts w:hint="eastAsia" w:ascii="仿宋_GB2312" w:hAnsi="仿宋_GB2312" w:eastAsia="仿宋_GB2312" w:cs="仿宋_GB2312"/>
                      <w:sz w:val="20"/>
                      <w:highlight w:val="none"/>
                      <w:lang w:val="en-US" w:eastAsia="zh-CN"/>
                    </w:rPr>
                    <w:t>2</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▲周界防范主机</w:t>
                  </w:r>
                </w:p>
              </w:tc>
              <w:tc>
                <w:tcPr>
                  <w:tcW w:w="4271" w:type="dxa"/>
                  <w:tcMar>
                    <w:top w:w="0" w:type="dxa"/>
                    <w:left w:w="105" w:type="dxa"/>
                    <w:bottom w:w="0" w:type="dxa"/>
                    <w:right w:w="105" w:type="dxa"/>
                  </w:tcMar>
                  <w:vAlign w:val="top"/>
                </w:tcPr>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接入路数：≥32路</w:t>
                  </w:r>
                  <w:r>
                    <w:rPr>
                      <w:rFonts w:ascii="仿宋_GB2312" w:hAnsi="仿宋_GB2312" w:eastAsia="仿宋_GB2312" w:cs="仿宋_GB2312"/>
                      <w:highlight w:val="none"/>
                      <w:lang w:eastAsia="zh-CN"/>
                    </w:rPr>
                    <w:t>。</w:t>
                  </w:r>
                </w:p>
                <w:p>
                  <w:pPr>
                    <w:pStyle w:val="4"/>
                    <w:jc w:val="left"/>
                    <w:rPr>
                      <w:highlight w:val="none"/>
                    </w:rPr>
                  </w:pPr>
                  <w:r>
                    <w:rPr>
                      <w:rFonts w:ascii="仿宋_GB2312" w:hAnsi="仿宋_GB2312" w:eastAsia="仿宋_GB2312" w:cs="仿宋_GB2312"/>
                      <w:highlight w:val="none"/>
                    </w:rPr>
                    <w:t>视频输出：≥1路HDMI，≥1路VGA；支持音频输出：1路，RCA接口语音对讲输入：1路，RCA接口5、网络接口支持≥2个RJ45 10/100/1000Mbps自适应以太网口  支持USB接口：支持报警输入≥4路，支持一路报警智能分析目标名单库</w:t>
                  </w:r>
                  <w:r>
                    <w:rPr>
                      <w:rFonts w:ascii="仿宋_GB2312" w:hAnsi="仿宋_GB2312" w:eastAsia="仿宋_GB2312" w:cs="仿宋_GB2312"/>
                      <w:highlight w:val="none"/>
                      <w:lang w:eastAsia="zh-CN"/>
                    </w:rPr>
                    <w:t>；</w:t>
                  </w:r>
                  <w:r>
                    <w:rPr>
                      <w:rFonts w:ascii="仿宋_GB2312" w:hAnsi="仿宋_GB2312" w:eastAsia="仿宋_GB2312" w:cs="仿宋_GB2312"/>
                      <w:highlight w:val="none"/>
                    </w:rPr>
                    <w:t>满足60天</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eastAsiaTheme="minorEastAsia"/>
                      <w:highlight w:val="none"/>
                      <w:lang w:eastAsia="zh-CN"/>
                    </w:rPr>
                  </w:pPr>
                  <w:r>
                    <w:rPr>
                      <w:rFonts w:hint="eastAsia" w:ascii="仿宋_GB2312" w:hAnsi="仿宋_GB2312" w:eastAsia="仿宋_GB2312" w:cs="仿宋_GB2312"/>
                      <w:sz w:val="20"/>
                      <w:highlight w:val="none"/>
                      <w:lang w:val="en-US" w:eastAsia="zh-CN"/>
                    </w:rPr>
                    <w:t>3</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▲汇聚交换机</w:t>
                  </w:r>
                </w:p>
              </w:tc>
              <w:tc>
                <w:tcPr>
                  <w:tcW w:w="4271" w:type="dxa"/>
                  <w:tcMar>
                    <w:top w:w="0" w:type="dxa"/>
                    <w:left w:w="105" w:type="dxa"/>
                    <w:bottom w:w="0" w:type="dxa"/>
                    <w:right w:w="105" w:type="dxa"/>
                  </w:tcMar>
                  <w:vAlign w:val="top"/>
                </w:tcPr>
                <w:p>
                  <w:pPr>
                    <w:pStyle w:val="4"/>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1.支持固化千兆以太网口≥24个，PoE端口≥24个，千兆光上联端口≥2个</w:t>
                  </w:r>
                </w:p>
                <w:p>
                  <w:pPr>
                    <w:pStyle w:val="4"/>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 xml:space="preserve">2.交换容量≥52Gbps，包转发率≥39Mpps； </w:t>
                  </w:r>
                </w:p>
                <w:p>
                  <w:pPr>
                    <w:pStyle w:val="4"/>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3.支持端口防雷等级≥6kV</w:t>
                  </w:r>
                </w:p>
                <w:p>
                  <w:pPr>
                    <w:pStyle w:val="4"/>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4.支持电源防雷等级≥6kV</w:t>
                  </w:r>
                </w:p>
                <w:p>
                  <w:pPr>
                    <w:pStyle w:val="4"/>
                    <w:jc w:val="left"/>
                    <w:rPr>
                      <w:highlight w:val="none"/>
                    </w:rPr>
                  </w:pPr>
                  <w:r>
                    <w:rPr>
                      <w:rFonts w:hint="eastAsia" w:ascii="仿宋_GB2312" w:hAnsi="仿宋_GB2312" w:eastAsia="仿宋_GB2312" w:cs="仿宋_GB2312"/>
                      <w:highlight w:val="none"/>
                    </w:rPr>
                    <w:t>5.提供电信设备进网许可证证书复印件</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eastAsiaTheme="minorEastAsia"/>
                      <w:highlight w:val="none"/>
                      <w:lang w:eastAsia="zh-CN"/>
                    </w:rPr>
                  </w:pPr>
                  <w:r>
                    <w:rPr>
                      <w:rFonts w:hint="eastAsia" w:ascii="仿宋_GB2312" w:hAnsi="仿宋_GB2312" w:eastAsia="仿宋_GB2312" w:cs="仿宋_GB2312"/>
                      <w:sz w:val="20"/>
                      <w:highlight w:val="none"/>
                      <w:lang w:val="en-US" w:eastAsia="zh-CN"/>
                    </w:rPr>
                    <w:t>4</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▲汇聚交换机</w:t>
                  </w:r>
                </w:p>
              </w:tc>
              <w:tc>
                <w:tcPr>
                  <w:tcW w:w="4271" w:type="dxa"/>
                  <w:tcMar>
                    <w:top w:w="0" w:type="dxa"/>
                    <w:left w:w="105" w:type="dxa"/>
                    <w:bottom w:w="0" w:type="dxa"/>
                    <w:right w:w="105" w:type="dxa"/>
                  </w:tcMar>
                  <w:vAlign w:val="top"/>
                </w:tcPr>
                <w:p>
                  <w:pPr>
                    <w:pStyle w:val="4"/>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支持固化千兆以太网口≥17个，其中PoE端口≥16个，千兆光上联端口≥1个</w:t>
                  </w:r>
                </w:p>
                <w:p>
                  <w:pPr>
                    <w:pStyle w:val="4"/>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 xml:space="preserve">交换容量≥36Gbps，包转发率≥27Mpps； </w:t>
                  </w:r>
                </w:p>
                <w:p>
                  <w:pPr>
                    <w:pStyle w:val="4"/>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支持端口防雷等级≥6kV</w:t>
                  </w:r>
                </w:p>
                <w:p>
                  <w:pPr>
                    <w:pStyle w:val="4"/>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支持电源防雷等级≥6kV</w:t>
                  </w:r>
                </w:p>
                <w:p>
                  <w:pPr>
                    <w:pStyle w:val="4"/>
                    <w:jc w:val="left"/>
                    <w:rPr>
                      <w:highlight w:val="none"/>
                    </w:rPr>
                  </w:pPr>
                  <w:r>
                    <w:rPr>
                      <w:rFonts w:hint="eastAsia" w:ascii="仿宋_GB2312" w:hAnsi="仿宋_GB2312" w:eastAsia="仿宋_GB2312" w:cs="仿宋_GB2312"/>
                      <w:highlight w:val="none"/>
                    </w:rPr>
                    <w:t>提供电信设备进网许可证证书复印件</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eastAsiaTheme="minorEastAsia"/>
                      <w:highlight w:val="none"/>
                      <w:lang w:eastAsia="zh-CN"/>
                    </w:rPr>
                  </w:pPr>
                  <w:r>
                    <w:rPr>
                      <w:rFonts w:hint="eastAsia" w:ascii="仿宋_GB2312" w:hAnsi="仿宋_GB2312" w:eastAsia="仿宋_GB2312" w:cs="仿宋_GB2312"/>
                      <w:sz w:val="20"/>
                      <w:highlight w:val="none"/>
                      <w:lang w:val="en-US" w:eastAsia="zh-CN"/>
                    </w:rPr>
                    <w:t>5</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▲汇聚交换机</w:t>
                  </w:r>
                </w:p>
              </w:tc>
              <w:tc>
                <w:tcPr>
                  <w:tcW w:w="4271" w:type="dxa"/>
                  <w:tcMar>
                    <w:top w:w="0" w:type="dxa"/>
                    <w:left w:w="105" w:type="dxa"/>
                    <w:bottom w:w="0" w:type="dxa"/>
                    <w:right w:w="105" w:type="dxa"/>
                  </w:tcMar>
                  <w:vAlign w:val="top"/>
                </w:tcPr>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可上1U机架，实配固化千兆电接口数≥24个，千兆SFP光口≥2个，最大可用端口≥26个。</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交换容量≥336Gbps，包转发率≥92Mpps，提供官网查询链接及截图作为证明材料。</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支持VLAN划分，可以显著提升网络的安全性、灵活性和管理效率。</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支持Web管理，App和云管理。</w:t>
                  </w:r>
                </w:p>
                <w:p>
                  <w:pPr>
                    <w:pStyle w:val="4"/>
                    <w:jc w:val="left"/>
                    <w:rPr>
                      <w:highlight w:val="none"/>
                    </w:rPr>
                  </w:pPr>
                  <w:r>
                    <w:rPr>
                      <w:rFonts w:hint="eastAsia" w:ascii="仿宋_GB2312" w:hAnsi="仿宋_GB2312" w:eastAsia="仿宋_GB2312" w:cs="仿宋_GB2312"/>
                      <w:sz w:val="20"/>
                      <w:highlight w:val="none"/>
                    </w:rPr>
                    <w:t>为了提升运维的便捷性，要求所投交换机支持手机App集中管理，能够实现拓扑呈现、端口状态显示、VLAN配置等，提供官网截图及App界面截图作为证明。</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套</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eastAsiaTheme="minorEastAsia"/>
                      <w:highlight w:val="none"/>
                      <w:lang w:eastAsia="zh-CN"/>
                    </w:rPr>
                  </w:pPr>
                  <w:r>
                    <w:rPr>
                      <w:rFonts w:hint="eastAsia" w:ascii="仿宋_GB2312" w:hAnsi="仿宋_GB2312" w:eastAsia="仿宋_GB2312" w:cs="仿宋_GB2312"/>
                      <w:sz w:val="20"/>
                      <w:highlight w:val="none"/>
                      <w:lang w:val="en-US" w:eastAsia="zh-CN"/>
                    </w:rPr>
                    <w:t>6</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▲核心交换机</w:t>
                  </w:r>
                </w:p>
              </w:tc>
              <w:tc>
                <w:tcPr>
                  <w:tcW w:w="4271" w:type="dxa"/>
                  <w:tcMar>
                    <w:top w:w="0" w:type="dxa"/>
                    <w:left w:w="105" w:type="dxa"/>
                    <w:bottom w:w="0" w:type="dxa"/>
                    <w:right w:w="105" w:type="dxa"/>
                  </w:tcMar>
                  <w:vAlign w:val="top"/>
                </w:tcPr>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固化端口：≥28个10/100/1000Mbps电口，≥4个复用千兆光口，≥4个SFP+光口</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设备管理配置1个MGMT端口、1个Console 端口、1个Mini USB Console口、1个USB端口</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交换容量≥598G/5.98T，包转发率≥162M/222M</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要求所投设备MAC地址≥32K</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整机采用节能设计，满负荷时功耗≤45W</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支持基本的QinQ，支持灵活的QinQ</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支持支持静态路由、RIP/RIPng，OSPF/OSPF v3，IS-IS/IS-IS v6，BGP/BGP4+，等价路由（ECMP）基于包的负载均衡和基于流的负载均衡</w:t>
                  </w:r>
                </w:p>
                <w:p>
                  <w:pPr>
                    <w:pStyle w:val="4"/>
                    <w:jc w:val="left"/>
                    <w:rPr>
                      <w:rFonts w:hint="eastAsia" w:eastAsiaTheme="minorEastAsia"/>
                      <w:highlight w:val="none"/>
                      <w:lang w:eastAsia="zh-CN"/>
                    </w:rPr>
                  </w:pPr>
                  <w:r>
                    <w:rPr>
                      <w:rFonts w:hint="eastAsia" w:ascii="仿宋_GB2312" w:hAnsi="仿宋_GB2312" w:eastAsia="仿宋_GB2312" w:cs="仿宋_GB2312"/>
                      <w:sz w:val="20"/>
                      <w:highlight w:val="none"/>
                    </w:rPr>
                    <w:t>提供有效的工信部电信设备进网许可证复印件</w:t>
                  </w:r>
                  <w:r>
                    <w:rPr>
                      <w:rFonts w:hint="eastAsia" w:ascii="仿宋_GB2312" w:hAnsi="仿宋_GB2312" w:eastAsia="仿宋_GB2312" w:cs="仿宋_GB2312"/>
                      <w:sz w:val="20"/>
                      <w:highlight w:val="none"/>
                      <w:lang w:eastAsia="zh-CN"/>
                    </w:rPr>
                    <w:t>。</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eastAsiaTheme="minorEastAsia"/>
                      <w:highlight w:val="none"/>
                      <w:lang w:eastAsia="zh-CN"/>
                    </w:rPr>
                  </w:pPr>
                  <w:r>
                    <w:rPr>
                      <w:rFonts w:hint="eastAsia" w:ascii="仿宋_GB2312" w:hAnsi="仿宋_GB2312" w:eastAsia="仿宋_GB2312" w:cs="仿宋_GB2312"/>
                      <w:sz w:val="20"/>
                      <w:highlight w:val="none"/>
                      <w:lang w:val="en-US" w:eastAsia="zh-CN"/>
                    </w:rPr>
                    <w:t>7</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高转数存储器</w:t>
                  </w:r>
                </w:p>
              </w:tc>
              <w:tc>
                <w:tcPr>
                  <w:tcW w:w="4271" w:type="dxa"/>
                  <w:tcMar>
                    <w:top w:w="0" w:type="dxa"/>
                    <w:left w:w="105" w:type="dxa"/>
                    <w:bottom w:w="0" w:type="dxa"/>
                    <w:right w:w="105" w:type="dxa"/>
                  </w:tcMar>
                  <w:vAlign w:val="top"/>
                </w:tcPr>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单盘容量：8TB；</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缓存：256MB；</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转速：5400RPM；</w:t>
                  </w:r>
                </w:p>
                <w:p>
                  <w:pPr>
                    <w:pStyle w:val="4"/>
                    <w:jc w:val="left"/>
                    <w:rPr>
                      <w:highlight w:val="none"/>
                    </w:rPr>
                  </w:pPr>
                  <w:r>
                    <w:rPr>
                      <w:rFonts w:hint="eastAsia" w:ascii="仿宋_GB2312" w:hAnsi="仿宋_GB2312" w:eastAsia="仿宋_GB2312" w:cs="仿宋_GB2312"/>
                      <w:sz w:val="20"/>
                      <w:highlight w:val="none"/>
                    </w:rPr>
                    <w:t>硬盘接口：SATA</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个</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eastAsiaTheme="minorEastAsia"/>
                      <w:highlight w:val="none"/>
                      <w:lang w:eastAsia="zh-CN"/>
                    </w:rPr>
                  </w:pPr>
                  <w:r>
                    <w:rPr>
                      <w:rFonts w:hint="eastAsia" w:ascii="仿宋_GB2312" w:hAnsi="仿宋_GB2312" w:eastAsia="仿宋_GB2312" w:cs="仿宋_GB2312"/>
                      <w:sz w:val="20"/>
                      <w:highlight w:val="none"/>
                      <w:lang w:val="en-US" w:eastAsia="zh-CN"/>
                    </w:rPr>
                    <w:t>8</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▲综合安防管理平台</w:t>
                  </w:r>
                </w:p>
              </w:tc>
              <w:tc>
                <w:tcPr>
                  <w:tcW w:w="4271" w:type="dxa"/>
                  <w:tcMar>
                    <w:top w:w="0" w:type="dxa"/>
                    <w:left w:w="105" w:type="dxa"/>
                    <w:bottom w:w="0" w:type="dxa"/>
                    <w:right w:w="105" w:type="dxa"/>
                  </w:tcMar>
                  <w:vAlign w:val="top"/>
                </w:tcPr>
                <w:p>
                  <w:pPr>
                    <w:pStyle w:val="4"/>
                    <w:jc w:val="left"/>
                    <w:rPr>
                      <w:rFonts w:hint="default" w:ascii="仿宋_GB2312" w:hAnsi="仿宋_GB2312" w:eastAsia="仿宋_GB2312" w:cs="仿宋_GB2312"/>
                      <w:sz w:val="20"/>
                      <w:highlight w:val="none"/>
                    </w:rPr>
                  </w:pPr>
                  <w:r>
                    <w:rPr>
                      <w:rFonts w:hint="eastAsia" w:ascii="仿宋_GB2312" w:hAnsi="仿宋_GB2312" w:eastAsia="仿宋_GB2312" w:cs="仿宋_GB2312"/>
                      <w:sz w:val="20"/>
                      <w:highlight w:val="none"/>
                    </w:rPr>
                    <w:t>【授权包含】：基础包、视频监控、门禁管理、出入口车辆放行管理、停车场车辆收费管理、视频联网、入侵报警、设备网络管理等；</w:t>
                  </w:r>
                </w:p>
                <w:p>
                  <w:pPr>
                    <w:pStyle w:val="4"/>
                    <w:jc w:val="left"/>
                    <w:rPr>
                      <w:highlight w:val="none"/>
                    </w:rPr>
                  </w:pPr>
                  <w:r>
                    <w:rPr>
                      <w:rFonts w:hint="eastAsia" w:ascii="仿宋_GB2312" w:hAnsi="仿宋_GB2312" w:eastAsia="仿宋_GB2312" w:cs="仿宋_GB2312"/>
                      <w:sz w:val="20"/>
                      <w:highlight w:val="none"/>
                    </w:rPr>
                    <w:t>【关键规格】：300路视频，50个门禁， 4车道，200个防区管理等。</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套</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eastAsiaTheme="minorEastAsia"/>
                      <w:lang w:eastAsia="zh-CN"/>
                    </w:rPr>
                  </w:pPr>
                  <w:r>
                    <w:rPr>
                      <w:rFonts w:hint="eastAsia" w:ascii="仿宋_GB2312" w:hAnsi="仿宋_GB2312" w:eastAsia="仿宋_GB2312" w:cs="仿宋_GB2312"/>
                      <w:sz w:val="20"/>
                      <w:lang w:val="en-US" w:eastAsia="zh-CN"/>
                    </w:rPr>
                    <w:t>9</w:t>
                  </w:r>
                </w:p>
              </w:tc>
              <w:tc>
                <w:tcPr>
                  <w:tcW w:w="710" w:type="dxa"/>
                  <w:tcMar>
                    <w:top w:w="0" w:type="dxa"/>
                    <w:left w:w="105" w:type="dxa"/>
                    <w:bottom w:w="0" w:type="dxa"/>
                    <w:right w:w="105" w:type="dxa"/>
                  </w:tcMar>
                  <w:vAlign w:val="top"/>
                </w:tcPr>
                <w:p>
                  <w:pPr>
                    <w:pStyle w:val="4"/>
                    <w:jc w:val="center"/>
                  </w:pPr>
                  <w:r>
                    <w:rPr>
                      <w:rFonts w:ascii="仿宋_GB2312" w:hAnsi="仿宋_GB2312" w:eastAsia="仿宋_GB2312" w:cs="仿宋_GB2312"/>
                      <w:sz w:val="20"/>
                    </w:rPr>
                    <w:t>室外光缆</w:t>
                  </w:r>
                </w:p>
              </w:tc>
              <w:tc>
                <w:tcPr>
                  <w:tcW w:w="4271" w:type="dxa"/>
                  <w:tcMar>
                    <w:top w:w="0" w:type="dxa"/>
                    <w:left w:w="105" w:type="dxa"/>
                    <w:bottom w:w="0" w:type="dxa"/>
                    <w:right w:w="105" w:type="dxa"/>
                  </w:tcMar>
                  <w:vAlign w:val="top"/>
                </w:tcPr>
                <w:p>
                  <w:pPr>
                    <w:pStyle w:val="4"/>
                    <w:jc w:val="left"/>
                  </w:pPr>
                  <w:r>
                    <w:rPr>
                      <w:rFonts w:ascii="仿宋_GB2312" w:hAnsi="仿宋_GB2312" w:eastAsia="仿宋_GB2312" w:cs="仿宋_GB2312"/>
                      <w:sz w:val="20"/>
                    </w:rPr>
                    <w:t>12芯国标</w:t>
                  </w:r>
                </w:p>
              </w:tc>
              <w:tc>
                <w:tcPr>
                  <w:tcW w:w="675" w:type="dxa"/>
                  <w:tcMar>
                    <w:top w:w="0" w:type="dxa"/>
                    <w:left w:w="105" w:type="dxa"/>
                    <w:bottom w:w="0" w:type="dxa"/>
                    <w:right w:w="105" w:type="dxa"/>
                  </w:tcMar>
                  <w:vAlign w:val="top"/>
                </w:tcPr>
                <w:p>
                  <w:pPr>
                    <w:pStyle w:val="4"/>
                    <w:jc w:val="center"/>
                  </w:pPr>
                  <w:r>
                    <w:rPr>
                      <w:rFonts w:ascii="仿宋_GB2312" w:hAnsi="仿宋_GB2312" w:eastAsia="仿宋_GB2312" w:cs="仿宋_GB2312"/>
                      <w:sz w:val="20"/>
                    </w:rPr>
                    <w:t>批</w:t>
                  </w:r>
                </w:p>
              </w:tc>
              <w:tc>
                <w:tcPr>
                  <w:tcW w:w="695" w:type="dxa"/>
                  <w:tcMar>
                    <w:top w:w="0" w:type="dxa"/>
                    <w:left w:w="105" w:type="dxa"/>
                    <w:bottom w:w="0" w:type="dxa"/>
                    <w:right w:w="105" w:type="dxa"/>
                  </w:tcMar>
                  <w:vAlign w:val="top"/>
                </w:tcPr>
                <w:p>
                  <w:pPr>
                    <w:pStyle w:val="4"/>
                    <w:jc w:val="center"/>
                  </w:pPr>
                  <w:r>
                    <w:rPr>
                      <w:rFonts w:ascii="仿宋_GB2312" w:hAnsi="仿宋_GB2312" w:eastAsia="仿宋_GB2312" w:cs="仿宋_GB2312"/>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default" w:eastAsiaTheme="minorEastAsia"/>
                      <w:highlight w:val="none"/>
                      <w:lang w:val="en-US" w:eastAsia="zh-CN"/>
                    </w:rPr>
                  </w:pPr>
                  <w:r>
                    <w:rPr>
                      <w:rFonts w:hint="eastAsia" w:ascii="仿宋_GB2312" w:hAnsi="仿宋_GB2312" w:eastAsia="仿宋_GB2312" w:cs="仿宋_GB2312"/>
                      <w:sz w:val="20"/>
                      <w:highlight w:val="none"/>
                      <w:lang w:val="en-US" w:eastAsia="zh-CN"/>
                    </w:rPr>
                    <w:t>10</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传输线缆</w:t>
                  </w:r>
                </w:p>
              </w:tc>
              <w:tc>
                <w:tcPr>
                  <w:tcW w:w="4271" w:type="dxa"/>
                  <w:tcMar>
                    <w:top w:w="0" w:type="dxa"/>
                    <w:left w:w="105" w:type="dxa"/>
                    <w:bottom w:w="0" w:type="dxa"/>
                    <w:right w:w="105" w:type="dxa"/>
                  </w:tcMar>
                  <w:vAlign w:val="top"/>
                </w:tcPr>
                <w:p>
                  <w:pPr>
                    <w:pStyle w:val="4"/>
                    <w:jc w:val="left"/>
                    <w:rPr>
                      <w:highlight w:val="none"/>
                    </w:rPr>
                  </w:pPr>
                  <w:r>
                    <w:rPr>
                      <w:rFonts w:ascii="仿宋_GB2312" w:hAnsi="仿宋_GB2312" w:eastAsia="仿宋_GB2312" w:cs="仿宋_GB2312"/>
                      <w:sz w:val="20"/>
                      <w:highlight w:val="none"/>
                    </w:rPr>
                    <w:t>国标</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批</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eastAsia="仿宋_GB2312"/>
                      <w:highlight w:val="none"/>
                      <w:lang w:eastAsia="zh-CN"/>
                    </w:rPr>
                  </w:pPr>
                  <w:r>
                    <w:rPr>
                      <w:rFonts w:ascii="仿宋_GB2312" w:hAnsi="仿宋_GB2312" w:eastAsia="仿宋_GB2312" w:cs="仿宋_GB2312"/>
                      <w:sz w:val="20"/>
                      <w:highlight w:val="none"/>
                    </w:rPr>
                    <w:t>1</w:t>
                  </w:r>
                  <w:r>
                    <w:rPr>
                      <w:rFonts w:hint="eastAsia" w:ascii="仿宋_GB2312" w:hAnsi="仿宋_GB2312" w:eastAsia="仿宋_GB2312" w:cs="仿宋_GB2312"/>
                      <w:sz w:val="20"/>
                      <w:highlight w:val="none"/>
                      <w:lang w:val="en-US" w:eastAsia="zh-CN"/>
                    </w:rPr>
                    <w:t>1</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光纤配件收发器</w:t>
                  </w:r>
                </w:p>
              </w:tc>
              <w:tc>
                <w:tcPr>
                  <w:tcW w:w="4271" w:type="dxa"/>
                  <w:tcMar>
                    <w:top w:w="0" w:type="dxa"/>
                    <w:left w:w="105" w:type="dxa"/>
                    <w:bottom w:w="0" w:type="dxa"/>
                    <w:right w:w="105" w:type="dxa"/>
                  </w:tcMar>
                  <w:vAlign w:val="top"/>
                </w:tcPr>
                <w:p>
                  <w:pPr>
                    <w:pStyle w:val="4"/>
                    <w:jc w:val="left"/>
                    <w:rPr>
                      <w:rFonts w:hint="default" w:eastAsia="仿宋_GB2312"/>
                      <w:highlight w:val="none"/>
                      <w:lang w:val="en-US" w:eastAsia="zh-CN"/>
                    </w:rPr>
                  </w:pPr>
                  <w:r>
                    <w:rPr>
                      <w:rFonts w:hint="eastAsia" w:ascii="仿宋_GB2312" w:hAnsi="仿宋_GB2312" w:eastAsia="仿宋_GB2312" w:cs="仿宋_GB2312"/>
                      <w:sz w:val="20"/>
                      <w:highlight w:val="none"/>
                      <w:lang w:val="en-US" w:eastAsia="zh-CN"/>
                    </w:rPr>
                    <w:t>光纤</w:t>
                  </w:r>
                  <w:r>
                    <w:rPr>
                      <w:rFonts w:ascii="仿宋_GB2312" w:hAnsi="仿宋_GB2312" w:eastAsia="仿宋_GB2312" w:cs="仿宋_GB2312"/>
                      <w:sz w:val="20"/>
                      <w:highlight w:val="none"/>
                    </w:rPr>
                    <w:t>熔纤</w:t>
                  </w:r>
                  <w:r>
                    <w:rPr>
                      <w:rFonts w:hint="eastAsia" w:ascii="仿宋_GB2312" w:hAnsi="仿宋_GB2312" w:eastAsia="仿宋_GB2312" w:cs="仿宋_GB2312"/>
                      <w:sz w:val="20"/>
                      <w:highlight w:val="none"/>
                      <w:lang w:eastAsia="zh-CN"/>
                    </w:rPr>
                    <w:t>、</w:t>
                  </w:r>
                  <w:r>
                    <w:rPr>
                      <w:rFonts w:ascii="仿宋_GB2312" w:hAnsi="仿宋_GB2312" w:eastAsia="仿宋_GB2312" w:cs="仿宋_GB2312"/>
                      <w:sz w:val="20"/>
                      <w:highlight w:val="none"/>
                    </w:rPr>
                    <w:t>光电转换器</w:t>
                  </w:r>
                  <w:r>
                    <w:rPr>
                      <w:rFonts w:hint="eastAsia" w:ascii="仿宋_GB2312" w:hAnsi="仿宋_GB2312" w:eastAsia="仿宋_GB2312" w:cs="仿宋_GB2312"/>
                      <w:sz w:val="20"/>
                      <w:highlight w:val="none"/>
                      <w:lang w:val="en-US" w:eastAsia="zh-CN"/>
                    </w:rPr>
                    <w:t>及配电箱等</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批</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eastAsia="仿宋_GB2312"/>
                      <w:highlight w:val="none"/>
                      <w:lang w:val="en-US" w:eastAsia="zh-CN"/>
                    </w:rPr>
                  </w:pPr>
                  <w:r>
                    <w:rPr>
                      <w:rFonts w:ascii="仿宋_GB2312" w:hAnsi="仿宋_GB2312" w:eastAsia="仿宋_GB2312" w:cs="仿宋_GB2312"/>
                      <w:sz w:val="20"/>
                      <w:highlight w:val="none"/>
                    </w:rPr>
                    <w:t>1</w:t>
                  </w:r>
                  <w:r>
                    <w:rPr>
                      <w:rFonts w:hint="eastAsia" w:ascii="仿宋_GB2312" w:hAnsi="仿宋_GB2312" w:eastAsia="仿宋_GB2312" w:cs="仿宋_GB2312"/>
                      <w:sz w:val="20"/>
                      <w:highlight w:val="none"/>
                      <w:lang w:val="en-US" w:eastAsia="zh-CN"/>
                    </w:rPr>
                    <w:t>2</w:t>
                  </w:r>
                </w:p>
              </w:tc>
              <w:tc>
                <w:tcPr>
                  <w:tcW w:w="710" w:type="dxa"/>
                  <w:tcMar>
                    <w:top w:w="0" w:type="dxa"/>
                    <w:left w:w="105" w:type="dxa"/>
                    <w:bottom w:w="0" w:type="dxa"/>
                    <w:right w:w="105" w:type="dxa"/>
                  </w:tcMar>
                  <w:vAlign w:val="top"/>
                </w:tcPr>
                <w:p>
                  <w:pPr>
                    <w:pStyle w:val="4"/>
                    <w:jc w:val="center"/>
                    <w:rPr>
                      <w:rFonts w:hint="default" w:eastAsiaTheme="minorEastAsia"/>
                      <w:highlight w:val="none"/>
                      <w:lang w:val="en-US" w:eastAsia="zh-CN"/>
                    </w:rPr>
                  </w:pPr>
                  <w:r>
                    <w:rPr>
                      <w:rFonts w:hint="eastAsia" w:ascii="仿宋_GB2312" w:hAnsi="仿宋_GB2312" w:eastAsia="仿宋_GB2312" w:cs="仿宋_GB2312"/>
                      <w:sz w:val="20"/>
                      <w:highlight w:val="none"/>
                      <w:lang w:val="en-US" w:eastAsia="zh-CN"/>
                    </w:rPr>
                    <w:t>线管辅料</w:t>
                  </w:r>
                </w:p>
              </w:tc>
              <w:tc>
                <w:tcPr>
                  <w:tcW w:w="4271" w:type="dxa"/>
                  <w:tcMar>
                    <w:top w:w="0" w:type="dxa"/>
                    <w:left w:w="105" w:type="dxa"/>
                    <w:bottom w:w="0" w:type="dxa"/>
                    <w:right w:w="105" w:type="dxa"/>
                  </w:tcMar>
                  <w:vAlign w:val="top"/>
                </w:tcPr>
                <w:p>
                  <w:pPr>
                    <w:pStyle w:val="4"/>
                    <w:jc w:val="left"/>
                    <w:rPr>
                      <w:highlight w:val="none"/>
                    </w:rPr>
                  </w:pPr>
                  <w:r>
                    <w:rPr>
                      <w:rFonts w:ascii="仿宋_GB2312" w:hAnsi="仿宋_GB2312" w:eastAsia="仿宋_GB2312" w:cs="仿宋_GB2312"/>
                      <w:sz w:val="20"/>
                      <w:highlight w:val="none"/>
                    </w:rPr>
                    <w:t>辅材</w:t>
                  </w:r>
                  <w:r>
                    <w:rPr>
                      <w:rFonts w:hint="eastAsia" w:ascii="仿宋_GB2312" w:hAnsi="仿宋_GB2312" w:eastAsia="仿宋_GB2312" w:cs="仿宋_GB2312"/>
                      <w:sz w:val="20"/>
                      <w:highlight w:val="none"/>
                      <w:lang w:eastAsia="zh-CN"/>
                    </w:rPr>
                    <w:t>、</w:t>
                  </w:r>
                  <w:r>
                    <w:rPr>
                      <w:rFonts w:ascii="仿宋_GB2312" w:hAnsi="仿宋_GB2312" w:eastAsia="仿宋_GB2312" w:cs="仿宋_GB2312"/>
                      <w:sz w:val="20"/>
                      <w:highlight w:val="none"/>
                    </w:rPr>
                    <w:t>线管</w:t>
                  </w:r>
                  <w:r>
                    <w:rPr>
                      <w:rFonts w:hint="eastAsia" w:ascii="仿宋_GB2312" w:hAnsi="仿宋_GB2312" w:eastAsia="仿宋_GB2312" w:cs="仿宋_GB2312"/>
                      <w:sz w:val="20"/>
                      <w:highlight w:val="none"/>
                      <w:lang w:eastAsia="zh-CN"/>
                    </w:rPr>
                    <w:t>、</w:t>
                  </w:r>
                  <w:r>
                    <w:rPr>
                      <w:rFonts w:ascii="仿宋_GB2312" w:hAnsi="仿宋_GB2312" w:eastAsia="仿宋_GB2312" w:cs="仿宋_GB2312"/>
                      <w:sz w:val="20"/>
                      <w:highlight w:val="none"/>
                    </w:rPr>
                    <w:t>管材</w:t>
                  </w:r>
                  <w:r>
                    <w:rPr>
                      <w:rFonts w:hint="eastAsia" w:ascii="仿宋_GB2312" w:hAnsi="仿宋_GB2312" w:eastAsia="仿宋_GB2312" w:cs="仿宋_GB2312"/>
                      <w:sz w:val="20"/>
                      <w:highlight w:val="none"/>
                      <w:lang w:eastAsia="zh-CN"/>
                    </w:rPr>
                    <w:t>、</w:t>
                  </w:r>
                  <w:r>
                    <w:rPr>
                      <w:rFonts w:hint="eastAsia" w:ascii="仿宋_GB2312" w:hAnsi="仿宋_GB2312" w:eastAsia="仿宋_GB2312" w:cs="仿宋_GB2312"/>
                      <w:sz w:val="20"/>
                      <w:highlight w:val="none"/>
                      <w:lang w:val="en-US" w:eastAsia="zh-CN"/>
                    </w:rPr>
                    <w:t>管</w:t>
                  </w:r>
                  <w:r>
                    <w:rPr>
                      <w:rFonts w:ascii="仿宋_GB2312" w:hAnsi="仿宋_GB2312" w:eastAsia="仿宋_GB2312" w:cs="仿宋_GB2312"/>
                      <w:sz w:val="20"/>
                      <w:highlight w:val="none"/>
                    </w:rPr>
                    <w:t>卡等国产耗材</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批</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370" w:type="dxa"/>
              </w:trPr>
              <w:tc>
                <w:tcPr>
                  <w:tcW w:w="5392" w:type="dxa"/>
                  <w:gridSpan w:val="3"/>
                  <w:tcMar>
                    <w:top w:w="0" w:type="dxa"/>
                    <w:left w:w="105" w:type="dxa"/>
                    <w:bottom w:w="0" w:type="dxa"/>
                    <w:right w:w="105" w:type="dxa"/>
                  </w:tcMar>
                  <w:vAlign w:val="top"/>
                </w:tcPr>
                <w:p>
                  <w:pPr>
                    <w:pStyle w:val="4"/>
                    <w:jc w:val="left"/>
                  </w:pPr>
                  <w:r>
                    <w:rPr>
                      <w:rFonts w:ascii="仿宋_GB2312" w:hAnsi="仿宋_GB2312" w:eastAsia="仿宋_GB2312" w:cs="仿宋_GB2312"/>
                      <w:b/>
                      <w:sz w:val="20"/>
                    </w:rPr>
                    <w:t>LCD液晶拼接屏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pPr>
                  <w:r>
                    <w:rPr>
                      <w:rFonts w:ascii="仿宋_GB2312" w:hAnsi="仿宋_GB2312" w:eastAsia="仿宋_GB2312" w:cs="仿宋_GB2312"/>
                      <w:b/>
                      <w:sz w:val="20"/>
                    </w:rPr>
                    <w:t>序号</w:t>
                  </w:r>
                </w:p>
              </w:tc>
              <w:tc>
                <w:tcPr>
                  <w:tcW w:w="710" w:type="dxa"/>
                  <w:tcMar>
                    <w:top w:w="0" w:type="dxa"/>
                    <w:left w:w="105" w:type="dxa"/>
                    <w:bottom w:w="0" w:type="dxa"/>
                    <w:right w:w="105" w:type="dxa"/>
                  </w:tcMar>
                  <w:vAlign w:val="top"/>
                </w:tcPr>
                <w:p>
                  <w:pPr>
                    <w:pStyle w:val="4"/>
                    <w:jc w:val="center"/>
                  </w:pPr>
                  <w:r>
                    <w:rPr>
                      <w:rFonts w:ascii="仿宋_GB2312" w:hAnsi="仿宋_GB2312" w:eastAsia="仿宋_GB2312" w:cs="仿宋_GB2312"/>
                      <w:b/>
                      <w:sz w:val="20"/>
                    </w:rPr>
                    <w:t>设备名称</w:t>
                  </w:r>
                </w:p>
              </w:tc>
              <w:tc>
                <w:tcPr>
                  <w:tcW w:w="4271" w:type="dxa"/>
                  <w:tcMar>
                    <w:top w:w="0" w:type="dxa"/>
                    <w:left w:w="105" w:type="dxa"/>
                    <w:bottom w:w="0" w:type="dxa"/>
                    <w:right w:w="105" w:type="dxa"/>
                  </w:tcMar>
                  <w:vAlign w:val="top"/>
                </w:tcPr>
                <w:p>
                  <w:pPr>
                    <w:pStyle w:val="4"/>
                    <w:jc w:val="center"/>
                  </w:pPr>
                  <w:r>
                    <w:rPr>
                      <w:rFonts w:ascii="仿宋_GB2312" w:hAnsi="仿宋_GB2312" w:eastAsia="仿宋_GB2312" w:cs="仿宋_GB2312"/>
                      <w:b/>
                      <w:sz w:val="20"/>
                    </w:rPr>
                    <w:t>技术参数</w:t>
                  </w:r>
                </w:p>
              </w:tc>
              <w:tc>
                <w:tcPr>
                  <w:tcW w:w="675" w:type="dxa"/>
                  <w:tcMar>
                    <w:top w:w="0" w:type="dxa"/>
                    <w:left w:w="105" w:type="dxa"/>
                    <w:bottom w:w="0" w:type="dxa"/>
                    <w:right w:w="105" w:type="dxa"/>
                  </w:tcMar>
                  <w:vAlign w:val="top"/>
                </w:tcPr>
                <w:p>
                  <w:pPr>
                    <w:pStyle w:val="4"/>
                    <w:jc w:val="center"/>
                  </w:pPr>
                  <w:r>
                    <w:rPr>
                      <w:rFonts w:ascii="仿宋_GB2312" w:hAnsi="仿宋_GB2312" w:eastAsia="仿宋_GB2312" w:cs="仿宋_GB2312"/>
                      <w:b/>
                      <w:sz w:val="20"/>
                    </w:rPr>
                    <w:t>单位</w:t>
                  </w:r>
                </w:p>
              </w:tc>
              <w:tc>
                <w:tcPr>
                  <w:tcW w:w="695" w:type="dxa"/>
                  <w:tcMar>
                    <w:top w:w="0" w:type="dxa"/>
                    <w:left w:w="105" w:type="dxa"/>
                    <w:bottom w:w="0" w:type="dxa"/>
                    <w:right w:w="105" w:type="dxa"/>
                  </w:tcMar>
                  <w:vAlign w:val="top"/>
                </w:tcPr>
                <w:p>
                  <w:pPr>
                    <w:pStyle w:val="4"/>
                    <w:jc w:val="center"/>
                  </w:pPr>
                  <w:r>
                    <w:rPr>
                      <w:rFonts w:ascii="仿宋_GB2312" w:hAnsi="仿宋_GB2312" w:eastAsia="仿宋_GB2312" w:cs="仿宋_GB2312"/>
                      <w:b/>
                      <w:sz w:val="20"/>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c>
                <w:tcPr>
                  <w:tcW w:w="710" w:type="dxa"/>
                  <w:tcMar>
                    <w:top w:w="0" w:type="dxa"/>
                    <w:left w:w="105" w:type="dxa"/>
                    <w:bottom w:w="0" w:type="dxa"/>
                    <w:right w:w="105" w:type="dxa"/>
                  </w:tcMar>
                  <w:vAlign w:val="top"/>
                </w:tcPr>
                <w:p>
                  <w:pPr>
                    <w:pStyle w:val="4"/>
                    <w:jc w:val="left"/>
                    <w:rPr>
                      <w:highlight w:val="none"/>
                    </w:rPr>
                  </w:pPr>
                  <w:r>
                    <w:rPr>
                      <w:rFonts w:ascii="仿宋_GB2312" w:hAnsi="仿宋_GB2312" w:eastAsia="仿宋_GB2312" w:cs="仿宋_GB2312"/>
                      <w:sz w:val="20"/>
                      <w:highlight w:val="none"/>
                    </w:rPr>
                    <w:t>▲LCD拼接屏</w:t>
                  </w:r>
                </w:p>
              </w:tc>
              <w:tc>
                <w:tcPr>
                  <w:tcW w:w="4271" w:type="dxa"/>
                  <w:tcMar>
                    <w:top w:w="0" w:type="dxa"/>
                    <w:left w:w="105" w:type="dxa"/>
                    <w:bottom w:w="0" w:type="dxa"/>
                    <w:right w:w="105" w:type="dxa"/>
                  </w:tcMar>
                  <w:vAlign w:val="top"/>
                </w:tcPr>
                <w:p>
                  <w:pPr>
                    <w:pStyle w:val="4"/>
                    <w:jc w:val="left"/>
                    <w:rPr>
                      <w:highlight w:val="none"/>
                    </w:rPr>
                  </w:pPr>
                  <w:r>
                    <w:rPr>
                      <w:rFonts w:ascii="仿宋_GB2312" w:hAnsi="仿宋_GB2312" w:eastAsia="仿宋_GB2312" w:cs="仿宋_GB2312"/>
                      <w:sz w:val="20"/>
                      <w:highlight w:val="none"/>
                    </w:rPr>
                    <w:t>采用金属外壳≥55寸直下式LED背光源，亮度</w:t>
                  </w:r>
                  <w:r>
                    <w:rPr>
                      <w:rFonts w:hint="eastAsia" w:ascii="仿宋_GB2312" w:hAnsi="仿宋_GB2312" w:eastAsia="仿宋_GB2312" w:cs="仿宋_GB2312"/>
                      <w:sz w:val="20"/>
                      <w:highlight w:val="none"/>
                      <w:lang w:eastAsia="zh-CN"/>
                    </w:rPr>
                    <w:t>：</w:t>
                  </w:r>
                  <w:r>
                    <w:rPr>
                      <w:rFonts w:hint="eastAsia" w:ascii="仿宋_GB2312" w:hAnsi="仿宋_GB2312" w:eastAsia="仿宋_GB2312" w:cs="仿宋_GB2312"/>
                      <w:sz w:val="20"/>
                      <w:highlight w:val="none"/>
                      <w:lang w:val="en-US" w:eastAsia="zh-CN"/>
                    </w:rPr>
                    <w:t>≥500，亮度</w:t>
                  </w:r>
                  <w:r>
                    <w:rPr>
                      <w:rFonts w:ascii="仿宋_GB2312" w:hAnsi="仿宋_GB2312" w:eastAsia="仿宋_GB2312" w:cs="仿宋_GB2312"/>
                      <w:sz w:val="20"/>
                      <w:highlight w:val="none"/>
                    </w:rPr>
                    <w:t>均匀，无边界暗影现象。单个物理分辨率1920 × 1080。视角178°。超窄边设计。支持7*24小时持续工作。防辐射、防磁场、防强电场干扰等达到国标。</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2</w:t>
                  </w:r>
                </w:p>
              </w:tc>
              <w:tc>
                <w:tcPr>
                  <w:tcW w:w="710" w:type="dxa"/>
                  <w:tcMar>
                    <w:top w:w="0" w:type="dxa"/>
                    <w:left w:w="105" w:type="dxa"/>
                    <w:bottom w:w="0" w:type="dxa"/>
                    <w:right w:w="105" w:type="dxa"/>
                  </w:tcMar>
                  <w:vAlign w:val="top"/>
                </w:tcPr>
                <w:p>
                  <w:pPr>
                    <w:pStyle w:val="4"/>
                    <w:jc w:val="left"/>
                    <w:rPr>
                      <w:rFonts w:hint="eastAsia" w:eastAsia="仿宋_GB2312"/>
                      <w:highlight w:val="none"/>
                      <w:lang w:val="en-US" w:eastAsia="zh-CN"/>
                    </w:rPr>
                  </w:pPr>
                  <w:r>
                    <w:rPr>
                      <w:rFonts w:ascii="仿宋_GB2312" w:hAnsi="仿宋_GB2312" w:eastAsia="仿宋_GB2312" w:cs="仿宋_GB2312"/>
                      <w:sz w:val="20"/>
                      <w:highlight w:val="none"/>
                    </w:rPr>
                    <w:t>LCD拼接屏</w:t>
                  </w:r>
                  <w:r>
                    <w:rPr>
                      <w:rFonts w:hint="eastAsia" w:ascii="仿宋_GB2312" w:hAnsi="仿宋_GB2312" w:eastAsia="仿宋_GB2312" w:cs="仿宋_GB2312"/>
                      <w:sz w:val="20"/>
                      <w:highlight w:val="none"/>
                      <w:lang w:val="en-US" w:eastAsia="zh-CN"/>
                    </w:rPr>
                    <w:t>支架</w:t>
                  </w:r>
                </w:p>
              </w:tc>
              <w:tc>
                <w:tcPr>
                  <w:tcW w:w="4271" w:type="dxa"/>
                  <w:tcMar>
                    <w:top w:w="0" w:type="dxa"/>
                    <w:left w:w="105" w:type="dxa"/>
                    <w:bottom w:w="0" w:type="dxa"/>
                    <w:right w:w="105" w:type="dxa"/>
                  </w:tcMar>
                  <w:vAlign w:val="top"/>
                </w:tcPr>
                <w:p>
                  <w:pPr>
                    <w:pStyle w:val="4"/>
                    <w:jc w:val="left"/>
                    <w:rPr>
                      <w:highlight w:val="none"/>
                    </w:rPr>
                  </w:pPr>
                  <w:r>
                    <w:rPr>
                      <w:rFonts w:hint="eastAsia" w:ascii="仿宋_GB2312" w:hAnsi="仿宋_GB2312" w:eastAsia="仿宋_GB2312" w:cs="仿宋_GB2312"/>
                      <w:sz w:val="20"/>
                      <w:highlight w:val="none"/>
                      <w:lang w:val="en-US" w:eastAsia="zh-CN"/>
                    </w:rPr>
                    <w:t>定制</w:t>
                  </w:r>
                  <w:r>
                    <w:rPr>
                      <w:rFonts w:ascii="仿宋_GB2312" w:hAnsi="仿宋_GB2312" w:eastAsia="仿宋_GB2312" w:cs="仿宋_GB2312"/>
                      <w:sz w:val="20"/>
                      <w:highlight w:val="none"/>
                    </w:rPr>
                    <w:t>落地电视墙支架</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套</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3</w:t>
                  </w:r>
                </w:p>
              </w:tc>
              <w:tc>
                <w:tcPr>
                  <w:tcW w:w="710" w:type="dxa"/>
                  <w:tcMar>
                    <w:top w:w="0" w:type="dxa"/>
                    <w:left w:w="105" w:type="dxa"/>
                    <w:bottom w:w="0" w:type="dxa"/>
                    <w:right w:w="105" w:type="dxa"/>
                  </w:tcMar>
                  <w:vAlign w:val="top"/>
                </w:tcPr>
                <w:p>
                  <w:pPr>
                    <w:pStyle w:val="4"/>
                    <w:jc w:val="left"/>
                    <w:rPr>
                      <w:highlight w:val="none"/>
                    </w:rPr>
                  </w:pPr>
                  <w:r>
                    <w:rPr>
                      <w:rFonts w:ascii="仿宋_GB2312" w:hAnsi="仿宋_GB2312" w:eastAsia="仿宋_GB2312" w:cs="仿宋_GB2312"/>
                      <w:sz w:val="20"/>
                      <w:highlight w:val="none"/>
                    </w:rPr>
                    <w:t>▲解码器</w:t>
                  </w:r>
                </w:p>
              </w:tc>
              <w:tc>
                <w:tcPr>
                  <w:tcW w:w="4271" w:type="dxa"/>
                  <w:tcMar>
                    <w:top w:w="0" w:type="dxa"/>
                    <w:left w:w="105" w:type="dxa"/>
                    <w:bottom w:w="0" w:type="dxa"/>
                    <w:right w:w="105" w:type="dxa"/>
                  </w:tcMar>
                  <w:vAlign w:val="top"/>
                </w:tcPr>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4路输入+20路HDMI输出</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标准机架式机箱，运营级ATCA机箱系统，满足中小规模的监控需求</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插拔式模块化设计，可根据需求灵活选择机型</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业务模块支持智能风扇自动调温，确保系统稳定可靠</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支持HDMI信号输入输出</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支持H.264/H.265编码，默认采用H.264</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解码支持H.265、H.264、MJPEG等主流的编码格式</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支持4路高清视频编码能力</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支持160路高清视频解码能力</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视频输出最大的LED带载能力为单口230W</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支持3200W高清视频解码</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支持20个显示屏的任意大屏拼接</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支持开窗和漫游</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支持电视墙预览</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支持预设场景，用户可以自定义每个场景电视墙布局</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支持虚拟LED功能</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支持WEB方式、客户端访问和操作</w:t>
                  </w:r>
                </w:p>
                <w:p>
                  <w:pPr>
                    <w:pStyle w:val="4"/>
                    <w:rPr>
                      <w:rFonts w:hint="default" w:ascii="仿宋_GB2312" w:hAnsi="仿宋_GB2312" w:eastAsia="仿宋_GB2312" w:cs="仿宋_GB2312"/>
                      <w:highlight w:val="none"/>
                    </w:rPr>
                  </w:pPr>
                  <w:r>
                    <w:rPr>
                      <w:rFonts w:ascii="仿宋_GB2312" w:hAnsi="仿宋_GB2312" w:eastAsia="仿宋_GB2312" w:cs="仿宋_GB2312"/>
                      <w:highlight w:val="none"/>
                    </w:rPr>
                    <w:t>支持ONVIF协议接入设备解码</w:t>
                  </w:r>
                </w:p>
                <w:p>
                  <w:pPr>
                    <w:pStyle w:val="4"/>
                    <w:jc w:val="left"/>
                    <w:rPr>
                      <w:highlight w:val="none"/>
                    </w:rPr>
                  </w:pPr>
                  <w:r>
                    <w:rPr>
                      <w:rFonts w:ascii="仿宋_GB2312" w:hAnsi="仿宋_GB2312" w:eastAsia="仿宋_GB2312" w:cs="仿宋_GB2312"/>
                      <w:highlight w:val="none"/>
                    </w:rPr>
                    <w:t>支持GB28181协议接入平台实现管理和操作</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eastAsiaTheme="minorEastAsia"/>
                      <w:lang w:eastAsia="zh-CN"/>
                    </w:rPr>
                  </w:pPr>
                  <w:r>
                    <w:rPr>
                      <w:rFonts w:hint="eastAsia" w:ascii="仿宋_GB2312" w:hAnsi="仿宋_GB2312" w:eastAsia="仿宋_GB2312" w:cs="仿宋_GB2312"/>
                      <w:sz w:val="20"/>
                      <w:lang w:val="en-US" w:eastAsia="zh-CN"/>
                    </w:rPr>
                    <w:t>4</w:t>
                  </w:r>
                </w:p>
              </w:tc>
              <w:tc>
                <w:tcPr>
                  <w:tcW w:w="710" w:type="dxa"/>
                  <w:tcMar>
                    <w:top w:w="0" w:type="dxa"/>
                    <w:left w:w="105" w:type="dxa"/>
                    <w:bottom w:w="0" w:type="dxa"/>
                    <w:right w:w="105" w:type="dxa"/>
                  </w:tcMar>
                  <w:vAlign w:val="top"/>
                </w:tcPr>
                <w:p>
                  <w:pPr>
                    <w:pStyle w:val="4"/>
                    <w:jc w:val="left"/>
                  </w:pPr>
                  <w:r>
                    <w:rPr>
                      <w:rFonts w:ascii="仿宋_GB2312" w:hAnsi="仿宋_GB2312" w:eastAsia="仿宋_GB2312" w:cs="仿宋_GB2312"/>
                      <w:sz w:val="20"/>
                    </w:rPr>
                    <w:t>高清HDMI线</w:t>
                  </w:r>
                </w:p>
              </w:tc>
              <w:tc>
                <w:tcPr>
                  <w:tcW w:w="4271" w:type="dxa"/>
                  <w:tcMar>
                    <w:top w:w="0" w:type="dxa"/>
                    <w:left w:w="105" w:type="dxa"/>
                    <w:bottom w:w="0" w:type="dxa"/>
                    <w:right w:w="105" w:type="dxa"/>
                  </w:tcMar>
                  <w:vAlign w:val="top"/>
                </w:tcPr>
                <w:p>
                  <w:pPr>
                    <w:pStyle w:val="4"/>
                    <w:jc w:val="left"/>
                    <w:rPr>
                      <w:rFonts w:hint="default" w:eastAsia="仿宋_GB2312"/>
                      <w:lang w:val="en-US" w:eastAsia="zh-CN"/>
                    </w:rPr>
                  </w:pPr>
                  <w:r>
                    <w:rPr>
                      <w:rFonts w:ascii="仿宋_GB2312" w:hAnsi="仿宋_GB2312" w:eastAsia="仿宋_GB2312" w:cs="仿宋_GB2312"/>
                      <w:sz w:val="20"/>
                    </w:rPr>
                    <w:t>国产国标线</w:t>
                  </w:r>
                </w:p>
              </w:tc>
              <w:tc>
                <w:tcPr>
                  <w:tcW w:w="675" w:type="dxa"/>
                  <w:tcMar>
                    <w:top w:w="0" w:type="dxa"/>
                    <w:left w:w="105" w:type="dxa"/>
                    <w:bottom w:w="0" w:type="dxa"/>
                    <w:right w:w="105" w:type="dxa"/>
                  </w:tcMar>
                  <w:vAlign w:val="top"/>
                </w:tcPr>
                <w:p>
                  <w:pPr>
                    <w:pStyle w:val="4"/>
                    <w:jc w:val="center"/>
                  </w:pPr>
                  <w:r>
                    <w:rPr>
                      <w:rFonts w:ascii="仿宋_GB2312" w:hAnsi="仿宋_GB2312" w:eastAsia="仿宋_GB2312" w:cs="仿宋_GB2312"/>
                      <w:sz w:val="20"/>
                    </w:rPr>
                    <w:t>根</w:t>
                  </w:r>
                </w:p>
              </w:tc>
              <w:tc>
                <w:tcPr>
                  <w:tcW w:w="695" w:type="dxa"/>
                  <w:tcMar>
                    <w:top w:w="0" w:type="dxa"/>
                    <w:left w:w="105" w:type="dxa"/>
                    <w:bottom w:w="0" w:type="dxa"/>
                    <w:right w:w="105" w:type="dxa"/>
                  </w:tcMar>
                  <w:vAlign w:val="top"/>
                </w:tcPr>
                <w:p>
                  <w:pPr>
                    <w:pStyle w:val="4"/>
                    <w:jc w:val="center"/>
                  </w:pPr>
                  <w:r>
                    <w:rPr>
                      <w:rFonts w:ascii="仿宋_GB2312" w:hAnsi="仿宋_GB2312" w:eastAsia="仿宋_GB2312" w:cs="仿宋_GB2312"/>
                      <w:sz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default" w:ascii="仿宋_GB2312" w:hAnsi="仿宋_GB2312" w:eastAsia="仿宋_GB2312" w:cs="仿宋_GB2312"/>
                      <w:sz w:val="20"/>
                      <w:highlight w:val="none"/>
                      <w:lang w:val="en-US" w:eastAsia="zh-CN"/>
                    </w:rPr>
                  </w:pPr>
                  <w:r>
                    <w:rPr>
                      <w:rFonts w:hint="eastAsia" w:ascii="仿宋_GB2312" w:hAnsi="仿宋_GB2312" w:eastAsia="仿宋_GB2312" w:cs="仿宋_GB2312"/>
                      <w:sz w:val="20"/>
                      <w:highlight w:val="none"/>
                      <w:lang w:val="en-US" w:eastAsia="zh-CN"/>
                    </w:rPr>
                    <w:t>5</w:t>
                  </w:r>
                </w:p>
              </w:tc>
              <w:tc>
                <w:tcPr>
                  <w:tcW w:w="710" w:type="dxa"/>
                  <w:tcMar>
                    <w:top w:w="0" w:type="dxa"/>
                    <w:left w:w="105" w:type="dxa"/>
                    <w:bottom w:w="0" w:type="dxa"/>
                    <w:right w:w="105" w:type="dxa"/>
                  </w:tcMar>
                  <w:vAlign w:val="top"/>
                </w:tcPr>
                <w:p>
                  <w:pPr>
                    <w:pStyle w:val="4"/>
                    <w:jc w:val="center"/>
                    <w:rPr>
                      <w:rFonts w:hint="default" w:ascii="仿宋_GB2312" w:hAnsi="仿宋_GB2312" w:eastAsia="仿宋_GB2312" w:cs="仿宋_GB2312"/>
                      <w:sz w:val="20"/>
                      <w:highlight w:val="none"/>
                      <w:lang w:val="en-US" w:eastAsia="zh-CN"/>
                    </w:rPr>
                  </w:pPr>
                  <w:r>
                    <w:rPr>
                      <w:rFonts w:hint="eastAsia" w:ascii="仿宋_GB2312" w:hAnsi="仿宋_GB2312" w:eastAsia="仿宋_GB2312" w:cs="仿宋_GB2312"/>
                      <w:sz w:val="20"/>
                      <w:highlight w:val="none"/>
                      <w:lang w:val="en-US" w:eastAsia="zh-CN"/>
                    </w:rPr>
                    <w:t>校园广播远程喊话设备</w:t>
                  </w:r>
                </w:p>
              </w:tc>
              <w:tc>
                <w:tcPr>
                  <w:tcW w:w="4271" w:type="dxa"/>
                  <w:tcMar>
                    <w:top w:w="0" w:type="dxa"/>
                    <w:left w:w="105" w:type="dxa"/>
                    <w:bottom w:w="0" w:type="dxa"/>
                    <w:right w:w="105" w:type="dxa"/>
                  </w:tcMar>
                  <w:vAlign w:val="top"/>
                </w:tcPr>
                <w:p>
                  <w:pPr>
                    <w:pStyle w:val="4"/>
                    <w:jc w:val="left"/>
                    <w:rPr>
                      <w:rFonts w:hint="default" w:ascii="仿宋_GB2312" w:hAnsi="仿宋_GB2312" w:eastAsia="仿宋_GB2312" w:cs="仿宋_GB2312"/>
                      <w:sz w:val="20"/>
                      <w:highlight w:val="none"/>
                      <w:lang w:val="en-US" w:eastAsia="zh-CN"/>
                    </w:rPr>
                  </w:pPr>
                  <w:r>
                    <w:rPr>
                      <w:rFonts w:hint="eastAsia" w:ascii="仿宋_GB2312" w:hAnsi="仿宋_GB2312" w:eastAsia="仿宋_GB2312" w:cs="仿宋_GB2312"/>
                      <w:sz w:val="20"/>
                      <w:highlight w:val="none"/>
                      <w:lang w:val="en-US" w:eastAsia="zh-CN"/>
                    </w:rPr>
                    <w:t>包括但不限于一套广播话筒、线缆及辅料等，实现在校园总监控室可对全校紧急喊话与通知功能等。</w:t>
                  </w:r>
                </w:p>
              </w:tc>
              <w:tc>
                <w:tcPr>
                  <w:tcW w:w="675" w:type="dxa"/>
                  <w:tcMar>
                    <w:top w:w="0" w:type="dxa"/>
                    <w:left w:w="105" w:type="dxa"/>
                    <w:bottom w:w="0" w:type="dxa"/>
                    <w:right w:w="105" w:type="dxa"/>
                  </w:tcMar>
                  <w:vAlign w:val="top"/>
                </w:tcPr>
                <w:p>
                  <w:pPr>
                    <w:pStyle w:val="4"/>
                    <w:jc w:val="center"/>
                    <w:rPr>
                      <w:rFonts w:hint="eastAsia" w:ascii="仿宋_GB2312" w:hAnsi="仿宋_GB2312" w:eastAsia="仿宋_GB2312" w:cs="仿宋_GB2312"/>
                      <w:sz w:val="20"/>
                      <w:highlight w:val="none"/>
                      <w:lang w:val="en-US" w:eastAsia="zh-CN"/>
                    </w:rPr>
                  </w:pPr>
                  <w:r>
                    <w:rPr>
                      <w:rFonts w:hint="eastAsia" w:ascii="仿宋_GB2312" w:hAnsi="仿宋_GB2312" w:eastAsia="仿宋_GB2312" w:cs="仿宋_GB2312"/>
                      <w:sz w:val="20"/>
                      <w:highlight w:val="none"/>
                      <w:lang w:val="en-US" w:eastAsia="zh-CN"/>
                    </w:rPr>
                    <w:t>套</w:t>
                  </w:r>
                </w:p>
              </w:tc>
              <w:tc>
                <w:tcPr>
                  <w:tcW w:w="695" w:type="dxa"/>
                  <w:tcMar>
                    <w:top w:w="0" w:type="dxa"/>
                    <w:left w:w="105" w:type="dxa"/>
                    <w:bottom w:w="0" w:type="dxa"/>
                    <w:right w:w="105" w:type="dxa"/>
                  </w:tcMar>
                  <w:vAlign w:val="top"/>
                </w:tcPr>
                <w:p>
                  <w:pPr>
                    <w:pStyle w:val="4"/>
                    <w:jc w:val="center"/>
                    <w:rPr>
                      <w:rFonts w:hint="eastAsia" w:ascii="仿宋_GB2312" w:hAnsi="仿宋_GB2312" w:eastAsia="仿宋_GB2312" w:cs="仿宋_GB2312"/>
                      <w:sz w:val="20"/>
                      <w:highlight w:val="none"/>
                      <w:lang w:val="en-US" w:eastAsia="zh-CN"/>
                    </w:rPr>
                  </w:pPr>
                  <w:r>
                    <w:rPr>
                      <w:rFonts w:hint="eastAsia" w:ascii="仿宋_GB2312" w:hAnsi="仿宋_GB2312" w:eastAsia="仿宋_GB2312" w:cs="仿宋_GB2312"/>
                      <w:sz w:val="20"/>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default" w:eastAsiaTheme="minorEastAsia"/>
                      <w:highlight w:val="none"/>
                      <w:lang w:val="en-US" w:eastAsia="zh-CN"/>
                    </w:rPr>
                  </w:pPr>
                  <w:r>
                    <w:rPr>
                      <w:rFonts w:hint="eastAsia"/>
                      <w:highlight w:val="none"/>
                      <w:lang w:val="en-US" w:eastAsia="zh-CN"/>
                    </w:rPr>
                    <w:t>6</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设备存储柜</w:t>
                  </w:r>
                </w:p>
              </w:tc>
              <w:tc>
                <w:tcPr>
                  <w:tcW w:w="4271" w:type="dxa"/>
                  <w:tcMar>
                    <w:top w:w="0" w:type="dxa"/>
                    <w:left w:w="105" w:type="dxa"/>
                    <w:bottom w:w="0" w:type="dxa"/>
                    <w:right w:w="105" w:type="dxa"/>
                  </w:tcMar>
                  <w:vAlign w:val="top"/>
                </w:tcPr>
                <w:p>
                  <w:pPr>
                    <w:pStyle w:val="4"/>
                    <w:jc w:val="left"/>
                    <w:rPr>
                      <w:rFonts w:hint="default" w:eastAsiaTheme="minorEastAsia"/>
                      <w:highlight w:val="none"/>
                      <w:lang w:val="en-US" w:eastAsia="zh-CN"/>
                    </w:rPr>
                  </w:pPr>
                  <w:r>
                    <w:rPr>
                      <w:rFonts w:hint="eastAsia" w:ascii="仿宋_GB2312" w:hAnsi="仿宋_GB2312" w:eastAsia="仿宋_GB2312" w:cs="仿宋_GB2312"/>
                      <w:sz w:val="20"/>
                      <w:highlight w:val="none"/>
                      <w:lang w:val="en-US" w:eastAsia="zh-CN"/>
                    </w:rPr>
                    <w:t>规格尺寸根据实际需求而定</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eastAsia" w:eastAsiaTheme="minorEastAsia"/>
                      <w:highlight w:val="none"/>
                      <w:lang w:eastAsia="zh-CN"/>
                    </w:rPr>
                  </w:pPr>
                  <w:r>
                    <w:rPr>
                      <w:rFonts w:hint="eastAsia" w:ascii="仿宋_GB2312" w:hAnsi="仿宋_GB2312" w:eastAsia="仿宋_GB2312" w:cs="仿宋_GB2312"/>
                      <w:sz w:val="20"/>
                      <w:highlight w:val="none"/>
                      <w:lang w:val="en-US" w:eastAsia="zh-CN"/>
                    </w:rPr>
                    <w:t>7</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机房操作台</w:t>
                  </w:r>
                </w:p>
              </w:tc>
              <w:tc>
                <w:tcPr>
                  <w:tcW w:w="4271" w:type="dxa"/>
                  <w:tcMar>
                    <w:top w:w="0" w:type="dxa"/>
                    <w:left w:w="105" w:type="dxa"/>
                    <w:bottom w:w="0" w:type="dxa"/>
                    <w:right w:w="105" w:type="dxa"/>
                  </w:tcMar>
                  <w:vAlign w:val="top"/>
                </w:tcPr>
                <w:p>
                  <w:pPr>
                    <w:pStyle w:val="4"/>
                    <w:jc w:val="left"/>
                    <w:rPr>
                      <w:rFonts w:hint="eastAsia" w:ascii="仿宋_GB2312" w:hAnsi="仿宋_GB2312" w:eastAsia="仿宋_GB2312" w:cs="仿宋_GB2312"/>
                      <w:sz w:val="20"/>
                      <w:highlight w:val="none"/>
                      <w:lang w:eastAsia="zh-CN"/>
                    </w:rPr>
                  </w:pPr>
                  <w:r>
                    <w:rPr>
                      <w:rFonts w:hint="eastAsia" w:ascii="仿宋_GB2312" w:hAnsi="仿宋_GB2312" w:eastAsia="仿宋_GB2312" w:cs="仿宋_GB2312"/>
                      <w:sz w:val="20"/>
                      <w:highlight w:val="none"/>
                    </w:rPr>
                    <w:t>1）尺寸</w:t>
                  </w:r>
                  <w:r>
                    <w:rPr>
                      <w:rFonts w:hint="eastAsia" w:ascii="仿宋_GB2312" w:hAnsi="仿宋_GB2312" w:eastAsia="仿宋_GB2312" w:cs="仿宋_GB2312"/>
                      <w:sz w:val="20"/>
                      <w:highlight w:val="none"/>
                      <w:lang w:val="en-US" w:eastAsia="zh-CN"/>
                    </w:rPr>
                    <w:t>≥</w:t>
                  </w:r>
                  <w:r>
                    <w:rPr>
                      <w:rFonts w:hint="eastAsia" w:ascii="仿宋_GB2312" w:hAnsi="仿宋_GB2312" w:eastAsia="仿宋_GB2312" w:cs="仿宋_GB2312"/>
                      <w:sz w:val="20"/>
                      <w:highlight w:val="none"/>
                    </w:rPr>
                    <w:t>2400mm*800mm*750mm（长度*深度*高度），主机位</w:t>
                  </w:r>
                  <w:r>
                    <w:rPr>
                      <w:rFonts w:hint="eastAsia" w:ascii="仿宋_GB2312" w:hAnsi="仿宋_GB2312" w:eastAsia="仿宋_GB2312" w:cs="仿宋_GB2312"/>
                      <w:sz w:val="20"/>
                      <w:highlight w:val="none"/>
                      <w:lang w:eastAsia="zh-CN"/>
                    </w:rPr>
                    <w:t>：</w:t>
                  </w:r>
                  <w:r>
                    <w:rPr>
                      <w:rFonts w:hint="eastAsia" w:ascii="仿宋_GB2312" w:hAnsi="仿宋_GB2312" w:eastAsia="仿宋_GB2312" w:cs="仿宋_GB2312"/>
                      <w:sz w:val="20"/>
                      <w:highlight w:val="none"/>
                      <w:lang w:val="en-US" w:eastAsia="zh-CN"/>
                    </w:rPr>
                    <w:t>≥2个</w:t>
                  </w:r>
                  <w:r>
                    <w:rPr>
                      <w:rFonts w:hint="eastAsia" w:ascii="仿宋_GB2312" w:hAnsi="仿宋_GB2312" w:eastAsia="仿宋_GB2312" w:cs="仿宋_GB2312"/>
                      <w:sz w:val="20"/>
                      <w:highlight w:val="none"/>
                    </w:rPr>
                    <w:t>，工作台台体上方配置液压显示器支架，支持</w:t>
                  </w:r>
                  <w:r>
                    <w:rPr>
                      <w:rFonts w:hint="eastAsia" w:ascii="仿宋_GB2312" w:hAnsi="仿宋_GB2312" w:eastAsia="仿宋_GB2312" w:cs="仿宋_GB2312"/>
                      <w:sz w:val="20"/>
                      <w:highlight w:val="none"/>
                      <w:lang w:val="en-US" w:eastAsia="zh-CN"/>
                    </w:rPr>
                    <w:t>≥</w:t>
                  </w:r>
                  <w:r>
                    <w:rPr>
                      <w:rFonts w:hint="eastAsia" w:ascii="仿宋_GB2312" w:hAnsi="仿宋_GB2312" w:eastAsia="仿宋_GB2312" w:cs="仿宋_GB2312"/>
                      <w:sz w:val="20"/>
                      <w:highlight w:val="none"/>
                    </w:rPr>
                    <w:t>4台液晶显示器安装，可调整高度和俯仰角。</w:t>
                  </w:r>
                  <w:r>
                    <w:rPr>
                      <w:rFonts w:hint="eastAsia" w:ascii="仿宋_GB2312" w:hAnsi="仿宋_GB2312" w:eastAsia="仿宋_GB2312" w:cs="仿宋_GB2312"/>
                      <w:sz w:val="20"/>
                      <w:highlight w:val="none"/>
                      <w:lang w:val="en-US" w:eastAsia="zh-CN"/>
                    </w:rPr>
                    <w:t>配备不低于两套国</w:t>
                  </w:r>
                  <w:r>
                    <w:rPr>
                      <w:rFonts w:hint="eastAsia" w:ascii="仿宋_GB2312" w:hAnsi="仿宋_GB2312" w:eastAsia="仿宋_GB2312" w:cs="仿宋_GB2312"/>
                      <w:sz w:val="20"/>
                      <w:highlight w:val="none"/>
                    </w:rPr>
                    <w:t>标5孔8位PDU</w:t>
                  </w:r>
                  <w:r>
                    <w:rPr>
                      <w:rFonts w:hint="eastAsia" w:ascii="仿宋_GB2312" w:hAnsi="仿宋_GB2312" w:eastAsia="仿宋_GB2312" w:cs="仿宋_GB2312"/>
                      <w:sz w:val="20"/>
                      <w:highlight w:val="none"/>
                      <w:lang w:eastAsia="zh-CN"/>
                    </w:rPr>
                    <w:t>。</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2）工作台柜体深度</w:t>
                  </w:r>
                  <w:r>
                    <w:rPr>
                      <w:rFonts w:hint="eastAsia" w:ascii="仿宋_GB2312" w:hAnsi="仿宋_GB2312" w:eastAsia="仿宋_GB2312" w:cs="仿宋_GB2312"/>
                      <w:sz w:val="20"/>
                      <w:highlight w:val="none"/>
                      <w:lang w:val="en-US" w:eastAsia="zh-CN"/>
                    </w:rPr>
                    <w:t>≥</w:t>
                  </w:r>
                  <w:r>
                    <w:rPr>
                      <w:rFonts w:hint="eastAsia" w:ascii="仿宋_GB2312" w:hAnsi="仿宋_GB2312" w:eastAsia="仿宋_GB2312" w:cs="仿宋_GB2312"/>
                      <w:sz w:val="20"/>
                      <w:highlight w:val="none"/>
                    </w:rPr>
                    <w:t>440mm。</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3）工作台主框架采用</w:t>
                  </w:r>
                  <w:r>
                    <w:rPr>
                      <w:rFonts w:hint="eastAsia" w:ascii="仿宋_GB2312" w:hAnsi="仿宋_GB2312" w:eastAsia="仿宋_GB2312" w:cs="仿宋_GB2312"/>
                      <w:sz w:val="20"/>
                      <w:highlight w:val="none"/>
                      <w:lang w:val="en-US" w:eastAsia="zh-CN"/>
                    </w:rPr>
                    <w:t>≥</w:t>
                  </w:r>
                  <w:r>
                    <w:rPr>
                      <w:rFonts w:hint="eastAsia" w:ascii="仿宋_GB2312" w:hAnsi="仿宋_GB2312" w:eastAsia="仿宋_GB2312" w:cs="仿宋_GB2312"/>
                      <w:sz w:val="20"/>
                      <w:highlight w:val="none"/>
                    </w:rPr>
                    <w:t>2.0mm冷轧钢加工，表面做喷塑处理。</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4）台面采用实木颗粒板双贴防火板，厚度不低于26mm，台面手枕采用聚氨酯材料，宽度不低于20mm；背墙采用冷轧钢板及铝合金型材制作，表面喷塑处理；操作台桌面设置走线毛刷，便于设备布线取电。</w:t>
                  </w:r>
                </w:p>
                <w:p>
                  <w:pPr>
                    <w:pStyle w:val="4"/>
                    <w:jc w:val="left"/>
                    <w:rPr>
                      <w:highlight w:val="none"/>
                    </w:rPr>
                  </w:pPr>
                  <w:r>
                    <w:rPr>
                      <w:rFonts w:hint="eastAsia" w:ascii="仿宋_GB2312" w:hAnsi="仿宋_GB2312" w:eastAsia="仿宋_GB2312" w:cs="仿宋_GB2312"/>
                      <w:sz w:val="20"/>
                      <w:highlight w:val="none"/>
                    </w:rPr>
                    <w:t>5）工作台台体内部提供计算机主机、键鼠等设备存储空间；前后门板均采用1.2～1.5mm冷轧钢板加工，应具备通风、散气、散热。</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台</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tcMar>
                    <w:top w:w="0" w:type="dxa"/>
                    <w:left w:w="105" w:type="dxa"/>
                    <w:bottom w:w="0" w:type="dxa"/>
                    <w:right w:w="105" w:type="dxa"/>
                  </w:tcMar>
                  <w:vAlign w:val="top"/>
                </w:tcPr>
                <w:p>
                  <w:pPr>
                    <w:pStyle w:val="4"/>
                    <w:jc w:val="center"/>
                    <w:rPr>
                      <w:rFonts w:hint="default" w:eastAsiaTheme="minorEastAsia"/>
                      <w:highlight w:val="none"/>
                      <w:lang w:val="en-US" w:eastAsia="zh-CN"/>
                    </w:rPr>
                  </w:pPr>
                  <w:r>
                    <w:rPr>
                      <w:rFonts w:hint="eastAsia" w:ascii="仿宋_GB2312" w:hAnsi="仿宋_GB2312" w:eastAsia="仿宋_GB2312" w:cs="仿宋_GB2312"/>
                      <w:sz w:val="20"/>
                      <w:highlight w:val="none"/>
                      <w:lang w:val="en-US" w:eastAsia="zh-CN"/>
                    </w:rPr>
                    <w:t>8</w:t>
                  </w:r>
                </w:p>
              </w:tc>
              <w:tc>
                <w:tcPr>
                  <w:tcW w:w="710"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拼控管理电脑</w:t>
                  </w:r>
                </w:p>
              </w:tc>
              <w:tc>
                <w:tcPr>
                  <w:tcW w:w="4271" w:type="dxa"/>
                  <w:tcMar>
                    <w:top w:w="0" w:type="dxa"/>
                    <w:left w:w="105" w:type="dxa"/>
                    <w:bottom w:w="0" w:type="dxa"/>
                    <w:right w:w="105" w:type="dxa"/>
                  </w:tcMar>
                  <w:vAlign w:val="top"/>
                </w:tcPr>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主板芯片组：≥Intel  670 系列主板芯片组</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处理器：≥I5-12500</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内存：≥8G DDR4-2933， 2个DIMM，系统最多支持64G及以上</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硬盘：≥256 SSD M.2- NVME</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输入设备USB抗菌键盘、USB抗菌光电鼠标</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网卡：主板集成1000M自适应以太网卡；</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 xml:space="preserve">电源：180W能效电源；90%效能转换 </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端口：USB 接口不低于8个（满足前置6个USB 3.2或以上）；1个VGA+HDMI接口，</w:t>
                  </w:r>
                </w:p>
                <w:p>
                  <w:pPr>
                    <w:pStyle w:val="4"/>
                    <w:jc w:val="left"/>
                    <w:rPr>
                      <w:rFonts w:hint="eastAsia" w:ascii="仿宋_GB2312" w:hAnsi="仿宋_GB2312" w:eastAsia="仿宋_GB2312" w:cs="仿宋_GB2312"/>
                      <w:sz w:val="20"/>
                      <w:highlight w:val="none"/>
                    </w:rPr>
                  </w:pPr>
                  <w:r>
                    <w:rPr>
                      <w:rFonts w:hint="eastAsia" w:ascii="仿宋_GB2312" w:hAnsi="仿宋_GB2312" w:eastAsia="仿宋_GB2312" w:cs="仿宋_GB2312"/>
                      <w:sz w:val="20"/>
                      <w:highlight w:val="none"/>
                    </w:rPr>
                    <w:t xml:space="preserve">显示器：与主机同品牌23.8"宽屏16:9 LED背光液晶显示器，分辨率：1920*1080   </w:t>
                  </w:r>
                </w:p>
                <w:p>
                  <w:pPr>
                    <w:pStyle w:val="4"/>
                    <w:jc w:val="left"/>
                    <w:rPr>
                      <w:highlight w:val="none"/>
                    </w:rPr>
                  </w:pPr>
                  <w:r>
                    <w:rPr>
                      <w:rFonts w:hint="eastAsia" w:ascii="仿宋_GB2312" w:hAnsi="仿宋_GB2312" w:eastAsia="仿宋_GB2312" w:cs="仿宋_GB2312"/>
                      <w:sz w:val="20"/>
                      <w:highlight w:val="none"/>
                    </w:rPr>
                    <w:t>操作系统：出厂预装正版windows 11操作系统</w:t>
                  </w:r>
                </w:p>
              </w:tc>
              <w:tc>
                <w:tcPr>
                  <w:tcW w:w="67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套</w:t>
                  </w:r>
                </w:p>
              </w:tc>
              <w:tc>
                <w:tcPr>
                  <w:tcW w:w="695" w:type="dxa"/>
                  <w:tcMar>
                    <w:top w:w="0" w:type="dxa"/>
                    <w:left w:w="105" w:type="dxa"/>
                    <w:bottom w:w="0" w:type="dxa"/>
                    <w:right w:w="105" w:type="dxa"/>
                  </w:tcMar>
                  <w:vAlign w:val="top"/>
                </w:tcPr>
                <w:p>
                  <w:pPr>
                    <w:pStyle w:val="4"/>
                    <w:jc w:val="center"/>
                    <w:rPr>
                      <w:highlight w:val="none"/>
                    </w:rPr>
                  </w:pPr>
                  <w:r>
                    <w:rPr>
                      <w:rFonts w:ascii="仿宋_GB2312" w:hAnsi="仿宋_GB2312" w:eastAsia="仿宋_GB2312" w:cs="仿宋_GB2312"/>
                      <w:sz w:val="20"/>
                      <w:highlight w:val="none"/>
                    </w:rPr>
                    <w:t>1</w:t>
                  </w:r>
                </w:p>
              </w:tc>
            </w:tr>
          </w:tbl>
          <w:p/>
          <w:p>
            <w:pPr>
              <w:ind w:firstLine="442" w:firstLineChars="200"/>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本项目核心产品为：</w:t>
            </w:r>
          </w:p>
          <w:p>
            <w:pPr>
              <w:ind w:firstLine="442" w:firstLineChars="200"/>
            </w:pPr>
            <w:r>
              <w:rPr>
                <w:rFonts w:hint="eastAsia" w:ascii="仿宋" w:hAnsi="仿宋" w:eastAsia="仿宋" w:cs="仿宋"/>
                <w:b/>
                <w:bCs/>
                <w:sz w:val="22"/>
                <w:szCs w:val="22"/>
                <w:lang w:val="en-US" w:eastAsia="zh-CN"/>
              </w:rPr>
              <w:t>1.</w:t>
            </w:r>
            <w:r>
              <w:rPr>
                <w:rFonts w:hint="eastAsia" w:ascii="仿宋" w:hAnsi="仿宋" w:eastAsia="仿宋" w:cs="仿宋"/>
                <w:b/>
                <w:bCs/>
                <w:sz w:val="22"/>
                <w:szCs w:val="22"/>
                <w:highlight w:val="none"/>
              </w:rPr>
              <w:t>全景智能枪球一体机</w:t>
            </w:r>
            <w:r>
              <w:rPr>
                <w:rFonts w:hint="eastAsia" w:ascii="仿宋" w:hAnsi="仿宋" w:eastAsia="仿宋" w:cs="仿宋"/>
                <w:b/>
                <w:bCs/>
                <w:sz w:val="22"/>
                <w:szCs w:val="22"/>
                <w:highlight w:val="none"/>
                <w:lang w:eastAsia="zh-CN"/>
              </w:rPr>
              <w:t>；</w:t>
            </w:r>
            <w:r>
              <w:rPr>
                <w:rFonts w:hint="eastAsia" w:ascii="仿宋" w:hAnsi="仿宋" w:eastAsia="仿宋" w:cs="仿宋"/>
                <w:b/>
                <w:bCs/>
                <w:sz w:val="22"/>
                <w:szCs w:val="22"/>
                <w:highlight w:val="none"/>
                <w:lang w:val="en-US" w:eastAsia="zh-CN"/>
              </w:rPr>
              <w:t>2.</w:t>
            </w:r>
            <w:r>
              <w:rPr>
                <w:rFonts w:hint="eastAsia" w:ascii="仿宋" w:hAnsi="仿宋" w:eastAsia="仿宋" w:cs="仿宋"/>
                <w:b/>
                <w:bCs/>
                <w:sz w:val="22"/>
                <w:szCs w:val="22"/>
                <w:highlight w:val="none"/>
              </w:rPr>
              <w:t>网络硬盘录像机</w:t>
            </w:r>
            <w:r>
              <w:rPr>
                <w:rFonts w:hint="eastAsia" w:ascii="仿宋" w:hAnsi="仿宋" w:eastAsia="仿宋" w:cs="仿宋"/>
                <w:b/>
                <w:bCs/>
                <w:sz w:val="22"/>
                <w:szCs w:val="22"/>
                <w:highlight w:val="none"/>
                <w:lang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24" w:type="dxa"/>
            <w:vAlign w:val="center"/>
          </w:tcPr>
          <w:p>
            <w:pPr>
              <w:pStyle w:val="4"/>
              <w:jc w:val="center"/>
            </w:pPr>
            <w:r>
              <w:rPr>
                <w:rFonts w:ascii="仿宋_GB2312" w:hAnsi="仿宋_GB2312" w:eastAsia="仿宋_GB2312" w:cs="仿宋_GB2312"/>
              </w:rPr>
              <w:t>2</w:t>
            </w:r>
          </w:p>
        </w:tc>
        <w:tc>
          <w:tcPr>
            <w:tcW w:w="1080" w:type="dxa"/>
            <w:vAlign w:val="center"/>
          </w:tcPr>
          <w:p>
            <w:pPr>
              <w:pStyle w:val="4"/>
              <w:jc w:val="center"/>
            </w:pPr>
            <w:r>
              <w:rPr>
                <w:rFonts w:ascii="仿宋_GB2312" w:hAnsi="仿宋_GB2312" w:eastAsia="仿宋_GB2312" w:cs="仿宋_GB2312"/>
              </w:rPr>
              <w:t>★</w:t>
            </w:r>
          </w:p>
        </w:tc>
        <w:tc>
          <w:tcPr>
            <w:tcW w:w="7380" w:type="dxa"/>
          </w:tcPr>
          <w:p>
            <w:pPr>
              <w:pStyle w:val="4"/>
              <w:jc w:val="both"/>
            </w:pPr>
            <w:r>
              <w:rPr>
                <w:rFonts w:ascii="仿宋_GB2312" w:hAnsi="仿宋_GB2312" w:eastAsia="仿宋_GB2312" w:cs="仿宋_GB2312"/>
                <w:b/>
                <w:sz w:val="20"/>
              </w:rPr>
              <w:t>二、商务要求：</w:t>
            </w:r>
          </w:p>
          <w:p>
            <w:pPr>
              <w:pStyle w:val="4"/>
              <w:ind w:firstLine="400"/>
              <w:jc w:val="both"/>
            </w:pPr>
            <w:r>
              <w:rPr>
                <w:rFonts w:ascii="仿宋_GB2312" w:hAnsi="仿宋_GB2312" w:eastAsia="仿宋_GB2312" w:cs="仿宋_GB2312"/>
                <w:sz w:val="20"/>
              </w:rPr>
              <w:t>1、交付地点：商洛市初级中学。</w:t>
            </w:r>
          </w:p>
          <w:p>
            <w:pPr>
              <w:pStyle w:val="4"/>
              <w:ind w:firstLine="400"/>
              <w:jc w:val="left"/>
            </w:pPr>
            <w:r>
              <w:rPr>
                <w:rFonts w:ascii="仿宋_GB2312" w:hAnsi="仿宋_GB2312" w:eastAsia="仿宋_GB2312" w:cs="仿宋_GB2312"/>
                <w:sz w:val="20"/>
              </w:rPr>
              <w:t>2、工期：自合同签订之日起，70日历天交付采购人并验收合格。</w:t>
            </w:r>
          </w:p>
          <w:p>
            <w:pPr>
              <w:pStyle w:val="4"/>
              <w:ind w:firstLine="400"/>
              <w:jc w:val="left"/>
            </w:pPr>
            <w:r>
              <w:rPr>
                <w:rFonts w:ascii="仿宋_GB2312" w:hAnsi="仿宋_GB2312" w:eastAsia="仿宋_GB2312" w:cs="仿宋_GB2312"/>
                <w:sz w:val="20"/>
              </w:rPr>
              <w:t>3、质保期：2年</w:t>
            </w:r>
          </w:p>
          <w:p>
            <w:pPr>
              <w:pStyle w:val="4"/>
              <w:ind w:firstLine="400"/>
              <w:jc w:val="left"/>
            </w:pPr>
            <w:r>
              <w:rPr>
                <w:rFonts w:ascii="仿宋_GB2312" w:hAnsi="仿宋_GB2312" w:eastAsia="仿宋_GB2312" w:cs="仿宋_GB2312"/>
                <w:sz w:val="20"/>
              </w:rPr>
              <w:t>4、结算方式与付款方式</w:t>
            </w:r>
            <w:bookmarkStart w:id="0" w:name="_GoBack"/>
            <w:bookmarkEnd w:id="0"/>
          </w:p>
          <w:p>
            <w:pPr>
              <w:pStyle w:val="4"/>
              <w:ind w:firstLine="400"/>
              <w:jc w:val="left"/>
            </w:pPr>
            <w:r>
              <w:rPr>
                <w:rFonts w:ascii="仿宋_GB2312" w:hAnsi="仿宋_GB2312" w:eastAsia="仿宋_GB2312" w:cs="仿宋_GB2312"/>
                <w:sz w:val="20"/>
              </w:rPr>
              <w:t>（1）</w:t>
            </w:r>
            <w:r>
              <w:rPr>
                <w:rFonts w:ascii="仿宋" w:hAnsi="仿宋" w:eastAsia="仿宋" w:cs="仿宋"/>
                <w:sz w:val="20"/>
                <w:szCs w:val="20"/>
              </w:rPr>
              <w:t>合同签订</w:t>
            </w:r>
            <w:r>
              <w:rPr>
                <w:rFonts w:hint="eastAsia" w:ascii="仿宋" w:hAnsi="仿宋" w:eastAsia="仿宋" w:cs="仿宋"/>
                <w:sz w:val="20"/>
                <w:szCs w:val="20"/>
              </w:rPr>
              <w:t>之日起甲方应付乙方项目预付款合同额的[50%]，按照合同清单所有设备甲方清点核对后，乙方进场施工，竣工后甲方应付乙方合同额的[40%]，施工验收合格后，甲方应付乙方合同额的[10%]。</w:t>
            </w:r>
          </w:p>
          <w:p>
            <w:pPr>
              <w:pStyle w:val="4"/>
              <w:ind w:firstLine="400"/>
              <w:jc w:val="left"/>
            </w:pPr>
            <w:r>
              <w:rPr>
                <w:rFonts w:ascii="仿宋_GB2312" w:hAnsi="仿宋_GB2312" w:eastAsia="仿宋_GB2312" w:cs="仿宋_GB2312"/>
                <w:sz w:val="20"/>
              </w:rPr>
              <w:t>（2）结算方式：银行转账。</w:t>
            </w:r>
          </w:p>
          <w:p>
            <w:pPr>
              <w:pStyle w:val="4"/>
              <w:jc w:val="both"/>
            </w:pPr>
            <w:r>
              <w:rPr>
                <w:rFonts w:ascii="仿宋_GB2312" w:hAnsi="仿宋_GB2312" w:eastAsia="仿宋_GB2312" w:cs="仿宋_GB2312"/>
                <w:b/>
                <w:sz w:val="20"/>
              </w:rPr>
              <w:t>四、其他</w:t>
            </w:r>
          </w:p>
          <w:p>
            <w:pPr>
              <w:pStyle w:val="4"/>
              <w:ind w:left="660"/>
              <w:jc w:val="both"/>
            </w:pPr>
            <w:r>
              <w:rPr>
                <w:rFonts w:ascii="仿宋_GB2312" w:hAnsi="仿宋_GB2312" w:eastAsia="仿宋_GB2312" w:cs="仿宋_GB2312"/>
                <w:color w:val="000000"/>
                <w:sz w:val="20"/>
              </w:rPr>
              <w:t>（一）质量验收标准或规范</w:t>
            </w:r>
          </w:p>
          <w:p>
            <w:pPr>
              <w:pStyle w:val="4"/>
              <w:ind w:firstLine="400"/>
              <w:jc w:val="both"/>
            </w:pPr>
            <w:r>
              <w:rPr>
                <w:rFonts w:ascii="仿宋_GB2312" w:hAnsi="仿宋_GB2312" w:eastAsia="仿宋_GB2312" w:cs="仿宋_GB2312"/>
                <w:sz w:val="20"/>
              </w:rPr>
              <w:t>（1）符合国家和行业制定的相应的标准和规范；</w:t>
            </w:r>
          </w:p>
          <w:p>
            <w:pPr>
              <w:pStyle w:val="4"/>
              <w:ind w:left="660"/>
              <w:jc w:val="both"/>
            </w:pPr>
            <w:r>
              <w:rPr>
                <w:rFonts w:ascii="仿宋_GB2312" w:hAnsi="仿宋_GB2312" w:eastAsia="仿宋_GB2312" w:cs="仿宋_GB2312"/>
                <w:color w:val="000000"/>
                <w:sz w:val="20"/>
              </w:rPr>
              <w:t>（二）违约责任</w:t>
            </w:r>
          </w:p>
          <w:p>
            <w:pPr>
              <w:pStyle w:val="4"/>
              <w:ind w:firstLine="400"/>
              <w:jc w:val="both"/>
            </w:pPr>
            <w:r>
              <w:rPr>
                <w:rFonts w:ascii="仿宋_GB2312" w:hAnsi="仿宋_GB2312" w:eastAsia="仿宋_GB2312" w:cs="仿宋_GB2312"/>
                <w:sz w:val="20"/>
              </w:rPr>
              <w:t>1.按《</w:t>
            </w:r>
            <w:r>
              <w:rPr>
                <w:rFonts w:ascii="仿宋_GB2312" w:hAnsi="仿宋_GB2312" w:eastAsia="仿宋_GB2312" w:cs="仿宋_GB2312"/>
                <w:color w:val="222222"/>
                <w:sz w:val="20"/>
                <w:shd w:val="clear" w:fill="FFFFFF"/>
              </w:rPr>
              <w:t>中华人民共和国民法典</w:t>
            </w:r>
            <w:r>
              <w:rPr>
                <w:rFonts w:ascii="仿宋_GB2312" w:hAnsi="仿宋_GB2312" w:eastAsia="仿宋_GB2312" w:cs="仿宋_GB2312"/>
                <w:sz w:val="20"/>
              </w:rPr>
              <w:t>》中的相关条款执行。</w:t>
            </w:r>
          </w:p>
          <w:p>
            <w:pPr>
              <w:pStyle w:val="4"/>
              <w:ind w:firstLine="400" w:firstLineChars="200"/>
            </w:pPr>
            <w:r>
              <w:rPr>
                <w:rFonts w:ascii="仿宋_GB2312" w:hAnsi="仿宋_GB2312" w:eastAsia="仿宋_GB2312" w:cs="仿宋_GB2312"/>
                <w:sz w:val="20"/>
              </w:rPr>
              <w:t>2.未按合同或磋商文件要求提供合同约定事项不能满足采购人技术要求，采购单位有权单方终止合同，甚至对供应商违约行为进行追究。</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0MzNkNzhlMWRmZTlhYTM1Yjg2MTNhMmFlZmRjYWYifQ=="/>
  </w:docVars>
  <w:rsids>
    <w:rsidRoot w:val="33F73E96"/>
    <w:rsid w:val="0FD52407"/>
    <w:rsid w:val="10DD77C5"/>
    <w:rsid w:val="13EB79A8"/>
    <w:rsid w:val="236369CD"/>
    <w:rsid w:val="33F73E96"/>
    <w:rsid w:val="39551D3F"/>
    <w:rsid w:val="44AA60E8"/>
    <w:rsid w:val="545A4256"/>
    <w:rsid w:val="584A7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3637</Words>
  <Characters>4589</Characters>
  <Lines>0</Lines>
  <Paragraphs>0</Paragraphs>
  <TotalTime>2</TotalTime>
  <ScaleCrop>false</ScaleCrop>
  <LinksUpToDate>false</LinksUpToDate>
  <CharactersWithSpaces>4750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2026-03-12T06:45:00Z</dcterms:created>
  <dc:creator>Admin</dc:creator>
  <cp:lastModifiedBy>Admin</cp:lastModifiedBy>
  <dcterms:modified xsi:type="dcterms:W3CDTF">2026-03-12T08:59:38Z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DD70422B32394440A2E2A8DC2E18BAB5</vt:lpwstr>
  </property>
</Properties>
</file>