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版本号：SLCG-DY〔2026〕1号20260205001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商洛市地方政府债务管理系统技术支持服务项目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SLCG-DY〔2026〕1号</w:t>
      </w:r>
      <w:r>
        <w:br/>
      </w:r>
      <w:r>
        <w:br/>
      </w:r>
      <w:r>
        <w:br/>
      </w:r>
    </w:p>
    <w:p>
      <w:pPr>
        <w:pStyle w:val="null3"/>
        <w:jc w:val="center"/>
        <w:outlineLvl w:val="5"/>
      </w:pPr>
      <w:r>
        <w:rPr>
          <w:rFonts w:ascii="仿宋_GB2312" w:hAnsi="仿宋_GB2312" w:cs="仿宋_GB2312" w:eastAsia="仿宋_GB2312"/>
          <w:sz w:val="15"/>
          <w:b/>
        </w:rPr>
        <w:t>商洛市财政局</w:t>
      </w:r>
    </w:p>
    <w:p>
      <w:pPr>
        <w:pStyle w:val="null3"/>
        <w:jc w:val="center"/>
        <w:outlineLvl w:val="5"/>
      </w:pPr>
      <w:r>
        <w:rPr>
          <w:rFonts w:ascii="仿宋_GB2312" w:hAnsi="仿宋_GB2312" w:cs="仿宋_GB2312" w:eastAsia="仿宋_GB2312"/>
          <w:sz w:val="15"/>
          <w:b/>
        </w:rPr>
        <w:t>商洛市政府采购中心</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商洛市财政局</w:t>
      </w:r>
      <w:r>
        <w:rPr>
          <w:rFonts w:ascii="仿宋_GB2312" w:hAnsi="仿宋_GB2312" w:cs="仿宋_GB2312" w:eastAsia="仿宋_GB2312"/>
        </w:rPr>
        <w:t>委托，拟对</w:t>
      </w:r>
      <w:r>
        <w:rPr>
          <w:rFonts w:ascii="仿宋_GB2312" w:hAnsi="仿宋_GB2312" w:cs="仿宋_GB2312" w:eastAsia="仿宋_GB2312"/>
        </w:rPr>
        <w:t>商洛市地方政府债务管理系统技术支持服务项目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SLCG-DY〔2026〕1号</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商洛市地方政府债务管理系统技术支持服务项目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商洛市地方政府债务管理系统技术支持服务项目，是为进一步加强我市地方政府债务管理，保障债务管理系统运行维护，高质量完成本区域的债务数据录入、调整、报送及管理等工作提供相应技术支持，服务范围包括市本级财政债务系统操作设置、收集统计填报主体、开展培训及日常技术支持等。</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采购包1（商洛市地方政府债务管理系统技术支持服务项目）：属于专门面向中小企业采购。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供应商须在项目电子化采购系统中提交企业类型证书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2、具有良好的财务状况：供应商须具有良好的财务状况，并须在项目电子化交易系统中提交具有良好财务状况的承诺函，且承诺财务状况良好，并完成电子签章。</w:t>
      </w:r>
    </w:p>
    <w:p>
      <w:pPr>
        <w:pStyle w:val="null3"/>
      </w:pPr>
      <w:r>
        <w:rPr>
          <w:rFonts w:ascii="仿宋_GB2312" w:hAnsi="仿宋_GB2312" w:cs="仿宋_GB2312" w:eastAsia="仿宋_GB2312"/>
        </w:rPr>
        <w:t>3、具有良好的税收缴纳记录：供应商须具有良好的税收缴纳记录，并须在项目电子化交易系统中提交具有良好税收缴纳记录的承诺函，且承诺税收缴纳记录良好，并完成电子签章。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具有良好的社会保障资金缴纳记录的承诺函，且承诺社会保障资金缴纳记录良好，并完成电子签章。</w:t>
      </w:r>
    </w:p>
    <w:p>
      <w:pPr>
        <w:pStyle w:val="null3"/>
      </w:pPr>
      <w:r>
        <w:rPr>
          <w:rFonts w:ascii="仿宋_GB2312" w:hAnsi="仿宋_GB2312" w:cs="仿宋_GB2312" w:eastAsia="仿宋_GB2312"/>
        </w:rPr>
        <w:t>5、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6、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pPr>
      <w:r>
        <w:rPr>
          <w:rFonts w:ascii="仿宋_GB2312" w:hAnsi="仿宋_GB2312" w:cs="仿宋_GB2312" w:eastAsia="仿宋_GB2312"/>
        </w:rPr>
        <w:t>7、信用记录查询证明：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在信用中国网站、中国政府采购网的信用记录查询截图（标注查询日期），并完成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0914-2338130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《节能产品政府采购实施意见》（财政部财库〔2004〕185号）。</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《财政部、发展改革委、生态环境部、市场监管总局关于调整优化节能产品环境标志产品政府采购执行机制的通知》（财政部财库〔2019〕9号）。</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《环境标志产品政府采购实施的意见》（财政部财库〔2006〕90号）。</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商洛市财政局</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商洛市财政局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商洛市政府采购中心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商洛市财政局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债务管理系统技术支持服务项目，是为为进一步加强我市地方政府债务管理，保障债务管理系统运行维护，高质量完成完成本区域的债务数据录入、调整、报送及管理等工作提供相应技术支持，服务范围包括市本级财政债务系统操作设置、收集统计填报主体、开展培训及日常技术支持等，该项目预算金额500000元，一签三年，服务期1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做好平台运维服务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标的名称：做好平台运维服务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b/>
                <w:color w:val="000000"/>
              </w:rPr>
              <w:t>远程服务方案一（</w:t>
            </w:r>
            <w:r>
              <w:rPr>
                <w:rFonts w:ascii="仿宋_GB2312" w:hAnsi="仿宋_GB2312" w:cs="仿宋_GB2312" w:eastAsia="仿宋_GB2312"/>
                <w:sz w:val="28"/>
                <w:b/>
                <w:color w:val="000000"/>
              </w:rPr>
              <w:t>50000元/年 含25年新增业务）</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w:t>
                  </w:r>
                </w:p>
              </w:tc>
              <w:tc>
                <w:tcPr>
                  <w:tcW w:type="dxa" w:w="851"/>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系统分类</w:t>
                  </w:r>
                </w:p>
              </w:tc>
              <w:tc>
                <w:tcPr>
                  <w:tcW w:type="dxa" w:w="851"/>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服务内容</w:t>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穿透式</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系统基础服务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1.用户基础数据变更及权限类维护；含：业务处室、单位信息、用户信息以及各类权限的变更</w:t>
                  </w:r>
                  <w:r>
                    <w:br/>
                  </w:r>
                  <w:r>
                    <w:rPr>
                      <w:rFonts w:ascii="仿宋_GB2312" w:hAnsi="仿宋_GB2312" w:cs="仿宋_GB2312" w:eastAsia="仿宋_GB2312"/>
                      <w:sz w:val="22"/>
                      <w:color w:val="000000"/>
                    </w:rPr>
                    <w:t>2历史业务数据的锁定及解锁维护</w:t>
                  </w:r>
                  <w:r>
                    <w:br/>
                  </w:r>
                  <w:r>
                    <w:rPr>
                      <w:rFonts w:ascii="仿宋_GB2312" w:hAnsi="仿宋_GB2312" w:cs="仿宋_GB2312" w:eastAsia="仿宋_GB2312"/>
                      <w:sz w:val="22"/>
                      <w:color w:val="000000"/>
                    </w:rPr>
                    <w:t>包括网络版中数据锁定后的解锁。（不影响本级债务余额前提下）</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3.对上级财政数据上报的维护,处理因网络端口、数据问题等造成上报失败的问题</w:t>
                  </w:r>
                  <w:r>
                    <w:br/>
                  </w:r>
                  <w:r>
                    <w:rPr>
                      <w:rFonts w:ascii="仿宋_GB2312" w:hAnsi="仿宋_GB2312" w:cs="仿宋_GB2312" w:eastAsia="仿宋_GB2312"/>
                      <w:sz w:val="22"/>
                      <w:color w:val="000000"/>
                    </w:rPr>
                    <w:t>4.建设单位/运营单位信息登记的操作支持；</w:t>
                  </w:r>
                  <w:r>
                    <w:br/>
                  </w:r>
                  <w:r>
                    <w:rPr>
                      <w:rFonts w:ascii="仿宋_GB2312" w:hAnsi="仿宋_GB2312" w:cs="仿宋_GB2312" w:eastAsia="仿宋_GB2312"/>
                      <w:sz w:val="22"/>
                      <w:color w:val="000000"/>
                    </w:rPr>
                    <w:t>5.建设单位/运营单位账户信息登记操作支持；</w:t>
                  </w:r>
                  <w:r>
                    <w:br/>
                  </w:r>
                  <w:r>
                    <w:rPr>
                      <w:rFonts w:ascii="仿宋_GB2312" w:hAnsi="仿宋_GB2312" w:cs="仿宋_GB2312" w:eastAsia="仿宋_GB2312"/>
                      <w:sz w:val="22"/>
                      <w:color w:val="000000"/>
                    </w:rPr>
                    <w:t>6.专项债券资金到位情况登记、资金划拨信息登记、实物工作量登记的操作支持；</w:t>
                  </w:r>
                  <w:r>
                    <w:br/>
                  </w:r>
                  <w:r>
                    <w:rPr>
                      <w:rFonts w:ascii="仿宋_GB2312" w:hAnsi="仿宋_GB2312" w:cs="仿宋_GB2312" w:eastAsia="仿宋_GB2312"/>
                      <w:sz w:val="22"/>
                      <w:color w:val="000000"/>
                    </w:rPr>
                    <w:t>7.建设月报、运营日报填报操作支持；</w:t>
                  </w:r>
                  <w:r>
                    <w:br/>
                  </w:r>
                  <w:r>
                    <w:rPr>
                      <w:rFonts w:ascii="仿宋_GB2312" w:hAnsi="仿宋_GB2312" w:cs="仿宋_GB2312" w:eastAsia="仿宋_GB2312"/>
                      <w:sz w:val="22"/>
                      <w:color w:val="000000"/>
                    </w:rPr>
                    <w:t>8.项目资产填报操作支持；</w:t>
                  </w:r>
                  <w:r>
                    <w:br/>
                  </w:r>
                  <w:r>
                    <w:rPr>
                      <w:rFonts w:ascii="仿宋_GB2312" w:hAnsi="仿宋_GB2312" w:cs="仿宋_GB2312" w:eastAsia="仿宋_GB2312"/>
                      <w:sz w:val="22"/>
                      <w:color w:val="000000"/>
                    </w:rPr>
                    <w:t>9.项目配套融资填报操作支持。</w:t>
                  </w:r>
                  <w:r>
                    <w:br/>
                  </w:r>
                  <w:r>
                    <w:rPr>
                      <w:rFonts w:ascii="仿宋_GB2312" w:hAnsi="仿宋_GB2312" w:cs="仿宋_GB2312" w:eastAsia="仿宋_GB2312"/>
                      <w:sz w:val="22"/>
                      <w:color w:val="000000"/>
                    </w:rPr>
                    <w:t>10.数据统计分析操作支持；</w:t>
                  </w:r>
                  <w:r>
                    <w:br/>
                  </w:r>
                  <w:r>
                    <w:rPr>
                      <w:rFonts w:ascii="仿宋_GB2312" w:hAnsi="仿宋_GB2312" w:cs="仿宋_GB2312" w:eastAsia="仿宋_GB2312"/>
                      <w:sz w:val="22"/>
                      <w:color w:val="000000"/>
                    </w:rPr>
                    <w:t>11.总部及省级服务团队关于问题数据的排查处理</w:t>
                  </w:r>
                  <w:r>
                    <w:br/>
                  </w:r>
                  <w:r>
                    <w:rPr>
                      <w:rFonts w:ascii="仿宋_GB2312" w:hAnsi="仿宋_GB2312" w:cs="仿宋_GB2312" w:eastAsia="仿宋_GB2312"/>
                      <w:sz w:val="22"/>
                      <w:color w:val="FF0000"/>
                    </w:rPr>
                    <w:t>12.监管局核查整改的操作支持</w:t>
                  </w:r>
                  <w:r>
                    <w:br/>
                  </w:r>
                  <w:r>
                    <w:rPr>
                      <w:rFonts w:ascii="仿宋_GB2312" w:hAnsi="仿宋_GB2312" w:cs="仿宋_GB2312" w:eastAsia="仿宋_GB2312"/>
                      <w:sz w:val="22"/>
                      <w:color w:val="FF0000"/>
                    </w:rPr>
                    <w:t>13.项目绩效管理的操作支持</w:t>
                  </w:r>
                  <w:r>
                    <w:br/>
                  </w:r>
                  <w:r>
                    <w:rPr>
                      <w:rFonts w:ascii="仿宋_GB2312" w:hAnsi="仿宋_GB2312" w:cs="仿宋_GB2312" w:eastAsia="仿宋_GB2312"/>
                      <w:sz w:val="22"/>
                      <w:color w:val="FF0000"/>
                    </w:rPr>
                    <w:t>14.落实落地数据问题排查、处理</w:t>
                  </w:r>
                  <w:r>
                    <w:br/>
                  </w:r>
                  <w:r>
                    <w:rPr>
                      <w:rFonts w:ascii="仿宋_GB2312" w:hAnsi="仿宋_GB2312" w:cs="仿宋_GB2312" w:eastAsia="仿宋_GB2312"/>
                      <w:sz w:val="22"/>
                      <w:color w:val="FF0000"/>
                    </w:rPr>
                    <w:t>15.4万亿置换债、6万亿化债数据比对支持</w:t>
                  </w:r>
                  <w:r>
                    <w:br/>
                  </w:r>
                  <w:r>
                    <w:rPr>
                      <w:rFonts w:ascii="仿宋_GB2312" w:hAnsi="仿宋_GB2312" w:cs="仿宋_GB2312" w:eastAsia="仿宋_GB2312"/>
                      <w:sz w:val="22"/>
                      <w:color w:val="FF0000"/>
                    </w:rPr>
                    <w:t>16.一体化债券拨付与穿透式实物工作量的对比支持</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业务管理服务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FF0000"/>
                    </w:rPr>
                    <w:t>1.上级政策与系统关联功能的传达与解读。</w:t>
                  </w:r>
                  <w:r>
                    <w:br/>
                  </w:r>
                  <w:r>
                    <w:rPr>
                      <w:rFonts w:ascii="仿宋_GB2312" w:hAnsi="仿宋_GB2312" w:cs="仿宋_GB2312" w:eastAsia="仿宋_GB2312"/>
                      <w:sz w:val="22"/>
                      <w:color w:val="FF0000"/>
                    </w:rPr>
                    <w:t>2.所辖债务单位的业务指导。</w:t>
                  </w:r>
                  <w:r>
                    <w:br/>
                  </w:r>
                  <w:r>
                    <w:rPr>
                      <w:rFonts w:ascii="仿宋_GB2312" w:hAnsi="仿宋_GB2312" w:cs="仿宋_GB2312" w:eastAsia="仿宋_GB2312"/>
                      <w:sz w:val="22"/>
                      <w:color w:val="FF0000"/>
                    </w:rPr>
                    <w:t>3.配合用户报告不同口径数据的统计支持。</w:t>
                  </w:r>
                  <w:r>
                    <w:br/>
                  </w:r>
                  <w:r>
                    <w:rPr>
                      <w:rFonts w:ascii="仿宋_GB2312" w:hAnsi="仿宋_GB2312" w:cs="仿宋_GB2312" w:eastAsia="仿宋_GB2312"/>
                      <w:sz w:val="22"/>
                      <w:color w:val="FF0000"/>
                    </w:rPr>
                    <w:t>4.辅助用户对数据填报服务。</w:t>
                  </w:r>
                  <w:r>
                    <w:br/>
                  </w:r>
                  <w:r>
                    <w:rPr>
                      <w:rFonts w:ascii="仿宋_GB2312" w:hAnsi="仿宋_GB2312" w:cs="仿宋_GB2312" w:eastAsia="仿宋_GB2312"/>
                      <w:sz w:val="22"/>
                      <w:color w:val="FF0000"/>
                    </w:rPr>
                    <w:t>5.财政内处室间、财政与外部门间的数据口径差异分析。</w:t>
                  </w:r>
                  <w:r>
                    <w:br/>
                  </w:r>
                  <w:r>
                    <w:rPr>
                      <w:rFonts w:ascii="仿宋_GB2312" w:hAnsi="仿宋_GB2312" w:cs="仿宋_GB2312" w:eastAsia="仿宋_GB2312"/>
                      <w:sz w:val="22"/>
                      <w:color w:val="FF0000"/>
                    </w:rPr>
                    <w:t>6.协助用户完成对上级财政部门的汇报工作。</w:t>
                  </w:r>
                  <w:r>
                    <w:br/>
                  </w:r>
                  <w:r>
                    <w:rPr>
                      <w:rFonts w:ascii="仿宋_GB2312" w:hAnsi="仿宋_GB2312" w:cs="仿宋_GB2312" w:eastAsia="仿宋_GB2312"/>
                      <w:sz w:val="22"/>
                      <w:color w:val="FF0000"/>
                      <w:u w:val="single"/>
                    </w:rPr>
                    <w:t>7.年度业务数据后端调整（另行协商）</w:t>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监测平台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系统基础服务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1.系统运行过程中，遇到的功能或数据类问题修复。</w:t>
                  </w:r>
                  <w:r>
                    <w:br/>
                  </w:r>
                  <w:r>
                    <w:rPr>
                      <w:rFonts w:ascii="仿宋_GB2312" w:hAnsi="仿宋_GB2312" w:cs="仿宋_GB2312" w:eastAsia="仿宋_GB2312"/>
                      <w:sz w:val="22"/>
                      <w:color w:val="000000"/>
                    </w:rPr>
                    <w:t>2.本级所有单位，含行政、事业单位，融资平台，国有企业等所有单位信息的维护及变更。</w:t>
                  </w:r>
                  <w:r>
                    <w:br/>
                  </w:r>
                  <w:r>
                    <w:rPr>
                      <w:rFonts w:ascii="仿宋_GB2312" w:hAnsi="仿宋_GB2312" w:cs="仿宋_GB2312" w:eastAsia="仿宋_GB2312"/>
                      <w:sz w:val="22"/>
                      <w:color w:val="000000"/>
                    </w:rPr>
                    <w:t>3.单位用户账号的审核、变更、维护、账号解锁等；</w:t>
                  </w:r>
                  <w:r>
                    <w:br/>
                  </w:r>
                  <w:r>
                    <w:rPr>
                      <w:rFonts w:ascii="仿宋_GB2312" w:hAnsi="仿宋_GB2312" w:cs="仿宋_GB2312" w:eastAsia="仿宋_GB2312"/>
                      <w:sz w:val="22"/>
                      <w:color w:val="000000"/>
                    </w:rPr>
                    <w:t>4.支持财政部门用户账号的新增、变更、维护等的，包括Ukey的申请、维护、变更、审核、解锁等；</w:t>
                  </w:r>
                  <w:r>
                    <w:br/>
                  </w:r>
                  <w:r>
                    <w:rPr>
                      <w:rFonts w:ascii="仿宋_GB2312" w:hAnsi="仿宋_GB2312" w:cs="仿宋_GB2312" w:eastAsia="仿宋_GB2312"/>
                      <w:sz w:val="22"/>
                      <w:color w:val="000000"/>
                    </w:rPr>
                    <w:t>5.主管部门账号的维护及审核；</w:t>
                  </w:r>
                  <w:r>
                    <w:br/>
                  </w:r>
                  <w:r>
                    <w:rPr>
                      <w:rFonts w:ascii="仿宋_GB2312" w:hAnsi="仿宋_GB2312" w:cs="仿宋_GB2312" w:eastAsia="仿宋_GB2312"/>
                      <w:sz w:val="22"/>
                      <w:color w:val="000000"/>
                    </w:rPr>
                    <w:t>6.主管部门角色的配置及数据权限的管理；</w:t>
                  </w:r>
                  <w:r>
                    <w:br/>
                  </w:r>
                  <w:r>
                    <w:rPr>
                      <w:rFonts w:ascii="仿宋_GB2312" w:hAnsi="仿宋_GB2312" w:cs="仿宋_GB2312" w:eastAsia="仿宋_GB2312"/>
                      <w:sz w:val="22"/>
                      <w:color w:val="000000"/>
                    </w:rPr>
                    <w:t>7.配合用户对系统运行过程中因网络、客户端等原因，造成系统无法上报的故障，进行处理</w:t>
                  </w:r>
                  <w:r>
                    <w:br/>
                  </w:r>
                  <w:r>
                    <w:rPr>
                      <w:rFonts w:ascii="仿宋_GB2312" w:hAnsi="仿宋_GB2312" w:cs="仿宋_GB2312" w:eastAsia="仿宋_GB2312"/>
                      <w:sz w:val="22"/>
                      <w:color w:val="000000"/>
                    </w:rPr>
                    <w:t>8.本级所有单位分有债务和无债务，对填报内容的支持说明。</w:t>
                  </w:r>
                  <w:r>
                    <w:br/>
                  </w:r>
                  <w:r>
                    <w:rPr>
                      <w:rFonts w:ascii="仿宋_GB2312" w:hAnsi="仿宋_GB2312" w:cs="仿宋_GB2312" w:eastAsia="仿宋_GB2312"/>
                      <w:sz w:val="22"/>
                      <w:color w:val="000000"/>
                    </w:rPr>
                    <w:t>9.本级所有单位填报数据的整理、汇总及流程说明。</w:t>
                  </w:r>
                  <w:r>
                    <w:br/>
                  </w:r>
                  <w:r>
                    <w:rPr>
                      <w:rFonts w:ascii="仿宋_GB2312" w:hAnsi="仿宋_GB2312" w:cs="仿宋_GB2312" w:eastAsia="仿宋_GB2312"/>
                      <w:sz w:val="22"/>
                      <w:color w:val="000000"/>
                    </w:rPr>
                    <w:t>10.单位对建设项目基本信息、投资计划、项目收益等填报的操作及说明。</w:t>
                  </w:r>
                  <w:r>
                    <w:br/>
                  </w:r>
                  <w:r>
                    <w:rPr>
                      <w:rFonts w:ascii="仿宋_GB2312" w:hAnsi="仿宋_GB2312" w:cs="仿宋_GB2312" w:eastAsia="仿宋_GB2312"/>
                      <w:sz w:val="22"/>
                      <w:color w:val="000000"/>
                    </w:rPr>
                    <w:t>11.单位债务基本信息、债务举借、还本付息、债务支出、转贷等功能操作的说明。</w:t>
                  </w:r>
                  <w:r>
                    <w:br/>
                  </w:r>
                  <w:r>
                    <w:rPr>
                      <w:rFonts w:ascii="仿宋_GB2312" w:hAnsi="仿宋_GB2312" w:cs="仿宋_GB2312" w:eastAsia="仿宋_GB2312"/>
                      <w:sz w:val="22"/>
                      <w:color w:val="000000"/>
                    </w:rPr>
                    <w:t>12.单位对支出事项填报、支出事项执行填报的说明。</w:t>
                  </w:r>
                  <w:r>
                    <w:br/>
                  </w:r>
                  <w:r>
                    <w:rPr>
                      <w:rFonts w:ascii="仿宋_GB2312" w:hAnsi="仿宋_GB2312" w:cs="仿宋_GB2312" w:eastAsia="仿宋_GB2312"/>
                      <w:sz w:val="22"/>
                      <w:color w:val="000000"/>
                    </w:rPr>
                    <w:t>13.单位对支出事项及债务填报，对应关联关系的支持。</w:t>
                  </w:r>
                  <w:r>
                    <w:br/>
                  </w:r>
                  <w:r>
                    <w:rPr>
                      <w:rFonts w:ascii="仿宋_GB2312" w:hAnsi="仿宋_GB2312" w:cs="仿宋_GB2312" w:eastAsia="仿宋_GB2312"/>
                      <w:sz w:val="22"/>
                      <w:color w:val="000000"/>
                    </w:rPr>
                    <w:t>14.单位对财务指标、资产数据的填报说明。</w:t>
                  </w:r>
                  <w:r>
                    <w:br/>
                  </w:r>
                  <w:r>
                    <w:rPr>
                      <w:rFonts w:ascii="仿宋_GB2312" w:hAnsi="仿宋_GB2312" w:cs="仿宋_GB2312" w:eastAsia="仿宋_GB2312"/>
                      <w:sz w:val="22"/>
                      <w:color w:val="FF0000"/>
                    </w:rPr>
                    <w:t>15.全口径填报内容，相关统计分析的操作及说明。</w:t>
                  </w:r>
                  <w:r>
                    <w:br/>
                  </w:r>
                  <w:r>
                    <w:rPr>
                      <w:rFonts w:ascii="仿宋_GB2312" w:hAnsi="仿宋_GB2312" w:cs="仿宋_GB2312" w:eastAsia="仿宋_GB2312"/>
                      <w:sz w:val="22"/>
                      <w:color w:val="FF0000"/>
                    </w:rPr>
                    <w:t>16.按月对全口径债务、认定债务分别对上级财政进行区分、汇总、上报支持。</w:t>
                  </w:r>
                  <w:r>
                    <w:br/>
                  </w:r>
                  <w:r>
                    <w:rPr>
                      <w:rFonts w:ascii="仿宋_GB2312" w:hAnsi="仿宋_GB2312" w:cs="仿宋_GB2312" w:eastAsia="仿宋_GB2312"/>
                      <w:sz w:val="22"/>
                      <w:color w:val="000000"/>
                    </w:rPr>
                    <w:t>17.无债务单位上报的操作及支持。</w:t>
                  </w:r>
                  <w:r>
                    <w:br/>
                  </w:r>
                  <w:r>
                    <w:rPr>
                      <w:rFonts w:ascii="仿宋_GB2312" w:hAnsi="仿宋_GB2312" w:cs="仿宋_GB2312" w:eastAsia="仿宋_GB2312"/>
                      <w:sz w:val="22"/>
                      <w:color w:val="000000"/>
                    </w:rPr>
                    <w:t>18.单位及主管部门数据上报流程及审核的操作及支持。</w:t>
                  </w:r>
                  <w:r>
                    <w:br/>
                  </w:r>
                  <w:r>
                    <w:rPr>
                      <w:rFonts w:ascii="仿宋_GB2312" w:hAnsi="仿宋_GB2312" w:cs="仿宋_GB2312" w:eastAsia="仿宋_GB2312"/>
                      <w:sz w:val="22"/>
                      <w:color w:val="000000"/>
                    </w:rPr>
                    <w:t>19.单位数据上报状态及上报数据的分析支持。</w:t>
                  </w:r>
                  <w:r>
                    <w:br/>
                  </w:r>
                  <w:r>
                    <w:rPr>
                      <w:rFonts w:ascii="仿宋_GB2312" w:hAnsi="仿宋_GB2312" w:cs="仿宋_GB2312" w:eastAsia="仿宋_GB2312"/>
                      <w:sz w:val="22"/>
                      <w:color w:val="000000"/>
                    </w:rPr>
                    <w:t>20.债权人全称及公司企业债券未更新问题分析支持。</w:t>
                  </w:r>
                  <w:r>
                    <w:br/>
                  </w:r>
                  <w:r>
                    <w:rPr>
                      <w:rFonts w:ascii="仿宋_GB2312" w:hAnsi="仿宋_GB2312" w:cs="仿宋_GB2312" w:eastAsia="仿宋_GB2312"/>
                      <w:sz w:val="22"/>
                      <w:color w:val="000000"/>
                    </w:rPr>
                    <w:t>21.金融机构数据共享比对操作及支持。</w:t>
                  </w:r>
                  <w:r>
                    <w:br/>
                  </w:r>
                  <w:r>
                    <w:rPr>
                      <w:rFonts w:ascii="仿宋_GB2312" w:hAnsi="仿宋_GB2312" w:cs="仿宋_GB2312" w:eastAsia="仿宋_GB2312"/>
                      <w:sz w:val="22"/>
                      <w:color w:val="000000"/>
                    </w:rPr>
                    <w:t>22.监管局核查问题整改操作及支持。</w:t>
                  </w:r>
                  <w:r>
                    <w:br/>
                  </w:r>
                  <w:r>
                    <w:rPr>
                      <w:rFonts w:ascii="仿宋_GB2312" w:hAnsi="仿宋_GB2312" w:cs="仿宋_GB2312" w:eastAsia="仿宋_GB2312"/>
                      <w:sz w:val="22"/>
                      <w:color w:val="000000"/>
                    </w:rPr>
                    <w:t>23.问责整改操作及支持。</w:t>
                  </w:r>
                  <w:r>
                    <w:br/>
                  </w:r>
                  <w:r>
                    <w:rPr>
                      <w:rFonts w:ascii="仿宋_GB2312" w:hAnsi="仿宋_GB2312" w:cs="仿宋_GB2312" w:eastAsia="仿宋_GB2312"/>
                      <w:sz w:val="22"/>
                      <w:color w:val="000000"/>
                    </w:rPr>
                    <w:t>24.化债细化编制操作及支持。</w:t>
                  </w:r>
                  <w:r>
                    <w:br/>
                  </w:r>
                  <w:r>
                    <w:rPr>
                      <w:rFonts w:ascii="仿宋_GB2312" w:hAnsi="仿宋_GB2312" w:cs="仿宋_GB2312" w:eastAsia="仿宋_GB2312"/>
                      <w:sz w:val="22"/>
                      <w:color w:val="000000"/>
                    </w:rPr>
                    <w:t>25.本级财政统计的拖欠企业账款填报操作及支持。</w:t>
                  </w:r>
                  <w:r>
                    <w:br/>
                  </w:r>
                  <w:r>
                    <w:rPr>
                      <w:rFonts w:ascii="仿宋_GB2312" w:hAnsi="仿宋_GB2312" w:cs="仿宋_GB2312" w:eastAsia="仿宋_GB2312"/>
                      <w:sz w:val="22"/>
                      <w:color w:val="000000"/>
                    </w:rPr>
                    <w:t>26.协调总部技术支持处理严重和复杂问题；</w:t>
                  </w:r>
                  <w:r>
                    <w:br/>
                  </w:r>
                  <w:r>
                    <w:rPr>
                      <w:rFonts w:ascii="仿宋_GB2312" w:hAnsi="仿宋_GB2312" w:cs="仿宋_GB2312" w:eastAsia="仿宋_GB2312"/>
                      <w:sz w:val="22"/>
                      <w:color w:val="000000"/>
                    </w:rPr>
                    <w:t>27.定期向财政相关用户统计各级财政、单位数据统计上报情况的汇报。</w:t>
                  </w:r>
                  <w:r>
                    <w:br/>
                  </w:r>
                  <w:r>
                    <w:rPr>
                      <w:rFonts w:ascii="仿宋_GB2312" w:hAnsi="仿宋_GB2312" w:cs="仿宋_GB2312" w:eastAsia="仿宋_GB2312"/>
                      <w:sz w:val="22"/>
                      <w:color w:val="FF0000"/>
                    </w:rPr>
                    <w:t>28.4万亿置换债、6万亿化债数据比对</w:t>
                  </w:r>
                  <w:r>
                    <w:br/>
                  </w:r>
                  <w:r>
                    <w:rPr>
                      <w:rFonts w:ascii="仿宋_GB2312" w:hAnsi="仿宋_GB2312" w:cs="仿宋_GB2312" w:eastAsia="仿宋_GB2312"/>
                      <w:sz w:val="22"/>
                      <w:color w:val="FF0000"/>
                    </w:rPr>
                    <w:t>29.工信厅统计的拖欠企业账款填报操作及支持。</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业务管理服务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FF0000"/>
                    </w:rPr>
                    <w:t>1.政策与系统关联功能的解读。</w:t>
                  </w:r>
                  <w:r>
                    <w:br/>
                  </w:r>
                  <w:r>
                    <w:rPr>
                      <w:rFonts w:ascii="仿宋_GB2312" w:hAnsi="仿宋_GB2312" w:cs="仿宋_GB2312" w:eastAsia="仿宋_GB2312"/>
                      <w:sz w:val="22"/>
                      <w:color w:val="FF0000"/>
                    </w:rPr>
                    <w:t>2.新增债务与关联支出责任余额校对支持。</w:t>
                  </w:r>
                  <w:r>
                    <w:br/>
                  </w:r>
                  <w:r>
                    <w:rPr>
                      <w:rFonts w:ascii="仿宋_GB2312" w:hAnsi="仿宋_GB2312" w:cs="仿宋_GB2312" w:eastAsia="仿宋_GB2312"/>
                      <w:sz w:val="22"/>
                      <w:color w:val="FF0000"/>
                    </w:rPr>
                    <w:t>3.新增债务、化解债务额度与附件实际情况匹配支持。</w:t>
                  </w:r>
                  <w:r>
                    <w:br/>
                  </w:r>
                  <w:r>
                    <w:rPr>
                      <w:rFonts w:ascii="仿宋_GB2312" w:hAnsi="仿宋_GB2312" w:cs="仿宋_GB2312" w:eastAsia="仿宋_GB2312"/>
                      <w:sz w:val="22"/>
                      <w:color w:val="FF0000"/>
                    </w:rPr>
                    <w:t>4.举借债务与实际提款凭证匹配支持。</w:t>
                  </w:r>
                  <w:r>
                    <w:br/>
                  </w:r>
                  <w:r>
                    <w:rPr>
                      <w:rFonts w:ascii="仿宋_GB2312" w:hAnsi="仿宋_GB2312" w:cs="仿宋_GB2312" w:eastAsia="仿宋_GB2312"/>
                      <w:sz w:val="22"/>
                      <w:color w:val="FF0000"/>
                    </w:rPr>
                    <w:t>5.所辖债务单位的业务指导。</w:t>
                  </w:r>
                  <w:r>
                    <w:br/>
                  </w:r>
                  <w:r>
                    <w:rPr>
                      <w:rFonts w:ascii="仿宋_GB2312" w:hAnsi="仿宋_GB2312" w:cs="仿宋_GB2312" w:eastAsia="仿宋_GB2312"/>
                      <w:sz w:val="22"/>
                      <w:color w:val="FF0000"/>
                    </w:rPr>
                    <w:t>6.配合用户报告不同口径数据的统计服务支持。</w:t>
                  </w:r>
                  <w:r>
                    <w:br/>
                  </w:r>
                  <w:r>
                    <w:rPr>
                      <w:rFonts w:ascii="仿宋_GB2312" w:hAnsi="仿宋_GB2312" w:cs="仿宋_GB2312" w:eastAsia="仿宋_GB2312"/>
                      <w:sz w:val="22"/>
                      <w:color w:val="FF0000"/>
                    </w:rPr>
                    <w:t>7.辅助用户对数据填报服务支持。</w:t>
                  </w:r>
                  <w:r>
                    <w:br/>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一体化</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系统基础服务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1.项目储备、需求管理的操作支持；</w:t>
                  </w:r>
                  <w:r>
                    <w:br/>
                  </w:r>
                  <w:r>
                    <w:rPr>
                      <w:rFonts w:ascii="仿宋_GB2312" w:hAnsi="仿宋_GB2312" w:cs="仿宋_GB2312" w:eastAsia="仿宋_GB2312"/>
                      <w:sz w:val="22"/>
                      <w:color w:val="000000"/>
                    </w:rPr>
                    <w:t>2.债券发行计划、发行登记的操作支持；</w:t>
                  </w:r>
                  <w:r>
                    <w:br/>
                  </w:r>
                  <w:r>
                    <w:rPr>
                      <w:rFonts w:ascii="仿宋_GB2312" w:hAnsi="仿宋_GB2312" w:cs="仿宋_GB2312" w:eastAsia="仿宋_GB2312"/>
                      <w:sz w:val="22"/>
                      <w:color w:val="000000"/>
                    </w:rPr>
                    <w:t>3.债券转贷、债券支出的操作支持；</w:t>
                  </w:r>
                  <w:r>
                    <w:br/>
                  </w:r>
                  <w:r>
                    <w:rPr>
                      <w:rFonts w:ascii="仿宋_GB2312" w:hAnsi="仿宋_GB2312" w:cs="仿宋_GB2312" w:eastAsia="仿宋_GB2312"/>
                      <w:sz w:val="22"/>
                      <w:color w:val="000000"/>
                    </w:rPr>
                    <w:t>4.债券还本付息、手续费等填报的操作支持；</w:t>
                  </w:r>
                  <w:r>
                    <w:br/>
                  </w:r>
                  <w:r>
                    <w:rPr>
                      <w:rFonts w:ascii="仿宋_GB2312" w:hAnsi="仿宋_GB2312" w:cs="仿宋_GB2312" w:eastAsia="仿宋_GB2312"/>
                      <w:sz w:val="22"/>
                      <w:color w:val="000000"/>
                    </w:rPr>
                    <w:t>5.数据统计分析操作支持；</w:t>
                  </w:r>
                  <w:r>
                    <w:br/>
                  </w:r>
                  <w:r>
                    <w:rPr>
                      <w:rFonts w:ascii="仿宋_GB2312" w:hAnsi="仿宋_GB2312" w:cs="仿宋_GB2312" w:eastAsia="仿宋_GB2312"/>
                      <w:sz w:val="22"/>
                      <w:color w:val="000000"/>
                    </w:rPr>
                    <w:t>6.数据汇总及月报数据上报的操作支持；</w:t>
                  </w:r>
                  <w:r>
                    <w:br/>
                  </w:r>
                  <w:r>
                    <w:rPr>
                      <w:rFonts w:ascii="仿宋_GB2312" w:hAnsi="仿宋_GB2312" w:cs="仿宋_GB2312" w:eastAsia="仿宋_GB2312"/>
                      <w:sz w:val="22"/>
                      <w:color w:val="FF0000"/>
                    </w:rPr>
                    <w:t>7.债务与预算编制、调整调剂的整合操作支持；</w:t>
                  </w:r>
                  <w:r>
                    <w:br/>
                  </w:r>
                  <w:r>
                    <w:rPr>
                      <w:rFonts w:ascii="仿宋_GB2312" w:hAnsi="仿宋_GB2312" w:cs="仿宋_GB2312" w:eastAsia="仿宋_GB2312"/>
                      <w:sz w:val="22"/>
                      <w:color w:val="FF0000"/>
                    </w:rPr>
                    <w:t>8.债券支出与预算执行的整合操作支持；</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业务管理服务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FF0000"/>
                    </w:rPr>
                    <w:t xml:space="preserve">1.政策与系统关联功能的传达与解读。 </w:t>
                  </w:r>
                  <w:r>
                    <w:br/>
                  </w:r>
                  <w:r>
                    <w:rPr>
                      <w:rFonts w:ascii="仿宋_GB2312" w:hAnsi="仿宋_GB2312" w:cs="仿宋_GB2312" w:eastAsia="仿宋_GB2312"/>
                      <w:sz w:val="22"/>
                      <w:color w:val="FF0000"/>
                    </w:rPr>
                    <w:t>2.年度结转基础数据变更与一体化预算模块的核对支持；</w:t>
                  </w:r>
                  <w:r>
                    <w:br/>
                  </w:r>
                  <w:r>
                    <w:rPr>
                      <w:rFonts w:ascii="仿宋_GB2312" w:hAnsi="仿宋_GB2312" w:cs="仿宋_GB2312" w:eastAsia="仿宋_GB2312"/>
                      <w:sz w:val="22"/>
                      <w:color w:val="FF0000"/>
                    </w:rPr>
                    <w:t>3.年度结转预算、执行的数据对账服务支持；</w:t>
                  </w:r>
                  <w:r>
                    <w:br/>
                  </w:r>
                  <w:r>
                    <w:rPr>
                      <w:rFonts w:ascii="仿宋_GB2312" w:hAnsi="仿宋_GB2312" w:cs="仿宋_GB2312" w:eastAsia="仿宋_GB2312"/>
                      <w:sz w:val="22"/>
                      <w:color w:val="FF0000"/>
                    </w:rPr>
                    <w:t>4.4万亿置换债、6万亿化债数据比对支持</w:t>
                  </w:r>
                  <w:r>
                    <w:br/>
                  </w:r>
                  <w:r>
                    <w:rPr>
                      <w:rFonts w:ascii="仿宋_GB2312" w:hAnsi="仿宋_GB2312" w:cs="仿宋_GB2312" w:eastAsia="仿宋_GB2312"/>
                      <w:sz w:val="22"/>
                      <w:color w:val="FF0000"/>
                    </w:rPr>
                    <w:t>5.一体化债券拨付与穿透式实物工作量的对比支持</w:t>
                  </w:r>
                  <w:r>
                    <w:br/>
                  </w:r>
                  <w:r>
                    <w:rPr>
                      <w:rFonts w:ascii="仿宋_GB2312" w:hAnsi="仿宋_GB2312" w:cs="仿宋_GB2312" w:eastAsia="仿宋_GB2312"/>
                      <w:sz w:val="22"/>
                      <w:color w:val="FF0000"/>
                      <w:u w:val="single"/>
                    </w:rPr>
                    <w:t>6.年度业务数据后端调整（另行协商价格）</w:t>
                  </w:r>
                </w:p>
              </w:tc>
            </w:tr>
          </w:tbl>
          <w:p>
            <w:pPr>
              <w:pStyle w:val="null3"/>
            </w:pPr>
            <w:r>
              <w:rPr>
                <w:rFonts w:ascii="仿宋_GB2312" w:hAnsi="仿宋_GB2312" w:cs="仿宋_GB2312" w:eastAsia="仿宋_GB2312"/>
              </w:rPr>
              <w:t xml:space="preserve"> </w:t>
            </w:r>
          </w:p>
          <w:p>
            <w:pPr>
              <w:pStyle w:val="null3"/>
              <w:ind w:firstLine="562"/>
              <w:jc w:val="both"/>
            </w:pPr>
            <w:r>
              <w:rPr>
                <w:rFonts w:ascii="仿宋_GB2312" w:hAnsi="仿宋_GB2312" w:cs="仿宋_GB2312" w:eastAsia="仿宋_GB2312"/>
                <w:sz w:val="28"/>
                <w:b/>
                <w:color w:val="000000"/>
              </w:rPr>
              <w:t>远程服务方案二（</w:t>
            </w:r>
            <w:r>
              <w:rPr>
                <w:rFonts w:ascii="仿宋_GB2312" w:hAnsi="仿宋_GB2312" w:cs="仿宋_GB2312" w:eastAsia="仿宋_GB2312"/>
                <w:sz w:val="28"/>
                <w:b/>
                <w:color w:val="000000"/>
              </w:rPr>
              <w:t>30000元/年）</w:t>
            </w:r>
          </w:p>
          <w:tbl>
            <w:tblPr>
              <w:tblInd w:type="dxa" w:w="135"/>
              <w:tblBorders>
                <w:top w:val="none" w:color="000000" w:sz="4"/>
                <w:left w:val="none" w:color="000000" w:sz="4"/>
                <w:bottom w:val="none" w:color="000000" w:sz="4"/>
                <w:right w:val="none" w:color="000000" w:sz="4"/>
                <w:insideH w:val="none"/>
                <w:insideV w:val="none"/>
              </w:tblBorders>
            </w:tblPr>
            <w:tblGrid>
              <w:gridCol w:w="221"/>
              <w:gridCol w:w="263"/>
              <w:gridCol w:w="400"/>
              <w:gridCol w:w="404"/>
              <w:gridCol w:w="1226"/>
            </w:tblGrid>
            <w:tr>
              <w:tc>
                <w:tcPr>
                  <w:tcW w:type="dxa" w:w="221"/>
                  <w:tcBorders>
                    <w:top w:val="single" w:color="000000" w:sz="4"/>
                    <w:left w:val="single" w:color="000000" w:sz="4"/>
                    <w:bottom w:val="none" w:color="000000" w:sz="4"/>
                    <w:right w:val="single" w:color="000000" w:sz="4"/>
                  </w:tcBorders>
                  <w:shd w:fill="F4B084"/>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FFFF"/>
                    </w:rPr>
                    <w:t>序号</w:t>
                  </w:r>
                </w:p>
              </w:tc>
              <w:tc>
                <w:tcPr>
                  <w:tcW w:type="dxa" w:w="263"/>
                  <w:tcBorders>
                    <w:top w:val="single" w:color="000000" w:sz="4"/>
                    <w:left w:val="none" w:color="000000" w:sz="4"/>
                    <w:bottom w:val="none" w:color="000000" w:sz="4"/>
                    <w:right w:val="single" w:color="000000" w:sz="4"/>
                  </w:tcBorders>
                  <w:shd w:fill="F4B084"/>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FFFF"/>
                    </w:rPr>
                    <w:t>系统分类</w:t>
                  </w:r>
                </w:p>
              </w:tc>
              <w:tc>
                <w:tcPr>
                  <w:tcW w:type="dxa" w:w="400"/>
                  <w:tcBorders>
                    <w:top w:val="single" w:color="000000" w:sz="4"/>
                    <w:left w:val="none" w:color="000000" w:sz="4"/>
                    <w:bottom w:val="none" w:color="000000" w:sz="4"/>
                    <w:right w:val="single" w:color="000000" w:sz="4"/>
                  </w:tcBorders>
                  <w:shd w:fill="F4B084"/>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FFFF"/>
                    </w:rPr>
                    <w:t>服务内容</w:t>
                  </w:r>
                </w:p>
              </w:tc>
              <w:tc>
                <w:tcPr>
                  <w:tcW w:type="dxa" w:w="404"/>
                  <w:tcBorders>
                    <w:top w:val="single" w:color="000000" w:sz="4"/>
                    <w:left w:val="none" w:color="000000" w:sz="4"/>
                    <w:bottom w:val="none" w:color="000000" w:sz="4"/>
                    <w:right w:val="single" w:color="000000" w:sz="4"/>
                  </w:tcBorders>
                  <w:shd w:fill="F4B084"/>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FFFF"/>
                    </w:rPr>
                    <w:t>主要服务内容</w:t>
                  </w:r>
                </w:p>
              </w:tc>
              <w:tc>
                <w:tcPr>
                  <w:tcW w:type="dxa" w:w="1226"/>
                  <w:tcBorders>
                    <w:top w:val="single" w:color="000000" w:sz="4"/>
                    <w:left w:val="none" w:color="000000" w:sz="4"/>
                    <w:bottom w:val="none" w:color="000000" w:sz="4"/>
                    <w:right w:val="single" w:color="000000" w:sz="4"/>
                  </w:tcBorders>
                  <w:shd w:fill="F4B084"/>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FFFFFF"/>
                    </w:rPr>
                    <w:t>服务明细清单</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穿透式系统</w:t>
                  </w:r>
                </w:p>
              </w:tc>
              <w:tc>
                <w:tcPr>
                  <w:tcW w:type="dxa" w:w="4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系统基础操作服务</w:t>
                  </w:r>
                </w:p>
              </w:tc>
              <w:tc>
                <w:tcPr>
                  <w:tcW w:type="dxa" w:w="40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1.日常系统管理服务</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1.系统级基础数据运维</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2.业务管理类基础数据运维</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3.用户基础数据变更及权限类维护；含：业务处室、单位信息、用户信息以及各类权限的变更</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4.历史业务数据的锁定及解锁维护</w:t>
                  </w:r>
                  <w:r>
                    <w:br/>
                  </w:r>
                  <w:r>
                    <w:rPr>
                      <w:rFonts w:ascii="仿宋_GB2312" w:hAnsi="仿宋_GB2312" w:cs="仿宋_GB2312" w:eastAsia="仿宋_GB2312"/>
                      <w:sz w:val="22"/>
                      <w:color w:val="000000"/>
                    </w:rPr>
                    <w:t>包括网络版中数据锁定后的解锁。（不影响本级债务余额前提下）</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5.对上级财政数据上报的维护,处理因网络端口、数据问题等造成上报失败的问题</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6.建设单位/运营单位信息登记的操作支持；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7.建设单位/运营单位账户信息登记操作支持；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8.专项债券资金到位情况登记、资金划拨信息登记、实物工作量登记的操作支持；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9.月报、运营日报填报操作支持；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10.项目资产填报操作支持；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11.穿透式系统数据同步到信息公开平台的操作支持；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2.管理服务</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1、文档管理：系统操作手册、视频；常见问题的解答与说明文档。</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non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2、巡检服务：不定期通过远程或现场的方式进行回访巡检，收集或处理相关的问题。</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监测平台</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系统基础运行服务</w:t>
                  </w:r>
                </w:p>
              </w:tc>
              <w:tc>
                <w:tcPr>
                  <w:tcW w:type="dxa" w:w="4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1.基础运行保障</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1.系统运行过程中，遇到的功能或数据类问题修复。</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singl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2.单位用户账号的审核、变更、维护、账号解锁等；</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singl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3.支持财政部门Ukey的申请、维护、变更、审核、解锁等；</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singl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4.区划新增、变更处理、审核；</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singl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5.主管部门账号的维护及审核；</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singl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7.主管部门角色的配置及数据权限的管理；</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singl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6.财政部门用户账号的新增、变更、维护等</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singl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7.配合用户对系统运行过程中因网络、客户端等原因，造成系统无法上报的故障，进行处理</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1.本级所有单位分有债务和无债务，对填报内容的支持说明。</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2.本级所有不同单位填报数据的整理、汇总及流程说明。</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3.本级单位对建设项目基本信息、投资计划、项目收益等填报的操作及说明。</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4.本级单位债务基本信息、债务举借、还本付息、债务支出、转贷等功能操作的说明。</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5.本级单位对支出事项填报、支出事项执行填报的说明。</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6.本级单位对支出事项及债务填报，对应关联关系的支持。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7.单位对财务指标、资产数据的填报说明。</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8.填报内容，相关统计分析的操作、核对及说明。</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9.无债务单位上报的操作及说明。</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10.单位及主管部门数据上报流程及审核的操作及支持。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11.债权人全程及公司企业债券未更新问题分析支持；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12.协调总部技术支持处理严重和复杂业务问题；</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3.管理服务</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1、文档管理：系统操作手册、视频；常见问题的解答与说明文档。2、巡检服务：不定期通过远程或现场的方式进行回访巡检，收集或处理相关的问题</w:t>
                  </w:r>
                </w:p>
              </w:tc>
            </w:tr>
            <w:tr>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一体化系统</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系统基础操作服务</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1.日常系统管理服务</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1.基础配置维护：单位、用户、权限、功能、菜单的配置。</w:t>
                  </w:r>
                  <w:r>
                    <w:br/>
                  </w:r>
                  <w:r>
                    <w:rPr>
                      <w:rFonts w:ascii="仿宋_GB2312" w:hAnsi="仿宋_GB2312" w:cs="仿宋_GB2312" w:eastAsia="仿宋_GB2312"/>
                      <w:sz w:val="22"/>
                      <w:color w:val="000000"/>
                    </w:rPr>
                    <w:t>2.业务配置维护：包含申报需求的批次号、债券发行批次等业务类数据。</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2.系统操作支持服务</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1.项目储备、需求管理的操作支持；</w:t>
                  </w:r>
                  <w:r>
                    <w:br/>
                  </w:r>
                  <w:r>
                    <w:rPr>
                      <w:rFonts w:ascii="仿宋_GB2312" w:hAnsi="仿宋_GB2312" w:cs="仿宋_GB2312" w:eastAsia="仿宋_GB2312"/>
                      <w:sz w:val="22"/>
                      <w:color w:val="000000"/>
                    </w:rPr>
                    <w:t>2.债券发行计划、发行登记的操作支持；</w:t>
                  </w:r>
                  <w:r>
                    <w:br/>
                  </w:r>
                  <w:r>
                    <w:rPr>
                      <w:rFonts w:ascii="仿宋_GB2312" w:hAnsi="仿宋_GB2312" w:cs="仿宋_GB2312" w:eastAsia="仿宋_GB2312"/>
                      <w:sz w:val="22"/>
                      <w:color w:val="000000"/>
                    </w:rPr>
                    <w:t>3.债券转贷、债券支出的操作支持；</w:t>
                  </w:r>
                  <w:r>
                    <w:br/>
                  </w:r>
                  <w:r>
                    <w:rPr>
                      <w:rFonts w:ascii="仿宋_GB2312" w:hAnsi="仿宋_GB2312" w:cs="仿宋_GB2312" w:eastAsia="仿宋_GB2312"/>
                      <w:sz w:val="22"/>
                      <w:color w:val="000000"/>
                    </w:rPr>
                    <w:t>4.债券还本付息、手续费等填报的操作支持；</w:t>
                  </w:r>
                  <w:r>
                    <w:br/>
                  </w:r>
                  <w:r>
                    <w:rPr>
                      <w:rFonts w:ascii="仿宋_GB2312" w:hAnsi="仿宋_GB2312" w:cs="仿宋_GB2312" w:eastAsia="仿宋_GB2312"/>
                      <w:sz w:val="22"/>
                      <w:color w:val="000000"/>
                    </w:rPr>
                    <w:t>5.数据统计分析操作支持；</w:t>
                  </w:r>
                  <w:r>
                    <w:br/>
                  </w:r>
                  <w:r>
                    <w:rPr>
                      <w:rFonts w:ascii="仿宋_GB2312" w:hAnsi="仿宋_GB2312" w:cs="仿宋_GB2312" w:eastAsia="仿宋_GB2312"/>
                      <w:sz w:val="22"/>
                      <w:color w:val="000000"/>
                    </w:rPr>
                    <w:t>6.数据汇总及月报数据上报的操作支持；</w:t>
                  </w:r>
                  <w:r>
                    <w:br/>
                  </w:r>
                  <w:r>
                    <w:rPr>
                      <w:rFonts w:ascii="仿宋_GB2312" w:hAnsi="仿宋_GB2312" w:cs="仿宋_GB2312" w:eastAsia="仿宋_GB2312"/>
                      <w:sz w:val="22"/>
                      <w:color w:val="000000"/>
                    </w:rPr>
                    <w:t>7.债务与预算编制、调整调剂的整合操作支持；</w:t>
                  </w:r>
                  <w:r>
                    <w:br/>
                  </w:r>
                  <w:r>
                    <w:rPr>
                      <w:rFonts w:ascii="仿宋_GB2312" w:hAnsi="仿宋_GB2312" w:cs="仿宋_GB2312" w:eastAsia="仿宋_GB2312"/>
                      <w:sz w:val="22"/>
                      <w:color w:val="000000"/>
                    </w:rPr>
                    <w:t>8.债券支出与预算执行的整合操作支持；</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3.年度结转技术服务</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1.年度债务结转基础数据与预算一体化调整的比对操作支持；</w:t>
                  </w:r>
                  <w:r>
                    <w:br/>
                  </w:r>
                  <w:r>
                    <w:rPr>
                      <w:rFonts w:ascii="仿宋_GB2312" w:hAnsi="仿宋_GB2312" w:cs="仿宋_GB2312" w:eastAsia="仿宋_GB2312"/>
                      <w:sz w:val="22"/>
                      <w:color w:val="000000"/>
                    </w:rPr>
                    <w:t>2.债务模块年结功能的操作支持；</w:t>
                  </w:r>
                  <w:r>
                    <w:br/>
                  </w:r>
                  <w:r>
                    <w:rPr>
                      <w:rFonts w:ascii="仿宋_GB2312" w:hAnsi="仿宋_GB2312" w:cs="仿宋_GB2312" w:eastAsia="仿宋_GB2312"/>
                      <w:sz w:val="22"/>
                      <w:color w:val="000000"/>
                    </w:rPr>
                    <w:t>3.债务模块年结数据统计与分析报表的查询与操作说明；</w:t>
                  </w:r>
                </w:p>
              </w:tc>
            </w:tr>
            <w:tr>
              <w:tc>
                <w:tcPr>
                  <w:tcW w:type="dxa" w:w="221"/>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5.管理服务</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1、文档管理：系统操作手册、视频；常见问题的解答与说明文档。</w:t>
                  </w:r>
                  <w:r>
                    <w:br/>
                  </w:r>
                  <w:r>
                    <w:rPr>
                      <w:rFonts w:ascii="仿宋_GB2312" w:hAnsi="仿宋_GB2312" w:cs="仿宋_GB2312" w:eastAsia="仿宋_GB2312"/>
                      <w:sz w:val="22"/>
                      <w:color w:val="000000"/>
                    </w:rPr>
                    <w:t>2、巡检服务：不定期通过远程或现场的方式进行回访巡检，收集或处理相关的问题</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1人驻场服务。</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必须完全满足采购文件要求。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一年一签，服务期最长三年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商洛市财政局</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满足服务要求</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满足财政需求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由使用方和服务方协商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供应商须在项目电子化采购系统中提交企业类型证书原件的扫描件，并完成电子签章。</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供应商须具有良好的财务状况，并须在项目电子化交易系统中提交具有良好财务状况的承诺函，且承诺财务状况良好，并完成电子签章。</w:t>
            </w:r>
          </w:p>
        </w:tc>
        <w:tc>
          <w:tcPr>
            <w:tcW w:type="dxa" w:w="1661"/>
          </w:tcPr>
          <w:p>
            <w:pPr>
              <w:pStyle w:val="null3"/>
            </w:pPr>
            <w:r>
              <w:rPr>
                <w:rFonts w:ascii="仿宋_GB2312" w:hAnsi="仿宋_GB2312" w:cs="仿宋_GB2312" w:eastAsia="仿宋_GB2312"/>
              </w:rPr>
              <w:t>具有财务状况良好承诺函.docx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供应商须具有良好的税收缴纳记录，并须在项目电子化交易系统中提交具有良好税收缴纳记录的承诺函，且承诺税收缴纳记录良好，并完成电子签章。</w:t>
            </w:r>
          </w:p>
        </w:tc>
        <w:tc>
          <w:tcPr>
            <w:tcW w:type="dxa" w:w="1661"/>
          </w:tcPr>
          <w:p>
            <w:pPr>
              <w:pStyle w:val="null3"/>
            </w:pPr>
            <w:r>
              <w:rPr>
                <w:rFonts w:ascii="仿宋_GB2312" w:hAnsi="仿宋_GB2312" w:cs="仿宋_GB2312" w:eastAsia="仿宋_GB2312"/>
              </w:rPr>
              <w:t>具有良好的税收缴纳记录.docx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供应商须具有良好的社会保障资金缴纳记录，并须在项目电子化交易系统中提交具有良好的社会保障资金缴纳记录的承诺函，且承诺社会保障资金缴纳记录良好，并完成电子签章。</w:t>
            </w:r>
          </w:p>
        </w:tc>
        <w:tc>
          <w:tcPr>
            <w:tcW w:type="dxa" w:w="1661"/>
          </w:tcPr>
          <w:p>
            <w:pPr>
              <w:pStyle w:val="null3"/>
            </w:pPr>
            <w:r>
              <w:rPr>
                <w:rFonts w:ascii="仿宋_GB2312" w:hAnsi="仿宋_GB2312" w:cs="仿宋_GB2312" w:eastAsia="仿宋_GB2312"/>
              </w:rPr>
              <w:t>具有良好的社会保障资金缴纳记录.docx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信用记录查询证明</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在信用中国网站、中国政府采购网的信用记录查询截图（标注查询日期），并完成电子签章</w:t>
            </w:r>
          </w:p>
        </w:tc>
        <w:tc>
          <w:tcPr>
            <w:tcW w:type="dxa" w:w="1661"/>
          </w:tcPr>
          <w:p>
            <w:pPr>
              <w:pStyle w:val="null3"/>
            </w:pPr>
            <w:r>
              <w:rPr>
                <w:rFonts w:ascii="仿宋_GB2312" w:hAnsi="仿宋_GB2312" w:cs="仿宋_GB2312" w:eastAsia="仿宋_GB2312"/>
              </w:rPr>
              <w:t>信用记录声明函.docx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详见附件：具有财务状况良好承诺函.docx</w:t>
      </w:r>
    </w:p>
    <w:p>
      <w:pPr>
        <w:pStyle w:val="null3"/>
        <w:ind w:firstLine="960"/>
      </w:pPr>
      <w:r>
        <w:rPr>
          <w:rFonts w:ascii="仿宋_GB2312" w:hAnsi="仿宋_GB2312" w:cs="仿宋_GB2312" w:eastAsia="仿宋_GB2312"/>
        </w:rPr>
        <w:t>详见附件：具有良好的社会保障资金缴纳记录.docx</w:t>
      </w:r>
    </w:p>
    <w:p>
      <w:pPr>
        <w:pStyle w:val="null3"/>
        <w:ind w:firstLine="960"/>
      </w:pPr>
      <w:r>
        <w:rPr>
          <w:rFonts w:ascii="仿宋_GB2312" w:hAnsi="仿宋_GB2312" w:cs="仿宋_GB2312" w:eastAsia="仿宋_GB2312"/>
        </w:rPr>
        <w:t>详见附件：具有良好的税收缴纳记录.docx</w:t>
      </w:r>
    </w:p>
    <w:p>
      <w:pPr>
        <w:pStyle w:val="null3"/>
        <w:ind w:firstLine="960"/>
      </w:pPr>
      <w:r>
        <w:rPr>
          <w:rFonts w:ascii="仿宋_GB2312" w:hAnsi="仿宋_GB2312" w:cs="仿宋_GB2312" w:eastAsia="仿宋_GB2312"/>
        </w:rPr>
        <w:t>详见附件：无重大违法记录声明.docx</w:t>
      </w:r>
    </w:p>
    <w:p>
      <w:pPr>
        <w:pStyle w:val="null3"/>
        <w:ind w:firstLine="960"/>
      </w:pPr>
      <w:r>
        <w:rPr>
          <w:rFonts w:ascii="仿宋_GB2312" w:hAnsi="仿宋_GB2312" w:cs="仿宋_GB2312" w:eastAsia="仿宋_GB2312"/>
        </w:rPr>
        <w:t>详见附件：信用记录声明函.docx</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详见附件：商洛市地方政府债务管理系统技术支持服务项目采购合同.docx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