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版本号：GZJY-SL-202564C20260312001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医用耗材采购项目（三次）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GZJY-SL-202564C</w:t>
      </w:r>
      <w:r>
        <w:br/>
      </w:r>
      <w:r>
        <w:br/>
      </w:r>
      <w:r>
        <w:br/>
      </w:r>
    </w:p>
    <w:p>
      <w:pPr>
        <w:pStyle w:val="null3"/>
        <w:jc w:val="center"/>
        <w:outlineLvl w:val="2"/>
      </w:pPr>
      <w:r>
        <w:rPr>
          <w:rFonts w:ascii="仿宋_GB2312" w:hAnsi="仿宋_GB2312" w:cs="仿宋_GB2312" w:eastAsia="仿宋_GB2312"/>
          <w:sz w:val="28"/>
          <w:b/>
        </w:rPr>
        <w:t>商洛市中医医院</w:t>
      </w:r>
    </w:p>
    <w:p>
      <w:pPr>
        <w:pStyle w:val="null3"/>
        <w:jc w:val="center"/>
        <w:outlineLvl w:val="2"/>
      </w:pPr>
      <w:r>
        <w:rPr>
          <w:rFonts w:ascii="仿宋_GB2312" w:hAnsi="仿宋_GB2312" w:cs="仿宋_GB2312" w:eastAsia="仿宋_GB2312"/>
          <w:sz w:val="28"/>
          <w:b/>
        </w:rPr>
        <w:t>国正聚源工程咨询集团有限公司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国正聚源工程咨询集团有限公司</w:t>
      </w:r>
      <w:r>
        <w:rPr>
          <w:rFonts w:ascii="仿宋_GB2312" w:hAnsi="仿宋_GB2312" w:cs="仿宋_GB2312" w:eastAsia="仿宋_GB2312"/>
        </w:rPr>
        <w:t>（以下简称“代理机构”）受</w:t>
      </w:r>
      <w:r>
        <w:rPr>
          <w:rFonts w:ascii="仿宋_GB2312" w:hAnsi="仿宋_GB2312" w:cs="仿宋_GB2312" w:eastAsia="仿宋_GB2312"/>
        </w:rPr>
        <w:t>商洛市中医医院</w:t>
      </w:r>
      <w:r>
        <w:rPr>
          <w:rFonts w:ascii="仿宋_GB2312" w:hAnsi="仿宋_GB2312" w:cs="仿宋_GB2312" w:eastAsia="仿宋_GB2312"/>
        </w:rPr>
        <w:t>委托，拟对</w:t>
      </w:r>
      <w:r>
        <w:rPr>
          <w:rFonts w:ascii="仿宋_GB2312" w:hAnsi="仿宋_GB2312" w:cs="仿宋_GB2312" w:eastAsia="仿宋_GB2312"/>
        </w:rPr>
        <w:t>医用耗材采购项目（三次）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GZJY-SL-202564C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医用耗材采购项目（三次）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商洛市中医医院采购一批医用耗材，具体要求详见清单。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1、营业执照：供应商应具有独立承担民事责任能力的法人或其他组织，提供合法有效的统一社会信用代码的营业执照(三证合一)；</w:t>
      </w:r>
    </w:p>
    <w:p>
      <w:pPr>
        <w:pStyle w:val="null3"/>
      </w:pPr>
      <w:r>
        <w:rPr>
          <w:rFonts w:ascii="仿宋_GB2312" w:hAnsi="仿宋_GB2312" w:cs="仿宋_GB2312" w:eastAsia="仿宋_GB2312"/>
        </w:rPr>
        <w:t>2、行业资质要求：供应商为生产厂家的需提供《医疗器械生产许可证》及所投试剂《医疗器城注册证》(附批准文号);供应商为代理商的需提供《医疗器械经营许可证》及所投试剂《医疗器械注册证》(附批准文号);</w:t>
      </w:r>
    </w:p>
    <w:p>
      <w:pPr>
        <w:pStyle w:val="null3"/>
      </w:pPr>
      <w:r>
        <w:rPr>
          <w:rFonts w:ascii="仿宋_GB2312" w:hAnsi="仿宋_GB2312" w:cs="仿宋_GB2312" w:eastAsia="仿宋_GB2312"/>
        </w:rPr>
        <w:t>3、授权委托：法定代表人直接参与投标时票提供身份证原件及复印件加盖公章;被授权人参与投标时需提供法定代表人授权委托书(附法定代表人及被委托人身份证复印件并加萧公童)并出示被授权代表的身份证原件；</w:t>
      </w:r>
    </w:p>
    <w:p>
      <w:pPr>
        <w:pStyle w:val="null3"/>
      </w:pPr>
      <w:r>
        <w:rPr>
          <w:rFonts w:ascii="仿宋_GB2312" w:hAnsi="仿宋_GB2312" w:cs="仿宋_GB2312" w:eastAsia="仿宋_GB2312"/>
        </w:rPr>
        <w:t>4、信用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p>
      <w:pPr>
        <w:pStyle w:val="null3"/>
      </w:pPr>
      <w:r>
        <w:rPr>
          <w:rFonts w:ascii="仿宋_GB2312" w:hAnsi="仿宋_GB2312" w:cs="仿宋_GB2312" w:eastAsia="仿宋_GB2312"/>
        </w:rPr>
        <w:t>5、书面声明：供应商应具备良好的商业信誉，具有履行合同所必需的设备和专业技术能力的承诺书;</w:t>
      </w:r>
    </w:p>
    <w:p>
      <w:pPr>
        <w:pStyle w:val="null3"/>
      </w:pPr>
      <w:r>
        <w:rPr>
          <w:rFonts w:ascii="仿宋_GB2312" w:hAnsi="仿宋_GB2312" w:cs="仿宋_GB2312" w:eastAsia="仿宋_GB2312"/>
        </w:rPr>
        <w:t>6、保证金缴纳：提供本项目保证金缴纳凭证。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1、营业执照：供应商应具有独立承担民事责任能力的法人或其他组织，提供合法有效的统一社会信用代码的营业执照(三证合一)；</w:t>
      </w:r>
    </w:p>
    <w:p>
      <w:pPr>
        <w:pStyle w:val="null3"/>
      </w:pPr>
      <w:r>
        <w:rPr>
          <w:rFonts w:ascii="仿宋_GB2312" w:hAnsi="仿宋_GB2312" w:cs="仿宋_GB2312" w:eastAsia="仿宋_GB2312"/>
        </w:rPr>
        <w:t>2、行业资质要求：供应商为生产厂家的需提供《医疗器械生产许可证》及所投试剂《医疗器城注册证》(附批准文号);供应商为代理商的需提供《医疗器械经营许可证》及所投试剂《医疗器械注册证》(附批准文号);</w:t>
      </w:r>
    </w:p>
    <w:p>
      <w:pPr>
        <w:pStyle w:val="null3"/>
      </w:pPr>
      <w:r>
        <w:rPr>
          <w:rFonts w:ascii="仿宋_GB2312" w:hAnsi="仿宋_GB2312" w:cs="仿宋_GB2312" w:eastAsia="仿宋_GB2312"/>
        </w:rPr>
        <w:t>3、授权委托：法定代表人直接参与投标时票提供身份证原件及复印件加盖公章;被授权人参与投标时需提供法定代表人授权委托书(附法定代表人及被委托人身份证复印件并加萧公童)并出示被授权代表的身份证原件；</w:t>
      </w:r>
    </w:p>
    <w:p>
      <w:pPr>
        <w:pStyle w:val="null3"/>
      </w:pPr>
      <w:r>
        <w:rPr>
          <w:rFonts w:ascii="仿宋_GB2312" w:hAnsi="仿宋_GB2312" w:cs="仿宋_GB2312" w:eastAsia="仿宋_GB2312"/>
        </w:rPr>
        <w:t>4、信用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p>
      <w:pPr>
        <w:pStyle w:val="null3"/>
      </w:pPr>
      <w:r>
        <w:rPr>
          <w:rFonts w:ascii="仿宋_GB2312" w:hAnsi="仿宋_GB2312" w:cs="仿宋_GB2312" w:eastAsia="仿宋_GB2312"/>
        </w:rPr>
        <w:t>5、书面声明：供应商应具备良好的商业信誉，具有履行合同所必需的设备和专业技术能力的承诺书;</w:t>
      </w:r>
    </w:p>
    <w:p>
      <w:pPr>
        <w:pStyle w:val="null3"/>
      </w:pPr>
      <w:r>
        <w:rPr>
          <w:rFonts w:ascii="仿宋_GB2312" w:hAnsi="仿宋_GB2312" w:cs="仿宋_GB2312" w:eastAsia="仿宋_GB2312"/>
        </w:rPr>
        <w:t>6、保证金缴纳：提供本项目保证金缴纳凭证。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1、营业执照：供应商应具有独立承担民事责任能力的法人或其他组织，提供合法有效的统一社会信用代码的营业执照(三证合一)；</w:t>
      </w:r>
    </w:p>
    <w:p>
      <w:pPr>
        <w:pStyle w:val="null3"/>
      </w:pPr>
      <w:r>
        <w:rPr>
          <w:rFonts w:ascii="仿宋_GB2312" w:hAnsi="仿宋_GB2312" w:cs="仿宋_GB2312" w:eastAsia="仿宋_GB2312"/>
        </w:rPr>
        <w:t>2、行业资质要求：供应商为生产厂家的需提供《医疗器械生产许可证》及所投试剂《医疗器城注册证》(附批准文号);供应商为代理商的需提供《医疗器械经营许可证》及所投试剂《医疗器械注册证》(附批准文号);</w:t>
      </w:r>
    </w:p>
    <w:p>
      <w:pPr>
        <w:pStyle w:val="null3"/>
      </w:pPr>
      <w:r>
        <w:rPr>
          <w:rFonts w:ascii="仿宋_GB2312" w:hAnsi="仿宋_GB2312" w:cs="仿宋_GB2312" w:eastAsia="仿宋_GB2312"/>
        </w:rPr>
        <w:t>3、授权委托：法定代表人直接参与投标时票提供身份证原件及复印件加盖公章;被授权人参与投标时需提供法定代表人授权委托书(附法定代表人及被委托人身份证复印件并加萧公童)并出示被授权代表的身份证原件；</w:t>
      </w:r>
    </w:p>
    <w:p>
      <w:pPr>
        <w:pStyle w:val="null3"/>
      </w:pPr>
      <w:r>
        <w:rPr>
          <w:rFonts w:ascii="仿宋_GB2312" w:hAnsi="仿宋_GB2312" w:cs="仿宋_GB2312" w:eastAsia="仿宋_GB2312"/>
        </w:rPr>
        <w:t>4、信用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p>
      <w:pPr>
        <w:pStyle w:val="null3"/>
      </w:pPr>
      <w:r>
        <w:rPr>
          <w:rFonts w:ascii="仿宋_GB2312" w:hAnsi="仿宋_GB2312" w:cs="仿宋_GB2312" w:eastAsia="仿宋_GB2312"/>
        </w:rPr>
        <w:t>5、书面声明：供应商应具备良好的商业信誉，具有履行合同所必需的设备和专业技术能力的承诺书;</w:t>
      </w:r>
    </w:p>
    <w:p>
      <w:pPr>
        <w:pStyle w:val="null3"/>
      </w:pPr>
      <w:r>
        <w:rPr>
          <w:rFonts w:ascii="仿宋_GB2312" w:hAnsi="仿宋_GB2312" w:cs="仿宋_GB2312" w:eastAsia="仿宋_GB2312"/>
        </w:rPr>
        <w:t>6、保证金缴纳：提供本项目保证金缴纳凭证。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商洛市北新街 148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0914-2332258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国正聚源工程咨询集团有限公司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陕西省商洛市商郡城三号楼二单元101室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13154078736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采购包1：1,100,250.80元</w:t>
            </w:r>
          </w:p>
          <w:p>
            <w:pPr>
              <w:pStyle w:val="null3"/>
            </w:pPr>
            <w:r>
              <w:rPr>
                <w:rFonts w:ascii="仿宋_GB2312" w:hAnsi="仿宋_GB2312" w:cs="仿宋_GB2312" w:eastAsia="仿宋_GB2312"/>
              </w:rPr>
              <w:t>采购包2：2,295,308.44元</w:t>
            </w:r>
          </w:p>
          <w:p>
            <w:pPr>
              <w:pStyle w:val="null3"/>
            </w:pPr>
            <w:r>
              <w:rPr>
                <w:rFonts w:ascii="仿宋_GB2312" w:hAnsi="仿宋_GB2312" w:cs="仿宋_GB2312" w:eastAsia="仿宋_GB2312"/>
              </w:rPr>
              <w:t>采购包3：315,465.00元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采购包2保证金金额：40,000.00元</w:t>
            </w:r>
          </w:p>
          <w:p>
            <w:pPr>
              <w:pStyle w:val="null3"/>
            </w:pPr>
            <w:r>
              <w:rPr>
                <w:rFonts w:ascii="仿宋_GB2312" w:hAnsi="仿宋_GB2312" w:cs="仿宋_GB2312" w:eastAsia="仿宋_GB2312"/>
              </w:rPr>
              <w:t>采购包3保证金金额：6,000.00元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开户名称：国正聚源工程咨询集团有限公司商洛分公司</w:t>
            </w:r>
          </w:p>
          <w:p>
            <w:pPr>
              <w:pStyle w:val="null3"/>
            </w:pPr>
            <w:r>
              <w:rPr>
                <w:rFonts w:ascii="仿宋_GB2312" w:hAnsi="仿宋_GB2312" w:cs="仿宋_GB2312" w:eastAsia="仿宋_GB2312"/>
              </w:rPr>
              <w:t>开户银行：中国银行股份有限公司商洛分行</w:t>
            </w:r>
          </w:p>
          <w:p>
            <w:pPr>
              <w:pStyle w:val="null3"/>
            </w:pPr>
            <w:r>
              <w:rPr>
                <w:rFonts w:ascii="仿宋_GB2312" w:hAnsi="仿宋_GB2312" w:cs="仿宋_GB2312" w:eastAsia="仿宋_GB2312"/>
              </w:rPr>
              <w:t>银行账号：102092095107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 费管理暂行办法&gt;的通知》 (计价格〔2002〕1980号)、（发改办价格〔2003〕857号）以及《国家发展 改革委关于降低部分建设项目收费标准规范收费行为等有关问题的通知》 (发改价格〔2011〕534号)，向国正聚源工程咨询集团有限公司商洛分公司交纳采购代理服务费。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商洛市中医医院</w:t>
      </w:r>
      <w:r>
        <w:rPr>
          <w:rFonts w:ascii="仿宋_GB2312" w:hAnsi="仿宋_GB2312" w:cs="仿宋_GB2312" w:eastAsia="仿宋_GB2312"/>
        </w:rPr>
        <w:t>和</w:t>
      </w:r>
      <w:r>
        <w:rPr>
          <w:rFonts w:ascii="仿宋_GB2312" w:hAnsi="仿宋_GB2312" w:cs="仿宋_GB2312" w:eastAsia="仿宋_GB2312"/>
        </w:rPr>
        <w:t>国正聚源工程咨询集团有限公司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国正聚源工程咨询集团有限公司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国正聚源工程咨询集团有限公司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符合国家法律法规规定、《医疗器械监督管理条例》、国家、行业相关标准及采购需求。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符合国家法律法规规定、《医疗器械监督管理条例》、国家、行业相关标准及采购需求。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符合国家法律法规规定、《医疗器械监督管理条例》、国家、行业相关标准及采购需求。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国正聚源工程咨询集团有限公司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国正聚源工程咨询集团有限公司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国正聚源工程咨询集团有限公司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联系电话：13154078736</w:t>
      </w:r>
    </w:p>
    <w:p>
      <w:pPr>
        <w:pStyle w:val="null3"/>
      </w:pPr>
      <w:r>
        <w:rPr>
          <w:rFonts w:ascii="仿宋_GB2312" w:hAnsi="仿宋_GB2312" w:cs="仿宋_GB2312" w:eastAsia="仿宋_GB2312"/>
        </w:rPr>
        <w:t>地址：商洛市商郡城北门3＃楼二单元101室</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商洛市中医医院采购一批医用耗材，具体要求详见采购文件。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1,100,250.80</w:t>
      </w:r>
    </w:p>
    <w:p>
      <w:pPr>
        <w:pStyle w:val="null3"/>
      </w:pPr>
      <w:r>
        <w:rPr>
          <w:rFonts w:ascii="仿宋_GB2312" w:hAnsi="仿宋_GB2312" w:cs="仿宋_GB2312" w:eastAsia="仿宋_GB2312"/>
        </w:rPr>
        <w:t>采购包最高限价（元）: 571,850.80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医用耗材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1,100,250.80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2,295,308.44</w:t>
      </w:r>
    </w:p>
    <w:p>
      <w:pPr>
        <w:pStyle w:val="null3"/>
      </w:pPr>
      <w:r>
        <w:rPr>
          <w:rFonts w:ascii="仿宋_GB2312" w:hAnsi="仿宋_GB2312" w:cs="仿宋_GB2312" w:eastAsia="仿宋_GB2312"/>
        </w:rPr>
        <w:t>采购包最高限价（元）: 2,295,308.44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医用耗材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2,295,308.44</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315,465.00</w:t>
      </w:r>
    </w:p>
    <w:p>
      <w:pPr>
        <w:pStyle w:val="null3"/>
      </w:pPr>
      <w:r>
        <w:rPr>
          <w:rFonts w:ascii="仿宋_GB2312" w:hAnsi="仿宋_GB2312" w:cs="仿宋_GB2312" w:eastAsia="仿宋_GB2312"/>
        </w:rPr>
        <w:t>采购包最高限价（元）: 315,465.00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医用耗材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315,465.00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标的名称：医用耗材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标的名称：医用耗材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标的名称：医用耗材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1年或采购数量供货完成止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1年或采购数量供货完成止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1年或采购数量供货完成止</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商洛市中医医院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商洛市中医医院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商洛市中医医院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乙方按正常途径供货并开具“两票制”或生产厂家直供“一票制”发票办理入库手续后，按甲方财务规定的程序办理签票及付款。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 乙方按正常途径供货并开具“两票制”或生产厂家直供“一票制”发票办理入库手续后，按甲方财务规定的程序办理签票及付款。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乙方按正常途径供货并开具“两票制”或生产厂家直供“一票制”发票办理入库手续后，按甲方财务规定的程序办理签票及付款。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到货后甲方或双方必须按合同及订单对耗材进行验收，属冷链运输的交货验收时需留存运输途中的温度记录单，若发现乙方所供耗材品牌、质量、规格、数量、效期、温度等不符合要求即视为不合格，乙方负责及时更换或退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到货后甲方或双方必须按合同及订单对耗材进行验收，属冷链运输的交货验收时需留存运输途中的温度记录单，若发现乙方所供耗材品牌、质量、规格、数量、效期、温度等不符合要求即视为不合格，乙方负责及时更换或退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到货后甲方或双方必须按合同及订单对耗材进行验收，属冷链运输的交货验收时需留存运输途中的温度记录单，若发现乙方所供耗材品牌、质量、规格、数量、效期、温度等不符合要求即视为不合格，乙方负责及时更换或退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1.乙方供应的医用耗材质量必须符合国家医疗器械相关标准及行业标准； 2.乙方供应的医用耗材名称、规格型号、包装、质量标准须与所供医用耗材的《中华人民共和国医疗器械注册证》内容一致，不得更改； 3.乙方供应的医用耗材的有效期要求如下： 有效期为36个月以上的耗材，出厂日期不超过12个月。 有效期为36个月的耗材，出厂日期不超过9个月。 有效期为24个月的耗材，出厂日期不超过6个月。 有效期为12个月的耗材，出厂日期不超过3个月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1.乙方供应的医用耗材质量必须符合国家医疗器械相关标准及行业标准； 2.乙方供应的医用耗材名称、规格型号、包装、质量标准须与所供医用耗材的《中华人民共和国医疗器械注册证》内容一致，不得更改； 3.乙方供应的医用耗材的有效期要求如下： 有效期为36个月以上的耗材，出厂日期不超过12个月。 有效期为36个月的耗材，出厂日期不超过9个月。 有效期为24个月的耗材，出厂日期不超过6个月。 有效期为12个月的耗材，出厂日期不超过3个月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1.乙方供应的医用耗材质量必须符合国家医疗器械相关标准及行业标准； 2.乙方供应的医用耗材名称、规格型号、包装、质量标准须与所供医用耗材的《中华人民共和国医疗器械注册证》内容一致，不得更改； 3.乙方供应的医用耗材的有效期要求如下： 有效期为36个月以上的耗材，出厂日期不超过12个月。 有效期为36个月的耗材，出厂日期不超过9个月。 有效期为24个月的耗材，出厂日期不超过6个月。 有效期为12个月的耗材，出厂日期不超过3个月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1.乙方保证所供医用耗材符合国家医用耗材质量标准，确保临床医疗安全，因产品质量而引起的一切不良后果及责任由乙方承担，产品出现非人为损坏，乙方负责免费更换。 2.乙方所提供的耗材因包装、特许授权等引起的侵权行为或造成医疗纠纷的由乙方负全部法律责任和赔偿相关的经济损失。 3.甲方发出订单后乙方拒绝供货或延误供货而造成后果的，乙方应承担医院和病人的一切经济损失，并承担法律责任。 4.乙方负责免费更换所供剩余有效期低于6个月的耗材（含甲方未使用完的耗材）。5.争议的解决：因本合同产生的一切争议，双方协商解决，如不能协商解决的，双方可向甲方所在地人民法院提起诉讼。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1.乙方保证所供医用耗材符合国家医用耗材质量标准，确保临床医疗安全，因产品质量而引起的一切不良后果及责任由乙方承担，产品出现非人为损坏，乙方负责免费更换。 2.乙方所提供的耗材因包装、特许授权等引起的侵权行为或造成医疗纠纷的由乙方负全部法律责任和赔偿相关的经济损失。 3.甲方发出订单后乙方拒绝供货或延误供货而造成后果的，乙方应承担医院和病人的一切经济损失，并承担法律责任。 4.乙方负责免费更换所供剩余有效期低于6个月的耗材（含甲方未使用完的耗材）。5.争议的解决：因本合同产生的一切争议，双方协商解决，如不能协商解决的，双方可向甲方所在地人民法院提起诉讼。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1.乙方保证所供医用耗材符合国家医用耗材质量标准，确保临床医疗安全，因产品质量而引起的一切不良后果及责任由乙方承担，产品出现非人为损坏，乙方负责免费更换。 2.乙方所提供的耗材因包装、特许授权等引起的侵权行为或造成医疗纠纷的由乙方负全部法律责任和赔偿相关的经济损失。 3.甲方发出订单后乙方拒绝供货或延误供货而造成后果的，乙方应承担医院和病人的一切经济损失，并承担法律责任。 4.乙方负责免费更换所供剩余有效期低于6个月的耗材（含甲方未使用完的耗材）。5.争议的解决：因本合同产生的一切争议，双方协商解决，如不能协商解决的，双方可向甲方所在地人民法院提起诉讼。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注：1、本次采购如为无菌供应产品，产品 Co60 辐照灭菌，保证产品的安全性和无菌性。 2、如为一次性使用产品，有效期一般不少于 2 年。 3、采购所有货物单位，为最小数量包装，供应商按所投货物实际包装数量进行如实响应，即所投产品≥采购要求单位内数量。 4.“★”产品为本包段核心产品，提供相同品牌产品且通过资格审查、符合性审查的不同投标人参加同一合同项下投标的，按一家投标人计算。 5.供应商所投产品报价不得超过最小单位限价。 6.投标人应满足采购方的供货要求并执行网采。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具有良好的财务状况，并须在陕西省政府采购系统中提交2024年度经审计的财务报告(包括“四表一注”,即资产负债表、利润表、现金流量表、所有者权益变动表及其附注)或参加征集活动前3个月其基本存款账户开户银行出具的资信证明原件的扫描件（以上两种形式的资料提供任何一种即可），完成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具有良好的财务状况，并须在陕西省政府采购系统中提交2024年度经审计的财务报告(包括“四表一注”,即资产负债表、利润表、现金流量表、所有者权益变动表及其附注)或参加征集活动前3个月其基本存款账户开户银行出具的资信证明原件的扫描件（以上两种形式的资料提供任何一种即可），完成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具有良好的财务状况，并须在陕西省政府采购系统中提交2024年度经审计的财务报告(包括“四表一注”,即资产负债表、利润表、现金流量表、所有者权益变动表及其附注)或参加征集活动前3个月其基本存款账户开户银行出具的资信证明原件的扫描件（以上两种形式的资料提供任何一种即可），完成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供应商应具有独立承担民事责任能力的法人或其他组织，提供合法有效的统一社会信用代码的营业执照(三证合一)；</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行业资质要求</w:t>
            </w:r>
          </w:p>
        </w:tc>
        <w:tc>
          <w:tcPr>
            <w:tcW w:type="dxa" w:w="3322"/>
          </w:tcPr>
          <w:p>
            <w:pPr>
              <w:pStyle w:val="null3"/>
            </w:pPr>
            <w:r>
              <w:rPr>
                <w:rFonts w:ascii="仿宋_GB2312" w:hAnsi="仿宋_GB2312" w:cs="仿宋_GB2312" w:eastAsia="仿宋_GB2312"/>
              </w:rPr>
              <w:t>供应商为生产厂家的需提供《医疗器械生产许可证》及所投试剂《医疗器城注册证》(附批准文号);供应商为代理商的需提供《医疗器械经营许可证》及所投试剂《医疗器械注册证》(附批准文号);</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法定代表人直接参与投标时票提供身份证原件及复印件加盖公章;被授权人参与投标时需提供法定代表人授权委托书(附法定代表人及被委托人身份证复印件并加萧公童)并出示被授权代表的身份证原件；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供应商应具备良好的商业信誉，具有履行合同所必需的设备和专业技术能力的承诺书;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提供本项目保证金缴纳凭证。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供应商应具有独立承担民事责任能力的法人或其他组织，提供合法有效的统一社会信用代码的营业执照(三证合一)；</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行业资质要求</w:t>
            </w:r>
          </w:p>
        </w:tc>
        <w:tc>
          <w:tcPr>
            <w:tcW w:type="dxa" w:w="3322"/>
          </w:tcPr>
          <w:p>
            <w:pPr>
              <w:pStyle w:val="null3"/>
            </w:pPr>
            <w:r>
              <w:rPr>
                <w:rFonts w:ascii="仿宋_GB2312" w:hAnsi="仿宋_GB2312" w:cs="仿宋_GB2312" w:eastAsia="仿宋_GB2312"/>
              </w:rPr>
              <w:t>供应商为生产厂家的需提供《医疗器械生产许可证》及所投试剂《医疗器城注册证》(附批准文号);供应商为代理商的需提供《医疗器械经营许可证》及所投试剂《医疗器械注册证》(附批准文号);</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法定代表人直接参与投标时票提供身份证原件及复印件加盖公章;被授权人参与投标时需提供法定代表人授权委托书(附法定代表人及被委托人身份证复印件并加萧公童)并出示被授权代表的身份证原件；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供应商应具备良好的商业信誉，具有履行合同所必需的设备和专业技术能力的承诺书;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提供本项目保证金缴纳凭证。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供应商应具有独立承担民事责任能力的法人或其他组织，提供合法有效的统一社会信用代码的营业执照(三证合一)；</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行业资质要求</w:t>
            </w:r>
          </w:p>
        </w:tc>
        <w:tc>
          <w:tcPr>
            <w:tcW w:type="dxa" w:w="3322"/>
          </w:tcPr>
          <w:p>
            <w:pPr>
              <w:pStyle w:val="null3"/>
            </w:pPr>
            <w:r>
              <w:rPr>
                <w:rFonts w:ascii="仿宋_GB2312" w:hAnsi="仿宋_GB2312" w:cs="仿宋_GB2312" w:eastAsia="仿宋_GB2312"/>
              </w:rPr>
              <w:t>供应商为生产厂家的需提供《医疗器械生产许可证》及所投试剂《医疗器城注册证》(附批准文号);供应商为代理商的需提供《医疗器械经营许可证》及所投试剂《医疗器械注册证》(附批准文号);</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法定代表人直接参与投标时票提供身份证原件及复印件加盖公章;被授权人参与投标时需提供法定代表人授权委托书(附法定代表人及被委托人身份证复印件并加萧公童)并出示被授权代表的身份证原件；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供应商应具备良好的商业信誉，具有履行合同所必需的设备和专业技术能力的承诺书;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提供本项目保证金缴纳凭证。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投标文件上法定代表人或其授权代表人的签字齐全并加盖电子公章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符合招标文件关于“投标文件格式”的要求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投标文件上法定代表人或其授权代表人的签字齐全并加盖电子公章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符合招标文件关于“投标文件格式”的要求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投标文件上法定代表人或其授权代表人的签字齐全并加盖电子公章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符合招标文件关于“投标文件格式”的要求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财务状况</w:t>
            </w:r>
          </w:p>
        </w:tc>
        <w:tc>
          <w:tcPr>
            <w:tcW w:type="dxa" w:w="2492"/>
          </w:tcPr>
          <w:p>
            <w:pPr>
              <w:pStyle w:val="null3"/>
            </w:pPr>
            <w:r>
              <w:rPr>
                <w:rFonts w:ascii="仿宋_GB2312" w:hAnsi="仿宋_GB2312" w:cs="仿宋_GB2312" w:eastAsia="仿宋_GB2312"/>
              </w:rPr>
              <w:t>1、提供截止开标之前半年内任意三个月的完税证明（税务机关开具的完税凭证，期限须为投标前一年内），每提供一个月计1分，计满3分止，未提供的不计分；（注：成立期限不足六个月的供应商，如提供自成立日期至2025年11月之前逐月完税证明的，即计满分，否则按月计分）。 2、供应商提供开标前半年内任意三个月的社会保障缴纳证明，每提供一个月计1分，齐全计3分，未提供不计分。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1、提供相应的耗材产品供货经销资格的得2分； 2、履约能力承诺详细、具体（包括资金筹措、仓储设施、运输工具、人员素质、管理水平等方面）本项满分6分。 评审依据： 履约能力承诺详细、具体、针对性强、可确保项目顺利完成的计4-6分； 履约能力承诺简洁、无针对性的计1-3分。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以合同形式提供供应商2023年至今类似项目业绩，每份计2分，计满6分为止。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质量管理体系认证</w:t>
            </w:r>
          </w:p>
        </w:tc>
        <w:tc>
          <w:tcPr>
            <w:tcW w:type="dxa" w:w="2492"/>
          </w:tcPr>
          <w:p>
            <w:pPr>
              <w:pStyle w:val="null3"/>
            </w:pPr>
            <w:r>
              <w:rPr>
                <w:rFonts w:ascii="仿宋_GB2312" w:hAnsi="仿宋_GB2312" w:cs="仿宋_GB2312" w:eastAsia="仿宋_GB2312"/>
              </w:rPr>
              <w:t>具有 ISO13485 医疗器械质量管理体系认证，得 3 分；证书过期或认证范围不符，不得分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所投产品制造厂家有可靠、完善的管理制度；有足够的设计、工艺、加工、检验能力；所投产品符合国际、国内相关标准，有具体可行的质量保证承诺，保证使用单位能熟练操作维护和正常使用，满分5分。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1、产品配置齐全，数量准确的计1-2分； 2、产品技术参数清楚、明确，规格、功能一致的计1-3分； 3、技术指标基础分为5分。满足技术要求的，计5分；不满足技术要求的，每负偏离一项扣0.5分，基础分扣完为止。优于技术要求的，经横向比较后，每正偏离一项在基础分上加0.5分，最多加分不得超过2分，无正偏离不得分。（本项满分7分） 4、产品有详细的使用说明介绍，技术指标满足采购文件要求及用户实际使用需求且技术资料齐全，并能提供生产厂家出具的、响应的功能证明材料（包括但不限于检测报告、官网和功能截图、彩页、说明书等相关资料），计0-5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项目组织实施计划完整可行，资金等保障措施可靠，能够保证按期供货，提供详细、合理的供货方案，包括库存管理、物流配送、应急供货措施等，评标委员会从以下方面进行比较后赋分。（10分） （1）备货、供货进度及保证措施（0-5分） （2）拟投入本项目的人员安排及责任制度（0-5分）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1.售后承诺（3分）常规订单 48 小时内送达，紧急订单 24 小时内响应的得 3 分； 超出上述时效或无紧急响应方案的不得分（需提供配送路线图和应急联系人）。 2.售后服务：（3分） （1）在项目所在地有固定售后机构（提供房产证或租赁合同，配备2名及以上持证售后人员）的得 3 分； （2）无固定机构但生产厂家承诺 48 小时内上门服务（附厂家函）的得 2 分；- 无售后方案或人员资质不足的不得分。 3. 保修承诺（2分）：产品质量保修期≥12 个月，且提供免费退换货服务的得 2 分；保修期 6-11 个月的得 1 分； 无保修承诺或保修期＜6 个月的不得分。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响应文件对交货期、质保期、付款方式、验收等商务要求进行详细说明，完全响应采购文件的计1分，交货期、质保期两项优于采购文件的，经横向比较后，每项最多加0.5分。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价格分采用低价优先法计算，即满足采购文件要求且响应价格最低的投标报价为评标基准价，其价格分为满分。其他投标人的价格分统一按照下列公式计算： 评标价得分=(评标基准价／评标价)×35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财务状况</w:t>
            </w:r>
          </w:p>
        </w:tc>
        <w:tc>
          <w:tcPr>
            <w:tcW w:type="dxa" w:w="2492"/>
          </w:tcPr>
          <w:p>
            <w:pPr>
              <w:pStyle w:val="null3"/>
            </w:pPr>
            <w:r>
              <w:rPr>
                <w:rFonts w:ascii="仿宋_GB2312" w:hAnsi="仿宋_GB2312" w:cs="仿宋_GB2312" w:eastAsia="仿宋_GB2312"/>
              </w:rPr>
              <w:t>1、提供截止开标之前半年内任意三个月的完税证明（税务机关开具的完税凭证，期限须为投标前一年内），每提供一个月计1分，计满3分止，未提供的不计分；（注：成立期限不足六个月的供应商，如提供自成立日期至2025年11月之前逐月完税证明的，即计满分，否则按月计分）。 2、供应商提供开标前半年内任意三个月的社会保障缴纳证明，每提供一个月计1分，齐全计3分，未提供不计分。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1、提供相应的耗材产品供货经销资格的得2分； 2、履约能力承诺详细、具体（包括资金筹措、仓储设施、运输工具、人员素质、管理水平等方面）本项满分6分。 评审依据： 履约能力承诺详细、具体、针对性强、可确保项目顺利完成的计4-6分； 履约能力承诺简洁、无针对性的计1-3分。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以合同形式提供供应商2023年至今类似项目业绩，每份计2分，计满6分为止。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质量管理体系认证</w:t>
            </w:r>
          </w:p>
        </w:tc>
        <w:tc>
          <w:tcPr>
            <w:tcW w:type="dxa" w:w="2492"/>
          </w:tcPr>
          <w:p>
            <w:pPr>
              <w:pStyle w:val="null3"/>
            </w:pPr>
            <w:r>
              <w:rPr>
                <w:rFonts w:ascii="仿宋_GB2312" w:hAnsi="仿宋_GB2312" w:cs="仿宋_GB2312" w:eastAsia="仿宋_GB2312"/>
              </w:rPr>
              <w:t>具有 ISO13485 医疗器械质量管理体系认证，得 3 分；证书过期或认证范围不符，不得分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所投产品制造厂家有可靠、完善的管理制度；有足够的设计、工艺、加工、检验能力；所投产品符合国际、国内相关标准，有具体可行的质量保证承诺，保证使用单位能熟练操作维护和正常使用，满分5分。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1、产品配置齐全，数量准确的计1-2分； 2、产品技术参数清楚、明确，规格、功能一致的计1-3分； 3、技术指标基础分为5分。满足技术要求的，计5分；不满足技术要求的，每负偏离一项扣0.5分，基础分扣完为止。优于技术要求的，经横向比较后，每正偏离一项在基础分上加0.5分，最多加分不得超过2分，无正偏离不得分。（本项满分7分） 4、产品有详细的使用说明介绍，技术指标满足采购文件要求及用户实际使用需求且技术资料齐全，并能提供生产厂家出具的、响应的功能证明材料（包括但不限于检测报告、官网和功能截图、彩页、说明书等相关资料），计0-5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项目组织实施计划完整可行，资金等保障措施可靠，能够保证按期供货，提供详细、合理的供货方案，包括库存管理、物流配送、应急供货措施等，评标委员会从以下方面进行比较后赋分。（10分） （1）备货、供货进度及保证措施（0-5分） （2）拟投入本项目的人员安排及责任制度（0-5分）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1.售后承诺（3分）常规订单 48 小时内送达，紧急订单 24 小时内响应的得 3 分； 超出上述时效或无紧急响应方案的不得分（需提供配送路线图和应急联系人）。 2.售后服务：（3分） （1）在项目所在地有固定售后机构（提供房产证或租赁合同，配备2名及以上持证售后人员）的得 3 分； （2）无固定机构但生产厂家承诺 48 小时内上门服务（附厂家函）的得 2 分；- 无售后方案或人员资质不足的不得分。 3. 保修承诺（2分）：产品质量保修期≥12 个月，且提供免费退换货服务的得 2 分；保修期 6-11 个月的得 1 分； 无保修承诺或保修期＜6 个月的不得分。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响应文件对交货期、质保期、付款方式、验收等商务要求进行详细说明，完全响应采购文件的计1分，交货期、质保期两项优于采购文件的，经横向比较后，每项最多加0.5分。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价格分采用低价优先法计算，即满足采购文件要求且响应价格最低的投标报价为评标基准价，其价格分为满分。其他投标人的价格分统一按照下列公式计算： 评标价得分=(评标基准价／评标价)×35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财务状况</w:t>
            </w:r>
          </w:p>
        </w:tc>
        <w:tc>
          <w:tcPr>
            <w:tcW w:type="dxa" w:w="2492"/>
          </w:tcPr>
          <w:p>
            <w:pPr>
              <w:pStyle w:val="null3"/>
            </w:pPr>
            <w:r>
              <w:rPr>
                <w:rFonts w:ascii="仿宋_GB2312" w:hAnsi="仿宋_GB2312" w:cs="仿宋_GB2312" w:eastAsia="仿宋_GB2312"/>
              </w:rPr>
              <w:t>1、提供截止开标之前半年内任意三个月的完税证明（税务机关开具的完税凭证，期限须为投标前一年内），每提供一个月计1分，计满3分止，未提供的不计分；（注：成立期限不足六个月的供应商，如提供自成立日期至2025年11月之前逐月完税证明的，即计满分，否则按月计分）。 2、供应商提供开标前半年内任意三个月的社会保障缴纳证明，每提供一个月计1分，齐全计3分，未提供不计分。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1、提供相应的耗材产品供货经销资格的得2分； 2、履约能力承诺详细、具体（包括资金筹措、仓储设施、运输工具、人员素质、管理水平等方面）本项满分6分。 评审依据： 履约能力承诺详细、具体、针对性强、可确保项目顺利完成的计4-6分； 履约能力承诺简洁、无针对性的计1-3分。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以合同形式提供供应商2023年至今类似项目业绩，每份计2分，计满6分为止。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质量管理体系认证</w:t>
            </w:r>
          </w:p>
        </w:tc>
        <w:tc>
          <w:tcPr>
            <w:tcW w:type="dxa" w:w="2492"/>
          </w:tcPr>
          <w:p>
            <w:pPr>
              <w:pStyle w:val="null3"/>
            </w:pPr>
            <w:r>
              <w:rPr>
                <w:rFonts w:ascii="仿宋_GB2312" w:hAnsi="仿宋_GB2312" w:cs="仿宋_GB2312" w:eastAsia="仿宋_GB2312"/>
              </w:rPr>
              <w:t>具有 ISO13485 医疗器械质量管理体系认证，得 3 分；证书过期或认证范围不符，不得分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所投产品制造厂家有可靠、完善的管理制度；有足够的设计、工艺、加工、检验能力；所投产品符合国际、国内相关标准，有具体可行的质量保证承诺，保证使用单位能熟练操作维护和正常使用，满分5分。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1、产品配置齐全，数量准确的计1-2分； 2、产品技术参数清楚、明确，规格、功能一致的计1-3分； 3、技术指标基础分为5分。满足技术要求的，计5分；不满足技术要求的，每负偏离一项扣0.5分，基础分扣完为止。优于技术要求的，经横向比较后，每正偏离一项在基础分上加0.5分，最多加分不得超过2分，无正偏离不得分。（本项满分7分） 4、产品有详细的使用说明介绍，技术指标满足采购文件要求及用户实际使用需求且技术资料齐全，并能提供生产厂家出具的、响应的功能证明材料（包括但不限于检测报告、官网和功能截图、彩页、说明书等相关资料），计0-5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项目组织实施计划完整可行，资金等保障措施可靠，能够保证按期供货，提供详细、合理的供货方案，包括库存管理、物流配送、应急供货措施等，评标委员会从以下方面进行比较后赋分。（10分） （1）备货、供货进度及保证措施（0-5分） （2）拟投入本项目的人员安排及责任制度（0-5分）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1.售后承诺（3分）常规订单 48 小时内送达，紧急订单 24 小时内响应的得 3 分； 超出上述时效或无紧急响应方案的不得分（需提供配送路线图和应急联系人）。 2.售后服务：（3分） （1）在项目所在地有固定售后机构（提供房产证或租赁合同，配备2名及以上持证售后人员）的得 3 分； （2）无固定机构但生产厂家承诺 48 小时内上门服务（附厂家函）的得 2 分；- 无售后方案或人员资质不足的不得分。 3. 保修承诺（2分）：产品质量保修期≥12 个月，且提供免费退换货服务的得 2 分；保修期 6-11 个月的得 1 分； 无保修承诺或保修期＜6 个月的不得分。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响应文件对交货期、质保期、付款方式、验收等商务要求进行详细说明，完全响应采购文件的计1分，交货期、质保期两项优于采购文件的，经横向比较后，每项最多加0.5分。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价格分采用低价优先法计算，即满足采购文件要求且响应价格最低的投标报价为评标基准价，其价格分为满分。其他投标人的价格分统一按照下列公式计算： 评标价得分=(评标基准价／评标价)×35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详见附件：二次合同文本.docx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