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版本号：ZDSL26-013Z（二次）20260312001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中心城区1、2、4号橡胶坝坝袋更换及附属设施维护项目(二次)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ZDSL26-013Z（二次）</w:t>
      </w:r>
      <w:r>
        <w:br/>
      </w:r>
      <w:r>
        <w:br/>
      </w:r>
      <w:r>
        <w:br/>
      </w:r>
    </w:p>
    <w:p>
      <w:pPr>
        <w:pStyle w:val="null3"/>
        <w:jc w:val="center"/>
        <w:outlineLvl w:val="2"/>
      </w:pPr>
      <w:r>
        <w:rPr>
          <w:rFonts w:ascii="仿宋_GB2312" w:hAnsi="仿宋_GB2312" w:cs="仿宋_GB2312" w:eastAsia="仿宋_GB2312"/>
          <w:sz w:val="28"/>
          <w:b/>
        </w:rPr>
        <w:t>商洛市城区河道与灌区管理站</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商洛市城区河道与灌区管理站</w:t>
      </w:r>
      <w:r>
        <w:rPr>
          <w:rFonts w:ascii="仿宋_GB2312" w:hAnsi="仿宋_GB2312" w:cs="仿宋_GB2312" w:eastAsia="仿宋_GB2312"/>
        </w:rPr>
        <w:t>委托，拟对</w:t>
      </w:r>
      <w:r>
        <w:rPr>
          <w:rFonts w:ascii="仿宋_GB2312" w:hAnsi="仿宋_GB2312" w:cs="仿宋_GB2312" w:eastAsia="仿宋_GB2312"/>
        </w:rPr>
        <w:t>中心城区1、2、4号橡胶坝坝袋更换及附属设施维护项目(二次)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ZDSL26-013Z（二次）</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中心城区1、2、4号橡胶坝坝袋更换及附属设施维护项目(二次)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本项目主要包含:为3个坝袋更换（含底垫片、止水片、个别锚固件）及充排水系统改造等。 保证橡胶坝正常蓄水安全运行，保障城区供水、调节气候、改善城市生态及人居环境，提升城市环境品位;消除安全隐患，确保城市防洪安全。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采购包1（商洛市城区河道与灌区管理站中心城区1、2、4号橡胶坝坝袋更换及附属设施维护项目）：属于专门面向中小企业采购。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商洛市城区河道与灌区管理站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商洛市商州区李塬桥东河堤50米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0914-2258770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商洛市商州区民生路全兴紫苑10、11号商铺三楼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薛焕莉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13891406233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采购包1：2,955,090.60元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开户名称：正大方略工程咨询有限公司商洛分公司</w:t>
            </w:r>
          </w:p>
          <w:p>
            <w:pPr>
              <w:pStyle w:val="null3"/>
            </w:pPr>
            <w:r>
              <w:rPr>
                <w:rFonts w:ascii="仿宋_GB2312" w:hAnsi="仿宋_GB2312" w:cs="仿宋_GB2312" w:eastAsia="仿宋_GB2312"/>
              </w:rPr>
              <w:t>开户银行：中国建设银行股份有限公司商洛秦韵教育城支行</w:t>
            </w:r>
          </w:p>
          <w:p>
            <w:pPr>
              <w:pStyle w:val="null3"/>
            </w:pPr>
            <w:r>
              <w:rPr>
                <w:rFonts w:ascii="仿宋_GB2312" w:hAnsi="仿宋_GB2312" w:cs="仿宋_GB2312" w:eastAsia="仿宋_GB2312"/>
              </w:rPr>
              <w:t>银行账号：61050167450000000287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本采购包履约保证金为合同金额的3.5%</w:t>
            </w:r>
          </w:p>
          <w:p>
            <w:pPr>
              <w:pStyle w:val="null3"/>
            </w:pPr>
            <w:r>
              <w:rPr>
                <w:rFonts w:ascii="仿宋_GB2312" w:hAnsi="仿宋_GB2312" w:cs="仿宋_GB2312" w:eastAsia="仿宋_GB2312"/>
              </w:rPr>
              <w:t>说明：中标人在收到采购代理机构的中标通知书后10日内，应当按照规定的形式、金额，向中标人提交履约保证金或履约担保，中标人不能按照规定提交履约保证金或履约担保的，视为放弃成交资格，有投标保证金的不予退还，给招标人造成损失的，中标人应当予以赔偿。</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招标代理服务收费管理暂行办法》的通知（计价格[2002]1980号）和《关于招标代理服务收费有关问题的通知》（发改办价格[2011]534号）的有关规定按标准向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商洛市城区河道与灌区管理站</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商洛市城区河道与灌区管理站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商洛市城区河道与灌区管理站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联系人：薛焕莉</w:t>
      </w:r>
    </w:p>
    <w:p>
      <w:pPr>
        <w:pStyle w:val="null3"/>
      </w:pPr>
      <w:r>
        <w:rPr>
          <w:rFonts w:ascii="仿宋_GB2312" w:hAnsi="仿宋_GB2312" w:cs="仿宋_GB2312" w:eastAsia="仿宋_GB2312"/>
        </w:rPr>
        <w:t>联系电话：13891406233</w:t>
      </w:r>
    </w:p>
    <w:p>
      <w:pPr>
        <w:pStyle w:val="null3"/>
      </w:pPr>
      <w:r>
        <w:rPr>
          <w:rFonts w:ascii="仿宋_GB2312" w:hAnsi="仿宋_GB2312" w:cs="仿宋_GB2312" w:eastAsia="仿宋_GB2312"/>
        </w:rPr>
        <w:t>地址：商洛市商州区民生路全兴紫苑10、11号商铺三楼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心城区1、2、4号橡胶坝坝袋更换及附属设施维护项目，主要包含:更换坝袋可保证橡胶坝正常蓄水安全运行，保障城区供水、调节气候、改善城市生态及人居环境，提升城市环境品位;消除安全隐患，确保城市防洪安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2,955,090.60</w:t>
      </w:r>
    </w:p>
    <w:p>
      <w:pPr>
        <w:pStyle w:val="null3"/>
      </w:pPr>
      <w:r>
        <w:rPr>
          <w:rFonts w:ascii="仿宋_GB2312" w:hAnsi="仿宋_GB2312" w:cs="仿宋_GB2312" w:eastAsia="仿宋_GB2312"/>
        </w:rPr>
        <w:t>采购包最高限价（元）: 2,955,090.60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中心城区1号2号4号橡胶坝坝袋更换及附属设施维护项目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2,955,090.60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标的名称：中心城区1号2号4号橡胶坝坝袋更换及附属设施维护项目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橡胶坝★1、数量：1个。★2、规格：长63m，高3m。3、经纬向强度≥180KN/m（原设计图纸为JBD3.0-180-2(无缝拼接整体坝袋，胶布型号J180180-2）。4、充水式坝袋，两布三胶。5、坝体布置采用单跨式，设计内外水压比为1.30，坝袋强度设计安全系数应不小于6.0。6、结构型式：采用M24锚固螺栓锚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橡胶坝★1、数量：1个。★2、规格：长61.6m，高3m。3、经纬向强度≥180KN/m（原设计图纸为JBD3.0-180-2(无缝拼接整体坝袋，胶布型号J180180-2）。4、充水式坝袋，两布三胶。5、坝体布置采用单跨式;设计内外水压比为1.30，坝袋强度设计安全系数应不小于6.0。6、结构型式：采用M24锚固螺栓锚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核心产品）4#橡胶坝★1、数量：1个。★2、规格：长64m，高3.5m。3、经纬向强度≥260KN/m（原设计图纸为JBD3.5-260-2(无缝拼接整体坝袋），胶布型号J260260-2）。4、充水式坝袋，两布三胶。5、坝体布置采用单跨式;设计内外水压比为1.30，坝袋强度设计安全系数应不小于6.0。6、结构型式：采用M30锚固螺栓锚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合同签订后25日历天内三个坝袋生产安装到位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合同签订后向</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全部货物安装调试完毕后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汛期结束后组织竣工验收，竣工验收合格后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2.坝袋强度应不低于原设计标准，且符合《橡胶坝工程技术规范》及中华人民共和国水利部发布的最新的《橡胶坝坝袋》行业标准。 3.本招标文件所涉及标准与现行国家标准不一致时，均以现行国家标准为准。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(1)投标人应具有独立承担民事责任的能力:提供营业执照等证明文件; (2)税收缴纳证明:提供投标人自招标前1年以来已缴纳的任意时段的完税凭证或税务机关开具的完税证明(任意税种):依法免税的应提供相关文件证明， (3)社会保障资金缴纳证明:提供投标人自中招标前1年以来已缴存的任意时段的社会保障资金缴存单据或社保机构开具的社会保险参保缴费情况证明;依法不需要缴纳社会保障资金的供应商应提供相关文件证明; (4)投标人参加本次采购前3年内,在经营活动中没有重大违法记录的书面声明。</w:t>
            </w:r>
          </w:p>
        </w:tc>
        <w:tc>
          <w:tcPr>
            <w:tcW w:type="dxa" w:w="1661"/>
          </w:tcPr>
          <w:p>
            <w:pPr>
              <w:pStyle w:val="null3"/>
            </w:pPr>
            <w:r>
              <w:rPr>
                <w:rFonts w:ascii="仿宋_GB2312" w:hAnsi="仿宋_GB2312" w:cs="仿宋_GB2312" w:eastAsia="仿宋_GB2312"/>
              </w:rPr>
              <w:t>投标人一般资格要求.docx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提供2024年度经审计的投标人财务报告（包括 “四表一注”即《资产负债表》《利润表》《现金流量表》《所有者权益变动表》及其附注）或者提供招标文件递交截止时间3个月内其基本账户开户银行出具的资信证明。投标人成立不到1年的，可提供企业任意时段财务报表。</w:t>
            </w:r>
          </w:p>
        </w:tc>
        <w:tc>
          <w:tcPr>
            <w:tcW w:type="dxa" w:w="1661"/>
          </w:tcPr>
          <w:p>
            <w:pPr>
              <w:pStyle w:val="null3"/>
            </w:pPr>
            <w:r>
              <w:rPr>
                <w:rFonts w:ascii="仿宋_GB2312" w:hAnsi="仿宋_GB2312" w:cs="仿宋_GB2312" w:eastAsia="仿宋_GB2312"/>
              </w:rPr>
              <w:t>财务状况报告.docx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3.异常低价的处理 3.1异常低价投标审查程序 在评审中出现下列情形之一的，评标委员会应当启动异常低价投标审查程序：（1）投标报价低于全部通过符合性审查供应商投标报价平均值50%（最高不得超过65%）的，即投标报价&lt;全部通过符合性审查供应商投标报价平均值×50%； （2）投标报价低于通过符合性审查的次低报价供应商投标报价50%（最高不得超过65%）的，即投标报价&lt;通过符合性审查的次低报价供应商投标报价×50%； （3）投标报价低于采购项目最高限价45%（最高不得超过65%）的，即投标报价&lt;采购项目最高限价×45%； （4）评标委员会基于专业判断，认为供应商报价过低，有可能影响产品质量或者不能诚信履约的其他情形。相关法律法规对投标人报价有规定的，从其规定。 3.2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3.3异常低价投标审查的启动原因、审查意见和审查结果应当在评审报告中记录，并随投标人提供的相关书面说明及证明材料，以及评标委员会有关互联网浏览、查询历史一并归档。  3.4在评标过程中，发现评标委员会未按规定对异常低价开展审查的，采购人、采购代理机构应当予以纠正，拒不改正的，应当及时报告同级财政部门。  3.5评标委员会未按规定对异常低价开展审查的，财政部门依法予以纠正并追究评审专家的法律责任。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按照招标文件要求签署、盖章</w:t>
            </w:r>
          </w:p>
        </w:tc>
        <w:tc>
          <w:tcPr>
            <w:tcW w:type="dxa" w:w="1661"/>
          </w:tcPr>
          <w:p>
            <w:pPr>
              <w:pStyle w:val="null3"/>
            </w:pPr>
            <w:r>
              <w:rPr>
                <w:rFonts w:ascii="仿宋_GB2312" w:hAnsi="仿宋_GB2312" w:cs="仿宋_GB2312" w:eastAsia="仿宋_GB2312"/>
              </w:rPr>
              <w:t>开标一览表.docx 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只能有一个有效下浮率报价，不得提交选择性下浮率报价，且下浮率报价不超过招标文件规定</w:t>
            </w:r>
          </w:p>
        </w:tc>
        <w:tc>
          <w:tcPr>
            <w:tcW w:type="dxa" w:w="1661"/>
          </w:tcPr>
          <w:p>
            <w:pPr>
              <w:pStyle w:val="null3"/>
            </w:pPr>
            <w:r>
              <w:rPr>
                <w:rFonts w:ascii="仿宋_GB2312" w:hAnsi="仿宋_GB2312" w:cs="仿宋_GB2312" w:eastAsia="仿宋_GB2312"/>
              </w:rPr>
              <w:t>开标一览表.docx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产品技术参数表 商务应答表 供应商认为需要补充的其他内容.docx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开标一览表.docx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供应商所投产品参数(含配件)清楚、明确，选型科学合理,产品规格描述详细，功能满足招标文件要求。 一、带★项为实质性参数（6项），不得偏离，否则按照无效投标处理。★项参数需提供证明材料(不限于检验报告、产品彩页、产品说明书、官网功能截图等)，证明产品技术指标和性能完全满足招标文件要求； 二、除★项参数以外的其他参数为一般参数（15项），一般参数偏离情况在技术参数偏离表中注明。一般参数完全满足招标文件的一项得0.6分，全部满足得9分。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产品检测报告.docx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投标人提供的项目实施方案，包括但不限于：①供货配送、安装、调试方案（针对旧坝袋拆除，新坝袋运输保护、现场安装及充水实验）②防洪度汛保障措施③突发事件预案，根据响应情况进行评分。 二、评审标准：1、完整性：方案必须全面，对评审内容中的各项要求有详细描述。2、可实施性：切合本项目实际情况，提出步骤清晰、合理的方案。3、针对性：方案能够紧扣项目实际情况，内容科学合理。 三、赋分标准（满分13.5分）①供货配送、安装、调试方案（针对旧坝袋拆除，新坝袋运输保护、现场安装及充水实验）：每完全满足一个评审标准得1.5分；针对评审标准部分满足的得1分；内容与本项目无关或未提供的得0分。②防洪度汛保障措施：每完全满足一个评审标准得1.5分；针对评审标准部分满足的得1分；内容与本项目无关或未提供的得0分。③突发事件预案：每完全满足一个评审标准得1.5分；针对评审标准部分满足的得1分；内容与本项目无关或未提供的得0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一、评审内容：根据项目实际需求，提供质量保障方案。内容包含①产品性能保障②质量管理措施（货物生产安装及施工质量保证体系完善科学、制度健全、目标明确、质量保证措施具体、合理）。 二、评审标准：1、完整性：方案必须全面，对评审内容中的各项要求有详细描述。2、可实施性：切合本项目实际情况，提出步骤清晰、合理的方案。3、针对性：方案能够紧扣项目实际情况，内容科学合理 三、赋分标准（满分9分）①产品性能保障：每完全满足一个评审标准得1.5分；针对评审标准部分满足的得1分；内容与本项目无关或未提供的得0分。②质量管理体系（货物生产安装及施工质量保证体系完善科学、制度健全、目标明确、质量保证措施具体、合理）：每完全满足一个评审标准得1.5分；针对评审标准部分满足的得1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供货、安装及售后团队人员：投标人拟投入本项目的供货、安装及售后团队人员应包含具有类似项目经验的项目经理、技术负责人、安全员、质量员、材料员等其他主要人员，每提供一名人员的证明资料得0.5分（不限于人员的执业证及职称证及业绩等），本项最高得3.5分。提供资料不齐全的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进度计划和进度保证措施</w:t>
            </w:r>
          </w:p>
        </w:tc>
        <w:tc>
          <w:tcPr>
            <w:tcW w:type="dxa" w:w="2492"/>
          </w:tcPr>
          <w:p>
            <w:pPr>
              <w:pStyle w:val="null3"/>
            </w:pPr>
            <w:r>
              <w:rPr>
                <w:rFonts w:ascii="仿宋_GB2312" w:hAnsi="仿宋_GB2312" w:cs="仿宋_GB2312" w:eastAsia="仿宋_GB2312"/>
              </w:rPr>
              <w:t>一、评审内容：①项目进度计划及保障措施②非汛期等关键时段安装保障措施。 二、评审标准：1、完整性：方案必须全面，对评审内容中的各项要求有详细描述。2、可实施性：切合本项目实际情况，提出步骤清晰、合理的方案。3、针对性：方案能够紧扣项目实际情况，内容科学合理。 三、赋分标准（满分9分）①项目进度计划及保障措施：每完全满足一个评审标准得1.5分；针对评审标准部分满足的得1分；内容与本项目无关或未提供的得0分。②非汛期等关键时段安装保障措施：每完全满足一个评审标准得1.5分；针对评审标准部分满足的得1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进度计划和进度保证措施.docx</w:t>
            </w:r>
          </w:p>
        </w:tc>
      </w:tr>
      <w:tr>
        <w:tc>
          <w:tcPr>
            <w:tcW w:type="dxa" w:w="831"/>
            <w:vMerge/>
          </w:tcPr>
          <w:p/>
        </w:tc>
        <w:tc>
          <w:tcPr>
            <w:tcW w:type="dxa" w:w="1661"/>
          </w:tcPr>
          <w:p>
            <w:pPr>
              <w:pStyle w:val="null3"/>
            </w:pPr>
            <w:r>
              <w:rPr>
                <w:rFonts w:ascii="仿宋_GB2312" w:hAnsi="仿宋_GB2312" w:cs="仿宋_GB2312" w:eastAsia="仿宋_GB2312"/>
              </w:rPr>
              <w:t>产品检测报告</w:t>
            </w:r>
          </w:p>
        </w:tc>
        <w:tc>
          <w:tcPr>
            <w:tcW w:type="dxa" w:w="2492"/>
          </w:tcPr>
          <w:p>
            <w:pPr>
              <w:pStyle w:val="null3"/>
            </w:pPr>
            <w:r>
              <w:rPr>
                <w:rFonts w:ascii="仿宋_GB2312" w:hAnsi="仿宋_GB2312" w:cs="仿宋_GB2312" w:eastAsia="仿宋_GB2312"/>
              </w:rPr>
              <w:t>除必须提供的检测报告外，提供第三方检测机构出具的坝袋检测报告（涵盖坝袋物理机械性能、耐老化性能等），每提供一份得0.5分，最高得1.5分。未提供不得分。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产品检测报告.docx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投标人提供坝袋的合法来源渠道证明文件，提供坝袋的证明文件得1分，提供不符合要求或不提供不得分。 投标人可根据自身情况提供以下资料：一、如投标人为所投产品代理商：提供坝袋的合法来源渠道证明文件（例如：产品制造商授权、销售协议、代理协议等证明文件）。二、如投标人为所投坝袋的制造商的直接得1分。 备注：以加盖投标人公章的证明材料复印件为计分依据。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一、评审内容：投标人根据项目实际需求提供售后服务方案。内容包含：①售后服务范围及响应时间及方式②故障处理及补救措施③售后服务机构基本情况、组织架构。根据响应情况进行赋分。 二、评审标准：1、完整性：方案必须全面，对评审内容中的各项要求有详细描述。2、可实施性：切合本项目实际情况，提出步骤清晰、合理的方案。3、针对性：方案能够紧扣项目实际情况，内容科学合理。 三、赋分标准（满分13.5分） ①售后服务范围及响应时间及方式：每完全满足一个评审标准得1.5分；针对评审标准部分满足的得1分；内容与本项目无关或未提供的得0分；②故障处理及补救措施：每完全满足一个评审标准得1.5分；针对评审标准部分满足的得1分；内容与本项目无关或未提供的得0分；③售后服务机构基本情况、组织架构：每完全满足一个评审标准得1.5分；针对评审标准部分满足的得1分；内容与本项目无关或未提供的得0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年（2021年1月1日起至今）同类项目的业绩证明，每提供一份得2分，满分6分，（以合同签订时间为准，同时提供完工验收合格证明，截止日为本项目公告发布之日）未提供或提供资料不符合评审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质量管理体系</w:t>
            </w:r>
          </w:p>
        </w:tc>
        <w:tc>
          <w:tcPr>
            <w:tcW w:type="dxa" w:w="2492"/>
          </w:tcPr>
          <w:p>
            <w:pPr>
              <w:pStyle w:val="null3"/>
            </w:pPr>
            <w:r>
              <w:rPr>
                <w:rFonts w:ascii="仿宋_GB2312" w:hAnsi="仿宋_GB2312" w:cs="仿宋_GB2312" w:eastAsia="仿宋_GB2312"/>
              </w:rPr>
              <w:t>提供所投产品（核心产品）制造商的质量管理体系认证证书的得1分，获得环境管理体系认证证书的得1分，未提供不得分。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管理体系认证.docx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质保期必须满足招标文件要求，完全响应招标文件的视为符合招标文件商务要求，不计分。在满足招标文件质保期要求的基础上，承诺增加质保期限的，每增加1年，得1分，最高得2分。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下浮率报价:招标文件要求本项目下浮率最高不超过10%，满足招标文件要求且下浮率报价最高的为评标基准价，其下浮率报价价格分为满分，评标基准价=1-下浮率。 其他投标人的价格分统一按照下列公式计算: 下浮率报价得分=(评标基准价/1-下浮率)×30%。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详见附件：投标人一般资格要求.docx</w:t>
      </w:r>
    </w:p>
    <w:p>
      <w:pPr>
        <w:pStyle w:val="null3"/>
        <w:ind w:firstLine="960"/>
      </w:pPr>
      <w:r>
        <w:rPr>
          <w:rFonts w:ascii="仿宋_GB2312" w:hAnsi="仿宋_GB2312" w:cs="仿宋_GB2312" w:eastAsia="仿宋_GB2312"/>
        </w:rPr>
        <w:t>详见附件：财务状况报告.docx</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详见附件：质量保障方案.docx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详见附件：进度计划和进度保证措施.docx</w:t>
      </w:r>
    </w:p>
    <w:p>
      <w:pPr>
        <w:pStyle w:val="null3"/>
        <w:ind w:firstLine="960"/>
      </w:pPr>
      <w:r>
        <w:rPr>
          <w:rFonts w:ascii="仿宋_GB2312" w:hAnsi="仿宋_GB2312" w:cs="仿宋_GB2312" w:eastAsia="仿宋_GB2312"/>
        </w:rPr>
        <w:t>详见附件：产品检测报告.docx</w:t>
      </w:r>
    </w:p>
    <w:p>
      <w:pPr>
        <w:pStyle w:val="null3"/>
        <w:ind w:firstLine="960"/>
      </w:pPr>
      <w:r>
        <w:rPr>
          <w:rFonts w:ascii="仿宋_GB2312" w:hAnsi="仿宋_GB2312" w:cs="仿宋_GB2312" w:eastAsia="仿宋_GB2312"/>
        </w:rPr>
        <w:t>详见附件：来源渠道.docx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详见附件：管理体系认证.docx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详见附件：供应商认为需要补充的其他内容.docx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详见附件：政府采购合同文本格式.docx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