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7BB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质保期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4CEBC3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说明：质保期1年，供应商根据招标文件第五章：评标办法列明的评分标准进行响应。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87FF38">
      <w:pPr>
        <w:jc w:val="center"/>
        <w:rPr>
          <w:rFonts w:hint="eastAsia"/>
          <w:b/>
          <w:bCs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40868"/>
    <w:rsid w:val="06B27E8C"/>
    <w:rsid w:val="1E405230"/>
    <w:rsid w:val="2C896F9E"/>
    <w:rsid w:val="346A2192"/>
    <w:rsid w:val="34EF09E7"/>
    <w:rsid w:val="3EB93EF6"/>
    <w:rsid w:val="496B110B"/>
    <w:rsid w:val="50A078EC"/>
    <w:rsid w:val="52F00D05"/>
    <w:rsid w:val="570566FB"/>
    <w:rsid w:val="713A69B5"/>
    <w:rsid w:val="7249173A"/>
    <w:rsid w:val="77357F1F"/>
    <w:rsid w:val="7A14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7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Administrator</dc:creator>
  <cp:lastModifiedBy>安之若素</cp:lastModifiedBy>
  <dcterms:modified xsi:type="dcterms:W3CDTF">2026-03-12T08:30:35Z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AEF9662AF7FD4B02B7ABD51433ABF97F_13</vt:lpwstr>
  </property>
</Properties>
</file>