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版本号：SLHRC-2026-1220260313001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商洛市水源地规范化建设与污染治理设施修复项目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SLHRC-2026-12</w:t>
      </w:r>
      <w:r>
        <w:br/>
      </w:r>
      <w:r>
        <w:br/>
      </w:r>
      <w:r>
        <w:br/>
      </w:r>
    </w:p>
    <w:p>
      <w:pPr>
        <w:pStyle w:val="null3"/>
        <w:jc w:val="center"/>
        <w:outlineLvl w:val="2"/>
      </w:pPr>
      <w:r>
        <w:rPr>
          <w:rFonts w:ascii="仿宋_GB2312" w:hAnsi="仿宋_GB2312" w:cs="仿宋_GB2312" w:eastAsia="仿宋_GB2312"/>
          <w:sz w:val="28"/>
          <w:b/>
        </w:rPr>
        <w:t>商洛市生态环境局</w:t>
      </w:r>
    </w:p>
    <w:p>
      <w:pPr>
        <w:pStyle w:val="null3"/>
        <w:jc w:val="center"/>
        <w:outlineLvl w:val="2"/>
      </w:pPr>
      <w:r>
        <w:rPr>
          <w:rFonts w:ascii="仿宋_GB2312" w:hAnsi="仿宋_GB2312" w:cs="仿宋_GB2312" w:eastAsia="仿宋_GB2312"/>
          <w:sz w:val="28"/>
          <w:b/>
        </w:rPr>
        <w:t>商洛华瑞诚项目管理咨询有限公司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商洛华瑞诚项目管理咨询有限公司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商洛市生态环境局</w:t>
      </w:r>
      <w:r>
        <w:rPr>
          <w:rFonts w:ascii="仿宋_GB2312" w:hAnsi="仿宋_GB2312" w:cs="仿宋_GB2312" w:eastAsia="仿宋_GB2312"/>
        </w:rPr>
        <w:t>委托，拟对</w:t>
      </w:r>
      <w:r>
        <w:rPr>
          <w:rFonts w:ascii="仿宋_GB2312" w:hAnsi="仿宋_GB2312" w:cs="仿宋_GB2312" w:eastAsia="仿宋_GB2312"/>
        </w:rPr>
        <w:t>商洛市水源地规范化建设与污染治理设施修复项目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SLHRC-2026-12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商洛市水源地规范化建设与污染治理设施修复项目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根据国家相关法律法规及技术规范，修复商州区、洛南县、丹凤县、山阳县、镇安县、柞水县 6个县区的 20个水源地保护区隔离防护网5258米、隔离防护栏1247米。其中一标段修复商州区、柞水县水源保护区隔离防护网2665米；二标段修复洛南县、丹凤县、山阳县、镇安县水源保护区隔离防护网2593米及隔离防护栏1247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采购包1（商洛市水源地规范化建设与污染治理设施修复项目一标段）：属于专门面向中小企业采购。</w:t>
      </w:r>
    </w:p>
    <w:p>
      <w:pPr>
        <w:pStyle w:val="null3"/>
      </w:pPr>
      <w:r>
        <w:rPr>
          <w:rFonts w:ascii="仿宋_GB2312" w:hAnsi="仿宋_GB2312" w:cs="仿宋_GB2312" w:eastAsia="仿宋_GB2312"/>
        </w:rPr>
        <w:t>采购包2（商洛市水源地规范化建设与污染治理设施修复项目二标段）：属于专门面向中小企业采购。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2、财务状况报告：供应商提供2024年的财务审计报告（成立时间至投标截止时间不足一年的可提供成立后任意时段的资产负债表），或其开标前三个月内基本开户银行出具的资信证明及基本存款账户信息。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3、税收缴纳证明：供应商提供投标截止日前半年内已缴纳任意1个月的纳税证明或完税证明（任意税种），依法免税的单位应提供相关的证明材料。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4、社会保障资金缴纳证明：供应商提供投标截止日前半年内已缴存的任意1个月的社会保障资金缴存单据或社保机构开具的社会保险参保缴费情况证明；依法不需要缴纳社会保障资金的单位应提供相关证明材料。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6、履行本合同所必需的设备和专业技术能力：具有履行合同所必需的设备和专业技术能力的承诺函。</w:t>
      </w:r>
    </w:p>
    <w:p>
      <w:pPr>
        <w:pStyle w:val="null3"/>
      </w:pPr>
      <w:r>
        <w:rPr>
          <w:rFonts w:ascii="仿宋_GB2312" w:hAnsi="仿宋_GB2312" w:cs="仿宋_GB2312" w:eastAsia="仿宋_GB2312"/>
        </w:rPr>
        <w:t>7、信誉要求：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9、授权书：法定代表人授权书及被授权人身份证明。（法定代表人直接参与投标只须提供其身份证明）。</w:t>
      </w:r>
    </w:p>
    <w:p>
      <w:pPr>
        <w:pStyle w:val="null3"/>
      </w:pPr>
      <w:r>
        <w:rPr>
          <w:rFonts w:ascii="仿宋_GB2312" w:hAnsi="仿宋_GB2312" w:cs="仿宋_GB2312" w:eastAsia="仿宋_GB2312"/>
        </w:rPr>
        <w:t>10、供应商资质要求：须具备建设行政主管部门颁发的市政公用工程施工总承包三级及以上资质，且具有有效的安全生产许可证。</w:t>
      </w:r>
    </w:p>
    <w:p>
      <w:pPr>
        <w:pStyle w:val="null3"/>
      </w:pPr>
      <w:r>
        <w:rPr>
          <w:rFonts w:ascii="仿宋_GB2312" w:hAnsi="仿宋_GB2312" w:cs="仿宋_GB2312" w:eastAsia="仿宋_GB2312"/>
        </w:rPr>
        <w:t>11、项目经理资格和专业要求：拟派项目经理具备市政公用工程专业二级及以上注册建造师证书，及有效的安全生产考核合格证（建安B证），且未担任其他在建工程项目的项目经理（提供承诺书）。</w:t>
      </w:r>
    </w:p>
    <w:p>
      <w:pPr>
        <w:pStyle w:val="null3"/>
      </w:pPr>
      <w:r>
        <w:rPr>
          <w:rFonts w:ascii="仿宋_GB2312" w:hAnsi="仿宋_GB2312" w:cs="仿宋_GB2312" w:eastAsia="仿宋_GB2312"/>
        </w:rPr>
        <w:t>12、本项目不接受联合体投标，不允许分包：供应商应提供《非联合体不分包投标声明》，视为独立投标，不分包。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2、财务状况报告：供应商提供2024年的财务审计报告（成立时间至投标截止时间不足一年的可提供成立后任意时段的资产负债表），或其开标前三个月内基本开户银行出具的资信证明及基本存款账户信息。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3、税收缴纳证明：供应商提供投标截止日前半年内已缴纳任意1个月的纳税证明或完税证明（任意税种），依法免税的单位应提供相关的证明材料。</w:t>
      </w:r>
    </w:p>
    <w:p>
      <w:pPr>
        <w:pStyle w:val="null3"/>
      </w:pPr>
      <w:r>
        <w:rPr>
          <w:rFonts w:ascii="仿宋_GB2312" w:hAnsi="仿宋_GB2312" w:cs="仿宋_GB2312" w:eastAsia="仿宋_GB2312"/>
        </w:rPr>
        <w:t>4、社会保障资金缴纳证明：供应商提供投标截止日前半年内已缴存的任意1个月的社会保障资金缴存单据或社保机构开具的社会保险参保缴费情况证明；依法不需要缴纳社会保障资金的单位应提供相关证明材料。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6、履行本合同所必需的设备和专业技术能力：具有履行合同所必需的设备和专业技术能力的承诺函。</w:t>
      </w:r>
    </w:p>
    <w:p>
      <w:pPr>
        <w:pStyle w:val="null3"/>
      </w:pPr>
      <w:r>
        <w:rPr>
          <w:rFonts w:ascii="仿宋_GB2312" w:hAnsi="仿宋_GB2312" w:cs="仿宋_GB2312" w:eastAsia="仿宋_GB2312"/>
        </w:rPr>
        <w:t>7、信誉要求：供应商未被列入“信用中国”网站记录的“失信被执行人”“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8、控股管理关系：单位负责人为同一人或者存在直接控股、管理关系的不同投标人，不得参加同一合同项下的政府采购活动。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9、授权书：法定代表人授权书及被授权人身份证明。（法定代表人直接参与投标只须提供其身份证明）。</w:t>
      </w:r>
    </w:p>
    <w:p>
      <w:pPr>
        <w:pStyle w:val="null3"/>
      </w:pPr>
      <w:r>
        <w:rPr>
          <w:rFonts w:ascii="仿宋_GB2312" w:hAnsi="仿宋_GB2312" w:cs="仿宋_GB2312" w:eastAsia="仿宋_GB2312"/>
        </w:rPr>
        <w:t>10、供应商资质要求：须具备建设行政主管部门颁发的市政公用工程施工总承包三级及以上资质，且具有有效的安全生产许可证。</w:t>
      </w:r>
    </w:p>
    <w:p>
      <w:pPr>
        <w:pStyle w:val="null3"/>
      </w:pPr>
      <w:r>
        <w:rPr>
          <w:rFonts w:ascii="仿宋_GB2312" w:hAnsi="仿宋_GB2312" w:cs="仿宋_GB2312" w:eastAsia="仿宋_GB2312"/>
        </w:rPr>
        <w:t>11、项目经理资格和专业要求：拟派项目经理具备市政公用工程专业二级及以上注册建造师证书，及有效的安全生产考核合格证（建安B证），且未担任其他在建工程项目的项目经理（提供承诺书）。</w:t>
      </w:r>
    </w:p>
    <w:p>
      <w:pPr>
        <w:pStyle w:val="null3"/>
      </w:pPr>
      <w:r>
        <w:rPr>
          <w:rFonts w:ascii="仿宋_GB2312" w:hAnsi="仿宋_GB2312" w:cs="仿宋_GB2312" w:eastAsia="仿宋_GB2312"/>
        </w:rPr>
        <w:t>12、本项目不接受联合体投标，不允许分包：供应商应提供《非联合体不分包投标声明》，视为独立投标，不分包。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15353408705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商洛华瑞诚项目管理咨询有限公司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陕西省商洛市商州区陕西省商洛市商州区城关街道办事处四皓社区全兴紫苑六号楼一单元101室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郭春梅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13098221030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采购包1：738,312.72元</w:t>
            </w:r>
          </w:p>
          <w:p>
            <w:pPr>
              <w:pStyle w:val="null3"/>
            </w:pPr>
            <w:r>
              <w:rPr>
                <w:rFonts w:ascii="仿宋_GB2312" w:hAnsi="仿宋_GB2312" w:cs="仿宋_GB2312" w:eastAsia="仿宋_GB2312"/>
              </w:rPr>
              <w:t>采购包2：1,208,668.52元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开户名称：商洛华瑞诚项目管理咨询有限公司</w:t>
            </w:r>
          </w:p>
          <w:p>
            <w:pPr>
              <w:pStyle w:val="null3"/>
            </w:pPr>
            <w:r>
              <w:rPr>
                <w:rFonts w:ascii="仿宋_GB2312" w:hAnsi="仿宋_GB2312" w:cs="仿宋_GB2312" w:eastAsia="仿宋_GB2312"/>
              </w:rPr>
              <w:t>开户银行：长安银行股份有限公司商洛分行</w:t>
            </w:r>
          </w:p>
          <w:p>
            <w:pPr>
              <w:pStyle w:val="null3"/>
            </w:pPr>
            <w:r>
              <w:rPr>
                <w:rFonts w:ascii="仿宋_GB2312" w:hAnsi="仿宋_GB2312" w:cs="仿宋_GB2312" w:eastAsia="仿宋_GB2312"/>
              </w:rPr>
              <w:t>银行账号：8060 9000 1421 0067 68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说明：中标供应商在与采购人签订合同前，须缴纳履约保证金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说明：中标供应商在与采购人签订合同前，须缴纳履约保证金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调整后的招标代理服务收费标准》(发改价格〔2011〕534号)的规定标准收取，由成交供应商支付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商洛市生态环境局</w:t>
      </w:r>
      <w:r>
        <w:rPr>
          <w:rFonts w:ascii="仿宋_GB2312" w:hAnsi="仿宋_GB2312" w:cs="仿宋_GB2312" w:eastAsia="仿宋_GB2312"/>
        </w:rPr>
        <w:t>和</w:t>
      </w:r>
      <w:r>
        <w:rPr>
          <w:rFonts w:ascii="仿宋_GB2312" w:hAnsi="仿宋_GB2312" w:cs="仿宋_GB2312" w:eastAsia="仿宋_GB2312"/>
        </w:rPr>
        <w:t>商洛华瑞诚项目管理咨询有限公司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商洛华瑞诚项目管理咨询有限公司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商洛华瑞诚项目管理咨询有限公司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商洛华瑞诚项目管理咨询有限公司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联系人：郭春梅</w:t>
      </w:r>
    </w:p>
    <w:p>
      <w:pPr>
        <w:pStyle w:val="null3"/>
      </w:pPr>
      <w:r>
        <w:rPr>
          <w:rFonts w:ascii="仿宋_GB2312" w:hAnsi="仿宋_GB2312" w:cs="仿宋_GB2312" w:eastAsia="仿宋_GB2312"/>
        </w:rPr>
        <w:t>联系电话：13098221030</w:t>
      </w:r>
    </w:p>
    <w:p>
      <w:pPr>
        <w:pStyle w:val="null3"/>
      </w:pPr>
      <w:r>
        <w:rPr>
          <w:rFonts w:ascii="仿宋_GB2312" w:hAnsi="仿宋_GB2312" w:cs="仿宋_GB2312" w:eastAsia="仿宋_GB2312"/>
        </w:rPr>
        <w:t>地址：商洛市商州区全兴紫苑6号楼1单元101室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738,312.72</w:t>
      </w:r>
    </w:p>
    <w:p>
      <w:pPr>
        <w:pStyle w:val="null3"/>
      </w:pPr>
      <w:r>
        <w:rPr>
          <w:rFonts w:ascii="仿宋_GB2312" w:hAnsi="仿宋_GB2312" w:cs="仿宋_GB2312" w:eastAsia="仿宋_GB2312"/>
        </w:rPr>
        <w:t>采购包最高限价（元）: 738,312.72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738,312.72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1,208,668.52</w:t>
      </w:r>
    </w:p>
    <w:p>
      <w:pPr>
        <w:pStyle w:val="null3"/>
      </w:pPr>
      <w:r>
        <w:rPr>
          <w:rFonts w:ascii="仿宋_GB2312" w:hAnsi="仿宋_GB2312" w:cs="仿宋_GB2312" w:eastAsia="仿宋_GB2312"/>
        </w:rPr>
        <w:t>采购包最高限价（元）: 1,208,668.52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1,208,668.52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具体详见电子招标书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具体详见电子招标书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符合国家质量标准：合格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符合国家质量标准：合格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其他内容详见工程量清单。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 （2）付款方式： 施工合同签订后，达到付款条件起 30 日内，支付合同总金额的 30%； 施工结束，经甲方验收合格 ，达到付款条件起 30 日内，支付合同总金额的 67%； 复验合格后 ，达到付款条件起 30 日内，支付合同总金额的3%; （3）响应文件要求：供应商无需提供纸质版响应文件。成交供应商在领取成交通知书前，须将纸质版响应文件（正本1份、副本2份）及电子版（U盘）文件1份打印并加盖单位公章，提交至招标代理公司，供采购人留存备案等工作。成交供应商应保持响应文件纸质版内容与电子版内容完全一致，否则将承担一切法律责任。纸质版响应文件一律采用书籍（胶装）方式装订，可单面或双面打印; （4）开标签到要求：供应商务必在开标截止时间30分钟前，通过项目电子化交易系统进行签到；未按要求签到的，由此产生的一切后果由供应商自行承担； （5）本项目采购人为商洛市环境监控应急指挥中心，本次招标公告及采购信息由商洛市生态环境局代为发布。本项目合同签订、履约管理、验收及资金支付等全部采购活动主体均为商洛市环境监控应急指挥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供应商提供2024年的财务审计报告（成立时间至投标截止时间不足一年的可提供成立后任意时段的资产负债表），或其开标前三个月内基本开户银行出具的资信证明及基本存款账户信息。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须具备建设行政主管部门颁发的市政公用工程施工总承包三级及以上资质，且具有有效的安全生产许可证。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项目经理资格和专业要求</w:t>
            </w:r>
          </w:p>
        </w:tc>
        <w:tc>
          <w:tcPr>
            <w:tcW w:type="dxa" w:w="3322"/>
          </w:tcPr>
          <w:p>
            <w:pPr>
              <w:pStyle w:val="null3"/>
            </w:pPr>
            <w:r>
              <w:rPr>
                <w:rFonts w:ascii="仿宋_GB2312" w:hAnsi="仿宋_GB2312" w:cs="仿宋_GB2312" w:eastAsia="仿宋_GB2312"/>
              </w:rPr>
              <w:t>拟派项目经理具备市政公用工程专业二级及以上注册建造师证书，及有效的安全生产考核合格证（建安B证），且未担任其他在建工程项目的项目经理（提供承诺书）。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供应商提供2024年的财务审计报告（成立时间至投标截止时间不足一年的可提供成立后任意时段的资产负债表），或其开标前三个月内基本开户银行出具的资信证明及基本存款账户信息。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供应商提供投标截止日前半年内已缴纳任意1个月的纳税证明或完税证明（任意税种），依法免税的单位应提供相关的证明材料。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供应商提供投标截止日前半年内已缴存的任意1个月的社会保障资金缴存单据或社保机构开具的社会保险参保缴费情况证明；依法不需要缴纳社会保障资金的单位应提供相关证明材料。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供应商未被列入“信用中国”网站记录的“失信被执行人”“重大税收违法案件当事人”名单；不处于“中国政府采购网”记录的“政府采购严重违法失信行为记录名单”中的禁止参加政府采购活动期间。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须具备建设行政主管部门颁发的市政公用工程施工总承包三级及以上资质，且具有有效的安全生产许可证。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项目经理资格和专业要求</w:t>
            </w:r>
          </w:p>
        </w:tc>
        <w:tc>
          <w:tcPr>
            <w:tcW w:type="dxa" w:w="3322"/>
          </w:tcPr>
          <w:p>
            <w:pPr>
              <w:pStyle w:val="null3"/>
            </w:pPr>
            <w:r>
              <w:rPr>
                <w:rFonts w:ascii="仿宋_GB2312" w:hAnsi="仿宋_GB2312" w:cs="仿宋_GB2312" w:eastAsia="仿宋_GB2312"/>
              </w:rPr>
              <w:t>拟派项目经理具备市政公用工程专业二级及以上注册建造师证书，及有效的安全生产考核合格证（建安B证），且未担任其他在建工程项目的项目经理（提供承诺书）。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商财建文件，对于投标报价中清单单价的不平衡报价，其报价高于或低于招标上限控制价中清单综合单价的5%时，工程结算执行招标上限控制价中清单综合单价。拦标价与中标价之间的差额部分由中标人承担。 4.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商务技术部分.docx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商财建文件，对于投标报价中清单单价的不平衡报价，其报价高于或低于招标上限控制价中清单综合单价的5%时，工程结算执行招标上限控制价中清单综合单价。拦标价与中标价之间的差额部分由中标人承担。 4.工程竣工结算时，工程量清单项目工程量的变化幅度在10%以内的，其综合单价不做调整，执行原有综合单价；工程量清单项目工程量的变化幅度在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商务技术部分.docx 资格证明文件.docx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本项目实施方案，方案总体思路清晰、合理、可操作性强、可执行程度强，且能很好推动项目，根据响应程度计（10～15]分；方案总体思路较为清晰、合理、可操作性较强、可执行程度较强，根据响应程度计(5～10]分；方案内容一般，根据响应程度计(0～5]分，本项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项目经理部组成及劳动力投入，人员搭配合理，数量充足，经验丰富，证明材料详尽计(5～10]分，人员搭配较为合理，数量较充足，经验不足，证明材料不够详尽计(0～5]分，本项满分10分。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施工机械及工器具的配备情况</w:t>
            </w:r>
          </w:p>
        </w:tc>
        <w:tc>
          <w:tcPr>
            <w:tcW w:type="dxa" w:w="2492"/>
          </w:tcPr>
          <w:p>
            <w:pPr>
              <w:pStyle w:val="null3"/>
            </w:pPr>
            <w:r>
              <w:rPr>
                <w:rFonts w:ascii="仿宋_GB2312" w:hAnsi="仿宋_GB2312" w:cs="仿宋_GB2312" w:eastAsia="仿宋_GB2312"/>
              </w:rPr>
              <w:t>施工机械及工器具的配备情况，机械、设备安排合理、完整计(2～4]分，机械、设备安排简单计(0～2]分，本项满分4分。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针对本项目的应急预案措施</w:t>
            </w:r>
          </w:p>
        </w:tc>
        <w:tc>
          <w:tcPr>
            <w:tcW w:type="dxa" w:w="2492"/>
          </w:tcPr>
          <w:p>
            <w:pPr>
              <w:pStyle w:val="null3"/>
            </w:pPr>
            <w:r>
              <w:rPr>
                <w:rFonts w:ascii="仿宋_GB2312" w:hAnsi="仿宋_GB2312" w:cs="仿宋_GB2312" w:eastAsia="仿宋_GB2312"/>
              </w:rPr>
              <w:t>针对本项目的应急预案措施，措施内容科学可行，有针对性，根据响应程度计（0～3]分。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供应商提供2023年1月至今类似项目业绩，业绩证明材料以磋商文件中提供的合同复印件为准。每提供1份得2分，满分10分。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满足磋商文件要求且最后报价最低的供应商的价格为基准价，其价格为满分，其他供应商的价格分统一按照下列公式计算： 磋商报价得分=（评标基准价/投标报价）×价格分值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本项目实施方案，方案总体思路清晰、合理、可操作性强、可执行程度强，且能很好推动项目，根据响应程度计（10～15]分；方案总体思路较为清晰、合理、可操作性较强、可执行程度较强，根据响应程度计(5～10]分；方案内容一般，根据响应程度计(0～5]分，本项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项目经理部组成及劳动力投入，人员搭配合理，数量充足，经验丰富，证明材料详尽计(5～10]分，人员搭配较为合理，数量较充足，经验不足，证明材料不够详尽计(0～5]分，本项满分10分。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施工机械及工器具的配备情况</w:t>
            </w:r>
          </w:p>
        </w:tc>
        <w:tc>
          <w:tcPr>
            <w:tcW w:type="dxa" w:w="2492"/>
          </w:tcPr>
          <w:p>
            <w:pPr>
              <w:pStyle w:val="null3"/>
            </w:pPr>
            <w:r>
              <w:rPr>
                <w:rFonts w:ascii="仿宋_GB2312" w:hAnsi="仿宋_GB2312" w:cs="仿宋_GB2312" w:eastAsia="仿宋_GB2312"/>
              </w:rPr>
              <w:t>施工机械及工器具的配备情况，机械、设备安排合理、完整计(2～4]分，机械、设备安排简单计(0～2]分，本项满分4分。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确保工期的技术组织措施，措施内容科学可行、有针对性且内容详细计（4～7]分，措施内容较为可行、针对性不强、内容简单计（0～4]分，本项满分7分。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针对本项目的应急预案措施</w:t>
            </w:r>
          </w:p>
        </w:tc>
        <w:tc>
          <w:tcPr>
            <w:tcW w:type="dxa" w:w="2492"/>
          </w:tcPr>
          <w:p>
            <w:pPr>
              <w:pStyle w:val="null3"/>
            </w:pPr>
            <w:r>
              <w:rPr>
                <w:rFonts w:ascii="仿宋_GB2312" w:hAnsi="仿宋_GB2312" w:cs="仿宋_GB2312" w:eastAsia="仿宋_GB2312"/>
              </w:rPr>
              <w:t>针对本项目的应急预案措施，措施内容科学可行，有针对性，根据响应程度计（0～3]分。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供应商提供2023年1月至今类似项目业绩，业绩证明材料以磋商文件中提供的合同复印件为准。每提供1份得2分，满分10分。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满足磋商文件要求且最后报价最低的供应商的价格为基准价，其价格为满分，其他供应商的价格分统一按照下列公式计算： 磋商报价得分=（评标基准价/投标报价）×价格分值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