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版本号：SXZH202600820260317001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山阳县2024年农村环境综合整治项目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SXZH2026008</w:t>
      </w:r>
      <w:r>
        <w:br/>
      </w:r>
      <w:r>
        <w:br/>
      </w:r>
      <w:r>
        <w:br/>
      </w:r>
    </w:p>
    <w:p>
      <w:pPr>
        <w:pStyle w:val="null3"/>
        <w:jc w:val="center"/>
        <w:outlineLvl w:val="2"/>
      </w:pPr>
      <w:r>
        <w:rPr>
          <w:rFonts w:ascii="仿宋_GB2312" w:hAnsi="仿宋_GB2312" w:cs="仿宋_GB2312" w:eastAsia="仿宋_GB2312"/>
          <w:sz w:val="28"/>
          <w:b/>
        </w:rPr>
        <w:t>商洛市生态环境局山阳县分局</w:t>
      </w:r>
    </w:p>
    <w:p>
      <w:pPr>
        <w:pStyle w:val="null3"/>
        <w:jc w:val="center"/>
        <w:outlineLvl w:val="2"/>
      </w:pPr>
      <w:r>
        <w:rPr>
          <w:rFonts w:ascii="仿宋_GB2312" w:hAnsi="仿宋_GB2312" w:cs="仿宋_GB2312" w:eastAsia="仿宋_GB2312"/>
          <w:sz w:val="28"/>
          <w:b/>
        </w:rPr>
        <w:t>陕西中辉项目管理有限公司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陕西中辉项目管理有限公司</w:t>
      </w:r>
      <w:r>
        <w:rPr>
          <w:rFonts w:ascii="仿宋_GB2312" w:hAnsi="仿宋_GB2312" w:cs="仿宋_GB2312" w:eastAsia="仿宋_GB2312"/>
        </w:rPr>
        <w:t>（以下简称“代理机构”）受</w:t>
      </w:r>
      <w:r>
        <w:rPr>
          <w:rFonts w:ascii="仿宋_GB2312" w:hAnsi="仿宋_GB2312" w:cs="仿宋_GB2312" w:eastAsia="仿宋_GB2312"/>
        </w:rPr>
        <w:t>商洛市生态环境局山阳县分局</w:t>
      </w:r>
      <w:r>
        <w:rPr>
          <w:rFonts w:ascii="仿宋_GB2312" w:hAnsi="仿宋_GB2312" w:cs="仿宋_GB2312" w:eastAsia="仿宋_GB2312"/>
        </w:rPr>
        <w:t>委托，拟对</w:t>
      </w:r>
      <w:r>
        <w:rPr>
          <w:rFonts w:ascii="仿宋_GB2312" w:hAnsi="仿宋_GB2312" w:cs="仿宋_GB2312" w:eastAsia="仿宋_GB2312"/>
        </w:rPr>
        <w:t>山阳县2024年农村环境综合整治项目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山阳县2024年农村环境综合整治项目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本项目为给山阳县中村镇洛峪街社区污水处理站购置150t/D的一体化污水处理设施一套，出水水质稳定达到《农村生活污水处理设施水污染物排放标准》 (DB61/1227-2018) -级标准。设备噪声低于60分贝。</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采购包1（山阳县2024年农村环境综合整治项目）：属于专门面向小微企业采购。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1、营业执照：具有独立承担民事责任的能力，提供营业执照、税务登记证、组织机构代码证或登载有统一社会信用代码的营业执照（或《事业单位法人证书》或其他合法组织登记证书、自然人只须提交身份证）</w:t>
      </w:r>
    </w:p>
    <w:p>
      <w:pPr>
        <w:pStyle w:val="null3"/>
      </w:pPr>
      <w:r>
        <w:rPr>
          <w:rFonts w:ascii="仿宋_GB2312" w:hAnsi="仿宋_GB2312" w:cs="仿宋_GB2312" w:eastAsia="仿宋_GB2312"/>
        </w:rPr>
        <w:t>2、法定代表人授权委托书：供应商应授权合法的人员参加开标全过程，其中法定代表人直接参加投标的，须出具法定代表人身份证，并与营业执照上信息一致；法定代表人授权代表参加投标的,须提供法定代表人授权委托书（附法定代表人、被授权人身份证复印件）</w:t>
      </w:r>
    </w:p>
    <w:p>
      <w:pPr>
        <w:pStyle w:val="null3"/>
      </w:pPr>
      <w:r>
        <w:rPr>
          <w:rFonts w:ascii="仿宋_GB2312" w:hAnsi="仿宋_GB2312" w:cs="仿宋_GB2312" w:eastAsia="仿宋_GB2312"/>
        </w:rPr>
        <w:t>3、履约能力：供应商须提供具有履行本合同所必需的设备和专业技术能力的书面声明或承诺函</w:t>
      </w:r>
    </w:p>
    <w:p>
      <w:pPr>
        <w:pStyle w:val="null3"/>
      </w:pPr>
      <w:r>
        <w:rPr>
          <w:rFonts w:ascii="仿宋_GB2312" w:hAnsi="仿宋_GB2312" w:cs="仿宋_GB2312" w:eastAsia="仿宋_GB2312"/>
        </w:rPr>
        <w:t>4、财务状况报告：提供2024年度的财务审计报告（成立时间至提交响应文件截止时间不足1年的可提供成立后任意时段的资产负债表）或其基本存款账户开户银行出具的资信证明</w:t>
      </w:r>
    </w:p>
    <w:p>
      <w:pPr>
        <w:pStyle w:val="null3"/>
      </w:pPr>
      <w:r>
        <w:rPr>
          <w:rFonts w:ascii="仿宋_GB2312" w:hAnsi="仿宋_GB2312" w:cs="仿宋_GB2312" w:eastAsia="仿宋_GB2312"/>
        </w:rPr>
        <w:t>5、税收缴纳证明：提供自投标文件提交截止时间前一年内已缴纳的至少一个月的纳税证明或完税证明，纳税证明或完税证明上应有代收机构或税务机关的公章，依法免税的供应商应提供相关证明文件</w:t>
      </w:r>
    </w:p>
    <w:p>
      <w:pPr>
        <w:pStyle w:val="null3"/>
      </w:pPr>
      <w:r>
        <w:rPr>
          <w:rFonts w:ascii="仿宋_GB2312" w:hAnsi="仿宋_GB2312" w:cs="仿宋_GB2312" w:eastAsia="仿宋_GB2312"/>
        </w:rPr>
        <w:t>6、社会保障资金缴纳证明：提供自投标文件提交截止时间前一年内已缴存的至少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7、书面声明：参加本次政府采购活动前3年内在经营活动中没有重大违法记录，未被列入失信被执行人、重大税收违法失信主体、政府采购严重违法失信行为记录名单（以“信用中国 ”网站www.creditchina.gov.cn、中国政府采购网www.ccgp.gov.cn查询结果为准，查询截止时间为提交响应文件截止时间之前 ) , 如相关失信记录已失效，供应商需提供相关证明资料</w:t>
      </w:r>
    </w:p>
    <w:p>
      <w:pPr>
        <w:pStyle w:val="null3"/>
      </w:pPr>
      <w:r>
        <w:rPr>
          <w:rFonts w:ascii="仿宋_GB2312" w:hAnsi="仿宋_GB2312" w:cs="仿宋_GB2312" w:eastAsia="仿宋_GB2312"/>
        </w:rPr>
        <w:t>8、本项目不接受联合体投标：本项目不接受联合体</w:t>
      </w:r>
    </w:p>
    <w:p>
      <w:pPr>
        <w:pStyle w:val="null3"/>
      </w:pPr>
      <w:r>
        <w:rPr>
          <w:rFonts w:ascii="仿宋_GB2312" w:hAnsi="仿宋_GB2312" w:cs="仿宋_GB2312" w:eastAsia="仿宋_GB2312"/>
        </w:rPr>
        <w:t>9、中小企业声明：本项目专门面向中小企业采购，供应商须提供《中小企业声明函》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商洛市生态环境局山阳县分局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商洛市山阳县城关街办环城路东段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商洛市生态环境局山阳县分局经办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18220954231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商洛市商州区商郡城4号楼1单元602室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杨弘熙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0914-2317369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开户名称：陕西中辉项目管理有限公司</w:t>
            </w:r>
          </w:p>
          <w:p>
            <w:pPr>
              <w:pStyle w:val="null3"/>
            </w:pPr>
            <w:r>
              <w:rPr>
                <w:rFonts w:ascii="仿宋_GB2312" w:hAnsi="仿宋_GB2312" w:cs="仿宋_GB2312" w:eastAsia="仿宋_GB2312"/>
              </w:rPr>
              <w:t>开户银行：西安银行股份有限公司商洛分行</w:t>
            </w:r>
          </w:p>
          <w:p>
            <w:pPr>
              <w:pStyle w:val="null3"/>
            </w:pPr>
            <w:r>
              <w:rPr>
                <w:rFonts w:ascii="仿宋_GB2312" w:hAnsi="仿宋_GB2312" w:cs="仿宋_GB2312" w:eastAsia="仿宋_GB2312"/>
              </w:rPr>
              <w:t>银行账号：751011580000007515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lt;招标代理服务收费管理暂行办法&gt;的通知》（计价格〔2002〕1980号）、《国家发展和改革委员会办公厅关于招标代理服务收费有关问题的通知》（发改办价格〔2003〕857号）的规定标准执行，按差额定率累进法收取费用。2.支付方式：支付方式：中标单位应在领取通知书前，向陕西中辉项目管理有限公司交纳本项目代理服务费。 缴纳方式：银行转账 3、代理服务费缴纳账号如下： 单位名称：陕西中辉项目管理有限公司 账号：72170078801400000873 开户银行：上海浦东发展股份有限公司西安北大街支行 银行支付行号：310791000168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商洛市生态环境局山阳县分局</w:t>
      </w:r>
      <w:r>
        <w:rPr>
          <w:rFonts w:ascii="仿宋_GB2312" w:hAnsi="仿宋_GB2312" w:cs="仿宋_GB2312" w:eastAsia="仿宋_GB2312"/>
        </w:rPr>
        <w:t>和</w:t>
      </w:r>
      <w:r>
        <w:rPr>
          <w:rFonts w:ascii="仿宋_GB2312" w:hAnsi="仿宋_GB2312" w:cs="仿宋_GB2312" w:eastAsia="仿宋_GB2312"/>
        </w:rPr>
        <w:t>陕西中辉项目管理有限公司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商洛市生态环境局山阳县分局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商洛市生态环境局山阳县分局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通过相关专家审核，质量达到国家及行业标准。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联系人：杨弘熙</w:t>
      </w:r>
    </w:p>
    <w:p>
      <w:pPr>
        <w:pStyle w:val="null3"/>
      </w:pPr>
      <w:r>
        <w:rPr>
          <w:rFonts w:ascii="仿宋_GB2312" w:hAnsi="仿宋_GB2312" w:cs="仿宋_GB2312" w:eastAsia="仿宋_GB2312"/>
        </w:rPr>
        <w:t>联系电话： 0914-2317369</w:t>
      </w:r>
    </w:p>
    <w:p>
      <w:pPr>
        <w:pStyle w:val="null3"/>
      </w:pPr>
      <w:r>
        <w:rPr>
          <w:rFonts w:ascii="仿宋_GB2312" w:hAnsi="仿宋_GB2312" w:cs="仿宋_GB2312" w:eastAsia="仿宋_GB2312"/>
        </w:rPr>
        <w:t>地址：商洛市商州区商郡城4号楼1单元602室</w:t>
      </w:r>
    </w:p>
    <w:p>
      <w:pPr>
        <w:pStyle w:val="null3"/>
      </w:pPr>
      <w:r>
        <w:rPr>
          <w:rFonts w:ascii="仿宋_GB2312" w:hAnsi="仿宋_GB2312" w:cs="仿宋_GB2312" w:eastAsia="仿宋_GB2312"/>
        </w:rPr>
        <w:t>邮编：0914-2317369</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本项目为给山阳县中村镇洛峪街社区污水处理站购置150t/D的一体化污水处理设施一套。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一体化污水处理站1座</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标的名称：一体化污水处理站1座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名称：设备</w:t>
            </w:r>
            <w:r>
              <w:rPr>
                <w:rFonts w:ascii="仿宋_GB2312" w:hAnsi="仿宋_GB2312" w:cs="仿宋_GB2312" w:eastAsia="仿宋_GB2312"/>
                <w:sz w:val="24"/>
                <w:color w:val="000000"/>
              </w:rPr>
              <w:t>壳</w:t>
            </w:r>
            <w:r>
              <w:rPr>
                <w:rFonts w:ascii="仿宋_GB2312" w:hAnsi="仿宋_GB2312" w:cs="仿宋_GB2312" w:eastAsia="仿宋_GB2312"/>
                <w:sz w:val="24"/>
                <w:color w:val="000000"/>
              </w:rPr>
              <w:t>体，参数：</w:t>
            </w:r>
            <w:r>
              <w:rPr>
                <w:rFonts w:ascii="仿宋_GB2312" w:hAnsi="仿宋_GB2312" w:cs="仿宋_GB2312" w:eastAsia="仿宋_GB2312"/>
                <w:sz w:val="24"/>
                <w:color w:val="000000"/>
              </w:rPr>
              <w:t>L</w:t>
            </w:r>
            <w:r>
              <w:rPr>
                <w:rFonts w:ascii="仿宋_GB2312" w:hAnsi="仿宋_GB2312" w:cs="仿宋_GB2312" w:eastAsia="仿宋_GB2312"/>
                <w:sz w:val="24"/>
                <w:color w:val="000000"/>
              </w:rPr>
              <w:t>×</w:t>
            </w:r>
            <w:r>
              <w:rPr>
                <w:rFonts w:ascii="仿宋_GB2312" w:hAnsi="仿宋_GB2312" w:cs="仿宋_GB2312" w:eastAsia="仿宋_GB2312"/>
                <w:sz w:val="24"/>
                <w:color w:val="000000"/>
              </w:rPr>
              <w:t>B</w:t>
            </w:r>
            <w:r>
              <w:rPr>
                <w:rFonts w:ascii="仿宋_GB2312" w:hAnsi="仿宋_GB2312" w:cs="仿宋_GB2312" w:eastAsia="仿宋_GB2312"/>
                <w:sz w:val="24"/>
                <w:color w:val="000000"/>
              </w:rPr>
              <w:t>×</w:t>
            </w:r>
            <w:r>
              <w:rPr>
                <w:rFonts w:ascii="仿宋_GB2312" w:hAnsi="仿宋_GB2312" w:cs="仿宋_GB2312" w:eastAsia="仿宋_GB2312"/>
                <w:sz w:val="24"/>
                <w:color w:val="000000"/>
              </w:rPr>
              <w:t>H=13.5</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3m</w:t>
            </w:r>
            <w:r>
              <w:rPr>
                <w:rFonts w:ascii="仿宋_GB2312" w:hAnsi="仿宋_GB2312" w:cs="仿宋_GB2312" w:eastAsia="仿宋_GB2312"/>
                <w:sz w:val="24"/>
                <w:color w:val="000000"/>
              </w:rPr>
              <w:t>，含厌氧池、缺氧池、好氧池、二沉池，配套人孔，碳钢防腐，地面设置，外做保温防护层，满足项目结构强度、防腐、保温所需，壳体钢板厚度≥8mm+结构强化。数量</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设备名称：回转风机，规格参数：</w:t>
            </w:r>
            <w:r>
              <w:rPr>
                <w:rFonts w:ascii="仿宋_GB2312" w:hAnsi="仿宋_GB2312" w:cs="仿宋_GB2312" w:eastAsia="仿宋_GB2312"/>
                <w:sz w:val="24"/>
                <w:color w:val="000000"/>
              </w:rPr>
              <w:t>Q=2.29m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/min</w:t>
            </w:r>
            <w:r>
              <w:rPr>
                <w:rFonts w:ascii="仿宋_GB2312" w:hAnsi="仿宋_GB2312" w:cs="仿宋_GB2312" w:eastAsia="仿宋_GB2312"/>
                <w:sz w:val="24"/>
                <w:color w:val="000000"/>
              </w:rPr>
              <w:t>、</w:t>
            </w:r>
            <w:r>
              <w:rPr>
                <w:rFonts w:ascii="仿宋_GB2312" w:hAnsi="仿宋_GB2312" w:cs="仿宋_GB2312" w:eastAsia="仿宋_GB2312"/>
                <w:sz w:val="24"/>
                <w:color w:val="000000"/>
              </w:rPr>
              <w:t>P=0.03mpa</w:t>
            </w:r>
            <w:r>
              <w:rPr>
                <w:rFonts w:ascii="仿宋_GB2312" w:hAnsi="仿宋_GB2312" w:cs="仿宋_GB2312" w:eastAsia="仿宋_GB2312"/>
                <w:sz w:val="24"/>
                <w:color w:val="000000"/>
              </w:rPr>
              <w:t>、</w:t>
            </w:r>
            <w:r>
              <w:rPr>
                <w:rFonts w:ascii="仿宋_GB2312" w:hAnsi="仿宋_GB2312" w:cs="仿宋_GB2312" w:eastAsia="仿宋_GB2312"/>
                <w:sz w:val="24"/>
                <w:color w:val="000000"/>
              </w:rPr>
              <w:t>N=4kW，数量</w:t>
            </w:r>
            <w:r>
              <w:rPr>
                <w:rFonts w:ascii="仿宋_GB2312" w:hAnsi="仿宋_GB2312" w:cs="仿宋_GB2312" w:eastAsia="仿宋_GB2312"/>
                <w:sz w:val="24"/>
                <w:color w:val="000000"/>
              </w:rPr>
              <w:t>2</w:t>
            </w:r>
            <w:r>
              <w:rPr>
                <w:rFonts w:ascii="仿宋_GB2312" w:hAnsi="仿宋_GB2312" w:cs="仿宋_GB2312" w:eastAsia="仿宋_GB2312"/>
                <w:sz w:val="24"/>
                <w:color w:val="000000"/>
              </w:rPr>
              <w:t>台，</w:t>
            </w:r>
            <w:r>
              <w:rPr>
                <w:rFonts w:ascii="仿宋_GB2312" w:hAnsi="仿宋_GB2312" w:cs="仿宋_GB2312" w:eastAsia="仿宋_GB2312"/>
                <w:sz w:val="24"/>
                <w:color w:val="000000"/>
              </w:rPr>
              <w:t>一用一备，设备间安装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设备名称：</w:t>
            </w:r>
            <w:r>
              <w:rPr>
                <w:rFonts w:ascii="仿宋_GB2312" w:hAnsi="仿宋_GB2312" w:cs="仿宋_GB2312" w:eastAsia="仿宋_GB2312"/>
                <w:sz w:val="24"/>
                <w:color w:val="000000"/>
              </w:rPr>
              <w:t>提升泵，规格参数：</w:t>
            </w:r>
            <w:r>
              <w:rPr>
                <w:rFonts w:ascii="仿宋_GB2312" w:hAnsi="仿宋_GB2312" w:cs="仿宋_GB2312" w:eastAsia="仿宋_GB2312"/>
                <w:sz w:val="24"/>
                <w:color w:val="000000"/>
              </w:rPr>
              <w:t>Q=7m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/h</w:t>
            </w:r>
            <w:r>
              <w:rPr>
                <w:rFonts w:ascii="仿宋_GB2312" w:hAnsi="仿宋_GB2312" w:cs="仿宋_GB2312" w:eastAsia="仿宋_GB2312"/>
                <w:sz w:val="24"/>
                <w:color w:val="000000"/>
              </w:rPr>
              <w:t>、</w:t>
            </w:r>
            <w:r>
              <w:rPr>
                <w:rFonts w:ascii="仿宋_GB2312" w:hAnsi="仿宋_GB2312" w:cs="仿宋_GB2312" w:eastAsia="仿宋_GB2312"/>
                <w:sz w:val="24"/>
                <w:color w:val="000000"/>
              </w:rPr>
              <w:t>H=8m</w:t>
            </w:r>
            <w:r>
              <w:rPr>
                <w:rFonts w:ascii="仿宋_GB2312" w:hAnsi="仿宋_GB2312" w:cs="仿宋_GB2312" w:eastAsia="仿宋_GB2312"/>
                <w:sz w:val="24"/>
                <w:color w:val="000000"/>
              </w:rPr>
              <w:t>、</w:t>
            </w:r>
            <w:r>
              <w:rPr>
                <w:rFonts w:ascii="仿宋_GB2312" w:hAnsi="仿宋_GB2312" w:cs="仿宋_GB2312" w:eastAsia="仿宋_GB2312"/>
                <w:sz w:val="24"/>
                <w:color w:val="000000"/>
              </w:rPr>
              <w:t>N=0.75kW，数量2台，一用一备</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名称：内回流泵</w:t>
            </w:r>
            <w:r>
              <w:rPr>
                <w:rFonts w:ascii="仿宋_GB2312" w:hAnsi="仿宋_GB2312" w:cs="仿宋_GB2312" w:eastAsia="仿宋_GB2312"/>
                <w:sz w:val="24"/>
                <w:color w:val="000000"/>
              </w:rPr>
              <w:t>，参数：</w:t>
            </w:r>
            <w:r>
              <w:rPr>
                <w:rFonts w:ascii="仿宋_GB2312" w:hAnsi="仿宋_GB2312" w:cs="仿宋_GB2312" w:eastAsia="仿宋_GB2312"/>
                <w:sz w:val="24"/>
                <w:color w:val="000000"/>
              </w:rPr>
              <w:t>Q=15m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/h</w:t>
            </w:r>
            <w:r>
              <w:rPr>
                <w:rFonts w:ascii="仿宋_GB2312" w:hAnsi="仿宋_GB2312" w:cs="仿宋_GB2312" w:eastAsia="仿宋_GB2312"/>
                <w:sz w:val="24"/>
                <w:color w:val="000000"/>
              </w:rPr>
              <w:t>、</w:t>
            </w:r>
            <w:r>
              <w:rPr>
                <w:rFonts w:ascii="仿宋_GB2312" w:hAnsi="仿宋_GB2312" w:cs="仿宋_GB2312" w:eastAsia="仿宋_GB2312"/>
                <w:sz w:val="24"/>
                <w:color w:val="000000"/>
              </w:rPr>
              <w:t>H=8m</w:t>
            </w:r>
            <w:r>
              <w:rPr>
                <w:rFonts w:ascii="仿宋_GB2312" w:hAnsi="仿宋_GB2312" w:cs="仿宋_GB2312" w:eastAsia="仿宋_GB2312"/>
                <w:sz w:val="24"/>
                <w:color w:val="000000"/>
              </w:rPr>
              <w:t>、</w:t>
            </w:r>
            <w:r>
              <w:rPr>
                <w:rFonts w:ascii="仿宋_GB2312" w:hAnsi="仿宋_GB2312" w:cs="仿宋_GB2312" w:eastAsia="仿宋_GB2312"/>
                <w:sz w:val="24"/>
                <w:color w:val="000000"/>
              </w:rPr>
              <w:t>N=1.1kW</w:t>
            </w:r>
            <w:r>
              <w:rPr>
                <w:rFonts w:ascii="仿宋_GB2312" w:hAnsi="仿宋_GB2312" w:cs="仿宋_GB2312" w:eastAsia="仿宋_GB2312"/>
                <w:sz w:val="24"/>
                <w:color w:val="000000"/>
              </w:rPr>
              <w:t>。数量</w:t>
            </w:r>
            <w:r>
              <w:rPr>
                <w:rFonts w:ascii="仿宋_GB2312" w:hAnsi="仿宋_GB2312" w:cs="仿宋_GB2312" w:eastAsia="仿宋_GB2312"/>
                <w:sz w:val="24"/>
                <w:color w:val="000000"/>
              </w:rPr>
              <w:t>2</w:t>
            </w:r>
            <w:r>
              <w:rPr>
                <w:rFonts w:ascii="仿宋_GB2312" w:hAnsi="仿宋_GB2312" w:cs="仿宋_GB2312" w:eastAsia="仿宋_GB2312"/>
                <w:sz w:val="24"/>
                <w:color w:val="000000"/>
              </w:rPr>
              <w:t>台，一用一备</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名称：污泥泵，设备参数：</w:t>
            </w:r>
            <w:r>
              <w:rPr>
                <w:rFonts w:ascii="仿宋_GB2312" w:hAnsi="仿宋_GB2312" w:cs="仿宋_GB2312" w:eastAsia="仿宋_GB2312"/>
                <w:sz w:val="24"/>
                <w:color w:val="000000"/>
              </w:rPr>
              <w:t>Q=7m</w:t>
            </w:r>
            <w:r>
              <w:rPr>
                <w:rFonts w:ascii="仿宋_GB2312" w:hAnsi="仿宋_GB2312" w:cs="仿宋_GB2312" w:eastAsia="仿宋_GB2312"/>
                <w:sz w:val="24"/>
                <w:color w:val="000000"/>
                <w:vertAlign w:val="superscript"/>
              </w:rPr>
              <w:t>3</w:t>
            </w:r>
            <w:r>
              <w:rPr>
                <w:rFonts w:ascii="仿宋_GB2312" w:hAnsi="仿宋_GB2312" w:cs="仿宋_GB2312" w:eastAsia="仿宋_GB2312"/>
                <w:sz w:val="24"/>
                <w:color w:val="000000"/>
              </w:rPr>
              <w:t>/h</w:t>
            </w:r>
            <w:r>
              <w:rPr>
                <w:rFonts w:ascii="仿宋_GB2312" w:hAnsi="仿宋_GB2312" w:cs="仿宋_GB2312" w:eastAsia="仿宋_GB2312"/>
                <w:sz w:val="24"/>
                <w:color w:val="000000"/>
              </w:rPr>
              <w:t>、</w:t>
            </w:r>
            <w:r>
              <w:rPr>
                <w:rFonts w:ascii="仿宋_GB2312" w:hAnsi="仿宋_GB2312" w:cs="仿宋_GB2312" w:eastAsia="仿宋_GB2312"/>
                <w:sz w:val="24"/>
                <w:color w:val="000000"/>
              </w:rPr>
              <w:t>H=10m</w:t>
            </w:r>
            <w:r>
              <w:rPr>
                <w:rFonts w:ascii="仿宋_GB2312" w:hAnsi="仿宋_GB2312" w:cs="仿宋_GB2312" w:eastAsia="仿宋_GB2312"/>
                <w:sz w:val="24"/>
                <w:color w:val="000000"/>
              </w:rPr>
              <w:t>、</w:t>
            </w:r>
            <w:r>
              <w:rPr>
                <w:rFonts w:ascii="仿宋_GB2312" w:hAnsi="仿宋_GB2312" w:cs="仿宋_GB2312" w:eastAsia="仿宋_GB2312"/>
                <w:sz w:val="24"/>
                <w:color w:val="000000"/>
              </w:rPr>
              <w:t>N=0.75kW，数量2台，一用一备。</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名称：组合填料，设备参数：</w:t>
            </w:r>
            <w:r>
              <w:rPr>
                <w:rFonts w:ascii="仿宋_GB2312" w:hAnsi="仿宋_GB2312" w:cs="仿宋_GB2312" w:eastAsia="仿宋_GB2312"/>
                <w:sz w:val="24"/>
                <w:color w:val="000000"/>
              </w:rPr>
              <w:t>生化池设置，数量：</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套含支架</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名称：搅拌系统，规格参数：</w:t>
            </w:r>
            <w:r>
              <w:rPr>
                <w:rFonts w:ascii="仿宋_GB2312" w:hAnsi="仿宋_GB2312" w:cs="仿宋_GB2312" w:eastAsia="仿宋_GB2312"/>
                <w:sz w:val="24"/>
                <w:color w:val="000000"/>
              </w:rPr>
              <w:t>穿孔管，厌氧池、缺氧池设置，</w:t>
            </w:r>
            <w:r>
              <w:rPr>
                <w:rFonts w:ascii="仿宋_GB2312" w:hAnsi="仿宋_GB2312" w:cs="仿宋_GB2312" w:eastAsia="仿宋_GB2312"/>
                <w:sz w:val="24"/>
                <w:color w:val="000000"/>
              </w:rPr>
              <w:t>防止污泥堆积，</w:t>
            </w:r>
            <w:r>
              <w:rPr>
                <w:rFonts w:ascii="仿宋_GB2312" w:hAnsi="仿宋_GB2312" w:cs="仿宋_GB2312" w:eastAsia="仿宋_GB2312"/>
                <w:sz w:val="24"/>
                <w:color w:val="000000"/>
              </w:rPr>
              <w:t>或同功能机械搅拌，数量1套</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名称：控制系统，规格：</w:t>
            </w:r>
            <w:r>
              <w:rPr>
                <w:rFonts w:ascii="仿宋_GB2312" w:hAnsi="仿宋_GB2312" w:cs="仿宋_GB2312" w:eastAsia="仿宋_GB2312"/>
                <w:sz w:val="24"/>
                <w:color w:val="000000"/>
              </w:rPr>
              <w:t>控制箱</w:t>
            </w:r>
            <w:r>
              <w:rPr>
                <w:rFonts w:ascii="仿宋_GB2312" w:hAnsi="仿宋_GB2312" w:cs="仿宋_GB2312" w:eastAsia="仿宋_GB2312"/>
                <w:sz w:val="24"/>
                <w:color w:val="000000"/>
              </w:rPr>
              <w:t>1.2m(H)</w:t>
            </w:r>
            <w:r>
              <w:rPr>
                <w:rFonts w:ascii="仿宋_GB2312" w:hAnsi="仿宋_GB2312" w:cs="仿宋_GB2312" w:eastAsia="仿宋_GB2312"/>
                <w:sz w:val="24"/>
                <w:color w:val="000000"/>
              </w:rPr>
              <w:t>×</w:t>
            </w:r>
            <w:r>
              <w:rPr>
                <w:rFonts w:ascii="仿宋_GB2312" w:hAnsi="仿宋_GB2312" w:cs="仿宋_GB2312" w:eastAsia="仿宋_GB2312"/>
                <w:sz w:val="24"/>
                <w:color w:val="000000"/>
              </w:rPr>
              <w:t>0.8m</w:t>
            </w:r>
            <w:r>
              <w:rPr>
                <w:rFonts w:ascii="仿宋_GB2312" w:hAnsi="仿宋_GB2312" w:cs="仿宋_GB2312" w:eastAsia="仿宋_GB2312"/>
                <w:sz w:val="24"/>
                <w:color w:val="000000"/>
              </w:rPr>
              <w:t>×</w:t>
            </w:r>
            <w:r>
              <w:rPr>
                <w:rFonts w:ascii="仿宋_GB2312" w:hAnsi="仿宋_GB2312" w:cs="仿宋_GB2312" w:eastAsia="仿宋_GB2312"/>
                <w:sz w:val="24"/>
                <w:color w:val="000000"/>
              </w:rPr>
              <w:t>0.4m</w:t>
            </w:r>
            <w:r>
              <w:rPr>
                <w:rFonts w:ascii="仿宋_GB2312" w:hAnsi="仿宋_GB2312" w:cs="仿宋_GB2312" w:eastAsia="仿宋_GB2312"/>
                <w:sz w:val="24"/>
                <w:color w:val="000000"/>
              </w:rPr>
              <w:t>，</w:t>
            </w:r>
            <w:r>
              <w:rPr>
                <w:rFonts w:ascii="仿宋_GB2312" w:hAnsi="仿宋_GB2312" w:cs="仿宋_GB2312" w:eastAsia="仿宋_GB2312"/>
                <w:sz w:val="24"/>
                <w:color w:val="000000"/>
              </w:rPr>
              <w:t>PLC</w:t>
            </w:r>
            <w:r>
              <w:rPr>
                <w:rFonts w:ascii="仿宋_GB2312" w:hAnsi="仿宋_GB2312" w:cs="仿宋_GB2312" w:eastAsia="仿宋_GB2312"/>
                <w:sz w:val="24"/>
                <w:color w:val="000000"/>
              </w:rPr>
              <w:t>自动、远程、手动模式可调，配套场内线缆及所需传感器，满足项目运行所需，</w:t>
            </w:r>
            <w:r>
              <w:rPr>
                <w:rFonts w:ascii="仿宋_GB2312" w:hAnsi="仿宋_GB2312" w:cs="仿宋_GB2312" w:eastAsia="仿宋_GB2312"/>
                <w:sz w:val="24"/>
                <w:color w:val="000000"/>
              </w:rPr>
              <w:t>碳钢喷塑，设备间安装，数量：1套。</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名称：管道阀门，规格参数：</w:t>
            </w:r>
            <w:r>
              <w:rPr>
                <w:rFonts w:ascii="仿宋_GB2312" w:hAnsi="仿宋_GB2312" w:cs="仿宋_GB2312" w:eastAsia="仿宋_GB2312"/>
                <w:sz w:val="24"/>
                <w:color w:val="000000"/>
              </w:rPr>
              <w:t>场内所需管道、阀门、管件等，数量1套</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以上为设备各个配件参数，需要进行二次设计后重新安装，生产前中标方的二次设计及设备型号须经甲方审核后生产，所有产品需全新，运行产生噪声不得高于60分贝。质量且满足甲方需求，满足国家、行业标准，中标方需要完成设备生产，组装，安装。且稳定运营达标6个月，中间产生的费用由中标方承担，若中途甲方抽检不合格，中标方运营阶段需顺延1个月，抽检次数不限。若三次抽检均不合格，甲方有权解除合同，中标方需向甲方退回所有已拨付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2026年6月30日前完成安装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山阳县中村镇洛峪街社区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通过县级验收后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县级验收后，连续六个月出水达标</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设备交给甲方后，质保期到后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通过相关专家审核，且中标方需提供出水达标的水质报告。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一体化污水处理站相关配件及通电，保修期为县级验收后一年。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须向山阳县人民法院提出诉讼请求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具有独立承担民事责任的能力，提供营业执照、税务登记证、组织机构代码证或登载有统一社会信用代码的营业执照（或《事业单位法人证书》或其他合法组织登记证书、自然人只须提交身份证）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开标全过程，其中法定代表人直接参加投标的，须出具法定代表人身份证，并与营业执照上信息一致；法定代表人授权代表参加投标的,须提供法定代表人授权委托书（附法定代表人、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供应商须提供具有履行本合同所必需的设备和专业技术能力的书面声明或承诺函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提供2024年度的财务审计报告（成立时间至提交响应文件截止时间不足1年的可提供成立后任意时段的资产负债表）或其基本存款账户开户银行出具的资信证明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提供自投标文件提交截止时间前一年内已缴纳的至少一个月的纳税证明或完税证明，纳税证明或完税证明上应有代收机构或税务机关的公章，依法免税的供应商应提供相关证明文件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提供自投标文件提交截止时间前一年内已缴存的至少一个月的社会保障资金缴存单据或社保机构开具的社会保险参保缴费情况证明，依法不需要缴纳社会保障资金的供应商应提供相关证明文件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参加本次政府采购活动前3年内在经营活动中没有重大违法记录，未被列入失信被执行人、重大税收违法失信主体、政府采购严重违法失信行为记录名单（以“信用中国 ”网站www.creditchina.gov.cn、中国政府采购网www.ccgp.gov.cn查询结果为准，查询截止时间为提交响应文件截止时间之前 ) , 如相关失信记录已失效，供应商需提供相关证明资料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与营业执照或事业单位登记证书等相关证明文件一致。</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供应商投标有效期自提交投标文件截止之日起不少于90天。供应商需在项目电子化交易系统中按要求填写《投标函》完成承诺并进行电子签章。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供应商需在项目电子化交易系统中按要求编制投标文件并进行电子签章。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经过有效性和符合性审核合格的供应商，对付款、工期、验收、后期服务等方面进行响应，完全响应且逐项详细说明的计 5 分，未做详细响应的，按响应程度计 1～4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提供近三年（2022 年 5 月至今）类似业绩（合同扫描件并加盖供应商公章，以合同签订时间为准。）每个计 2 分，最多得 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参数、性能等情况符合采购文件要求，提供产品的技术资料，满足采购文件要求得 10 分，负偏离将进行扣分，参数每负偏离 1 项扣 2 分（10 分扣完为止，不计负分） 注：投标供应商应提供充足的技术材料（技术材料包括但不限于检测报告、官网和功能截图、彩页、说明书等相关资料）予以佐证，佐证材料应编制在响应文件中且在产品技术指标偏差表中标明所在页码，否则视为未提供。未提供证明材料导致技术指标被视为负偏离的风 险，投标供应商自行承担。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①设备具有稳定性的保障措施；②备品配件齐全保障措施；③设备按时维护、保养的保障措施。 评审标准： 1. 完整性：措施须全面，思路清晰、分析透彻，内容完整、方案科学、合理； 2. 可实施性；切合本项目实际情况，步骤明确、可操作性强； 3. 针对性：总体方案能够紧扣项目实际情况，专业性强、内容科学、合理。 赋分标准（满分 9 分）： ①每一项评审内容完全满足评审标准得 3 分； ②每一项评审内容若存在方案不完整、可实施性不强、针对性不强等方面，扣 1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产品合法来源渠道</w:t>
            </w:r>
          </w:p>
        </w:tc>
        <w:tc>
          <w:tcPr>
            <w:tcW w:type="dxa" w:w="2492"/>
          </w:tcPr>
          <w:p>
            <w:pPr>
              <w:pStyle w:val="null3"/>
            </w:pPr>
            <w:r>
              <w:rPr>
                <w:rFonts w:ascii="仿宋_GB2312" w:hAnsi="仿宋_GB2312" w:cs="仿宋_GB2312" w:eastAsia="仿宋_GB2312"/>
              </w:rPr>
              <w:t>评审内容： 包含：①投标产品选型科学、来源渠道正规、产品附件齐全，无缺漏项,能够提供产品彩页、说明书等相关资料；②产品附属配件供应渠道通畅，易损件、零配件在主体设备质保期内的保障情况，提供备品配件清单等相关资料。评审标准： 1. 完整性：提供的相关资料内容完整、详细； 2. 可实施性；切合本项目实际情况，步骤明确、可操作性强； 3.针对性：总体方案能够紧扣项目实际情况，专业性强、内容科学、合理。 赋分标准（满分 9 分）： ①每一项评审内容完全满足评审标准得 3 分； ②每一项评审内容若存在方案不完整、可实施性不强、针对性不强等方面，扣 1.5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 包含：①产品质量保证措施；②关键部件质量保障措施；③产品的设计、工艺、加工、检验能力符合国家相关标准的保障措施。 评审标准： 1. 完整性：措施须全面，思路清晰、分析透彻，内容完整、方案科学、合理； 2. 可实施性；切合本项目实际情况，步骤明确、可操作性强； 3. 针对性：总体方案能够紧扣项目实际情况，专业性强、内容科学、合理。 赋分标准（满分 9 分）： ①每一项评审内容完全满足评审标准得 3 分； ②每一项评审内容若存在方案不完整、可实施性不强、针对性不强等方面，扣 1.5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包含：①售后服务机构情况及内容；②售后服务人员安排；③售后服务响应时间与处理时间。评审标准： 1. 完整性：方案须全面，思路清晰、分析透彻，内容完整、方案科学、合理； 2. 可实施性；切合本项目实际情况，步骤明确、可操作性强； 3. 针对性：总体方案能够紧扣项目实际情况，专业性强、内容科学、合理。 赋分标准（满分 9 分）： ①每一项评审内容完全满足评审标准得 3 分； ②每一项评审内容若存在方案不完整、可实施性不强、针对性不强等方面，扣 1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 包含：①培训内容；②培训计划；③培训方式。 评审标准： 1. 完整性：方案须全面，思路清晰、分析透彻，内容完整、方案科学、合理； 2. 可实施性；切合本项目实际情况，步骤明确、可操作性强； 3. 针对性：总体方案能够紧扣项目实际情况，专业性强、内容科学、合理。 赋分标准（满分 9 分）： ①每一项评审内容完全满足评审标准得 3 分； ②每一项评审内容若存在方案不完整、可实施性不强、针对性不强等方面，扣 1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满足招标文件要求且最后报价最低的供应商的价格为投标基准价得 30分，其他各供应商的最后报价得分按下列公式计算：（投标基准价/最后投标报价） ×30% × 100。 注：评委会二分之一以上专家认为某投标报价有低于成本价嫌疑的，为无效报价。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详见附件：合同主要条款 - 副本.docx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