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版本号：xjzb-2026-030120260324001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商洛市冷水鱼苗种繁育中心项目设计服务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xjzb-2026-0301</w:t>
      </w:r>
      <w:r>
        <w:br/>
      </w:r>
      <w:r>
        <w:br/>
      </w:r>
      <w:r>
        <w:br/>
      </w:r>
    </w:p>
    <w:p>
      <w:pPr>
        <w:pStyle w:val="null3"/>
        <w:jc w:val="center"/>
        <w:outlineLvl w:val="2"/>
      </w:pPr>
      <w:r>
        <w:rPr>
          <w:rFonts w:ascii="仿宋_GB2312" w:hAnsi="仿宋_GB2312" w:cs="仿宋_GB2312" w:eastAsia="仿宋_GB2312"/>
          <w:sz w:val="28"/>
          <w:b/>
        </w:rPr>
        <w:t>商洛市水产工作站</w:t>
      </w:r>
    </w:p>
    <w:p>
      <w:pPr>
        <w:pStyle w:val="null3"/>
        <w:jc w:val="center"/>
        <w:outlineLvl w:val="2"/>
      </w:pPr>
      <w:r>
        <w:rPr>
          <w:rFonts w:ascii="仿宋_GB2312" w:hAnsi="仿宋_GB2312" w:cs="仿宋_GB2312" w:eastAsia="仿宋_GB2312"/>
          <w:sz w:val="28"/>
          <w:b/>
        </w:rPr>
        <w:t>陕西雄建工程造价咨询有限责任公司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陕西雄建工程造价咨询有限责任公司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商洛市水产工作站</w:t>
      </w:r>
      <w:r>
        <w:rPr>
          <w:rFonts w:ascii="仿宋_GB2312" w:hAnsi="仿宋_GB2312" w:cs="仿宋_GB2312" w:eastAsia="仿宋_GB2312"/>
        </w:rPr>
        <w:t>委托，拟对</w:t>
      </w:r>
      <w:r>
        <w:rPr>
          <w:rFonts w:ascii="仿宋_GB2312" w:hAnsi="仿宋_GB2312" w:cs="仿宋_GB2312" w:eastAsia="仿宋_GB2312"/>
        </w:rPr>
        <w:t>商洛市冷水鱼苗种繁育中心项目设计服务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xjzb-2026-0301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商洛市冷水鱼苗种繁育中心项目设计服务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新建工厂化循环水育苗车间1栋、养成车间3栋，总建筑面积约18000平方米；科研实验楼、辅助用房各1栋，总建筑面积约2400方米；消防水池及泵房约800平方米；及其他室外工程设计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采购包1（商洛市冷水鱼苗种繁育中心项目设计服务）：属于专门面向中小企业采购。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企业资质：供应商具备建设行政主管部门颁发的工程设计综合甲级资质或建筑行业工程设计乙级及以上资质或建筑行业（建筑工程）设计乙级及以上资质，供应商需在项目电子化交易系统中按要求上传相应证明文件并进行电子签章。</w:t>
      </w:r>
    </w:p>
    <w:p>
      <w:pPr>
        <w:pStyle w:val="null3"/>
      </w:pPr>
      <w:r>
        <w:rPr>
          <w:rFonts w:ascii="仿宋_GB2312" w:hAnsi="仿宋_GB2312" w:cs="仿宋_GB2312" w:eastAsia="仿宋_GB2312"/>
        </w:rPr>
        <w:t>3、设计负责人：拟派设计负责人应具备一级注册建筑师执业资格，且在本单位注册，供应商需在项目电子化交易系统中按要求上传相应证明文件并进行电子签章。</w:t>
      </w:r>
    </w:p>
    <w:p>
      <w:pPr>
        <w:pStyle w:val="null3"/>
      </w:pPr>
      <w:r>
        <w:rPr>
          <w:rFonts w:ascii="仿宋_GB2312" w:hAnsi="仿宋_GB2312" w:cs="仿宋_GB2312" w:eastAsia="仿宋_GB2312"/>
        </w:rPr>
        <w:t>4、信用证明：供应商不得为“信用中国”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以响应文件文件中提供的承诺书为准）</w:t>
      </w:r>
    </w:p>
    <w:p>
      <w:pPr>
        <w:pStyle w:val="null3"/>
      </w:pPr>
      <w:r>
        <w:rPr>
          <w:rFonts w:ascii="仿宋_GB2312" w:hAnsi="仿宋_GB2312" w:cs="仿宋_GB2312" w:eastAsia="仿宋_GB2312"/>
        </w:rPr>
        <w:t>5、联合体磋商：本项目不接受联合体磋商 （以响应文件中提供的非联合体磋商的声明为准）。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商洛市水产工作站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商洛市商州区北新街134号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13909140731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陕西雄建工程造价咨询有限责任公司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西安市新城区万和城1号楼11层1111室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寇肖伟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18049223846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开户名称：陕西雄建工程造价咨询有限责任公司</w:t>
            </w:r>
          </w:p>
          <w:p>
            <w:pPr>
              <w:pStyle w:val="null3"/>
            </w:pPr>
            <w:r>
              <w:rPr>
                <w:rFonts w:ascii="仿宋_GB2312" w:hAnsi="仿宋_GB2312" w:cs="仿宋_GB2312" w:eastAsia="仿宋_GB2312"/>
              </w:rPr>
              <w:t>开户银行：西安银行股份有限公司高新四路支行</w:t>
            </w:r>
          </w:p>
          <w:p>
            <w:pPr>
              <w:pStyle w:val="null3"/>
            </w:pPr>
            <w:r>
              <w:rPr>
                <w:rFonts w:ascii="仿宋_GB2312" w:hAnsi="仿宋_GB2312" w:cs="仿宋_GB2312" w:eastAsia="仿宋_GB2312"/>
              </w:rPr>
              <w:t>银行账号：611011510000033410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代理服务费收费标准：参照《国家计委关于印发&lt;招标代理服务收费管理暂行办法&gt;的通知》（计价格[2002]1980号）文规定的服务类标准收取。由成交供应商在领取成交通知书之前一次性向采购代理机构支付。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商洛市水产工作站</w:t>
      </w:r>
      <w:r>
        <w:rPr>
          <w:rFonts w:ascii="仿宋_GB2312" w:hAnsi="仿宋_GB2312" w:cs="仿宋_GB2312" w:eastAsia="仿宋_GB2312"/>
        </w:rPr>
        <w:t>和</w:t>
      </w:r>
      <w:r>
        <w:rPr>
          <w:rFonts w:ascii="仿宋_GB2312" w:hAnsi="仿宋_GB2312" w:cs="仿宋_GB2312" w:eastAsia="仿宋_GB2312"/>
        </w:rPr>
        <w:t>陕西雄建工程造价咨询有限责任公司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商洛市水产工作站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陕西雄建工程造价咨询有限责任公司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商洛市水产工作站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陕西雄建工程造价咨询有限责任公司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联系人：寇肖伟</w:t>
      </w:r>
    </w:p>
    <w:p>
      <w:pPr>
        <w:pStyle w:val="null3"/>
      </w:pPr>
      <w:r>
        <w:rPr>
          <w:rFonts w:ascii="仿宋_GB2312" w:hAnsi="仿宋_GB2312" w:cs="仿宋_GB2312" w:eastAsia="仿宋_GB2312"/>
        </w:rPr>
        <w:t>联系电话：18049223846</w:t>
      </w:r>
    </w:p>
    <w:p>
      <w:pPr>
        <w:pStyle w:val="null3"/>
      </w:pPr>
      <w:r>
        <w:rPr>
          <w:rFonts w:ascii="仿宋_GB2312" w:hAnsi="仿宋_GB2312" w:cs="仿宋_GB2312" w:eastAsia="仿宋_GB2312"/>
        </w:rPr>
        <w:t>地址：西安市新城区万和城1号楼11层1111室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新建工厂化循环水育苗车间1栋、养成车间3栋，总建筑面积约18000平方米；科研实验楼、辅助用房各1栋，总建筑面积约2400方米；消防水池及泵房约800平方米；养殖尾水生态处理系统；及其他室外工程设计。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商洛市冷水鱼苗种繁育中心项目设计服务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标的名称：商洛市冷水鱼苗种繁育中心项目设计服务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主要建设内容包括：新建工厂化循环水育苗车间</w:t>
            </w:r>
            <w:r>
              <w:rPr>
                <w:rFonts w:ascii="仿宋_GB2312" w:hAnsi="仿宋_GB2312" w:cs="仿宋_GB2312" w:eastAsia="仿宋_GB2312"/>
              </w:rPr>
              <w:t>1</w:t>
            </w:r>
            <w:r>
              <w:rPr>
                <w:rFonts w:ascii="仿宋_GB2312" w:hAnsi="仿宋_GB2312" w:cs="仿宋_GB2312" w:eastAsia="仿宋_GB2312"/>
              </w:rPr>
              <w:t>栋、养成车间</w:t>
            </w:r>
            <w:r>
              <w:rPr>
                <w:rFonts w:ascii="仿宋_GB2312" w:hAnsi="仿宋_GB2312" w:cs="仿宋_GB2312" w:eastAsia="仿宋_GB2312"/>
              </w:rPr>
              <w:t>3</w:t>
            </w:r>
            <w:r>
              <w:rPr>
                <w:rFonts w:ascii="仿宋_GB2312" w:hAnsi="仿宋_GB2312" w:cs="仿宋_GB2312" w:eastAsia="仿宋_GB2312"/>
              </w:rPr>
              <w:t>栋，总建筑面积约</w:t>
            </w:r>
            <w:r>
              <w:rPr>
                <w:rFonts w:ascii="仿宋_GB2312" w:hAnsi="仿宋_GB2312" w:cs="仿宋_GB2312" w:eastAsia="仿宋_GB2312"/>
              </w:rPr>
              <w:t>18000</w:t>
            </w:r>
            <w:r>
              <w:rPr>
                <w:rFonts w:ascii="仿宋_GB2312" w:hAnsi="仿宋_GB2312" w:cs="仿宋_GB2312" w:eastAsia="仿宋_GB2312"/>
              </w:rPr>
              <w:t>平方米；科研实验楼、辅助用房各</w:t>
            </w:r>
            <w:r>
              <w:rPr>
                <w:rFonts w:ascii="仿宋_GB2312" w:hAnsi="仿宋_GB2312" w:cs="仿宋_GB2312" w:eastAsia="仿宋_GB2312"/>
              </w:rPr>
              <w:t>1</w:t>
            </w:r>
            <w:r>
              <w:rPr>
                <w:rFonts w:ascii="仿宋_GB2312" w:hAnsi="仿宋_GB2312" w:cs="仿宋_GB2312" w:eastAsia="仿宋_GB2312"/>
              </w:rPr>
              <w:t>栋，总建筑面积约</w:t>
            </w:r>
            <w:r>
              <w:rPr>
                <w:rFonts w:ascii="仿宋_GB2312" w:hAnsi="仿宋_GB2312" w:cs="仿宋_GB2312" w:eastAsia="仿宋_GB2312"/>
              </w:rPr>
              <w:t>2400</w:t>
            </w:r>
            <w:r>
              <w:rPr>
                <w:rFonts w:ascii="仿宋_GB2312" w:hAnsi="仿宋_GB2312" w:cs="仿宋_GB2312" w:eastAsia="仿宋_GB2312"/>
              </w:rPr>
              <w:t>方米；消防水池及泵房约</w:t>
            </w:r>
            <w:r>
              <w:rPr>
                <w:rFonts w:ascii="仿宋_GB2312" w:hAnsi="仿宋_GB2312" w:cs="仿宋_GB2312" w:eastAsia="仿宋_GB2312"/>
              </w:rPr>
              <w:t>800</w:t>
            </w:r>
            <w:r>
              <w:rPr>
                <w:rFonts w:ascii="仿宋_GB2312" w:hAnsi="仿宋_GB2312" w:cs="仿宋_GB2312" w:eastAsia="仿宋_GB2312"/>
              </w:rPr>
              <w:t>平方米；养殖尾水生态处理系统；及其他室外工程设计。</w:t>
            </w:r>
          </w:p>
          <w:p>
            <w:pPr>
              <w:pStyle w:val="null3"/>
            </w:pPr>
            <w:r>
              <w:rPr>
                <w:rFonts w:ascii="仿宋_GB2312" w:hAnsi="仿宋_GB2312" w:cs="仿宋_GB2312" w:eastAsia="仿宋_GB2312"/>
              </w:rPr>
              <w:t>二、采购内容：</w:t>
            </w:r>
          </w:p>
          <w:p>
            <w:pPr>
              <w:pStyle w:val="null3"/>
              <w:ind w:firstLine="400"/>
            </w:pPr>
            <w:r>
              <w:rPr>
                <w:rFonts w:ascii="仿宋_GB2312" w:hAnsi="仿宋_GB2312" w:cs="仿宋_GB2312" w:eastAsia="仿宋_GB2312"/>
              </w:rPr>
              <w:t>商洛市冷水鱼苗种繁育中心项目设计服务，包括不限于施工图设计、技术交底、施工配合、竣工验收等。</w:t>
            </w:r>
          </w:p>
          <w:p>
            <w:pPr>
              <w:pStyle w:val="null3"/>
            </w:pPr>
            <w:r>
              <w:rPr>
                <w:rFonts w:ascii="仿宋_GB2312" w:hAnsi="仿宋_GB2312" w:cs="仿宋_GB2312" w:eastAsia="仿宋_GB2312"/>
              </w:rPr>
              <w:t>三、采购要求：</w:t>
            </w:r>
          </w:p>
          <w:p>
            <w:pPr>
              <w:pStyle w:val="null3"/>
            </w:pPr>
            <w:r>
              <w:rPr>
                <w:rFonts w:ascii="仿宋_GB2312" w:hAnsi="仿宋_GB2312" w:cs="仿宋_GB2312" w:eastAsia="仿宋_GB2312"/>
              </w:rPr>
              <w:t>1.</w:t>
            </w:r>
            <w:r>
              <w:rPr>
                <w:rFonts w:ascii="仿宋_GB2312" w:hAnsi="仿宋_GB2312" w:cs="仿宋_GB2312" w:eastAsia="仿宋_GB2312"/>
              </w:rPr>
              <w:t>设计目标：设计车间主体及配套水暖电及其他室外工程设计，不含厂房内养殖工艺。。</w:t>
            </w:r>
          </w:p>
          <w:p>
            <w:pPr>
              <w:pStyle w:val="null3"/>
            </w:pPr>
            <w:r>
              <w:rPr>
                <w:rFonts w:ascii="仿宋_GB2312" w:hAnsi="仿宋_GB2312" w:cs="仿宋_GB2312" w:eastAsia="仿宋_GB2312"/>
              </w:rPr>
              <w:t>2.</w:t>
            </w:r>
            <w:r>
              <w:rPr>
                <w:rFonts w:ascii="仿宋_GB2312" w:hAnsi="仿宋_GB2312" w:cs="仿宋_GB2312" w:eastAsia="仿宋_GB2312"/>
              </w:rPr>
              <w:t>依据国家现行的有关标准、法规、规范等，组织项目经验丰富且专业齐全的设计人员完成设计范围内的设计内容并如期交付。</w:t>
            </w:r>
          </w:p>
          <w:p>
            <w:pPr>
              <w:pStyle w:val="null3"/>
            </w:pPr>
            <w:r>
              <w:rPr>
                <w:rFonts w:ascii="仿宋_GB2312" w:hAnsi="仿宋_GB2312" w:cs="仿宋_GB2312" w:eastAsia="仿宋_GB2312"/>
              </w:rPr>
              <w:t>3.</w:t>
            </w:r>
            <w:r>
              <w:rPr>
                <w:rFonts w:ascii="仿宋_GB2312" w:hAnsi="仿宋_GB2312" w:cs="仿宋_GB2312" w:eastAsia="仿宋_GB2312"/>
              </w:rPr>
              <w:t>供应商保证设计质量，并对其完整性、准确性、合理性负责。编制深度应满足采购人要求。</w:t>
            </w:r>
          </w:p>
          <w:p>
            <w:pPr>
              <w:pStyle w:val="null3"/>
            </w:pPr>
            <w:r>
              <w:rPr>
                <w:rFonts w:ascii="仿宋_GB2312" w:hAnsi="仿宋_GB2312" w:cs="仿宋_GB2312" w:eastAsia="仿宋_GB2312"/>
              </w:rPr>
              <w:t>4.</w:t>
            </w:r>
            <w:r>
              <w:rPr>
                <w:rFonts w:ascii="仿宋_GB2312" w:hAnsi="仿宋_GB2312" w:cs="仿宋_GB2312" w:eastAsia="仿宋_GB2312"/>
              </w:rPr>
              <w:t>成果文件包括但不限于方案设计、施工图设计及相关服务等相关内容。因设计需要调整等造成工作量增加及服务期限延长的，合同价款不予调整。</w:t>
            </w:r>
          </w:p>
          <w:p>
            <w:pPr>
              <w:pStyle w:val="null3"/>
            </w:pPr>
            <w:r>
              <w:rPr>
                <w:rFonts w:ascii="仿宋_GB2312" w:hAnsi="仿宋_GB2312" w:cs="仿宋_GB2312" w:eastAsia="仿宋_GB2312"/>
              </w:rPr>
              <w:t>5.</w:t>
            </w:r>
            <w:r>
              <w:rPr>
                <w:rFonts w:ascii="仿宋_GB2312" w:hAnsi="仿宋_GB2312" w:cs="仿宋_GB2312" w:eastAsia="仿宋_GB2312"/>
              </w:rPr>
              <w:t>供应商应协助采购人与发改、审批、规划、住建等部门进行沟通协调，并配合采购人完成相关手续报批、报建及代采购人完成相关申请资料的填写等工作。</w:t>
            </w:r>
          </w:p>
          <w:p>
            <w:pPr>
              <w:pStyle w:val="null3"/>
            </w:pPr>
            <w:r>
              <w:rPr>
                <w:rFonts w:ascii="仿宋_GB2312" w:hAnsi="仿宋_GB2312" w:cs="仿宋_GB2312" w:eastAsia="仿宋_GB2312"/>
              </w:rPr>
              <w:t>6.</w:t>
            </w:r>
            <w:r>
              <w:rPr>
                <w:rFonts w:ascii="仿宋_GB2312" w:hAnsi="仿宋_GB2312" w:cs="仿宋_GB2312" w:eastAsia="仿宋_GB2312"/>
              </w:rPr>
              <w:t>施工图应配合经审图机构及相关部门审核工作，并根据审查意见及时补充、修改设计文件。</w:t>
            </w:r>
          </w:p>
          <w:p>
            <w:pPr>
              <w:pStyle w:val="null3"/>
            </w:pPr>
            <w:r>
              <w:rPr>
                <w:rFonts w:ascii="仿宋_GB2312" w:hAnsi="仿宋_GB2312" w:cs="仿宋_GB2312" w:eastAsia="仿宋_GB2312"/>
              </w:rPr>
              <w:t>7.</w:t>
            </w:r>
            <w:r>
              <w:rPr>
                <w:rFonts w:ascii="仿宋_GB2312" w:hAnsi="仿宋_GB2312" w:cs="仿宋_GB2312" w:eastAsia="仿宋_GB2312"/>
              </w:rPr>
              <w:t>中标供应商</w:t>
            </w:r>
            <w:r>
              <w:rPr>
                <w:rFonts w:ascii="仿宋_GB2312" w:hAnsi="仿宋_GB2312" w:cs="仿宋_GB2312" w:eastAsia="仿宋_GB2312"/>
              </w:rPr>
              <w:t>须无条件配合</w:t>
            </w:r>
            <w:r>
              <w:rPr>
                <w:rFonts w:ascii="仿宋_GB2312" w:hAnsi="仿宋_GB2312" w:cs="仿宋_GB2312" w:eastAsia="仿宋_GB2312"/>
              </w:rPr>
              <w:t>采购人</w:t>
            </w:r>
            <w:r>
              <w:rPr>
                <w:rFonts w:ascii="仿宋_GB2312" w:hAnsi="仿宋_GB2312" w:cs="仿宋_GB2312" w:eastAsia="仿宋_GB2312"/>
              </w:rPr>
              <w:t>在后续施工过程中遇到的所有设计问题，直至本项目全部竣工完成。</w:t>
            </w:r>
          </w:p>
          <w:p>
            <w:pPr>
              <w:pStyle w:val="null3"/>
            </w:pPr>
            <w:r>
              <w:rPr>
                <w:rFonts w:ascii="仿宋_GB2312" w:hAnsi="仿宋_GB2312" w:cs="仿宋_GB2312" w:eastAsia="仿宋_GB2312"/>
              </w:rPr>
              <w:t>四、质量要求：</w:t>
            </w:r>
          </w:p>
          <w:p>
            <w:pPr>
              <w:pStyle w:val="null3"/>
            </w:pPr>
            <w:r>
              <w:rPr>
                <w:rFonts w:ascii="仿宋_GB2312" w:hAnsi="仿宋_GB2312" w:cs="仿宋_GB2312" w:eastAsia="仿宋_GB2312"/>
              </w:rPr>
              <w:t>满足国家现行设计规范要求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拟派设计负责人应具备一级注册建筑师执业资格，且在本单位注册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由采购人对供应商工作成果进行验收。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施工图提交后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主体竣工验收后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工程设计综合甲级资质或建筑行业工程设计乙级及以上资质或建筑行业（建筑工程）设计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设计负责人</w:t>
            </w:r>
          </w:p>
        </w:tc>
        <w:tc>
          <w:tcPr>
            <w:tcW w:type="dxa" w:w="3322"/>
          </w:tcPr>
          <w:p>
            <w:pPr>
              <w:pStyle w:val="null3"/>
            </w:pPr>
            <w:r>
              <w:rPr>
                <w:rFonts w:ascii="仿宋_GB2312" w:hAnsi="仿宋_GB2312" w:cs="仿宋_GB2312" w:eastAsia="仿宋_GB2312"/>
              </w:rPr>
              <w:t>拟派设计负责人应具备一级注册建筑师执业资格，且在本单位注册，供应商需在项目电子化交易系统中按要求上传相应证明文件并进行电子签章。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以响应文件文件中提供的承诺书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 （以响应文件中提供的非联合体磋商的声明为准）。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响应文件封面 法定代表人身份证明或法定代表人授权书.docx 中小企业声明函 标的清单 报价表 响应函 商务和技术条款响应偏离表.docx 资格证明文件.docx 近年完成的类似项目情况表.docx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明，且与营业执照或其他证明资料上信息一致。法定代表人授权代表参加磋商的，须出具法定代表人授权书及授权代表身份证； 自然人参加磋商的须提供身份证复印件。</w:t>
            </w:r>
          </w:p>
        </w:tc>
        <w:tc>
          <w:tcPr>
            <w:tcW w:type="dxa" w:w="1661"/>
          </w:tcPr>
          <w:p>
            <w:pPr>
              <w:pStyle w:val="null3"/>
            </w:pPr>
            <w:r>
              <w:rPr>
                <w:rFonts w:ascii="仿宋_GB2312" w:hAnsi="仿宋_GB2312" w:cs="仿宋_GB2312" w:eastAsia="仿宋_GB2312"/>
              </w:rPr>
              <w:t>响应文件封面 法定代表人身份证明或法定代表人授权书.docx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根据本项目采购需求提供“项目理解”，内容包括不限于：项目背景目标建设内容、项目重点难点分析、规范分析、概念提案、政策需求。（1）内容完整全面，条理清晰，对项目理解分析深入具体，针对性充足且完全贴合本项目实际情况，计15分； （2）内容完整，对项目理解分析较清晰明确，无明显瑕疵，有针对性，基本贴合本项目实际情况，计12分； （3）内容基本完整，但内容简单，对项目理解分析不够深入，有一定针对性但不能完全贴合本项目实际情况，计9分； （4）内容不完整，条理混乱，内容简单粗略或者有轻微瑕疵，针对性不充足，计6分； （5）内容不完整，有明显缺项，需求分析有明显瑕疵，无针对性，计3分； 未提供计0分。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（1）服务方案内容完整详细、表述清晰明确、针对性充足且完全满足项目需求，计15分； （2）服务方案内容相对完整详细，表述相对清晰、有针对性能够满足项目需求，计12分； （3）服务方案内容基本完整详细，表述基本清晰，内容简单或有轻微瑕疵，有一定针对性，基本满足项目需求，计9分； （4）服务方案内容不够完整，表述不够清晰，内容简单且或有瑕疵，针对性不充足，不能满足项目需求，计6分； （5）服务方案内容不完整，内容简单或有明显瑕疵，毫无针对性，计3分； 未提供计0分。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（1）服务质量保障措施完善、质量目标明确，保证措施内容详细全面，条理清晰，针对性充足，计10分；（2） 服务质量保障措施基本完善、质量目标清楚，保证措施基本详细、条理基本清晰，有针对性，计8分； （3）服务质量保障措施不完善，质量目标及保证措施明确，但条理不清晰，有一定针对性，计6分；（4） 服务质量保障措施不完善或失，质量目标及保证措施含糊，条例不清晰，针对性不足，计3分； 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工作进度计划保障措施</w:t>
            </w:r>
          </w:p>
        </w:tc>
        <w:tc>
          <w:tcPr>
            <w:tcW w:type="dxa" w:w="2492"/>
          </w:tcPr>
          <w:p>
            <w:pPr>
              <w:pStyle w:val="null3"/>
            </w:pPr>
            <w:r>
              <w:rPr>
                <w:rFonts w:ascii="仿宋_GB2312" w:hAnsi="仿宋_GB2312" w:cs="仿宋_GB2312" w:eastAsia="仿宋_GB2312"/>
              </w:rPr>
              <w:t>（1）进度计划组织措施内容全面且详细，条理清晰，针对性充足，计10分； （2）组织措施措施明确、条理清晰，针对性充足，计8分；（3） 组织措施明确，条理不清晰，针对性不足，计6分； （4）组织措施含糊，条理不清晰或有实质性缺陷，无针对性，无法满足项目实施，计3分； 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（1）人员配置齐全，技术经验丰富，机构设置全面合理，且有明确的分工及责任制度，完全满足项目需求计15分； （2）人员配置较合理，技术经验较丰富，有分工但责任制度不明确，满足项目需求计12分； （3）人员配置基本合理，技术经验不足，分工不明确且无责任制度，计9分； （4）有人员配置，但无法体现人员技术经验，没有明确的人员分工和责任制度，计6分 （5）人员配置不合理，且没有人员分工和责任制度，根本不能满足项目需求计3分； 未提供计0分。 注：（1）以加盖公章的人员身份证及相关证书复印件为准，未提供不计分。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供应商需提供服务承诺，包括但不限于售后服务人员安排、进度安排、后期施工配合服务承诺、违约责任及相关处罚等说明。 （1）内容完整详细、表述清晰明确、针对性充足且完全满足项目需求，计10分； （2）内容相对完整详细，表述相对清晰、有针对性能够满足项目需求，计8分； （3）内容基本完整详细，表述基本清晰，内容简单或有轻微瑕疵，有一定针对性，基本满足项目需求，计6分； （4）内容不够完整，表述不够清晰，内容简单且或有瑕疵，针对性不充足，不能满足项目需求，计4分； （5）内容不完整，内容简单或有明显瑕疵，毫无针对性，计2分； 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供应商自2023年1月1日至磋商响应文件递交截止时间前类似项目业绩，每提供1份得5分，满分10分。 注：以响应文件中所附的合同协议书复印件加盖单位公章为准，时间以合同签订时间为准。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1.评审范围：有效的磋商响应总报价（指经初审合格的供应商的磋商响应总报价）。 2.满足磋商文件要求且最后报价最低的供应商的价格为磋商基准价，其价格分为满分。其他供应商的价格分统一按照下列公式计算： 磋商报价得分=（磋商基准价/最后磋商报价）×分值×100。 3.评分分值计算保留小数点后两位，小数点后第三位“四舍五入”。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详见附件：商务和技术条款响应偏离表.docx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详见附件：近年完成的类似项目情况表.docx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