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0EB54">
      <w:pPr>
        <w:rPr>
          <w:rFonts w:hint="eastAsia" w:ascii="宋体" w:hAnsi="宋体" w:cs="宋体"/>
          <w:b/>
          <w:bCs/>
          <w:sz w:val="48"/>
          <w:szCs w:val="48"/>
          <w:highlight w:val="none"/>
          <w:lang w:eastAsia="zh-CN"/>
        </w:rPr>
      </w:pPr>
    </w:p>
    <w:p w14:paraId="7932DAED">
      <w:pPr>
        <w:rPr>
          <w:rFonts w:hint="eastAsia" w:ascii="宋体" w:hAnsi="宋体" w:cs="宋体"/>
          <w:b/>
          <w:bCs/>
          <w:sz w:val="48"/>
          <w:szCs w:val="48"/>
          <w:highlight w:val="none"/>
          <w:lang w:eastAsia="zh-CN"/>
        </w:rPr>
      </w:pPr>
    </w:p>
    <w:p w14:paraId="3E290664">
      <w:pPr>
        <w:jc w:val="center"/>
        <w:rPr>
          <w:rFonts w:ascii="宋体" w:hAnsi="宋体" w:cs="宋体"/>
          <w:sz w:val="36"/>
          <w:szCs w:val="36"/>
          <w:highlight w:val="none"/>
        </w:rPr>
      </w:pPr>
      <w:r>
        <w:rPr>
          <w:rFonts w:hint="eastAsia" w:ascii="宋体" w:hAnsi="宋体" w:cs="宋体"/>
          <w:b/>
          <w:bCs/>
          <w:sz w:val="40"/>
          <w:szCs w:val="40"/>
          <w:highlight w:val="none"/>
          <w:lang w:eastAsia="zh-CN"/>
        </w:rPr>
        <w:t>商洛市冷水鱼苗种繁育中心项目设计服务</w:t>
      </w:r>
    </w:p>
    <w:p w14:paraId="62B3EA99">
      <w:pPr>
        <w:spacing w:line="360" w:lineRule="auto"/>
        <w:jc w:val="center"/>
        <w:rPr>
          <w:rFonts w:hint="eastAsia" w:ascii="宋体" w:hAnsi="宋体" w:cs="宋体"/>
          <w:b/>
          <w:sz w:val="52"/>
          <w:szCs w:val="52"/>
          <w:highlight w:val="none"/>
        </w:rPr>
      </w:pPr>
    </w:p>
    <w:p w14:paraId="5FB99ED5">
      <w:pPr>
        <w:spacing w:line="360" w:lineRule="auto"/>
        <w:jc w:val="center"/>
        <w:rPr>
          <w:rFonts w:hint="eastAsia" w:ascii="宋体" w:hAnsi="宋体" w:cs="宋体"/>
          <w:b/>
          <w:sz w:val="52"/>
          <w:szCs w:val="52"/>
          <w:highlight w:val="none"/>
        </w:rPr>
      </w:pPr>
    </w:p>
    <w:p w14:paraId="44308CE1">
      <w:pPr>
        <w:spacing w:line="360" w:lineRule="auto"/>
        <w:jc w:val="center"/>
        <w:rPr>
          <w:rFonts w:ascii="宋体" w:hAnsi="宋体" w:cs="宋体"/>
          <w:b/>
          <w:sz w:val="52"/>
          <w:szCs w:val="52"/>
          <w:highlight w:val="none"/>
        </w:rPr>
      </w:pPr>
      <w:r>
        <w:rPr>
          <w:rFonts w:hint="eastAsia" w:ascii="宋体" w:hAnsi="宋体" w:cs="宋体"/>
          <w:b/>
          <w:sz w:val="52"/>
          <w:szCs w:val="52"/>
          <w:highlight w:val="none"/>
        </w:rPr>
        <w:t>合同协议书</w:t>
      </w:r>
    </w:p>
    <w:p w14:paraId="7CA2AE03">
      <w:pPr>
        <w:spacing w:line="360" w:lineRule="auto"/>
        <w:jc w:val="center"/>
        <w:rPr>
          <w:highlight w:val="none"/>
        </w:rPr>
      </w:pPr>
      <w:r>
        <w:rPr>
          <w:rFonts w:hint="eastAsia" w:ascii="宋体" w:hAnsi="宋体" w:eastAsia="宋体" w:cs="宋体"/>
          <w:b/>
          <w:color w:val="auto"/>
          <w:kern w:val="2"/>
          <w:sz w:val="28"/>
          <w:szCs w:val="28"/>
          <w:lang w:eastAsia="zh-CN"/>
        </w:rPr>
        <w:t>（以甲乙双方最终签订合同为准）</w:t>
      </w:r>
    </w:p>
    <w:p w14:paraId="05C38BC5">
      <w:pPr>
        <w:spacing w:line="360" w:lineRule="auto"/>
        <w:rPr>
          <w:highlight w:val="none"/>
        </w:rPr>
      </w:pPr>
    </w:p>
    <w:p w14:paraId="4139046A">
      <w:pPr>
        <w:spacing w:line="360" w:lineRule="auto"/>
        <w:rPr>
          <w:rFonts w:ascii="宋体" w:hAnsi="宋体" w:cs="宋体"/>
          <w:sz w:val="32"/>
          <w:highlight w:val="none"/>
        </w:rPr>
      </w:pPr>
      <w:bookmarkStart w:id="0" w:name="_Toc11529"/>
    </w:p>
    <w:p w14:paraId="01D9E17B">
      <w:pPr>
        <w:spacing w:line="360" w:lineRule="auto"/>
        <w:rPr>
          <w:rFonts w:ascii="宋体" w:hAnsi="宋体" w:cs="宋体"/>
          <w:sz w:val="32"/>
          <w:highlight w:val="none"/>
        </w:rPr>
      </w:pPr>
    </w:p>
    <w:p w14:paraId="6FFAAF0A">
      <w:pPr>
        <w:spacing w:line="360" w:lineRule="auto"/>
        <w:rPr>
          <w:rFonts w:ascii="宋体" w:hAnsi="宋体" w:cs="宋体"/>
          <w:sz w:val="32"/>
          <w:highlight w:val="none"/>
        </w:rPr>
      </w:pPr>
    </w:p>
    <w:p w14:paraId="41C2D6EF">
      <w:pPr>
        <w:pStyle w:val="3"/>
        <w:rPr>
          <w:rFonts w:ascii="宋体" w:hAnsi="宋体" w:cs="宋体"/>
          <w:sz w:val="32"/>
          <w:highlight w:val="none"/>
        </w:rPr>
      </w:pPr>
    </w:p>
    <w:p w14:paraId="664C16B5">
      <w:pPr>
        <w:rPr>
          <w:rFonts w:ascii="宋体" w:hAnsi="宋体" w:cs="宋体"/>
          <w:sz w:val="32"/>
          <w:highlight w:val="none"/>
        </w:rPr>
      </w:pPr>
    </w:p>
    <w:p w14:paraId="38F8E20B">
      <w:pPr>
        <w:spacing w:line="720" w:lineRule="auto"/>
        <w:ind w:firstLine="2240" w:firstLineChars="700"/>
        <w:rPr>
          <w:rFonts w:ascii="宋体" w:hAnsi="宋体" w:cs="宋体"/>
          <w:sz w:val="32"/>
          <w:highlight w:val="none"/>
        </w:rPr>
      </w:pPr>
      <w:r>
        <w:rPr>
          <w:rFonts w:hint="eastAsia" w:ascii="宋体" w:hAnsi="宋体" w:cs="宋体"/>
          <w:sz w:val="32"/>
          <w:highlight w:val="none"/>
        </w:rPr>
        <w:t>甲方：</w:t>
      </w:r>
      <w:bookmarkEnd w:id="0"/>
    </w:p>
    <w:p w14:paraId="0845BC3D">
      <w:pPr>
        <w:spacing w:line="720" w:lineRule="auto"/>
        <w:ind w:firstLine="2240" w:firstLineChars="700"/>
        <w:rPr>
          <w:rFonts w:ascii="宋体" w:hAnsi="宋体" w:cs="宋体"/>
          <w:sz w:val="32"/>
          <w:highlight w:val="none"/>
          <w:u w:val="single"/>
        </w:rPr>
      </w:pPr>
      <w:bookmarkStart w:id="1" w:name="_Toc25237"/>
      <w:r>
        <w:rPr>
          <w:rFonts w:hint="eastAsia" w:ascii="宋体" w:hAnsi="宋体" w:cs="宋体"/>
          <w:sz w:val="32"/>
          <w:highlight w:val="none"/>
        </w:rPr>
        <w:t>乙方：</w:t>
      </w:r>
      <w:bookmarkEnd w:id="1"/>
    </w:p>
    <w:p w14:paraId="663AD202">
      <w:pPr>
        <w:widowControl w:val="0"/>
        <w:tabs>
          <w:tab w:val="left" w:pos="5040"/>
        </w:tabs>
        <w:spacing w:line="480" w:lineRule="atLeast"/>
        <w:ind w:firstLine="2240" w:firstLineChars="700"/>
        <w:jc w:val="both"/>
        <w:rPr>
          <w:rFonts w:ascii="宋体" w:hAnsi="宋体" w:eastAsia="宋体" w:cs="宋体"/>
          <w:kern w:val="2"/>
          <w:sz w:val="28"/>
          <w:szCs w:val="28"/>
          <w:lang w:eastAsia="zh-CN"/>
        </w:rPr>
      </w:pPr>
      <w:r>
        <w:rPr>
          <w:rFonts w:hint="eastAsia" w:ascii="宋体" w:hAnsi="宋体" w:cs="宋体"/>
          <w:sz w:val="32"/>
          <w:highlight w:val="none"/>
        </w:rPr>
        <w:t>时间：</w:t>
      </w:r>
      <w:r>
        <w:rPr>
          <w:rFonts w:hint="eastAsia" w:ascii="宋体" w:hAnsi="宋体" w:cs="宋体"/>
          <w:b/>
          <w:color w:val="333333"/>
          <w:sz w:val="48"/>
          <w:szCs w:val="48"/>
          <w:highlight w:val="none"/>
        </w:rPr>
        <w:br w:type="page"/>
      </w:r>
    </w:p>
    <w:p w14:paraId="3469E904">
      <w:pPr>
        <w:tabs>
          <w:tab w:val="left" w:pos="735"/>
        </w:tabs>
        <w:autoSpaceDE w:val="0"/>
        <w:autoSpaceDN w:val="0"/>
        <w:adjustRightInd w:val="0"/>
        <w:snapToGrid w:val="0"/>
        <w:spacing w:before="240" w:beforeLines="100" w:line="360" w:lineRule="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甲方：</w:t>
      </w:r>
      <w:r>
        <w:rPr>
          <w:rFonts w:hint="eastAsia" w:ascii="宋体" w:hAnsi="宋体" w:eastAsia="宋体" w:cs="宋体"/>
          <w:bCs/>
          <w:color w:val="auto"/>
          <w:sz w:val="24"/>
          <w:szCs w:val="24"/>
          <w:highlight w:val="none"/>
          <w:lang w:val="zh-CN"/>
        </w:rPr>
        <w:t xml:space="preserve">（前款所称采购人）     </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val="zh-CN"/>
        </w:rPr>
        <w:t>地址：</w:t>
      </w:r>
    </w:p>
    <w:p w14:paraId="71AC9A55">
      <w:pPr>
        <w:tabs>
          <w:tab w:val="left" w:pos="735"/>
        </w:tabs>
        <w:autoSpaceDE w:val="0"/>
        <w:autoSpaceDN w:val="0"/>
        <w:adjustRightInd w:val="0"/>
        <w:snapToGrid w:val="0"/>
        <w:spacing w:line="360" w:lineRule="auto"/>
        <w:rPr>
          <w:rFonts w:hint="eastAsia" w:ascii="宋体" w:hAnsi="宋体" w:eastAsia="宋体" w:cs="宋体"/>
          <w:bCs/>
          <w:color w:val="auto"/>
          <w:sz w:val="24"/>
          <w:szCs w:val="24"/>
          <w:highlight w:val="none"/>
          <w:lang w:val="zh-CN"/>
        </w:rPr>
      </w:pPr>
      <w:r>
        <w:rPr>
          <w:rFonts w:hint="eastAsia" w:ascii="宋体" w:hAnsi="宋体" w:eastAsia="宋体" w:cs="宋体"/>
          <w:b/>
          <w:bCs/>
          <w:color w:val="auto"/>
          <w:sz w:val="24"/>
          <w:szCs w:val="24"/>
          <w:highlight w:val="none"/>
          <w:lang w:val="zh-CN"/>
        </w:rPr>
        <w:t>乙方：</w:t>
      </w:r>
      <w:r>
        <w:rPr>
          <w:rFonts w:hint="eastAsia" w:ascii="宋体" w:hAnsi="宋体" w:eastAsia="宋体" w:cs="宋体"/>
          <w:bCs/>
          <w:color w:val="auto"/>
          <w:sz w:val="24"/>
          <w:szCs w:val="24"/>
          <w:highlight w:val="none"/>
          <w:lang w:val="zh-CN"/>
        </w:rPr>
        <w:t>（前款所称</w:t>
      </w:r>
      <w:r>
        <w:rPr>
          <w:rFonts w:hint="eastAsia" w:ascii="宋体" w:hAnsi="宋体" w:eastAsia="宋体" w:cs="宋体"/>
          <w:bCs/>
          <w:color w:val="auto"/>
          <w:sz w:val="24"/>
          <w:szCs w:val="24"/>
          <w:highlight w:val="none"/>
        </w:rPr>
        <w:t>成交供应商</w:t>
      </w:r>
      <w:r>
        <w:rPr>
          <w:rFonts w:hint="eastAsia" w:ascii="宋体" w:hAnsi="宋体" w:eastAsia="宋体" w:cs="宋体"/>
          <w:bCs/>
          <w:color w:val="auto"/>
          <w:sz w:val="24"/>
          <w:szCs w:val="24"/>
          <w:highlight w:val="none"/>
          <w:lang w:val="zh-CN"/>
        </w:rPr>
        <w:t>）     地址：</w:t>
      </w:r>
    </w:p>
    <w:p w14:paraId="31B640F4">
      <w:pPr>
        <w:pStyle w:val="3"/>
        <w:ind w:firstLine="480" w:firstLineChars="200"/>
        <w:jc w:val="both"/>
        <w:rPr>
          <w:rFonts w:hint="eastAsia" w:ascii="宋体" w:hAnsi="宋体" w:eastAsia="宋体" w:cs="宋体"/>
          <w:color w:val="auto"/>
          <w:sz w:val="24"/>
          <w:szCs w:val="24"/>
          <w:highlight w:val="none"/>
        </w:rPr>
      </w:pPr>
      <w:bookmarkStart w:id="2" w:name="_Toc19515384"/>
      <w:r>
        <w:rPr>
          <w:rFonts w:hint="eastAsia" w:ascii="宋体" w:hAnsi="宋体" w:eastAsia="宋体" w:cs="宋体"/>
          <w:color w:val="auto"/>
          <w:sz w:val="24"/>
          <w:szCs w:val="24"/>
          <w:highlight w:val="none"/>
        </w:rPr>
        <w:t>一、合同内容</w:t>
      </w:r>
      <w:r>
        <w:rPr>
          <w:rFonts w:hint="eastAsia" w:ascii="宋体" w:hAnsi="宋体" w:eastAsia="宋体" w:cs="Times New Roman"/>
          <w:color w:val="auto"/>
          <w:kern w:val="2"/>
          <w:sz w:val="24"/>
          <w:szCs w:val="24"/>
          <w:highlight w:val="none"/>
          <w:lang w:val="en-US" w:eastAsia="zh-CN" w:bidi="ar-SA"/>
        </w:rPr>
        <w:t>:</w:t>
      </w:r>
      <w:bookmarkEnd w:id="2"/>
      <w:r>
        <w:rPr>
          <w:rFonts w:hint="eastAsia" w:ascii="宋体" w:hAnsi="宋体" w:eastAsia="宋体" w:cs="Times New Roman"/>
          <w:color w:val="auto"/>
          <w:kern w:val="2"/>
          <w:sz w:val="24"/>
          <w:szCs w:val="24"/>
          <w:highlight w:val="none"/>
          <w:lang w:val="en-US" w:eastAsia="zh-CN" w:bidi="ar-SA"/>
        </w:rPr>
        <w:t>商洛市冷水鱼苗种繁育中心项目设计服务</w:t>
      </w:r>
    </w:p>
    <w:p w14:paraId="35DCF3F3">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3" w:name="_Toc19515385"/>
      <w:r>
        <w:rPr>
          <w:rFonts w:hint="eastAsia" w:ascii="宋体" w:hAnsi="宋体" w:eastAsia="宋体" w:cs="宋体"/>
          <w:color w:val="auto"/>
          <w:sz w:val="24"/>
          <w:szCs w:val="24"/>
          <w:highlight w:val="none"/>
        </w:rPr>
        <w:t>二、合同价款</w:t>
      </w:r>
      <w:bookmarkEnd w:id="3"/>
    </w:p>
    <w:p w14:paraId="737654BA">
      <w:pPr>
        <w:adjustRightInd w:val="0"/>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1、合同总价：</w:t>
      </w:r>
      <w:r>
        <w:rPr>
          <w:rFonts w:hint="eastAsia" w:ascii="宋体" w:hAnsi="宋体" w:eastAsia="宋体" w:cs="宋体"/>
          <w:color w:val="auto"/>
          <w:sz w:val="24"/>
          <w:szCs w:val="24"/>
          <w:highlight w:val="none"/>
          <w:u w:val="single"/>
          <w:lang w:val="en-US" w:eastAsia="zh-CN"/>
        </w:rPr>
        <w:t xml:space="preserve">                         </w:t>
      </w:r>
    </w:p>
    <w:p w14:paraId="601F177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2、合同总价包括：完成本次采购内容的所有费用。</w:t>
      </w:r>
    </w:p>
    <w:p w14:paraId="729E946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3、合同为固定总价合同，不受市场价变化的影响。</w:t>
      </w:r>
    </w:p>
    <w:p w14:paraId="66041CDC">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4" w:name="_Toc19515386"/>
      <w:r>
        <w:rPr>
          <w:rFonts w:hint="eastAsia" w:ascii="宋体" w:hAnsi="宋体" w:eastAsia="宋体" w:cs="宋体"/>
          <w:color w:val="auto"/>
          <w:sz w:val="24"/>
          <w:szCs w:val="24"/>
          <w:highlight w:val="none"/>
        </w:rPr>
        <w:t>三、合同结算</w:t>
      </w:r>
      <w:bookmarkEnd w:id="4"/>
    </w:p>
    <w:p w14:paraId="57B584F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付款方式</w:t>
      </w:r>
      <w:r>
        <w:rPr>
          <w:rFonts w:hint="eastAsia" w:ascii="宋体" w:hAnsi="宋体" w:eastAsia="宋体" w:cs="宋体"/>
          <w:color w:val="auto"/>
          <w:sz w:val="24"/>
          <w:szCs w:val="24"/>
          <w:highlight w:val="none"/>
        </w:rPr>
        <w:t>：（1）合同签订后，达到付款条件起7日内，支付合同总金额的20.00%（2）施工图提交后，达到付款条件起7日内，支付合同总金额的70.00%；（3）主体竣工验收后，达到付款条件起7日内，支付合同总金额的10.00%；</w:t>
      </w:r>
    </w:p>
    <w:p w14:paraId="2F88CF1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2、结算方式：银行转账。</w:t>
      </w:r>
    </w:p>
    <w:p w14:paraId="1B5B8ACC">
      <w:pPr>
        <w:adjustRightInd w:val="0"/>
        <w:snapToGrid w:val="0"/>
        <w:spacing w:line="360" w:lineRule="auto"/>
        <w:ind w:firstLine="480" w:firstLineChars="200"/>
        <w:rPr>
          <w:rFonts w:hint="eastAsia" w:ascii="宋体" w:hAnsi="宋体" w:cs="宋体"/>
          <w:color w:val="auto"/>
          <w:sz w:val="24"/>
          <w:szCs w:val="24"/>
          <w:highlight w:val="none"/>
          <w:lang w:val="en-US" w:eastAsia="zh-CN"/>
        </w:rPr>
      </w:pPr>
      <w:bookmarkStart w:id="5" w:name="_Toc19515387"/>
      <w:r>
        <w:rPr>
          <w:rFonts w:hint="eastAsia" w:ascii="宋体" w:hAnsi="宋体" w:eastAsia="宋体" w:cs="宋体"/>
          <w:color w:val="auto"/>
          <w:sz w:val="24"/>
          <w:szCs w:val="24"/>
          <w:highlight w:val="none"/>
        </w:rPr>
        <w:t>四、</w:t>
      </w:r>
      <w:r>
        <w:rPr>
          <w:rFonts w:hint="eastAsia" w:ascii="宋体" w:hAnsi="宋体" w:cs="宋体"/>
          <w:color w:val="auto"/>
          <w:sz w:val="24"/>
          <w:szCs w:val="24"/>
          <w:highlight w:val="none"/>
          <w:lang w:val="en-US" w:eastAsia="zh-CN"/>
        </w:rPr>
        <w:t>服务要求</w:t>
      </w:r>
      <w:bookmarkStart w:id="12" w:name="_GoBack"/>
      <w:bookmarkEnd w:id="12"/>
    </w:p>
    <w:p w14:paraId="0828B42F">
      <w:pPr>
        <w:adjustRightInd w:val="0"/>
        <w:snapToGrid w:val="0"/>
        <w:spacing w:line="360" w:lineRule="auto"/>
        <w:ind w:firstLine="480" w:firstLineChars="200"/>
        <w:rPr>
          <w:rFonts w:hint="default" w:eastAsia="宋体"/>
          <w:color w:val="auto"/>
          <w:highlight w:val="none"/>
          <w:u w:val="singl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服务期</w:t>
      </w:r>
      <w:r>
        <w:rPr>
          <w:rFonts w:hint="eastAsia" w:ascii="宋体" w:hAnsi="宋体" w:eastAsia="宋体" w:cs="宋体"/>
          <w:color w:val="auto"/>
          <w:sz w:val="24"/>
          <w:szCs w:val="24"/>
          <w:highlight w:val="none"/>
        </w:rPr>
        <w:t>:</w:t>
      </w:r>
      <w:bookmarkEnd w:id="5"/>
      <w:r>
        <w:rPr>
          <w:rFonts w:hint="eastAsia" w:ascii="宋体" w:hAnsi="宋体" w:eastAsia="宋体" w:cs="宋体"/>
          <w:color w:val="auto"/>
          <w:sz w:val="24"/>
          <w:szCs w:val="24"/>
          <w:highlight w:val="none"/>
        </w:rPr>
        <w:t>自合同签订之日起15日历天</w:t>
      </w:r>
    </w:p>
    <w:p w14:paraId="63D8E475">
      <w:pPr>
        <w:adjustRightInd w:val="0"/>
        <w:snapToGrid w:val="0"/>
        <w:spacing w:line="360" w:lineRule="auto"/>
        <w:ind w:firstLine="480" w:firstLineChars="200"/>
        <w:rPr>
          <w:rFonts w:hint="eastAsia" w:ascii="宋体" w:hAnsi="宋体" w:eastAsia="宋体" w:cs="宋体"/>
          <w:color w:val="auto"/>
          <w:sz w:val="24"/>
          <w:szCs w:val="24"/>
          <w:highlight w:val="yellow"/>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 服务</w:t>
      </w: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val="en-US" w:eastAsia="zh-CN"/>
        </w:rPr>
        <w:t>商洛市</w:t>
      </w:r>
    </w:p>
    <w:p w14:paraId="140CA740">
      <w:pPr>
        <w:pStyle w:val="2"/>
        <w:ind w:firstLine="480" w:firstLineChars="200"/>
        <w:rPr>
          <w:rFonts w:hint="eastAsia"/>
        </w:rPr>
      </w:pPr>
      <w:r>
        <w:rPr>
          <w:rFonts w:hint="eastAsia" w:ascii="宋体" w:hAnsi="宋体" w:cs="宋体"/>
          <w:bCs/>
          <w:color w:val="000000"/>
          <w:kern w:val="0"/>
          <w:sz w:val="24"/>
          <w:szCs w:val="24"/>
          <w:highlight w:val="none"/>
          <w:lang w:val="en-US" w:eastAsia="zh-CN" w:bidi="ar-SA"/>
        </w:rPr>
        <w:t>3、</w:t>
      </w:r>
      <w:r>
        <w:rPr>
          <w:rFonts w:hint="eastAsia" w:ascii="宋体" w:hAnsi="宋体" w:eastAsia="宋体" w:cs="宋体"/>
          <w:bCs/>
          <w:color w:val="000000"/>
          <w:kern w:val="0"/>
          <w:sz w:val="24"/>
          <w:szCs w:val="24"/>
          <w:highlight w:val="none"/>
          <w:lang w:val="en-US" w:eastAsia="zh-CN" w:bidi="ar-SA"/>
        </w:rPr>
        <w:t>服务内容：（由甲乙双方在签订合同时根据竞争性磋商文件及竞争性磋商响应文件具体内容商定）</w:t>
      </w:r>
    </w:p>
    <w:p w14:paraId="5D7B0BB4">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6" w:name="_Toc19515390"/>
      <w:r>
        <w:rPr>
          <w:rFonts w:hint="eastAsia" w:ascii="宋体" w:hAnsi="宋体" w:eastAsia="宋体" w:cs="宋体"/>
          <w:color w:val="auto"/>
          <w:sz w:val="24"/>
          <w:szCs w:val="24"/>
          <w:highlight w:val="none"/>
        </w:rPr>
        <w:t>五、技术服务</w:t>
      </w:r>
      <w:bookmarkEnd w:id="6"/>
    </w:p>
    <w:p w14:paraId="702607C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对技术服务的要求：满足磋商文件要求</w:t>
      </w:r>
    </w:p>
    <w:p w14:paraId="4F8279A9">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7" w:name="_Toc19515391"/>
      <w:r>
        <w:rPr>
          <w:rFonts w:hint="eastAsia" w:ascii="宋体" w:hAnsi="宋体" w:eastAsia="宋体" w:cs="宋体"/>
          <w:color w:val="auto"/>
          <w:sz w:val="24"/>
          <w:szCs w:val="24"/>
          <w:highlight w:val="none"/>
        </w:rPr>
        <w:t>六、双方的权利和义务</w:t>
      </w:r>
    </w:p>
    <w:p w14:paraId="155F33B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（一）甲方的权利和义务</w:t>
      </w:r>
    </w:p>
    <w:p w14:paraId="6A797E6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1、明确所需服务要求；</w:t>
      </w:r>
    </w:p>
    <w:p w14:paraId="26FFCDC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2、对乙方所供服务进行验收；</w:t>
      </w:r>
    </w:p>
    <w:p w14:paraId="4F93F7F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3、按约支付价款。</w:t>
      </w:r>
    </w:p>
    <w:p w14:paraId="5C86CF3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（二）乙方的权利和义务</w:t>
      </w:r>
    </w:p>
    <w:p w14:paraId="06C9781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1、保证所供服务符合甲方要求；</w:t>
      </w:r>
    </w:p>
    <w:p w14:paraId="03D70B8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2、按时向甲方提供服务；</w:t>
      </w:r>
    </w:p>
    <w:p w14:paraId="6A2FD48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3、主动通知甲方办理验收，并办理结算手续。</w:t>
      </w:r>
    </w:p>
    <w:p w14:paraId="7D81702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七、验收</w:t>
      </w:r>
      <w:bookmarkEnd w:id="7"/>
    </w:p>
    <w:p w14:paraId="1F93634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1、验收：验收合格后向乙方出具验收结果，验收发生的费用由乙方承担。</w:t>
      </w:r>
    </w:p>
    <w:p w14:paraId="68B6CBB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2、验收依据：</w:t>
      </w:r>
    </w:p>
    <w:p w14:paraId="6854AB2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2-1、合同文本、合同附件、竞争性磋商文件、成交供应商的响应文件。</w:t>
      </w:r>
    </w:p>
    <w:p w14:paraId="2A09913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2-2、国内相应的标准、规范。</w:t>
      </w:r>
    </w:p>
    <w:p w14:paraId="632C6A1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2、验收依据：验收时按照乙方响应文件中的参数响应表逐条验收，采购人发现相关产品有虚假参数时，乙方承诺按照国家相关法律承担相应责任，同时承诺对采购人进行成交金额的全款赔付。</w:t>
      </w:r>
    </w:p>
    <w:p w14:paraId="2DE06C9E">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8" w:name="_Toc19515392"/>
      <w:r>
        <w:rPr>
          <w:rFonts w:hint="eastAsia" w:ascii="宋体" w:hAnsi="宋体" w:eastAsia="宋体" w:cs="宋体"/>
          <w:color w:val="auto"/>
          <w:sz w:val="24"/>
          <w:szCs w:val="24"/>
          <w:highlight w:val="none"/>
        </w:rPr>
        <w:t>八、保密条款</w:t>
      </w:r>
    </w:p>
    <w:p w14:paraId="2CE59AD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93D6E7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7013A9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3、本条款为独立条款,本合同的无效、变更、解除和终止均不影响本条款的效力。</w:t>
      </w:r>
    </w:p>
    <w:p w14:paraId="38372C7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九、违约责任</w:t>
      </w:r>
      <w:bookmarkEnd w:id="8"/>
    </w:p>
    <w:p w14:paraId="0E1AA53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1、按《中华人民共和国民法典》中的相关条款执行。</w:t>
      </w:r>
    </w:p>
    <w:p w14:paraId="0559ADF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14:paraId="69ACBB5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2-1、如乙方事先未征得甲方同意并得到甲方的谅解而单方面延迟执行合同，将按违约终止合同。</w:t>
      </w:r>
    </w:p>
    <w:p w14:paraId="6BAA9D3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52EA1E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3、违约终止合同：未按合同要求提供服务或不能满足技术要求，甲方会同监督机构有权终止合同，对乙方违约行为进行追究，同时按政府采购法的有关规定进行相应的处罚。</w:t>
      </w:r>
    </w:p>
    <w:p w14:paraId="38CCA8E8">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9" w:name="_Toc19515393"/>
      <w:r>
        <w:rPr>
          <w:rFonts w:hint="eastAsia" w:ascii="宋体" w:hAnsi="宋体" w:eastAsia="宋体" w:cs="宋体"/>
          <w:color w:val="auto"/>
          <w:sz w:val="24"/>
          <w:szCs w:val="24"/>
          <w:highlight w:val="none"/>
        </w:rPr>
        <w:t>十、合同组成</w:t>
      </w:r>
      <w:bookmarkEnd w:id="9"/>
    </w:p>
    <w:p w14:paraId="1A28757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1、成交通知书</w:t>
      </w:r>
    </w:p>
    <w:p w14:paraId="1DE5499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2、合同文件</w:t>
      </w:r>
    </w:p>
    <w:p w14:paraId="7356EEB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3、国家相关规范及标准</w:t>
      </w:r>
    </w:p>
    <w:p w14:paraId="2A747D3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4、竞争性磋商文件</w:t>
      </w:r>
    </w:p>
    <w:p w14:paraId="0D73B8C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5、成交供应商的</w:t>
      </w:r>
      <w:r>
        <w:rPr>
          <w:rFonts w:hint="eastAsia" w:ascii="宋体" w:hAnsi="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响应文件</w:t>
      </w:r>
    </w:p>
    <w:p w14:paraId="41276E82">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10" w:name="_Toc19515394"/>
      <w:r>
        <w:rPr>
          <w:rFonts w:hint="eastAsia" w:ascii="宋体" w:hAnsi="宋体" w:eastAsia="宋体" w:cs="宋体"/>
          <w:color w:val="auto"/>
          <w:sz w:val="24"/>
          <w:szCs w:val="24"/>
          <w:highlight w:val="none"/>
        </w:rPr>
        <w:t>十一、解决争议的方法</w:t>
      </w:r>
      <w:bookmarkEnd w:id="10"/>
    </w:p>
    <w:p w14:paraId="20B266F9">
      <w:pPr>
        <w:widowControl/>
        <w:autoSpaceDE w:val="0"/>
        <w:autoSpaceDN w:val="0"/>
        <w:snapToGrid w:val="0"/>
        <w:spacing w:line="360" w:lineRule="auto"/>
        <w:ind w:right="-11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凡因本合同引起的或与本合同有关的争议，双方应友好协商解决。协商不成时，双方均同意采用以下第（  ）种争议解决方式：</w:t>
      </w:r>
    </w:p>
    <w:p w14:paraId="431B4498">
      <w:pPr>
        <w:widowControl/>
        <w:autoSpaceDE w:val="0"/>
        <w:autoSpaceDN w:val="0"/>
        <w:snapToGrid w:val="0"/>
        <w:spacing w:line="360" w:lineRule="auto"/>
        <w:ind w:right="-11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（1）甲、乙双方均同意向（甲方所在地人民法院）提起诉讼。</w:t>
      </w:r>
    </w:p>
    <w:p w14:paraId="45A92BB7">
      <w:pPr>
        <w:widowControl/>
        <w:autoSpaceDE w:val="0"/>
        <w:autoSpaceDN w:val="0"/>
        <w:snapToGrid w:val="0"/>
        <w:spacing w:line="360" w:lineRule="auto"/>
        <w:ind w:right="-11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（2）甲、乙双方均同意向（</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"http://www.baidu.com/s?wd=%E4%BB%B2%E8%A3%81%E5%A7%94%E5%91%98%E4%BC%9A&amp;tn=SE_PcZhidaonwhc_ngpagmjz&amp;rsv_dl=gh_pc_zhidao"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kern w:val="0"/>
          <w:sz w:val="24"/>
          <w:szCs w:val="24"/>
          <w:highlight w:val="none"/>
        </w:rPr>
        <w:t>仲裁委员会</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）提起仲裁。</w:t>
      </w:r>
    </w:p>
    <w:p w14:paraId="10A1235B">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11" w:name="_Toc19515395"/>
      <w:r>
        <w:rPr>
          <w:rFonts w:hint="eastAsia" w:ascii="宋体" w:hAnsi="宋体" w:eastAsia="宋体" w:cs="宋体"/>
          <w:color w:val="auto"/>
          <w:sz w:val="24"/>
          <w:szCs w:val="24"/>
          <w:highlight w:val="none"/>
        </w:rPr>
        <w:t>十二、合同生效及其它</w:t>
      </w:r>
      <w:bookmarkEnd w:id="11"/>
    </w:p>
    <w:p w14:paraId="68F1734E">
      <w:pPr>
        <w:widowControl/>
        <w:autoSpaceDE w:val="0"/>
        <w:autoSpaceDN w:val="0"/>
        <w:snapToGrid w:val="0"/>
        <w:spacing w:line="360" w:lineRule="auto"/>
        <w:ind w:right="-110"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1、合同未尽事宜、由甲、乙双方协商，作为合同补充，与原合同具有同等法律效力。</w:t>
      </w:r>
    </w:p>
    <w:p w14:paraId="3B820AB8">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 本合同正本一式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份，甲方、乙方双方分别执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备案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p>
    <w:p w14:paraId="70D983B2">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3、合同经甲乙双方盖章、签字后生效，合同签订地点为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7DC3347">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4、生效时间：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1DA80AC3">
      <w:pPr>
        <w:widowControl/>
        <w:tabs>
          <w:tab w:val="left" w:pos="8391"/>
        </w:tabs>
        <w:autoSpaceDE w:val="0"/>
        <w:autoSpaceDN w:val="0"/>
        <w:snapToGrid w:val="0"/>
        <w:spacing w:line="360" w:lineRule="auto"/>
        <w:ind w:right="-69" w:firstLine="840" w:firstLineChars="350"/>
        <w:textAlignment w:val="bottom"/>
        <w:rPr>
          <w:rFonts w:hint="eastAsia" w:ascii="宋体" w:hAnsi="宋体" w:eastAsia="宋体" w:cs="宋体"/>
          <w:color w:val="auto"/>
          <w:kern w:val="0"/>
          <w:sz w:val="24"/>
          <w:szCs w:val="24"/>
          <w:highlight w:val="none"/>
        </w:rPr>
      </w:pPr>
    </w:p>
    <w:tbl>
      <w:tblPr>
        <w:tblStyle w:val="8"/>
        <w:tblW w:w="0" w:type="auto"/>
        <w:jc w:val="center"/>
        <w:tblLayout w:type="fixed"/>
        <w:tblCellMar>
          <w:top w:w="0" w:type="dxa"/>
          <w:left w:w="108" w:type="dxa"/>
          <w:bottom w:w="0" w:type="dxa"/>
          <w:right w:w="108" w:type="dxa"/>
        </w:tblCellMar>
      </w:tblPr>
      <w:tblGrid>
        <w:gridCol w:w="4643"/>
        <w:gridCol w:w="4643"/>
      </w:tblGrid>
      <w:tr w14:paraId="734AA8D2">
        <w:tblPrEx>
          <w:tblCellMar>
            <w:top w:w="0" w:type="dxa"/>
            <w:left w:w="108" w:type="dxa"/>
            <w:bottom w:w="0" w:type="dxa"/>
            <w:right w:w="108" w:type="dxa"/>
          </w:tblCellMar>
        </w:tblPrEx>
        <w:trPr>
          <w:jc w:val="center"/>
        </w:trPr>
        <w:tc>
          <w:tcPr>
            <w:tcW w:w="4643" w:type="dxa"/>
            <w:noWrap w:val="0"/>
            <w:vAlign w:val="top"/>
          </w:tcPr>
          <w:p w14:paraId="05FEE92C">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rPr>
              <w:t>:</w:t>
            </w:r>
          </w:p>
          <w:p w14:paraId="6A7575BF">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2150E21B">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17AF9F40">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3DE2439A">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1B2B8EE1">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c>
          <w:tcPr>
            <w:tcW w:w="4643" w:type="dxa"/>
            <w:noWrap w:val="0"/>
            <w:vAlign w:val="top"/>
          </w:tcPr>
          <w:p w14:paraId="72F2CE93">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rPr>
              <w:t>:</w:t>
            </w:r>
          </w:p>
          <w:p w14:paraId="09166641">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3BF4EEB9">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1602271F">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165E1A70">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6112EB69">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r>
    </w:tbl>
    <w:p w14:paraId="0CE0D697">
      <w:pPr>
        <w:pStyle w:val="10"/>
        <w:rPr>
          <w:rFonts w:ascii="宋体" w:hAnsi="宋体" w:eastAsia="宋体" w:cs="宋体"/>
          <w:szCs w:val="21"/>
        </w:rPr>
      </w:pPr>
      <w:r>
        <w:rPr>
          <w:rFonts w:ascii="宋体" w:hAnsi="宋体" w:eastAsia="宋体" w:cs="宋体"/>
          <w:szCs w:val="21"/>
        </w:rPr>
        <w:t xml:space="preserve"> </w:t>
      </w:r>
    </w:p>
    <w:p w14:paraId="1A55386C">
      <w:pPr>
        <w:pStyle w:val="10"/>
        <w:rPr>
          <w:rFonts w:ascii="宋体" w:hAnsi="宋体" w:eastAsia="宋体" w:cs="宋体"/>
          <w:szCs w:val="21"/>
        </w:rPr>
      </w:pPr>
    </w:p>
    <w:p w14:paraId="7D01667F">
      <w:pPr>
        <w:pStyle w:val="10"/>
      </w:pPr>
      <w:r>
        <w:rPr>
          <w:rFonts w:ascii="宋体" w:hAnsi="宋体" w:eastAsia="宋体" w:cs="宋体"/>
          <w:b/>
          <w:bCs/>
          <w:sz w:val="24"/>
          <w:szCs w:val="24"/>
        </w:rPr>
        <w:t>注：本合同</w:t>
      </w:r>
      <w:r>
        <w:rPr>
          <w:rFonts w:ascii="宋体" w:hAnsi="宋体" w:eastAsia="宋体" w:cs="宋体"/>
          <w:b/>
          <w:bCs/>
          <w:sz w:val="24"/>
          <w:szCs w:val="24"/>
          <w:lang w:eastAsia="zh-CN"/>
        </w:rPr>
        <w:t>格式</w:t>
      </w:r>
      <w:r>
        <w:rPr>
          <w:rFonts w:ascii="宋体" w:hAnsi="宋体" w:eastAsia="宋体" w:cs="宋体"/>
          <w:b/>
          <w:bCs/>
          <w:sz w:val="24"/>
          <w:szCs w:val="24"/>
        </w:rPr>
        <w:t>仅供参考，具体内容由甲乙双方协商而定。</w:t>
      </w:r>
    </w:p>
    <w:sectPr>
      <w:footerReference r:id="rId3" w:type="default"/>
      <w:pgSz w:w="11900" w:h="16840"/>
      <w:pgMar w:top="1440" w:right="1080" w:bottom="1440" w:left="1080" w:header="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2E9D">
    <w:pPr>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NDljZTRlNWE0NzE1ZTgyYzkyOWFlZDE0YWMyMjAifQ=="/>
  </w:docVars>
  <w:rsids>
    <w:rsidRoot w:val="00000000"/>
    <w:rsid w:val="1BDD6878"/>
    <w:rsid w:val="2CFA20CC"/>
    <w:rsid w:val="34CB0272"/>
    <w:rsid w:val="6D625FAB"/>
    <w:rsid w:val="7A22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1"/>
    <w:qFormat/>
    <w:uiPriority w:val="0"/>
    <w:rPr>
      <w:rFonts w:ascii="宋体" w:hAnsi="宋体" w:eastAsia="宋体" w:cs="宋体"/>
    </w:rPr>
  </w:style>
  <w:style w:type="paragraph" w:styleId="4">
    <w:name w:val="Body Text First Indent 2"/>
    <w:basedOn w:val="5"/>
    <w:qFormat/>
    <w:uiPriority w:val="0"/>
    <w:pPr>
      <w:ind w:firstLine="420"/>
    </w:pPr>
  </w:style>
  <w:style w:type="paragraph" w:styleId="5">
    <w:name w:val="Body Text Indent"/>
    <w:basedOn w:val="1"/>
    <w:qFormat/>
    <w:uiPriority w:val="99"/>
    <w:pPr>
      <w:spacing w:afterLines="50" w:line="360" w:lineRule="exact"/>
      <w:ind w:firstLine="480"/>
    </w:pPr>
    <w:rPr>
      <w:szCs w:val="24"/>
    </w:rPr>
  </w:style>
  <w:style w:type="paragraph" w:styleId="6">
    <w:name w:val="footer"/>
    <w:basedOn w:val="1"/>
    <w:next w:val="1"/>
    <w:qFormat/>
    <w:uiPriority w:val="0"/>
    <w:pPr>
      <w:tabs>
        <w:tab w:val="center" w:pos="4153"/>
        <w:tab w:val="right" w:pos="8306"/>
      </w:tabs>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1698</Words>
  <Characters>1715</Characters>
  <Lines>0</Lines>
  <Paragraphs>0</Paragraphs>
  <TotalTime>0</TotalTime>
  <ScaleCrop>false</ScaleCrop>
  <LinksUpToDate>false</LinksUpToDate>
  <CharactersWithSpaces>1782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2024-08-08T10:39:00Z</dcterms:created>
  <dc:creator>Admin</dc:creator>
  <cp:lastModifiedBy>yyy</cp:lastModifiedBy>
  <dcterms:modified xsi:type="dcterms:W3CDTF">2026-03-24T06:41:33Z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47443444848946FFAF1D4083EAC9870D_12</vt:lpwstr>
  </property>
  <property fmtid="{D5CDD505-2E9C-101B-9397-08002B2CF9AE}" pid="4" name="KSOTemplateDocerSaveRecord">
    <vt:lpwstr>eyJoZGlkIjoiNDUxZjEzMzc5NDZiNDZiYmI5MjI5MjM3MjNmMmIwNGMiLCJ1c2VySWQiOiIzNzkyNjQ1NTEifQ==</vt:lpwstr>
  </property>
</Properties>
</file>