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版本号：SLHRC-2026-1420260328002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2026年度商洛市消费品以旧换新第三方审核服务项目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SLHRC-2026-14</w:t>
      </w:r>
      <w:r>
        <w:br/>
      </w:r>
      <w:r>
        <w:br/>
      </w:r>
      <w:r>
        <w:br/>
      </w:r>
    </w:p>
    <w:p>
      <w:pPr>
        <w:pStyle w:val="null3"/>
        <w:jc w:val="center"/>
        <w:outlineLvl w:val="2"/>
      </w:pPr>
      <w:r>
        <w:rPr>
          <w:rFonts w:ascii="仿宋_GB2312" w:hAnsi="仿宋_GB2312" w:cs="仿宋_GB2312" w:eastAsia="仿宋_GB2312"/>
          <w:sz w:val="28"/>
          <w:b/>
        </w:rPr>
        <w:t>商洛市商务局</w:t>
      </w:r>
    </w:p>
    <w:p>
      <w:pPr>
        <w:pStyle w:val="null3"/>
        <w:jc w:val="center"/>
        <w:outlineLvl w:val="2"/>
      </w:pPr>
      <w:r>
        <w:rPr>
          <w:rFonts w:ascii="仿宋_GB2312" w:hAnsi="仿宋_GB2312" w:cs="仿宋_GB2312" w:eastAsia="仿宋_GB2312"/>
          <w:sz w:val="28"/>
          <w:b/>
        </w:rPr>
        <w:t>商洛华瑞诚项目管理咨询有限公司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商洛华瑞诚项目管理咨询有限公司</w:t>
      </w:r>
      <w:r>
        <w:rPr>
          <w:rFonts w:ascii="仿宋_GB2312" w:hAnsi="仿宋_GB2312" w:cs="仿宋_GB2312" w:eastAsia="仿宋_GB2312"/>
        </w:rPr>
        <w:t>（以下简称“代理机构”）受</w:t>
      </w:r>
      <w:r>
        <w:rPr>
          <w:rFonts w:ascii="仿宋_GB2312" w:hAnsi="仿宋_GB2312" w:cs="仿宋_GB2312" w:eastAsia="仿宋_GB2312"/>
        </w:rPr>
        <w:t>商洛市商务局</w:t>
      </w:r>
      <w:r>
        <w:rPr>
          <w:rFonts w:ascii="仿宋_GB2312" w:hAnsi="仿宋_GB2312" w:cs="仿宋_GB2312" w:eastAsia="仿宋_GB2312"/>
        </w:rPr>
        <w:t>委托，拟对</w:t>
      </w:r>
      <w:r>
        <w:rPr>
          <w:rFonts w:ascii="仿宋_GB2312" w:hAnsi="仿宋_GB2312" w:cs="仿宋_GB2312" w:eastAsia="仿宋_GB2312"/>
        </w:rPr>
        <w:t>2026年度商洛市消费品以旧换新第三方审核服务项目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SLHRC-2026-14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2026年度商洛市消费品以旧换新第三方审核服务项目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一标段：2026年度商洛市消费品以旧换新汽车报废更新家电以旧换新第三方审核服务，预计汽车报废更新0.15万单、家电以旧换新6万单，预算金额30万元。 二标段：2026年度商洛市消费品以旧换新汽车置换更新数码和智能产品购新第三方审核服务项目，预计汽车置换更新0.15万单、数码和智能产品购新3.7万单，预算金额20万元。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采购包1（2026年度商洛市消费品以旧换新汽车报废更新家电以旧换新第三方审核服务）：属于专门面向中小企业采购。</w:t>
      </w:r>
    </w:p>
    <w:p>
      <w:pPr>
        <w:pStyle w:val="null3"/>
      </w:pPr>
      <w:r>
        <w:rPr>
          <w:rFonts w:ascii="仿宋_GB2312" w:hAnsi="仿宋_GB2312" w:cs="仿宋_GB2312" w:eastAsia="仿宋_GB2312"/>
        </w:rPr>
        <w:t>采购包2（2026年度商洛市消费品以旧换新汽车置换更新数码和智能产品购新第三方审核服务项目）：属于专门面向中小企业采购。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1、营业执照：具备独立企业法人资格，具有合格有效的企业法人营业执照；</w:t>
      </w:r>
    </w:p>
    <w:p>
      <w:pPr>
        <w:pStyle w:val="null3"/>
      </w:pPr>
      <w:r>
        <w:rPr>
          <w:rFonts w:ascii="仿宋_GB2312" w:hAnsi="仿宋_GB2312" w:cs="仿宋_GB2312" w:eastAsia="仿宋_GB2312"/>
        </w:rPr>
        <w:t>2、财务状况报告：提供2024年或2025年度的财务审计报告（成立时间至投标截止时间不足一年的可提供成立后任意时段的资产负债表），或其开标前三个月内基本开户银行出具的资信证明及基本存款账户信息；</w:t>
      </w:r>
    </w:p>
    <w:p>
      <w:pPr>
        <w:pStyle w:val="null3"/>
      </w:pPr>
      <w:r>
        <w:rPr>
          <w:rFonts w:ascii="仿宋_GB2312" w:hAnsi="仿宋_GB2312" w:cs="仿宋_GB2312" w:eastAsia="仿宋_GB2312"/>
        </w:rPr>
        <w:t>3、税收缴纳证明：提供投标截止日前半年内已缴纳任意1个月的纳税证明或完税证明（任意税种），依法免税的单位应提供相关的证明材料；</w:t>
      </w:r>
    </w:p>
    <w:p>
      <w:pPr>
        <w:pStyle w:val="null3"/>
      </w:pPr>
      <w:r>
        <w:rPr>
          <w:rFonts w:ascii="仿宋_GB2312" w:hAnsi="仿宋_GB2312" w:cs="仿宋_GB2312" w:eastAsia="仿宋_GB2312"/>
        </w:rPr>
        <w:t>4、社会保障资金缴纳证明：提供投标截止日前半年内已缴存的任意1个月的社会保障资金缴存单据或社保机构开具的社会保险参保缴费情况证明；依法不需要缴纳社会保障资金的单位应提供相关证明材料；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5、书面声明：参加政府采购活动前三年内，在经营活动中无重大违法记录的书面声明；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信用记录：提供《供应商信用记录书面声明函》（按格式填写，提供原件）。供应商未被列入“信用中国”网站记录的“失信被执行人”“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9、法人授权委托书：法定代表人授权书及被授权人身份证明（法定代表人直接参与投标只需提供其身份证明）；</w:t>
      </w:r>
    </w:p>
    <w:p>
      <w:pPr>
        <w:pStyle w:val="null3"/>
      </w:pPr>
      <w:r>
        <w:rPr>
          <w:rFonts w:ascii="仿宋_GB2312" w:hAnsi="仿宋_GB2312" w:cs="仿宋_GB2312" w:eastAsia="仿宋_GB2312"/>
        </w:rPr>
        <w:t>10、资质要求：供应商须具有有效的经财政主管部门审查核准颁发的《会计师事务所执业资格证书》；</w:t>
      </w:r>
    </w:p>
    <w:p>
      <w:pPr>
        <w:pStyle w:val="null3"/>
      </w:pPr>
      <w:r>
        <w:rPr>
          <w:rFonts w:ascii="仿宋_GB2312" w:hAnsi="仿宋_GB2312" w:cs="仿宋_GB2312" w:eastAsia="仿宋_GB2312"/>
        </w:rPr>
        <w:t>11、联合体声明：本项目不接受联合体投标，不允许分包。投标人提供《非联合体不分包投标声明》，视为独立投标，不分包。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1、营业执照：具备独立企业法人资格，具有合格有效的企业法人营业执照；</w:t>
      </w:r>
    </w:p>
    <w:p>
      <w:pPr>
        <w:pStyle w:val="null3"/>
      </w:pPr>
      <w:r>
        <w:rPr>
          <w:rFonts w:ascii="仿宋_GB2312" w:hAnsi="仿宋_GB2312" w:cs="仿宋_GB2312" w:eastAsia="仿宋_GB2312"/>
        </w:rPr>
        <w:t>2、财务状况报告：提供2024年或2025年度的财务审计报告（成立时间至投标截止时间不足一年的可提供成立后任意时段的资产负债表），或其开标前三个月内基本开户银行出具的资信证明及基本存款账户信息；</w:t>
      </w:r>
    </w:p>
    <w:p>
      <w:pPr>
        <w:pStyle w:val="null3"/>
      </w:pPr>
      <w:r>
        <w:rPr>
          <w:rFonts w:ascii="仿宋_GB2312" w:hAnsi="仿宋_GB2312" w:cs="仿宋_GB2312" w:eastAsia="仿宋_GB2312"/>
        </w:rPr>
        <w:t>3、税收缴纳证明：提供投标截止日前半年内已缴纳任意1个月的纳税证明或完税证明（任意税种），依法免税的单位应提供相关的证明材料；</w:t>
      </w:r>
    </w:p>
    <w:p>
      <w:pPr>
        <w:pStyle w:val="null3"/>
      </w:pPr>
      <w:r>
        <w:rPr>
          <w:rFonts w:ascii="仿宋_GB2312" w:hAnsi="仿宋_GB2312" w:cs="仿宋_GB2312" w:eastAsia="仿宋_GB2312"/>
        </w:rPr>
        <w:t>4、社会保障资金缴纳证明：提供投标截止日前半年内已缴存的任意1个月的社会保障资金缴存单据或社保机构开具的社会保险参保缴费情况证明；依法不需要缴纳社会保障资金的单位应提供相关证明材料；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5、书面声明：参加政府采购活动前三年内，在经营活动中无重大违法记录的书面声明；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信用记录：提供《供应商信用记录书面声明函》（按格式填写，提供原件）。供应商未被列入“信用中国”网站记录的“失信被执行人”“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9、法人授权委托书：法定代表人授权书及被授权人身份证明（法定代表人直接参与投标只需提供其身份证明）；</w:t>
      </w:r>
    </w:p>
    <w:p>
      <w:pPr>
        <w:pStyle w:val="null3"/>
      </w:pPr>
      <w:r>
        <w:rPr>
          <w:rFonts w:ascii="仿宋_GB2312" w:hAnsi="仿宋_GB2312" w:cs="仿宋_GB2312" w:eastAsia="仿宋_GB2312"/>
        </w:rPr>
        <w:t>10、资质要求：供应商须具有有效的经财政主管部门审查核准颁发的《会计师事务所执业资格证书》；</w:t>
      </w:r>
    </w:p>
    <w:p>
      <w:pPr>
        <w:pStyle w:val="null3"/>
      </w:pPr>
      <w:r>
        <w:rPr>
          <w:rFonts w:ascii="仿宋_GB2312" w:hAnsi="仿宋_GB2312" w:cs="仿宋_GB2312" w:eastAsia="仿宋_GB2312"/>
        </w:rPr>
        <w:t>11、联合体声明：本项目不接受联合体投标，不允许分包。投标人提供《非联合体不分包投 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商洛市商务局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商洛市商州区民主路1号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商洛市商务局经办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0914-2322468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商洛华瑞诚项目管理咨询有限公司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商洛市商州区全兴紫苑6号楼1单元101室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郭春梅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13098221030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开户名称：商洛华瑞诚项目管理咨询有限公司</w:t>
            </w:r>
          </w:p>
          <w:p>
            <w:pPr>
              <w:pStyle w:val="null3"/>
            </w:pPr>
            <w:r>
              <w:rPr>
                <w:rFonts w:ascii="仿宋_GB2312" w:hAnsi="仿宋_GB2312" w:cs="仿宋_GB2312" w:eastAsia="仿宋_GB2312"/>
              </w:rPr>
              <w:t>开户银行：长安银行股份有限公司商洛分行</w:t>
            </w:r>
          </w:p>
          <w:p>
            <w:pPr>
              <w:pStyle w:val="null3"/>
            </w:pPr>
            <w:r>
              <w:rPr>
                <w:rFonts w:ascii="仿宋_GB2312" w:hAnsi="仿宋_GB2312" w:cs="仿宋_GB2312" w:eastAsia="仿宋_GB2312"/>
              </w:rPr>
              <w:t>银行账号：8060 9000 1421 0067 68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调整后的招标代理服务收费标准》(发改价格〔2011〕534号)的规定标准收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商洛市商务局</w:t>
      </w:r>
      <w:r>
        <w:rPr>
          <w:rFonts w:ascii="仿宋_GB2312" w:hAnsi="仿宋_GB2312" w:cs="仿宋_GB2312" w:eastAsia="仿宋_GB2312"/>
        </w:rPr>
        <w:t>和</w:t>
      </w:r>
      <w:r>
        <w:rPr>
          <w:rFonts w:ascii="仿宋_GB2312" w:hAnsi="仿宋_GB2312" w:cs="仿宋_GB2312" w:eastAsia="仿宋_GB2312"/>
        </w:rPr>
        <w:t>商洛华瑞诚项目管理咨询有限公司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商洛市商务局</w:t>
      </w:r>
      <w:r>
        <w:rPr>
          <w:rFonts w:ascii="仿宋_GB2312" w:hAnsi="仿宋_GB2312" w:cs="仿宋_GB2312" w:eastAsia="仿宋_GB2312"/>
        </w:rPr>
        <w:t>负责解释。除上述磋商文件内容，其他内容由</w:t>
      </w:r>
      <w:r>
        <w:rPr>
          <w:rFonts w:ascii="仿宋_GB2312" w:hAnsi="仿宋_GB2312" w:cs="仿宋_GB2312" w:eastAsia="仿宋_GB2312"/>
        </w:rPr>
        <w:t>商洛华瑞诚项目管理咨询有限公司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商洛市商务局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商洛华瑞诚项目管理咨询有限公司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联系人：郭女士</w:t>
      </w:r>
    </w:p>
    <w:p>
      <w:pPr>
        <w:pStyle w:val="null3"/>
      </w:pPr>
      <w:r>
        <w:rPr>
          <w:rFonts w:ascii="仿宋_GB2312" w:hAnsi="仿宋_GB2312" w:cs="仿宋_GB2312" w:eastAsia="仿宋_GB2312"/>
        </w:rPr>
        <w:t>联系电话：13098221030</w:t>
      </w:r>
    </w:p>
    <w:p>
      <w:pPr>
        <w:pStyle w:val="null3"/>
      </w:pPr>
      <w:r>
        <w:rPr>
          <w:rFonts w:ascii="仿宋_GB2312" w:hAnsi="仿宋_GB2312" w:cs="仿宋_GB2312" w:eastAsia="仿宋_GB2312"/>
        </w:rPr>
        <w:t>地址：商洛市商州区全兴紫苑6号楼1单元101室</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一标段：2026年度商洛市消费品以旧换新汽车报废更新家电以旧换新第三方审核服务，预计汽车报废更新0.15万单、家电以旧换新6万单，预算金额30万元。 二标段：2026年度商洛市消费品以旧换新汽车置换更新数码和智能产品购新第三方审核服务项目，预计汽车置换更新0.15万单、数码和智能产品购新3.7万单，预算金额20万元。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2026年度商洛市消费品以旧换新汽车报废更新家电以旧换新第三方审核服务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026年度商洛市消费品以旧换新汽车置换更新数码和智能产品购新第三方审核服务项目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标的名称：2026年度商洛市消费品以旧换新汽车报废更新家电以旧换新第三方审核服务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jc w:val="center"/>
            </w:pPr>
            <w:r>
              <w:rPr>
                <w:rFonts w:ascii="仿宋_GB2312" w:hAnsi="仿宋_GB2312" w:cs="仿宋_GB2312" w:eastAsia="仿宋_GB2312"/>
                <w:sz w:val="28"/>
                <w:b/>
                <w:color w:val="000000"/>
              </w:rPr>
              <w:t xml:space="preserve"> </w:t>
            </w:r>
            <w:r>
              <w:rPr>
                <w:rFonts w:ascii="仿宋_GB2312" w:hAnsi="仿宋_GB2312" w:cs="仿宋_GB2312" w:eastAsia="仿宋_GB2312"/>
                <w:sz w:val="28"/>
                <w:b/>
                <w:color w:val="000000"/>
              </w:rPr>
              <w:t xml:space="preserve">     </w:t>
            </w:r>
          </w:p>
          <w:p>
            <w:pPr>
              <w:pStyle w:val="null3"/>
              <w:spacing w:before="105" w:after="105"/>
              <w:ind w:left="-360"/>
              <w:jc w:val="center"/>
            </w:pPr>
            <w:r>
              <w:rPr>
                <w:rFonts w:ascii="仿宋_GB2312" w:hAnsi="仿宋_GB2312" w:cs="仿宋_GB2312" w:eastAsia="仿宋_GB2312"/>
                <w:sz w:val="24"/>
                <w:b/>
              </w:rPr>
              <w:t xml:space="preserve"> </w:t>
            </w:r>
          </w:p>
          <w:p>
            <w:pPr>
              <w:pStyle w:val="null3"/>
              <w:spacing w:before="105" w:after="105"/>
              <w:ind w:left="-360"/>
              <w:jc w:val="center"/>
            </w:pPr>
            <w:r>
              <w:rPr>
                <w:rFonts w:ascii="仿宋_GB2312" w:hAnsi="仿宋_GB2312" w:cs="仿宋_GB2312" w:eastAsia="仿宋_GB2312"/>
                <w:sz w:val="24"/>
              </w:rPr>
              <w:t xml:space="preserve">  </w:t>
            </w:r>
            <w:r>
              <w:rPr>
                <w:rFonts w:ascii="仿宋_GB2312" w:hAnsi="仿宋_GB2312" w:cs="仿宋_GB2312" w:eastAsia="仿宋_GB2312"/>
                <w:sz w:val="24"/>
                <w:b/>
                <w:color w:val="000000"/>
              </w:rPr>
              <w:t>2026年度商洛市消费品以旧换新汽车报废更新家电以旧换新第三方审核服务采购内容及要求</w:t>
            </w:r>
          </w:p>
          <w:p>
            <w:pPr>
              <w:pStyle w:val="null3"/>
              <w:spacing w:before="105" w:after="105"/>
              <w:ind w:left="-360"/>
              <w:jc w:val="both"/>
            </w:pPr>
            <w:r>
              <w:rPr>
                <w:rFonts w:ascii="仿宋_GB2312" w:hAnsi="仿宋_GB2312" w:cs="仿宋_GB2312" w:eastAsia="仿宋_GB2312"/>
                <w:sz w:val="24"/>
                <w:color w:val="000000"/>
              </w:rPr>
              <w:t xml:space="preserve">     1、服务内容</w:t>
            </w:r>
          </w:p>
          <w:p>
            <w:pPr>
              <w:pStyle w:val="null3"/>
              <w:spacing w:before="105" w:after="105"/>
              <w:ind w:firstLine="480"/>
              <w:jc w:val="both"/>
            </w:pPr>
            <w:r>
              <w:rPr>
                <w:rFonts w:ascii="仿宋_GB2312" w:hAnsi="仿宋_GB2312" w:cs="仿宋_GB2312" w:eastAsia="仿宋_GB2312"/>
                <w:sz w:val="24"/>
                <w:color w:val="000000"/>
              </w:rPr>
              <w:t>供应商须提供</w:t>
            </w:r>
            <w:r>
              <w:rPr>
                <w:rFonts w:ascii="仿宋_GB2312" w:hAnsi="仿宋_GB2312" w:cs="仿宋_GB2312" w:eastAsia="仿宋_GB2312"/>
                <w:sz w:val="24"/>
                <w:color w:val="000000"/>
              </w:rPr>
              <w:t>2026年度商洛市消费品以旧换新汽车报废更新家电以旧换新第三方审核服务，包括：补贴资料审核、出具阶段性审核意见、解答商家及消费者咨询、数据汇总管理、系统技术对接、实地核查、电话核查、参与活动企业资质核查、出具最终审核报告和绩效评价报告，自行聘请第三方机构对本公司审核事项进行专项审计并出具审计报告，上级文件要求的其他事项等。主动接受商洛市商务局监督管理，必须在商洛市商务局驻场办公，派驻工作人员不少于3名，并自行准备相关设备设施。</w:t>
            </w:r>
          </w:p>
          <w:p>
            <w:pPr>
              <w:pStyle w:val="null3"/>
              <w:spacing w:before="105" w:after="105"/>
              <w:ind w:left="-360"/>
              <w:jc w:val="both"/>
            </w:pPr>
            <w:r>
              <w:rPr>
                <w:rFonts w:ascii="仿宋_GB2312" w:hAnsi="仿宋_GB2312" w:cs="仿宋_GB2312" w:eastAsia="仿宋_GB2312"/>
                <w:sz w:val="24"/>
                <w:b/>
              </w:rPr>
              <w:t xml:space="preserve">     </w:t>
            </w:r>
            <w:r>
              <w:rPr>
                <w:rFonts w:ascii="仿宋_GB2312" w:hAnsi="仿宋_GB2312" w:cs="仿宋_GB2312" w:eastAsia="仿宋_GB2312"/>
                <w:sz w:val="24"/>
                <w:color w:val="000000"/>
              </w:rPr>
              <w:t>2、服务周期</w:t>
            </w:r>
          </w:p>
          <w:p>
            <w:pPr>
              <w:pStyle w:val="null3"/>
              <w:spacing w:before="105" w:after="105"/>
              <w:ind w:firstLine="480"/>
              <w:jc w:val="both"/>
            </w:pPr>
            <w:r>
              <w:rPr>
                <w:rFonts w:ascii="仿宋_GB2312" w:hAnsi="仿宋_GB2312" w:cs="仿宋_GB2312" w:eastAsia="仿宋_GB2312"/>
                <w:sz w:val="24"/>
                <w:color w:val="000000"/>
              </w:rPr>
              <w:t>自合同签订之日起至</w:t>
            </w:r>
            <w:r>
              <w:rPr>
                <w:rFonts w:ascii="仿宋_GB2312" w:hAnsi="仿宋_GB2312" w:cs="仿宋_GB2312" w:eastAsia="仿宋_GB2312"/>
                <w:sz w:val="24"/>
                <w:color w:val="000000"/>
              </w:rPr>
              <w:t>2026年度消费品以旧换新工作全部结束、审核清算完成、资料归档完毕止。</w:t>
            </w:r>
          </w:p>
          <w:p>
            <w:pPr>
              <w:pStyle w:val="null3"/>
              <w:spacing w:before="105" w:after="105"/>
              <w:ind w:firstLine="482"/>
              <w:jc w:val="both"/>
            </w:pPr>
            <w:r>
              <w:rPr>
                <w:rFonts w:ascii="仿宋_GB2312" w:hAnsi="仿宋_GB2312" w:cs="仿宋_GB2312" w:eastAsia="仿宋_GB2312"/>
                <w:sz w:val="24"/>
                <w:color w:val="000000"/>
              </w:rPr>
              <w:t>3、服务量预估</w:t>
            </w:r>
          </w:p>
          <w:p>
            <w:pPr>
              <w:pStyle w:val="null3"/>
              <w:spacing w:before="105" w:after="105"/>
              <w:ind w:left="-360" w:firstLine="7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1）汽车报废更新约 0.15 万单单；</w:t>
            </w:r>
          </w:p>
          <w:p>
            <w:pPr>
              <w:pStyle w:val="null3"/>
              <w:spacing w:before="105" w:after="105"/>
              <w:ind w:left="-360" w:firstLine="7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2）家电以旧换新约6万单。</w:t>
            </w:r>
          </w:p>
          <w:p>
            <w:pPr>
              <w:pStyle w:val="null3"/>
              <w:spacing w:before="105" w:after="105"/>
              <w:ind w:firstLine="482"/>
              <w:jc w:val="both"/>
            </w:pPr>
            <w:r>
              <w:rPr>
                <w:rFonts w:ascii="仿宋_GB2312" w:hAnsi="仿宋_GB2312" w:cs="仿宋_GB2312" w:eastAsia="仿宋_GB2312"/>
                <w:sz w:val="24"/>
                <w:color w:val="000000"/>
              </w:rPr>
              <w:t>4、报价要求按总报价形式报价，费用包含补贴资料审核、出具阶段性审核意见、回答商家及消费者相关咨询、数据汇总管理、技术对接、实地核查、电话核查、参与活动企业资质核查、出具最终审核报告和绩效评价报告、自行聘请第三方机构对本公司审核事项进行专项审计并出具审计报告等费用及人工、交通、通讯、系统对接、核查、出具报告、税费等一切相关费用，采购人不另行支付任何费用。</w:t>
            </w:r>
          </w:p>
          <w:p>
            <w:pPr>
              <w:pStyle w:val="null3"/>
              <w:spacing w:before="105" w:after="105"/>
              <w:ind w:firstLine="480"/>
              <w:jc w:val="both"/>
            </w:pPr>
            <w:r>
              <w:rPr>
                <w:rFonts w:ascii="仿宋_GB2312" w:hAnsi="仿宋_GB2312" w:cs="仿宋_GB2312" w:eastAsia="仿宋_GB2312"/>
                <w:sz w:val="24"/>
                <w:color w:val="000000"/>
              </w:rPr>
              <w:t>采购金额：</w:t>
            </w:r>
            <w:r>
              <w:rPr>
                <w:rFonts w:ascii="仿宋_GB2312" w:hAnsi="仿宋_GB2312" w:cs="仿宋_GB2312" w:eastAsia="仿宋_GB2312"/>
                <w:sz w:val="24"/>
                <w:color w:val="000000"/>
              </w:rPr>
              <w:t>30 万元</w:t>
            </w:r>
          </w:p>
          <w:p>
            <w:pPr>
              <w:pStyle w:val="null3"/>
              <w:spacing w:before="105" w:after="105"/>
              <w:ind w:firstLine="482"/>
              <w:jc w:val="both"/>
            </w:pPr>
            <w:r>
              <w:rPr>
                <w:rFonts w:ascii="仿宋_GB2312" w:hAnsi="仿宋_GB2312" w:cs="仿宋_GB2312" w:eastAsia="仿宋_GB2312"/>
                <w:sz w:val="24"/>
                <w:color w:val="000000"/>
              </w:rPr>
              <w:t>5、服务质量要求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1）审核及时、准确、合规，资料完整可追溯</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2）数据真实、准确、安全保密</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3）按要求按时提交阶段报告及最终清算报告</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4）配合采购人监督、检查、调度及应急任务</w:t>
            </w:r>
          </w:p>
          <w:p>
            <w:pPr>
              <w:pStyle w:val="null3"/>
              <w:spacing w:before="105" w:after="105"/>
              <w:ind w:firstLine="482"/>
              <w:jc w:val="both"/>
            </w:pPr>
            <w:r>
              <w:rPr>
                <w:rFonts w:ascii="仿宋_GB2312" w:hAnsi="仿宋_GB2312" w:cs="仿宋_GB2312" w:eastAsia="仿宋_GB2312"/>
                <w:sz w:val="24"/>
                <w:color w:val="000000"/>
              </w:rPr>
              <w:t>6、人员要求供应商须配备固定项目团队，包含项目负责人、审核专员、数据管理员、核查人员等，确保响应及时、服务高效。</w:t>
            </w:r>
          </w:p>
          <w:p>
            <w:pPr>
              <w:pStyle w:val="null3"/>
              <w:spacing w:before="105" w:after="105"/>
              <w:ind w:firstLine="482"/>
              <w:jc w:val="both"/>
            </w:pPr>
            <w:r>
              <w:rPr>
                <w:rFonts w:ascii="仿宋_GB2312" w:hAnsi="仿宋_GB2312" w:cs="仿宋_GB2312" w:eastAsia="仿宋_GB2312"/>
                <w:sz w:val="24"/>
                <w:color w:val="000000"/>
              </w:rPr>
              <w:t>7、应急与时限要求针对紧急审核、数据上报、专项核查等特殊时限要求，供商须提供应急响应服务，建立快速处理机制，并明确延误补救及处罚措施。</w:t>
            </w:r>
          </w:p>
          <w:p>
            <w:pPr>
              <w:pStyle w:val="null3"/>
              <w:spacing w:before="105" w:after="105"/>
              <w:ind w:firstLine="482"/>
              <w:jc w:val="both"/>
            </w:pPr>
            <w:r>
              <w:rPr>
                <w:rFonts w:ascii="仿宋_GB2312" w:hAnsi="仿宋_GB2312" w:cs="仿宋_GB2312" w:eastAsia="仿宋_GB2312"/>
                <w:sz w:val="24"/>
                <w:color w:val="000000"/>
              </w:rPr>
              <w:t>8、验收要求以审核完成量、数据准确率、报告提交及时性、资料完整性、采购人满意度作为验收依据。</w:t>
            </w:r>
          </w:p>
          <w:p>
            <w:pPr>
              <w:pStyle w:val="null3"/>
              <w:spacing w:before="105" w:after="105"/>
              <w:ind w:firstLine="482"/>
              <w:jc w:val="both"/>
            </w:pPr>
            <w:r>
              <w:rPr>
                <w:rFonts w:ascii="仿宋_GB2312" w:hAnsi="仿宋_GB2312" w:cs="仿宋_GB2312" w:eastAsia="仿宋_GB2312"/>
                <w:sz w:val="24"/>
                <w:color w:val="000000"/>
              </w:rPr>
              <w:t>9、付款方式按合同约定，根据审核进度、阶段性成果及最终清算完成情况，经采购人验收合格后分期支付。</w:t>
            </w:r>
          </w:p>
          <w:p>
            <w:pPr>
              <w:pStyle w:val="null3"/>
              <w:spacing w:before="105" w:after="105"/>
              <w:ind w:firstLine="482"/>
              <w:jc w:val="both"/>
            </w:pPr>
            <w:r>
              <w:rPr>
                <w:rFonts w:ascii="仿宋_GB2312" w:hAnsi="仿宋_GB2312" w:cs="仿宋_GB2312" w:eastAsia="仿宋_GB2312"/>
                <w:sz w:val="24"/>
                <w:color w:val="000000"/>
              </w:rPr>
              <w:t>10、其他要求</w:t>
            </w:r>
          </w:p>
          <w:p>
            <w:pPr>
              <w:pStyle w:val="null3"/>
              <w:spacing w:before="105" w:after="105"/>
              <w:ind w:firstLine="600"/>
              <w:jc w:val="both"/>
            </w:pPr>
            <w:r>
              <w:rPr>
                <w:rFonts w:ascii="仿宋_GB2312" w:hAnsi="仿宋_GB2312" w:cs="仿宋_GB2312" w:eastAsia="仿宋_GB2312"/>
                <w:sz w:val="24"/>
                <w:color w:val="000000"/>
              </w:rPr>
              <w:t>严格遵守保密规定，不得泄露审核信息、企业信息、消费者信息服从采购人工作安排与调度所有审核档案按要求整理归档。</w:t>
            </w:r>
          </w:p>
          <w:p>
            <w:pPr>
              <w:pStyle w:val="null3"/>
              <w:spacing w:before="105" w:after="105"/>
              <w:ind w:left="-360"/>
              <w:jc w:val="center"/>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标的名称：026年度商洛市消费品以旧换新汽车置换更新数码和智能产品购新第三方审核服务项目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482"/>
              <w:jc w:val="center"/>
            </w:pPr>
            <w:r>
              <w:rPr>
                <w:rFonts w:ascii="仿宋_GB2312" w:hAnsi="仿宋_GB2312" w:cs="仿宋_GB2312" w:eastAsia="仿宋_GB2312"/>
                <w:sz w:val="24"/>
                <w:b/>
                <w:color w:val="000000"/>
              </w:rPr>
              <w:t>2026年度商洛市消费品以旧换新汽车置换更新数码和智能产品购新第三方审核服务项目采购内容及要求</w:t>
            </w:r>
          </w:p>
          <w:p>
            <w:pPr>
              <w:pStyle w:val="null3"/>
              <w:spacing w:before="105" w:after="105"/>
              <w:ind w:firstLine="482"/>
              <w:jc w:val="left"/>
            </w:pPr>
            <w:r>
              <w:rPr>
                <w:rFonts w:ascii="仿宋_GB2312" w:hAnsi="仿宋_GB2312" w:cs="仿宋_GB2312" w:eastAsia="仿宋_GB2312"/>
                <w:sz w:val="24"/>
                <w:b/>
                <w:color w:val="000000"/>
              </w:rPr>
              <w:t>1、服务内容</w:t>
            </w:r>
          </w:p>
          <w:p>
            <w:pPr>
              <w:pStyle w:val="null3"/>
              <w:spacing w:before="105" w:after="105"/>
              <w:ind w:firstLine="480"/>
              <w:jc w:val="both"/>
            </w:pPr>
            <w:r>
              <w:rPr>
                <w:rFonts w:ascii="仿宋_GB2312" w:hAnsi="仿宋_GB2312" w:cs="仿宋_GB2312" w:eastAsia="仿宋_GB2312"/>
                <w:sz w:val="24"/>
                <w:color w:val="000000"/>
              </w:rPr>
              <w:t>供应商须提供</w:t>
            </w:r>
            <w:r>
              <w:rPr>
                <w:rFonts w:ascii="仿宋_GB2312" w:hAnsi="仿宋_GB2312" w:cs="仿宋_GB2312" w:eastAsia="仿宋_GB2312"/>
                <w:sz w:val="24"/>
                <w:color w:val="000000"/>
              </w:rPr>
              <w:t>2026年度商洛市消费品以旧换新汽车置换更新数码和智能产品购新第三方审核服务，包括：补贴资料审核、出具阶段性审核意见、解答商家及消费者咨询、数据汇总管理、系统技术对接、实地核查、电话核查、参与活动企业资质核查、出具最终审核报告和绩效评价报告，自行聘请第三方机构对本公司审核事项进行专项审计并出具审计报告，上级文件要求的其他事项等。主动接受商洛市商务局监督管理，必须在商洛市商务局驻场办公，派驻工作人员不少于3名，并自行准备相关设备设施。</w:t>
            </w:r>
          </w:p>
          <w:p>
            <w:pPr>
              <w:pStyle w:val="null3"/>
              <w:spacing w:before="105" w:after="105"/>
              <w:ind w:firstLine="482"/>
              <w:jc w:val="left"/>
            </w:pPr>
            <w:r>
              <w:rPr>
                <w:rFonts w:ascii="仿宋_GB2312" w:hAnsi="仿宋_GB2312" w:cs="仿宋_GB2312" w:eastAsia="仿宋_GB2312"/>
                <w:sz w:val="24"/>
                <w:b/>
                <w:color w:val="000000"/>
              </w:rPr>
              <w:t>2、服务周期</w:t>
            </w:r>
          </w:p>
          <w:p>
            <w:pPr>
              <w:pStyle w:val="null3"/>
              <w:spacing w:before="105" w:after="105"/>
              <w:ind w:firstLine="480"/>
              <w:jc w:val="both"/>
            </w:pPr>
            <w:r>
              <w:rPr>
                <w:rFonts w:ascii="仿宋_GB2312" w:hAnsi="仿宋_GB2312" w:cs="仿宋_GB2312" w:eastAsia="仿宋_GB2312"/>
                <w:sz w:val="24"/>
                <w:color w:val="000000"/>
              </w:rPr>
              <w:t>自合同签订之日起至</w:t>
            </w:r>
            <w:r>
              <w:rPr>
                <w:rFonts w:ascii="仿宋_GB2312" w:hAnsi="仿宋_GB2312" w:cs="仿宋_GB2312" w:eastAsia="仿宋_GB2312"/>
                <w:sz w:val="24"/>
                <w:color w:val="000000"/>
              </w:rPr>
              <w:t>2026年度消费品以旧换新工作全部结束、审核清算完成、资料归档完毕止。</w:t>
            </w:r>
          </w:p>
          <w:p>
            <w:pPr>
              <w:pStyle w:val="null3"/>
              <w:spacing w:before="105" w:after="105"/>
              <w:ind w:firstLine="482"/>
              <w:jc w:val="left"/>
            </w:pPr>
            <w:r>
              <w:rPr>
                <w:rFonts w:ascii="仿宋_GB2312" w:hAnsi="仿宋_GB2312" w:cs="仿宋_GB2312" w:eastAsia="仿宋_GB2312"/>
                <w:sz w:val="24"/>
                <w:b/>
                <w:color w:val="000000"/>
              </w:rPr>
              <w:t>3、服务量预估</w:t>
            </w:r>
          </w:p>
          <w:p>
            <w:pPr>
              <w:pStyle w:val="null3"/>
              <w:spacing w:before="105" w:after="105"/>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1）预计汽车置换更新0.15万单；</w:t>
            </w:r>
          </w:p>
          <w:p>
            <w:pPr>
              <w:pStyle w:val="null3"/>
              <w:spacing w:before="105" w:after="105"/>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2）数码和智能产品购新3.7万单。</w:t>
            </w:r>
          </w:p>
          <w:p>
            <w:pPr>
              <w:pStyle w:val="null3"/>
              <w:spacing w:before="105" w:after="105"/>
              <w:ind w:firstLine="422"/>
              <w:jc w:val="both"/>
            </w:pPr>
            <w:r>
              <w:rPr>
                <w:rFonts w:ascii="仿宋_GB2312" w:hAnsi="仿宋_GB2312" w:cs="仿宋_GB2312" w:eastAsia="仿宋_GB2312"/>
                <w:sz w:val="24"/>
                <w:b/>
                <w:color w:val="000000"/>
              </w:rPr>
              <w:t>4、报价要求</w:t>
            </w:r>
            <w:r>
              <w:rPr>
                <w:rFonts w:ascii="仿宋_GB2312" w:hAnsi="仿宋_GB2312" w:cs="仿宋_GB2312" w:eastAsia="仿宋_GB2312"/>
                <w:sz w:val="24"/>
                <w:color w:val="000000"/>
              </w:rPr>
              <w:t>按总报价形式报价，费用包含补贴资料审核、出具阶段性审核意见、回答商家及消费者相关咨询、数据汇总管理、技术对接、实地核查、电话核查、参与活动企业资质核查、出具最终审核报告和绩效评价报告、自行聘请第三方机构对本公司审核事项进行专项审计并出具审计报告等费用及人工、交通、通讯、系统对接、核查、出具报告、税费等一切相关费用，采购人不另行支付任何费用。</w:t>
            </w:r>
          </w:p>
          <w:p>
            <w:pPr>
              <w:pStyle w:val="null3"/>
              <w:spacing w:before="105" w:after="105"/>
              <w:ind w:firstLine="480"/>
              <w:jc w:val="left"/>
            </w:pPr>
            <w:r>
              <w:rPr>
                <w:rFonts w:ascii="仿宋_GB2312" w:hAnsi="仿宋_GB2312" w:cs="仿宋_GB2312" w:eastAsia="仿宋_GB2312"/>
                <w:sz w:val="24"/>
                <w:color w:val="000000"/>
              </w:rPr>
              <w:t>采购金额：</w:t>
            </w:r>
            <w:r>
              <w:rPr>
                <w:rFonts w:ascii="仿宋_GB2312" w:hAnsi="仿宋_GB2312" w:cs="仿宋_GB2312" w:eastAsia="仿宋_GB2312"/>
                <w:sz w:val="24"/>
                <w:color w:val="000000"/>
              </w:rPr>
              <w:t>20 万元</w:t>
            </w:r>
          </w:p>
          <w:p>
            <w:pPr>
              <w:pStyle w:val="null3"/>
              <w:spacing w:before="105" w:after="105"/>
              <w:ind w:firstLine="482"/>
              <w:jc w:val="left"/>
            </w:pPr>
            <w:r>
              <w:rPr>
                <w:rFonts w:ascii="仿宋_GB2312" w:hAnsi="仿宋_GB2312" w:cs="仿宋_GB2312" w:eastAsia="仿宋_GB2312"/>
                <w:sz w:val="24"/>
                <w:b/>
                <w:color w:val="000000"/>
              </w:rPr>
              <w:t>5、服务质量要求</w:t>
            </w:r>
          </w:p>
          <w:p>
            <w:pPr>
              <w:pStyle w:val="null3"/>
              <w:spacing w:before="105" w:after="105"/>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1）审核及时、准确、合规，资料完整可追溯</w:t>
            </w:r>
          </w:p>
          <w:p>
            <w:pPr>
              <w:pStyle w:val="null3"/>
              <w:spacing w:before="105" w:after="105"/>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2）数据真实、准确、安全保密</w:t>
            </w:r>
          </w:p>
          <w:p>
            <w:pPr>
              <w:pStyle w:val="null3"/>
              <w:spacing w:before="105" w:after="105"/>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3）按要求按时提交阶段报告及最终清算报告</w:t>
            </w:r>
          </w:p>
          <w:p>
            <w:pPr>
              <w:pStyle w:val="null3"/>
              <w:spacing w:before="105" w:after="105"/>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4）配合采购人监督、检查、调度及应急任务</w:t>
            </w:r>
          </w:p>
          <w:p>
            <w:pPr>
              <w:pStyle w:val="null3"/>
              <w:spacing w:before="105" w:after="105"/>
              <w:ind w:firstLine="482"/>
              <w:jc w:val="left"/>
            </w:pPr>
            <w:r>
              <w:rPr>
                <w:rFonts w:ascii="仿宋_GB2312" w:hAnsi="仿宋_GB2312" w:cs="仿宋_GB2312" w:eastAsia="仿宋_GB2312"/>
                <w:sz w:val="24"/>
                <w:b/>
                <w:color w:val="000000"/>
              </w:rPr>
              <w:t>6、人员要求</w:t>
            </w:r>
            <w:r>
              <w:rPr>
                <w:rFonts w:ascii="仿宋_GB2312" w:hAnsi="仿宋_GB2312" w:cs="仿宋_GB2312" w:eastAsia="仿宋_GB2312"/>
                <w:sz w:val="24"/>
                <w:color w:val="000000"/>
              </w:rPr>
              <w:t>供应商须配备固定项目团队，包含项目负责人、审核专员、数据管理员、核查人员等，确保响应及时、服务高效。</w:t>
            </w:r>
          </w:p>
          <w:p>
            <w:pPr>
              <w:pStyle w:val="null3"/>
              <w:spacing w:before="105" w:after="105"/>
              <w:ind w:firstLine="482"/>
              <w:jc w:val="left"/>
            </w:pPr>
            <w:r>
              <w:rPr>
                <w:rFonts w:ascii="仿宋_GB2312" w:hAnsi="仿宋_GB2312" w:cs="仿宋_GB2312" w:eastAsia="仿宋_GB2312"/>
                <w:sz w:val="24"/>
                <w:b/>
                <w:color w:val="000000"/>
              </w:rPr>
              <w:t>7、应急与时限要求</w:t>
            </w:r>
            <w:r>
              <w:rPr>
                <w:rFonts w:ascii="仿宋_GB2312" w:hAnsi="仿宋_GB2312" w:cs="仿宋_GB2312" w:eastAsia="仿宋_GB2312"/>
                <w:sz w:val="24"/>
                <w:color w:val="000000"/>
              </w:rPr>
              <w:t>针对紧急审核、数据上报、专项核查等特殊时限要求，供商须提供</w:t>
            </w:r>
            <w:r>
              <w:rPr>
                <w:rFonts w:ascii="仿宋_GB2312" w:hAnsi="仿宋_GB2312" w:cs="仿宋_GB2312" w:eastAsia="仿宋_GB2312"/>
                <w:sz w:val="24"/>
                <w:b/>
                <w:color w:val="000000"/>
              </w:rPr>
              <w:t>应急响应服务</w:t>
            </w:r>
            <w:r>
              <w:rPr>
                <w:rFonts w:ascii="仿宋_GB2312" w:hAnsi="仿宋_GB2312" w:cs="仿宋_GB2312" w:eastAsia="仿宋_GB2312"/>
                <w:sz w:val="24"/>
                <w:color w:val="000000"/>
              </w:rPr>
              <w:t>，建立快速处理机制，并明确延误补救及处罚措施。</w:t>
            </w:r>
          </w:p>
          <w:p>
            <w:pPr>
              <w:pStyle w:val="null3"/>
              <w:spacing w:before="105" w:after="105"/>
              <w:ind w:firstLine="482"/>
              <w:jc w:val="left"/>
            </w:pPr>
            <w:r>
              <w:rPr>
                <w:rFonts w:ascii="仿宋_GB2312" w:hAnsi="仿宋_GB2312" w:cs="仿宋_GB2312" w:eastAsia="仿宋_GB2312"/>
                <w:sz w:val="24"/>
                <w:b/>
                <w:color w:val="000000"/>
              </w:rPr>
              <w:t>8、验收要求</w:t>
            </w:r>
            <w:r>
              <w:rPr>
                <w:rFonts w:ascii="仿宋_GB2312" w:hAnsi="仿宋_GB2312" w:cs="仿宋_GB2312" w:eastAsia="仿宋_GB2312"/>
                <w:sz w:val="24"/>
                <w:color w:val="000000"/>
              </w:rPr>
              <w:t>以审核完成量、数据准确率、报告提交及时性、资料完整性、采购人满意度作为验收依据。</w:t>
            </w:r>
          </w:p>
          <w:p>
            <w:pPr>
              <w:pStyle w:val="null3"/>
              <w:spacing w:before="105" w:after="105"/>
              <w:ind w:firstLine="482"/>
              <w:jc w:val="left"/>
            </w:pPr>
            <w:r>
              <w:rPr>
                <w:rFonts w:ascii="仿宋_GB2312" w:hAnsi="仿宋_GB2312" w:cs="仿宋_GB2312" w:eastAsia="仿宋_GB2312"/>
                <w:sz w:val="24"/>
                <w:b/>
                <w:color w:val="000000"/>
              </w:rPr>
              <w:t>9、付款方式</w:t>
            </w:r>
            <w:r>
              <w:rPr>
                <w:rFonts w:ascii="仿宋_GB2312" w:hAnsi="仿宋_GB2312" w:cs="仿宋_GB2312" w:eastAsia="仿宋_GB2312"/>
                <w:sz w:val="24"/>
                <w:color w:val="000000"/>
              </w:rPr>
              <w:t>按合同约定，根据审核进度、阶段性成果及最终清算完成情况，经采购人验收合格后分期支付。</w:t>
            </w:r>
          </w:p>
          <w:p>
            <w:pPr>
              <w:pStyle w:val="null3"/>
              <w:spacing w:before="105" w:after="105"/>
              <w:ind w:firstLine="482"/>
              <w:jc w:val="left"/>
            </w:pPr>
            <w:r>
              <w:rPr>
                <w:rFonts w:ascii="仿宋_GB2312" w:hAnsi="仿宋_GB2312" w:cs="仿宋_GB2312" w:eastAsia="仿宋_GB2312"/>
                <w:sz w:val="24"/>
                <w:b/>
                <w:color w:val="000000"/>
              </w:rPr>
              <w:t>10、其他要求</w:t>
            </w:r>
          </w:p>
          <w:p>
            <w:pPr>
              <w:pStyle w:val="null3"/>
              <w:spacing w:before="105" w:after="105"/>
              <w:ind w:firstLine="600"/>
              <w:jc w:val="left"/>
            </w:pPr>
            <w:r>
              <w:rPr>
                <w:rFonts w:ascii="仿宋_GB2312" w:hAnsi="仿宋_GB2312" w:cs="仿宋_GB2312" w:eastAsia="仿宋_GB2312"/>
                <w:sz w:val="24"/>
                <w:color w:val="000000"/>
              </w:rPr>
              <w:t>严格遵守保密规定，不得泄露审核信息、企业信息、消费者信息服从采购人工作安排与调度所有审核档案按要求整理归档。</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满足磋商文件和采购人要求。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满足磋商文件和采购人要求。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满足磋商文件和采购人要求。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满足磋商文件和采购人要求。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满足磋商文件和采购人要求。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满足磋商文件和采购人要求。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自合同签订之日起至2026年度消费品以旧换新工作全部结束、审核清算完成、资料归档完毕止。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自合同签订之日起至2026年度消费品以旧换新工作全部结束、审核清算完成、资料归档完毕止。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商洛市商务局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商洛市商务局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质检机构共同进行验收；验收合格须交接项目实施的全部资料，并填写政府采购项目验收报告单。验收须以合同、招标文件及投标文件、澄清及国家相应的标准、规范等为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负责组织验收，或者邀请有关专家、质检机构共同进行验收；验收合格须交接项目实施的全部资料，并填写政府采购项目验收报告单。验收须以合同、磋商文件及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服务内容完成过半时</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成交供应商按约履行完毕所有义务并经采购人验收合格后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服务内容完成过半时</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成交供应商按约履行完毕所有义务并经采购人验收合格后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响应文件要求：供应商无需提供纸质版响应文件。成交供应商在领取成交通知书前，须将纸质版响应文件（正本1份、副本2份）加盖单位公章及电子版（U盘）文件2份，提交至招标代理公司，供采购人留存备案等工作。成交供应商应保持响应文件纸质版内容与电子版内容完全一致，否则将承担一切法律责任。纸质版响应文件一律采用书籍（胶装）方式装订，可单面或双面打印; 2.开标签到要求：供应商务必在开标截止时间30分钟前，通过项目电子化交易系统进行签到；未按要求签到的，由此产生的一切后果由供应商自行承担；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具备独立企业法人资格，具有合格有效的企业法人营业执照；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提供2024年或2025年度的财务审计报告（成立时间至投标截止时间不足一年的可提供成立后任意时段的资产负债表），或其开标前三个月内基本开户银行出具的资信证明及基本存款账户信息；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提供投标截止日前半年内已缴纳任意1个月的纳税证明或完税证明（任意税种），依法免税的单位应提供相关的证明材料；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提供投标截止日前半年内已缴存的任意1个月的社会保障资金缴存单据或社保机构开具的社会保险参保缴费情况证明；依法不需要缴纳社会保障资金的单位应提供相关证明材料；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供应商未被列入“信用中国”网站记录的“失信被执行人”“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法定代表人授权书及被授权人身份证明（法定代表人直接参与投标只需提供其身份证明）；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供应商须具有有效的经财政主管部门审查核准颁发的《会计师事务所执业资格证书》；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具备独立企业法人资格，具有合格有效的企业法人营业执照；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提供2024年或2025年度的财务审计报告（成立时间至投标截止时间不足一年的可提供成立后任意时段的资产负债表），或其开标前三个月内基本开户银行出具的资信证明及基本存款账户信息；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提供投标截止日前半年内已缴纳任意1个月的纳税证明或完税证明（任意税种），依法免税的单位应提供相关的证明材料；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提供投标截止日前半年内已缴存的任意1个月的社会保障资金缴存单据或社保机构开具的社会保险参保缴费情况证明；依法不需要缴纳社会保障资金的单位应提供相关证明材料；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供应商未被列入“信用中国”网站记录的“失信被执行人”“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法定代表人授权书及被授权人身份证明（法定代表人直接参与投标只需提供其身份证明）；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供应商须具有有效的经财政主管部门审查核准颁发的《会计师事务所执业资格证书》；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本项目不接受联合体投标，不允许分包。投标人提供《非联合体不分包投 标声明》，视为独立投标，不分包。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投标处理：（1）响应文件未按照磋商文件规定要求签署、盖章的；（2）投标有效期未满足磋商文件要求的；（3）报价超过磋商文件中规定的预算金额或者最高限价的；（4）对磋商文件商务、技术要求出现重大负偏离的；(5)法律、法规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资格证明文件.docx 商务技术部分.docx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投标处理：（1）响应文件未按照磋商文件规定要求签署、盖章的；（2）投标有效期未满足磋商文件要求的；（3）报价超过磋商文件中规定的预算金额或者最高限价的；（4）对磋商文件商务、技术要求出现重大负偏离的；(5)法律、法规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资格证明文件.docx 商务技术部分.docx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详细评审88.00分</w:t>
            </w:r>
          </w:p>
          <w:p>
            <w:pPr>
              <w:pStyle w:val="null3"/>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按照磋商文件要求并且结合项目特点，提供具体详细、可行的服务方案：方案完整，实施周期合理，对影响本项目进度的因素理解分析准确、考虑全面，进度安排得当，得 20-30分；方案较为完整，实施周期较为合理，对影响本项目进度的因素理解分析比较准确、考虑较为全面，进度安排尚可，得10-20分；方案不完整，实施周期不合理，对影响本项目进度的因素理解分析不准确、考虑不全面，进度安排不得当，得 0-10分。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管理架构及制度</w:t>
            </w:r>
          </w:p>
        </w:tc>
        <w:tc>
          <w:tcPr>
            <w:tcW w:type="dxa" w:w="2492"/>
          </w:tcPr>
          <w:p>
            <w:pPr>
              <w:pStyle w:val="null3"/>
            </w:pPr>
            <w:r>
              <w:rPr>
                <w:rFonts w:ascii="仿宋_GB2312" w:hAnsi="仿宋_GB2312" w:cs="仿宋_GB2312" w:eastAsia="仿宋_GB2312"/>
              </w:rPr>
              <w:t>针对本项目制定的管理架构非常合理、管理制度非常严谨，得 8-12 分；针对本项目制定的管理架构较合理、管理制度较严谨，得4-8分;没有管理制度或针对本项目制定的管理架构合理性较差、管理制度不够严谨，得0-4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审核规范</w:t>
            </w:r>
          </w:p>
        </w:tc>
        <w:tc>
          <w:tcPr>
            <w:tcW w:type="dxa" w:w="2492"/>
          </w:tcPr>
          <w:p>
            <w:pPr>
              <w:pStyle w:val="null3"/>
            </w:pPr>
            <w:r>
              <w:rPr>
                <w:rFonts w:ascii="仿宋_GB2312" w:hAnsi="仿宋_GB2312" w:cs="仿宋_GB2312" w:eastAsia="仿宋_GB2312"/>
              </w:rPr>
              <w:t>有全流程且健全的审核记录规范，得8-12分；有部分比较健全的审核记录规范，得4-8 分；有审核记录规范，但不健全，得0-4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具有工作风险控制制度，工作重难点分析与控制措施。制度具体、措施可行，得7-10分；制度较为具体、措施相对可行，得4-7分；制度不具体、措施不可行得0-4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针对在工作中，因特殊情况对时限的要求，有特殊的应急服务承诺及处罚补救措施，根据其措施科学性、可行性，优7-10分，良4-7分，差0-4分。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1、承诺：接受采购人对服务的监督及管理，并对服务质量加以改进，确保服务工作的优质高效，得5分。无承诺不得分。2、承诺：在项目验收前，项目团队的骨干人员保持稳定。有承诺得5分。无承诺不得分。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 月至今的类似业绩证明材料（中标通知书或合同复印件）每提供1 个得2分，最高得 4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以满足竞争性磋商文件要求且磋商报价最低的有效磋商报价为评审基准价，其价格分为满分。其他供应商的价格分统一按照下列公式计算：磋商报价得分=(评审基准价／磋商报价)×12。</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详细评审88.00分</w:t>
            </w:r>
          </w:p>
          <w:p>
            <w:pPr>
              <w:pStyle w:val="null3"/>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按照磋商文件要求并且结合项目特点，提供具体详细、可行的服务方案：方案完整，实施周期合理，对影响本项目进度的因素理解分析准确、考虑全面，进度安排得当，得20-30分；方案较为完整，实施周期较为合理，对影响本项目进度的因素理解分析比较准确、考虑较为全面，进度安排尚可，得10-20分；方案不完整，实施周期不合理，对影响本项目进度的因素理解分析不准确、考虑不全面，进度安排不得当，得 0-10分。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管理架构及制度</w:t>
            </w:r>
          </w:p>
        </w:tc>
        <w:tc>
          <w:tcPr>
            <w:tcW w:type="dxa" w:w="2492"/>
          </w:tcPr>
          <w:p>
            <w:pPr>
              <w:pStyle w:val="null3"/>
            </w:pPr>
            <w:r>
              <w:rPr>
                <w:rFonts w:ascii="仿宋_GB2312" w:hAnsi="仿宋_GB2312" w:cs="仿宋_GB2312" w:eastAsia="仿宋_GB2312"/>
              </w:rPr>
              <w:t>针对本项目制定的管理架构非常合理、管理制度非常严谨，得 8-12 分；针对本项目制定的管理架构较合理、管理制度较严谨，得4-8分;没有管理制度或针对本项目制定的管理架构合理性较差、管理制度不够严谨，得0-4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审核规范</w:t>
            </w:r>
          </w:p>
        </w:tc>
        <w:tc>
          <w:tcPr>
            <w:tcW w:type="dxa" w:w="2492"/>
          </w:tcPr>
          <w:p>
            <w:pPr>
              <w:pStyle w:val="null3"/>
            </w:pPr>
            <w:r>
              <w:rPr>
                <w:rFonts w:ascii="仿宋_GB2312" w:hAnsi="仿宋_GB2312" w:cs="仿宋_GB2312" w:eastAsia="仿宋_GB2312"/>
              </w:rPr>
              <w:t>有全流程且健全的审核记录规范，得8-12分；有部分比较健全的审核记录规范，得4-8 分；有审核记录规范，但不健全，得0-4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有工作风险控制制度，工作重难点分析与控制措施。制度具体、措施可行，得7-10分；制度可行，具体、措施相对可行，得4-7分；制度不具体，措施不可行得0-4分。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针对在工作中，因特殊情况对时限的要求，有特殊的应急服务承诺及处罚补救措施，根据其措施科学性、可行性，优7-10分，良4-7分，差0-4分。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1、承诺：接受采购人对服务的监督及管理，并对服务质量加以改进，确保服务工作的优质高效，得5分。无承诺不得分。2、承诺：在项目验收前，项目团队的骨干人员保持稳定。有承诺得5分。无承诺不得分。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提供自2023年1 月至今的类似业绩证明材料（中标通知书或合同复印件）每提供1 个得2分，最高得 4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以满足竞争性磋商文件要求且磋商报价最低的有效磋商报价为评审基准价，其价格分为满分。其他供应商的价格分统一按照下列公式计算：磋商报价得分=(评审基准价／磋商报价)×12</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