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045DD">
      <w:pPr>
        <w:pStyle w:val="2"/>
        <w:numPr>
          <w:ilvl w:val="0"/>
          <w:numId w:val="0"/>
        </w:numPr>
        <w:overflowPunct/>
        <w:bidi w:val="0"/>
        <w:spacing w:before="157" w:beforeLines="50" w:beforeAutospacing="0" w:after="157" w:afterLines="50" w:afterAutospacing="0" w:line="360" w:lineRule="atLeast"/>
        <w:ind w:leftChars="0"/>
        <w:jc w:val="center"/>
        <w:rPr>
          <w:rFonts w:hint="eastAsia" w:ascii="宋体" w:hAnsi="宋体" w:eastAsia="宋体" w:cs="宋体"/>
          <w:b/>
          <w:color w:val="000000" w:themeColor="text1"/>
          <w:kern w:val="44"/>
          <w:sz w:val="36"/>
          <w:szCs w:val="36"/>
          <w:highlight w:val="none"/>
          <w:lang w:val="en-US" w:eastAsia="zh-CN" w:bidi="ar-SA"/>
          <w14:textFill>
            <w14:solidFill>
              <w14:schemeClr w14:val="tx1"/>
            </w14:solidFill>
          </w14:textFill>
        </w:rPr>
      </w:pPr>
    </w:p>
    <w:p w14:paraId="67675369">
      <w:pPr>
        <w:pStyle w:val="2"/>
        <w:numPr>
          <w:ilvl w:val="0"/>
          <w:numId w:val="0"/>
        </w:numPr>
        <w:overflowPunct/>
        <w:bidi w:val="0"/>
        <w:spacing w:before="157" w:beforeLines="50" w:beforeAutospacing="0" w:after="157" w:afterLines="50" w:afterAutospacing="0" w:line="360" w:lineRule="atLeast"/>
        <w:ind w:leftChars="0"/>
        <w:jc w:val="center"/>
        <w:rPr>
          <w:rFonts w:hint="eastAsia" w:ascii="宋体" w:hAnsi="宋体" w:eastAsia="宋体" w:cs="宋体"/>
          <w:b/>
          <w:color w:val="000000" w:themeColor="text1"/>
          <w:kern w:val="44"/>
          <w:sz w:val="36"/>
          <w:szCs w:val="36"/>
          <w:highlight w:val="none"/>
          <w:lang w:val="en-US" w:eastAsia="zh-CN" w:bidi="ar-SA"/>
          <w14:textFill>
            <w14:solidFill>
              <w14:schemeClr w14:val="tx1"/>
            </w14:solidFill>
          </w14:textFill>
        </w:rPr>
      </w:pPr>
      <w:r>
        <w:rPr>
          <w:rFonts w:hint="eastAsia" w:ascii="宋体" w:hAnsi="宋体" w:eastAsia="宋体" w:cs="宋体"/>
          <w:b/>
          <w:color w:val="000000" w:themeColor="text1"/>
          <w:kern w:val="44"/>
          <w:sz w:val="36"/>
          <w:szCs w:val="36"/>
          <w:highlight w:val="none"/>
          <w:lang w:val="en-US" w:eastAsia="zh-CN" w:bidi="ar-SA"/>
          <w14:textFill>
            <w14:solidFill>
              <w14:schemeClr w14:val="tx1"/>
            </w14:solidFill>
          </w14:textFill>
        </w:rPr>
        <w:t>合同条款及格式</w:t>
      </w:r>
    </w:p>
    <w:p w14:paraId="4C8F7DFF">
      <w:pPr>
        <w:pStyle w:val="3"/>
        <w:rPr>
          <w:rFonts w:hint="eastAsia" w:ascii="宋体" w:hAnsi="宋体" w:eastAsia="宋体" w:cs="宋体"/>
          <w:b/>
          <w:color w:val="000000" w:themeColor="text1"/>
          <w:kern w:val="44"/>
          <w:sz w:val="30"/>
          <w:szCs w:val="30"/>
          <w:highlight w:val="none"/>
          <w:lang w:val="en-US" w:eastAsia="zh-CN" w:bidi="ar-SA"/>
          <w14:textFill>
            <w14:solidFill>
              <w14:schemeClr w14:val="tx1"/>
            </w14:solidFill>
          </w14:textFill>
        </w:rPr>
      </w:pPr>
    </w:p>
    <w:p w14:paraId="5C0128D6">
      <w:pPr>
        <w:pStyle w:val="4"/>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2026年度商洛市消费品以旧换新第三方审核</w:t>
      </w:r>
    </w:p>
    <w:p w14:paraId="6E7D09CB">
      <w:pPr>
        <w:pStyle w:val="4"/>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8"/>
          <w:szCs w:val="21"/>
          <w:highlight w:val="none"/>
          <w:lang w:eastAsia="zh-CN"/>
        </w:rPr>
      </w:pPr>
      <w:r>
        <w:rPr>
          <w:rFonts w:hint="eastAsia" w:ascii="宋体" w:hAnsi="宋体" w:eastAsia="宋体" w:cs="宋体"/>
          <w:b/>
          <w:bCs/>
          <w:color w:val="auto"/>
          <w:sz w:val="44"/>
          <w:szCs w:val="44"/>
          <w:highlight w:val="none"/>
          <w:lang w:val="en-US" w:eastAsia="zh-CN"/>
        </w:rPr>
        <w:t>服务项目</w:t>
      </w:r>
    </w:p>
    <w:p w14:paraId="37C61BE1">
      <w:pPr>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highlight w:val="none"/>
        </w:rPr>
      </w:pPr>
    </w:p>
    <w:p w14:paraId="0A15F246">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highlight w:val="none"/>
        </w:rPr>
      </w:pPr>
    </w:p>
    <w:p w14:paraId="603B6DAA">
      <w:pPr>
        <w:pStyle w:val="4"/>
        <w:pageBreakBefore w:val="0"/>
        <w:kinsoku/>
        <w:overflowPunct/>
        <w:bidi w:val="0"/>
        <w:adjustRightInd w:val="0"/>
        <w:snapToGrid w:val="0"/>
        <w:spacing w:line="360" w:lineRule="auto"/>
        <w:rPr>
          <w:rFonts w:hint="eastAsia" w:ascii="宋体" w:hAnsi="宋体" w:eastAsia="宋体" w:cs="宋体"/>
          <w:color w:val="auto"/>
          <w:highlight w:val="none"/>
        </w:rPr>
      </w:pPr>
    </w:p>
    <w:p w14:paraId="568DC5B9">
      <w:pPr>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highlight w:val="none"/>
        </w:rPr>
      </w:pPr>
    </w:p>
    <w:p w14:paraId="625099A1">
      <w:pPr>
        <w:keepNext w:val="0"/>
        <w:keepLines w:val="0"/>
        <w:pageBreakBefore w:val="0"/>
        <w:widowControl w:val="0"/>
        <w:kinsoku/>
        <w:wordWrap/>
        <w:overflowPunct/>
        <w:topLinePunct w:val="0"/>
        <w:autoSpaceDE/>
        <w:autoSpaceDN/>
        <w:bidi w:val="0"/>
        <w:adjustRightInd w:val="0"/>
        <w:snapToGrid w:val="0"/>
        <w:spacing w:line="360" w:lineRule="auto"/>
        <w:ind w:firstLine="0"/>
        <w:jc w:val="center"/>
        <w:textAlignment w:val="auto"/>
        <w:outlineLvl w:val="1"/>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（示范文本，最终以签订为准）</w:t>
      </w:r>
    </w:p>
    <w:p w14:paraId="570A742D">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auto"/>
          <w:highlight w:val="yellow"/>
        </w:rPr>
      </w:pPr>
    </w:p>
    <w:p w14:paraId="0CD51AEC">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auto"/>
          <w:highlight w:val="yellow"/>
        </w:rPr>
      </w:pPr>
    </w:p>
    <w:p w14:paraId="3283DAA8">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auto"/>
          <w:highlight w:val="yellow"/>
        </w:rPr>
      </w:pPr>
    </w:p>
    <w:p w14:paraId="3E0C9753">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auto"/>
          <w:highlight w:val="yellow"/>
        </w:rPr>
      </w:pPr>
    </w:p>
    <w:p w14:paraId="5C0D155A">
      <w:pPr>
        <w:pStyle w:val="4"/>
        <w:pageBreakBefore w:val="0"/>
        <w:kinsoku/>
        <w:overflowPunct/>
        <w:bidi w:val="0"/>
        <w:adjustRightInd w:val="0"/>
        <w:snapToGrid w:val="0"/>
        <w:spacing w:line="360" w:lineRule="auto"/>
        <w:rPr>
          <w:rFonts w:hint="eastAsia" w:ascii="宋体" w:hAnsi="宋体" w:eastAsia="宋体" w:cs="宋体"/>
          <w:color w:val="auto"/>
          <w:highlight w:val="none"/>
        </w:rPr>
      </w:pPr>
    </w:p>
    <w:p w14:paraId="142AF2E4">
      <w:pPr>
        <w:pageBreakBefore w:val="0"/>
        <w:kinsoku/>
        <w:overflowPunct/>
        <w:bidi w:val="0"/>
        <w:adjustRightInd w:val="0"/>
        <w:snapToGrid w:val="0"/>
        <w:spacing w:line="360" w:lineRule="auto"/>
        <w:rPr>
          <w:rFonts w:hint="eastAsia" w:ascii="宋体" w:hAnsi="宋体" w:eastAsia="宋体" w:cs="宋体"/>
          <w:color w:val="auto"/>
          <w:highlight w:val="none"/>
        </w:rPr>
      </w:pPr>
    </w:p>
    <w:p w14:paraId="31FB02AB">
      <w:pPr>
        <w:pStyle w:val="4"/>
        <w:pageBreakBefore w:val="0"/>
        <w:kinsoku/>
        <w:overflowPunct/>
        <w:bidi w:val="0"/>
        <w:adjustRightInd w:val="0"/>
        <w:snapToGrid w:val="0"/>
        <w:spacing w:line="360" w:lineRule="auto"/>
        <w:rPr>
          <w:rFonts w:hint="eastAsia" w:ascii="宋体" w:hAnsi="宋体" w:eastAsia="宋体" w:cs="宋体"/>
          <w:color w:val="auto"/>
          <w:highlight w:val="none"/>
        </w:rPr>
      </w:pPr>
    </w:p>
    <w:p w14:paraId="58A3C7A0">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highlight w:val="none"/>
        </w:rPr>
      </w:pPr>
    </w:p>
    <w:p w14:paraId="2DE209F4">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highlight w:val="none"/>
        </w:rPr>
      </w:pPr>
    </w:p>
    <w:p w14:paraId="755B4B8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964" w:firstLineChars="300"/>
        <w:jc w:val="left"/>
        <w:textAlignment w:val="auto"/>
        <w:rPr>
          <w:rFonts w:hint="eastAsia" w:ascii="宋体" w:hAnsi="宋体" w:eastAsia="宋体" w:cs="宋体"/>
          <w:b/>
          <w:color w:val="auto"/>
          <w:kern w:val="0"/>
          <w:sz w:val="32"/>
          <w:szCs w:val="32"/>
          <w:highlight w:val="none"/>
          <w:u w:val="single"/>
          <w:lang w:val="en-US" w:eastAsia="zh-CN"/>
        </w:rPr>
      </w:pPr>
      <w:r>
        <w:rPr>
          <w:rFonts w:hint="eastAsia" w:ascii="宋体" w:hAnsi="宋体" w:eastAsia="宋体" w:cs="宋体"/>
          <w:b/>
          <w:color w:val="auto"/>
          <w:kern w:val="0"/>
          <w:sz w:val="32"/>
          <w:szCs w:val="32"/>
          <w:highlight w:val="none"/>
        </w:rPr>
        <w:t>甲方：</w:t>
      </w:r>
      <w:r>
        <w:rPr>
          <w:rFonts w:hint="eastAsia" w:ascii="宋体" w:hAnsi="宋体" w:eastAsia="宋体" w:cs="宋体"/>
          <w:b/>
          <w:color w:val="auto"/>
          <w:kern w:val="0"/>
          <w:sz w:val="32"/>
          <w:szCs w:val="32"/>
          <w:highlight w:val="none"/>
          <w:u w:val="single"/>
          <w:lang w:val="en-US" w:eastAsia="zh-CN"/>
        </w:rPr>
        <w:t xml:space="preserve">                              </w:t>
      </w:r>
    </w:p>
    <w:p w14:paraId="2A4E19E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964" w:firstLineChars="300"/>
        <w:jc w:val="left"/>
        <w:textAlignment w:val="auto"/>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乙方：</w:t>
      </w:r>
      <w:r>
        <w:rPr>
          <w:rFonts w:hint="eastAsia" w:ascii="宋体" w:hAnsi="宋体" w:eastAsia="宋体" w:cs="宋体"/>
          <w:b/>
          <w:color w:val="auto"/>
          <w:kern w:val="0"/>
          <w:sz w:val="32"/>
          <w:szCs w:val="32"/>
          <w:highlight w:val="none"/>
          <w:u w:val="single"/>
        </w:rPr>
        <w:t xml:space="preserve">                              </w:t>
      </w:r>
    </w:p>
    <w:p w14:paraId="31AEFA44">
      <w:pPr>
        <w:keepNext w:val="0"/>
        <w:keepLines w:val="0"/>
        <w:pageBreakBefore w:val="0"/>
        <w:widowControl w:val="0"/>
        <w:kinsoku/>
        <w:wordWrap/>
        <w:overflowPunct/>
        <w:topLinePunct w:val="0"/>
        <w:autoSpaceDE/>
        <w:autoSpaceDN/>
        <w:bidi w:val="0"/>
        <w:adjustRightInd w:val="0"/>
        <w:snapToGrid w:val="0"/>
        <w:spacing w:line="360" w:lineRule="auto"/>
        <w:ind w:left="1487" w:leftChars="708" w:firstLine="1606" w:firstLineChars="500"/>
        <w:jc w:val="left"/>
        <w:textAlignment w:val="auto"/>
        <w:rPr>
          <w:rFonts w:hint="eastAsia" w:ascii="宋体" w:hAnsi="宋体" w:eastAsia="宋体" w:cs="宋体"/>
          <w:b/>
          <w:color w:val="auto"/>
          <w:kern w:val="0"/>
          <w:sz w:val="32"/>
          <w:szCs w:val="32"/>
          <w:highlight w:val="none"/>
          <w:lang w:val="en-US" w:eastAsia="zh-CN"/>
        </w:rPr>
      </w:pPr>
      <w:r>
        <w:rPr>
          <w:rFonts w:hint="eastAsia" w:ascii="宋体" w:hAnsi="宋体" w:eastAsia="宋体" w:cs="宋体"/>
          <w:b/>
          <w:color w:val="auto"/>
          <w:kern w:val="0"/>
          <w:sz w:val="32"/>
          <w:szCs w:val="32"/>
          <w:highlight w:val="none"/>
        </w:rPr>
        <w:t>二〇二</w:t>
      </w:r>
      <w:r>
        <w:rPr>
          <w:rFonts w:hint="eastAsia" w:ascii="宋体" w:hAnsi="宋体" w:cs="宋体"/>
          <w:b/>
          <w:color w:val="auto"/>
          <w:kern w:val="0"/>
          <w:sz w:val="32"/>
          <w:szCs w:val="32"/>
          <w:highlight w:val="none"/>
          <w:lang w:val="en-US" w:eastAsia="zh-CN"/>
        </w:rPr>
        <w:t>六年</w:t>
      </w:r>
      <w:r>
        <w:rPr>
          <w:rFonts w:hint="eastAsia" w:ascii="宋体" w:hAnsi="宋体" w:eastAsia="宋体" w:cs="宋体"/>
          <w:b/>
          <w:color w:val="auto"/>
          <w:kern w:val="0"/>
          <w:sz w:val="32"/>
          <w:szCs w:val="32"/>
          <w:highlight w:val="none"/>
          <w:u w:val="single"/>
        </w:rPr>
        <w:t xml:space="preserve">   </w:t>
      </w:r>
      <w:r>
        <w:rPr>
          <w:rFonts w:hint="eastAsia" w:ascii="宋体" w:hAnsi="宋体" w:cs="宋体"/>
          <w:b/>
          <w:color w:val="auto"/>
          <w:kern w:val="0"/>
          <w:sz w:val="32"/>
          <w:szCs w:val="32"/>
          <w:highlight w:val="none"/>
          <w:u w:val="single"/>
          <w:lang w:val="en-US" w:eastAsia="zh-CN"/>
        </w:rPr>
        <w:t xml:space="preserve">  </w:t>
      </w:r>
      <w:r>
        <w:rPr>
          <w:rFonts w:hint="eastAsia" w:ascii="宋体" w:hAnsi="宋体" w:cs="宋体"/>
          <w:b/>
          <w:color w:val="auto"/>
          <w:kern w:val="0"/>
          <w:sz w:val="32"/>
          <w:szCs w:val="32"/>
          <w:highlight w:val="none"/>
          <w:u w:val="none"/>
          <w:lang w:val="en-US" w:eastAsia="zh-CN"/>
        </w:rPr>
        <w:t>月</w:t>
      </w:r>
    </w:p>
    <w:p w14:paraId="534D13C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4"/>
          <w:szCs w:val="24"/>
          <w:highlight w:val="none"/>
        </w:rPr>
      </w:pPr>
    </w:p>
    <w:p w14:paraId="44DE2574">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eastAsia="zh-CN"/>
        </w:rPr>
      </w:pPr>
    </w:p>
    <w:p w14:paraId="4EFDE027">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eastAsia="zh-CN"/>
        </w:rPr>
      </w:pPr>
    </w:p>
    <w:p w14:paraId="64005D33">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eastAsia="zh-CN"/>
        </w:rPr>
      </w:pPr>
    </w:p>
    <w:p w14:paraId="135B15CB">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采购人</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甲方</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03E09023">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供应商</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乙方</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w:t>
      </w:r>
    </w:p>
    <w:p w14:paraId="75BF0837">
      <w:pPr>
        <w:keepNext w:val="0"/>
        <w:keepLines w:val="0"/>
        <w:pageBreakBefore w:val="0"/>
        <w:wordWrap/>
        <w:overflowPunct/>
        <w:topLinePunct w:val="0"/>
        <w:bidi w:val="0"/>
        <w:adjustRightInd w:val="0"/>
        <w:snapToGrid w:val="0"/>
        <w:spacing w:line="360" w:lineRule="auto"/>
        <w:ind w:left="0" w:right="0" w:firstLine="520"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0"/>
          <w:sz w:val="24"/>
          <w:szCs w:val="24"/>
          <w:highlight w:val="none"/>
        </w:rPr>
        <w:t>商洛市商务局</w:t>
      </w:r>
      <w:r>
        <w:rPr>
          <w:rFonts w:hint="eastAsia" w:ascii="宋体" w:hAnsi="宋体" w:cs="宋体"/>
          <w:color w:val="auto"/>
          <w:spacing w:val="10"/>
          <w:sz w:val="24"/>
          <w:szCs w:val="24"/>
          <w:highlight w:val="none"/>
          <w:lang w:eastAsia="zh-CN"/>
        </w:rPr>
        <w:t>（</w:t>
      </w:r>
      <w:r>
        <w:rPr>
          <w:rFonts w:hint="eastAsia" w:ascii="宋体" w:hAnsi="宋体" w:eastAsia="宋体" w:cs="宋体"/>
          <w:color w:val="auto"/>
          <w:spacing w:val="10"/>
          <w:sz w:val="24"/>
          <w:szCs w:val="24"/>
          <w:highlight w:val="none"/>
        </w:rPr>
        <w:t>以下简称甲方</w:t>
      </w:r>
      <w:r>
        <w:rPr>
          <w:rFonts w:hint="eastAsia" w:ascii="宋体" w:hAnsi="宋体" w:cs="宋体"/>
          <w:color w:val="auto"/>
          <w:spacing w:val="10"/>
          <w:sz w:val="24"/>
          <w:szCs w:val="24"/>
          <w:highlight w:val="none"/>
          <w:lang w:eastAsia="zh-CN"/>
        </w:rPr>
        <w:t>）</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u w:val="single"/>
        </w:rPr>
        <w:t>采购项目名称</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rPr>
        <w:t>项目，按照招标程序，采用</w:t>
      </w:r>
      <w:r>
        <w:rPr>
          <w:rFonts w:hint="eastAsia" w:ascii="宋体" w:hAnsi="宋体" w:cs="宋体"/>
          <w:color w:val="auto"/>
          <w:spacing w:val="10"/>
          <w:sz w:val="24"/>
          <w:szCs w:val="24"/>
          <w:highlight w:val="none"/>
          <w:lang w:val="en-US" w:eastAsia="zh-CN"/>
        </w:rPr>
        <w:t>竞争性磋商</w:t>
      </w:r>
      <w:r>
        <w:rPr>
          <w:rFonts w:hint="eastAsia" w:ascii="宋体" w:hAnsi="宋体" w:eastAsia="宋体" w:cs="宋体"/>
          <w:color w:val="auto"/>
          <w:spacing w:val="10"/>
          <w:sz w:val="24"/>
          <w:szCs w:val="24"/>
          <w:highlight w:val="none"/>
        </w:rPr>
        <w:t>采购的方式，选定</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rPr>
        <w:t>公司</w:t>
      </w:r>
      <w:r>
        <w:rPr>
          <w:rFonts w:hint="eastAsia" w:ascii="宋体" w:hAnsi="宋体" w:cs="宋体"/>
          <w:color w:val="auto"/>
          <w:spacing w:val="10"/>
          <w:sz w:val="24"/>
          <w:szCs w:val="24"/>
          <w:highlight w:val="none"/>
          <w:lang w:eastAsia="zh-CN"/>
        </w:rPr>
        <w:t>（</w:t>
      </w:r>
      <w:r>
        <w:rPr>
          <w:rFonts w:hint="eastAsia" w:ascii="宋体" w:hAnsi="宋体" w:eastAsia="宋体" w:cs="宋体"/>
          <w:color w:val="auto"/>
          <w:spacing w:val="10"/>
          <w:sz w:val="24"/>
          <w:szCs w:val="24"/>
          <w:highlight w:val="none"/>
        </w:rPr>
        <w:t>以下简称乙方</w:t>
      </w:r>
      <w:r>
        <w:rPr>
          <w:rFonts w:hint="eastAsia" w:ascii="宋体" w:hAnsi="宋体" w:cs="宋体"/>
          <w:color w:val="auto"/>
          <w:spacing w:val="10"/>
          <w:sz w:val="24"/>
          <w:szCs w:val="24"/>
          <w:highlight w:val="none"/>
          <w:lang w:eastAsia="zh-CN"/>
        </w:rPr>
        <w:t>）</w:t>
      </w:r>
      <w:r>
        <w:rPr>
          <w:rFonts w:hint="eastAsia" w:ascii="宋体" w:hAnsi="宋体" w:eastAsia="宋体" w:cs="宋体"/>
          <w:color w:val="auto"/>
          <w:spacing w:val="10"/>
          <w:sz w:val="24"/>
          <w:szCs w:val="24"/>
          <w:highlight w:val="none"/>
        </w:rPr>
        <w:t>为中标投标人。依据国家《中华人民共和国民法典》及</w:t>
      </w:r>
      <w:r>
        <w:rPr>
          <w:rFonts w:hint="eastAsia" w:ascii="宋体" w:hAnsi="宋体" w:cs="宋体"/>
          <w:color w:val="auto"/>
          <w:spacing w:val="10"/>
          <w:sz w:val="24"/>
          <w:szCs w:val="24"/>
          <w:highlight w:val="none"/>
          <w:lang w:val="en-US" w:eastAsia="zh-CN"/>
        </w:rPr>
        <w:t>磋商</w:t>
      </w:r>
      <w:r>
        <w:rPr>
          <w:rFonts w:hint="eastAsia" w:ascii="宋体" w:hAnsi="宋体" w:eastAsia="宋体" w:cs="宋体"/>
          <w:color w:val="auto"/>
          <w:spacing w:val="10"/>
          <w:sz w:val="24"/>
          <w:szCs w:val="24"/>
          <w:highlight w:val="none"/>
        </w:rPr>
        <w:t>文件和乙方的</w:t>
      </w:r>
      <w:r>
        <w:rPr>
          <w:rFonts w:hint="eastAsia" w:ascii="宋体" w:hAnsi="宋体" w:cs="宋体"/>
          <w:color w:val="auto"/>
          <w:spacing w:val="10"/>
          <w:sz w:val="24"/>
          <w:szCs w:val="24"/>
          <w:highlight w:val="none"/>
          <w:lang w:val="en-US" w:eastAsia="zh-CN"/>
        </w:rPr>
        <w:t>响应</w:t>
      </w:r>
      <w:r>
        <w:rPr>
          <w:rFonts w:hint="eastAsia" w:ascii="宋体" w:hAnsi="宋体" w:eastAsia="宋体" w:cs="宋体"/>
          <w:color w:val="auto"/>
          <w:spacing w:val="10"/>
          <w:sz w:val="24"/>
          <w:szCs w:val="24"/>
          <w:highlight w:val="none"/>
        </w:rPr>
        <w:t>文件，经甲、乙双方协商，达成如下合同条款。经协商，于</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rPr>
        <w:t>年</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rPr>
        <w:t>月</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rPr>
        <w:t>日按下述条款和条件签署本合同</w:t>
      </w:r>
      <w:r>
        <w:rPr>
          <w:rFonts w:hint="eastAsia" w:ascii="宋体" w:hAnsi="宋体" w:cs="宋体"/>
          <w:color w:val="auto"/>
          <w:spacing w:val="10"/>
          <w:sz w:val="24"/>
          <w:szCs w:val="24"/>
          <w:highlight w:val="none"/>
          <w:lang w:eastAsia="zh-CN"/>
        </w:rPr>
        <w:t>。</w:t>
      </w:r>
    </w:p>
    <w:p w14:paraId="207266B9">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一、项目概况</w:t>
      </w:r>
    </w:p>
    <w:p w14:paraId="58510EF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项目名称：</w:t>
      </w:r>
      <w:r>
        <w:rPr>
          <w:rFonts w:hint="eastAsia" w:ascii="宋体" w:hAnsi="宋体" w:eastAsia="宋体" w:cs="宋体"/>
          <w:b w:val="0"/>
          <w:bCs/>
          <w:color w:val="auto"/>
          <w:spacing w:val="8"/>
          <w:sz w:val="24"/>
          <w:szCs w:val="24"/>
          <w:highlight w:val="none"/>
          <w:u w:val="single" w:color="auto"/>
          <w:lang w:val="en-US" w:eastAsia="zh-CN"/>
        </w:rPr>
        <w:t xml:space="preserve">                                        </w:t>
      </w:r>
      <w:r>
        <w:rPr>
          <w:rFonts w:hint="eastAsia" w:ascii="宋体" w:hAnsi="宋体" w:eastAsia="宋体" w:cs="宋体"/>
          <w:b w:val="0"/>
          <w:bCs/>
          <w:color w:val="auto"/>
          <w:spacing w:val="8"/>
          <w:sz w:val="24"/>
          <w:szCs w:val="24"/>
          <w:highlight w:val="none"/>
          <w:u w:val="single" w:color="auto"/>
        </w:rPr>
        <w:t xml:space="preserve"> </w:t>
      </w:r>
      <w:r>
        <w:rPr>
          <w:rFonts w:hint="eastAsia" w:ascii="宋体" w:hAnsi="宋体" w:eastAsia="宋体" w:cs="宋体"/>
          <w:b w:val="0"/>
          <w:bCs/>
          <w:color w:val="auto"/>
          <w:spacing w:val="8"/>
          <w:sz w:val="24"/>
          <w:szCs w:val="24"/>
          <w:highlight w:val="none"/>
        </w:rPr>
        <w:t>；</w:t>
      </w:r>
    </w:p>
    <w:p w14:paraId="66CD167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pacing w:val="8"/>
          <w:sz w:val="24"/>
          <w:szCs w:val="24"/>
          <w:highlight w:val="none"/>
        </w:rPr>
      </w:pPr>
      <w:r>
        <w:rPr>
          <w:rFonts w:hint="eastAsia" w:ascii="宋体" w:hAnsi="宋体" w:eastAsia="宋体" w:cs="宋体"/>
          <w:b w:val="0"/>
          <w:bCs/>
          <w:color w:val="auto"/>
          <w:sz w:val="24"/>
          <w:szCs w:val="24"/>
          <w:highlight w:val="none"/>
          <w:lang w:val="en-US" w:eastAsia="zh-CN"/>
        </w:rPr>
        <w:t>2、项目地点：</w:t>
      </w:r>
      <w:r>
        <w:rPr>
          <w:rFonts w:hint="eastAsia" w:ascii="宋体" w:hAnsi="宋体" w:eastAsia="宋体" w:cs="宋体"/>
          <w:b w:val="0"/>
          <w:bCs/>
          <w:color w:val="auto"/>
          <w:spacing w:val="8"/>
          <w:sz w:val="24"/>
          <w:szCs w:val="24"/>
          <w:highlight w:val="none"/>
          <w:u w:val="single" w:color="auto"/>
          <w:lang w:val="en-US" w:eastAsia="zh-CN"/>
        </w:rPr>
        <w:t xml:space="preserve">                                        </w:t>
      </w:r>
      <w:r>
        <w:rPr>
          <w:rFonts w:hint="eastAsia" w:ascii="宋体" w:hAnsi="宋体" w:eastAsia="宋体" w:cs="宋体"/>
          <w:b w:val="0"/>
          <w:bCs/>
          <w:color w:val="auto"/>
          <w:spacing w:val="8"/>
          <w:sz w:val="24"/>
          <w:szCs w:val="24"/>
          <w:highlight w:val="none"/>
          <w:u w:val="single" w:color="auto"/>
        </w:rPr>
        <w:t xml:space="preserve"> </w:t>
      </w:r>
      <w:r>
        <w:rPr>
          <w:rFonts w:hint="eastAsia" w:ascii="宋体" w:hAnsi="宋体" w:eastAsia="宋体" w:cs="宋体"/>
          <w:b w:val="0"/>
          <w:bCs/>
          <w:color w:val="auto"/>
          <w:spacing w:val="8"/>
          <w:sz w:val="24"/>
          <w:szCs w:val="24"/>
          <w:highlight w:val="none"/>
        </w:rPr>
        <w:t>；</w:t>
      </w:r>
    </w:p>
    <w:p w14:paraId="5A726598">
      <w:pPr>
        <w:pStyle w:val="2"/>
        <w:rPr>
          <w:rFonts w:hint="default" w:eastAsia="宋体"/>
          <w:u w:val="none"/>
          <w:lang w:val="en-US" w:eastAsia="zh-CN"/>
        </w:rPr>
      </w:pPr>
      <w:r>
        <w:rPr>
          <w:rFonts w:hint="eastAsia" w:ascii="宋体" w:hAnsi="宋体" w:cs="宋体"/>
          <w:b w:val="0"/>
          <w:bCs/>
          <w:color w:val="auto"/>
          <w:spacing w:val="8"/>
          <w:sz w:val="24"/>
          <w:szCs w:val="24"/>
          <w:highlight w:val="none"/>
          <w:lang w:val="en-US" w:eastAsia="zh-CN"/>
        </w:rPr>
        <w:t>3、项目内容：</w:t>
      </w:r>
      <w:r>
        <w:rPr>
          <w:rFonts w:hint="eastAsia" w:ascii="宋体" w:hAnsi="宋体" w:cs="宋体"/>
          <w:b w:val="0"/>
          <w:bCs/>
          <w:color w:val="auto"/>
          <w:spacing w:val="8"/>
          <w:sz w:val="24"/>
          <w:szCs w:val="24"/>
          <w:highlight w:val="none"/>
          <w:u w:val="single"/>
          <w:lang w:val="en-US" w:eastAsia="zh-CN"/>
        </w:rPr>
        <w:t xml:space="preserve">                                        </w:t>
      </w:r>
      <w:r>
        <w:rPr>
          <w:rFonts w:hint="eastAsia" w:ascii="宋体" w:hAnsi="宋体" w:cs="宋体"/>
          <w:b w:val="0"/>
          <w:bCs/>
          <w:color w:val="auto"/>
          <w:spacing w:val="8"/>
          <w:sz w:val="24"/>
          <w:szCs w:val="24"/>
          <w:highlight w:val="none"/>
          <w:u w:val="none"/>
          <w:lang w:val="en-US" w:eastAsia="zh-CN"/>
        </w:rPr>
        <w:t>。</w:t>
      </w:r>
    </w:p>
    <w:p w14:paraId="3CA671FE">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二、组成本合同的文件</w:t>
      </w:r>
    </w:p>
    <w:p w14:paraId="540A496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1.协议书；</w:t>
      </w:r>
    </w:p>
    <w:p w14:paraId="1638943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2.响应</w:t>
      </w:r>
      <w:r>
        <w:rPr>
          <w:rFonts w:hint="eastAsia" w:ascii="宋体" w:hAnsi="宋体" w:eastAsia="宋体" w:cs="宋体"/>
          <w:b w:val="0"/>
          <w:bCs/>
          <w:color w:val="auto"/>
          <w:sz w:val="24"/>
          <w:szCs w:val="24"/>
          <w:highlight w:val="none"/>
          <w:lang w:val="en-US" w:eastAsia="zh-CN"/>
        </w:rPr>
        <w:t>文件、澄清、中标通知书；</w:t>
      </w:r>
    </w:p>
    <w:p w14:paraId="301A87C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val="en-US" w:eastAsia="zh-CN"/>
        </w:rPr>
        <w:t>相关服务建议书；</w:t>
      </w:r>
    </w:p>
    <w:p w14:paraId="2F8C911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4.附录，即：附表内相关服务的范围和内容</w:t>
      </w:r>
    </w:p>
    <w:p w14:paraId="52DA372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本合同签订后，双方依法签订的补充协议</w:t>
      </w:r>
      <w:r>
        <w:rPr>
          <w:rFonts w:hint="eastAsia" w:ascii="宋体" w:hAnsi="宋体" w:cs="宋体"/>
          <w:b w:val="0"/>
          <w:bCs/>
          <w:color w:val="auto"/>
          <w:sz w:val="24"/>
          <w:szCs w:val="24"/>
          <w:highlight w:val="none"/>
          <w:lang w:val="en-US" w:eastAsia="zh-CN"/>
        </w:rPr>
        <w:t>、备忘录</w:t>
      </w:r>
      <w:r>
        <w:rPr>
          <w:rFonts w:hint="eastAsia" w:ascii="宋体" w:hAnsi="宋体" w:eastAsia="宋体" w:cs="宋体"/>
          <w:b w:val="0"/>
          <w:bCs/>
          <w:color w:val="auto"/>
          <w:sz w:val="24"/>
          <w:szCs w:val="24"/>
          <w:highlight w:val="none"/>
          <w:lang w:val="en-US" w:eastAsia="zh-CN"/>
        </w:rPr>
        <w:t>也是本合同文件的组成部分。</w:t>
      </w:r>
    </w:p>
    <w:p w14:paraId="270ECF4E">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三、合同总价</w:t>
      </w:r>
    </w:p>
    <w:p w14:paraId="2E592018">
      <w:pPr>
        <w:keepNext w:val="0"/>
        <w:keepLines w:val="0"/>
        <w:pageBreakBefore w:val="0"/>
        <w:wordWrap/>
        <w:overflowPunct/>
        <w:topLinePunct w:val="0"/>
        <w:bidi w:val="0"/>
        <w:adjustRightInd w:val="0"/>
        <w:snapToGrid w:val="0"/>
        <w:spacing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 xml:space="preserve">合同总价 </w:t>
      </w:r>
      <w:r>
        <w:rPr>
          <w:rFonts w:hint="eastAsia" w:ascii="宋体" w:hAnsi="宋体" w:cs="宋体"/>
          <w:b/>
          <w:color w:val="auto"/>
          <w:sz w:val="24"/>
          <w:szCs w:val="24"/>
          <w:highlight w:val="none"/>
          <w:lang w:val="en-US" w:eastAsia="zh-CN"/>
        </w:rPr>
        <w:t>（</w:t>
      </w:r>
      <w:r>
        <w:rPr>
          <w:rFonts w:hint="eastAsia" w:ascii="宋体" w:hAnsi="宋体" w:eastAsia="宋体" w:cs="宋体"/>
          <w:color w:val="auto"/>
          <w:spacing w:val="-1"/>
          <w:sz w:val="24"/>
          <w:szCs w:val="24"/>
          <w:highlight w:val="none"/>
        </w:rPr>
        <w:t>大写</w:t>
      </w:r>
      <w:r>
        <w:rPr>
          <w:rFonts w:hint="eastAsia" w:ascii="宋体" w:hAnsi="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pacing w:val="-1"/>
          <w:sz w:val="24"/>
          <w:szCs w:val="24"/>
          <w:highlight w:val="none"/>
          <w:u w:val="single" w:color="auto"/>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rPr>
        <w:t>) ；</w:t>
      </w:r>
    </w:p>
    <w:p w14:paraId="06B89C6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合同单价一次包死，不受市场</w:t>
      </w:r>
      <w:r>
        <w:rPr>
          <w:rFonts w:hint="eastAsia" w:ascii="宋体" w:hAnsi="宋体" w:cs="宋体"/>
          <w:b w:val="0"/>
          <w:bCs/>
          <w:color w:val="auto"/>
          <w:sz w:val="24"/>
          <w:szCs w:val="24"/>
          <w:highlight w:val="none"/>
          <w:lang w:val="en-US" w:eastAsia="zh-CN"/>
        </w:rPr>
        <w:t>价格</w:t>
      </w:r>
      <w:r>
        <w:rPr>
          <w:rFonts w:hint="eastAsia" w:ascii="宋体" w:hAnsi="宋体" w:eastAsia="宋体" w:cs="宋体"/>
          <w:b w:val="0"/>
          <w:bCs/>
          <w:color w:val="auto"/>
          <w:sz w:val="24"/>
          <w:szCs w:val="24"/>
          <w:highlight w:val="none"/>
          <w:lang w:val="en-US" w:eastAsia="zh-CN"/>
        </w:rPr>
        <w:t>变化或实际工作量变化的影响</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合同价格为含税价。供应商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中标人</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提供服务所发生的一切税</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包括增值税</w:t>
      </w:r>
      <w:r>
        <w:rPr>
          <w:rFonts w:hint="eastAsia" w:ascii="宋体" w:hAnsi="宋体" w:cs="宋体"/>
          <w:b w:val="0"/>
          <w:bCs/>
          <w:color w:val="auto"/>
          <w:sz w:val="24"/>
          <w:szCs w:val="24"/>
          <w:highlight w:val="none"/>
          <w:lang w:val="en-US" w:eastAsia="zh-CN"/>
        </w:rPr>
        <w:t>）费用</w:t>
      </w:r>
      <w:r>
        <w:rPr>
          <w:rFonts w:hint="eastAsia" w:ascii="宋体" w:hAnsi="宋体" w:eastAsia="宋体" w:cs="宋体"/>
          <w:b w:val="0"/>
          <w:bCs/>
          <w:color w:val="auto"/>
          <w:sz w:val="24"/>
          <w:szCs w:val="24"/>
          <w:highlight w:val="none"/>
          <w:lang w:val="en-US" w:eastAsia="zh-CN"/>
        </w:rPr>
        <w:t>等都已包含于合同价款中。</w:t>
      </w:r>
    </w:p>
    <w:p w14:paraId="257D9D48">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四、合同结算</w:t>
      </w:r>
    </w:p>
    <w:p w14:paraId="03069AC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bookmarkStart w:id="0" w:name="_bookmark6"/>
      <w:bookmarkEnd w:id="0"/>
      <w:r>
        <w:rPr>
          <w:rFonts w:hint="eastAsia" w:ascii="宋体" w:hAnsi="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t>结算单位：银行转账，由采购人负责结算。在付款前，供应商必须开具与合同金额相应的发票给采购人，附详细清单。</w:t>
      </w:r>
    </w:p>
    <w:p w14:paraId="214609A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left"/>
        <w:textAlignment w:val="baseline"/>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付款方式：服务内容完成过半时 ，达到付款条件起 10 日内，支付合同总金额的 50%</w:t>
      </w:r>
      <w:r>
        <w:rPr>
          <w:rFonts w:hint="eastAsia" w:ascii="宋体" w:hAnsi="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成交供应商按约履行完毕所有义务并经采购人验收合格后 ，达到付款条件起 10 日内，支付合同总金额的 50%。</w:t>
      </w:r>
    </w:p>
    <w:p w14:paraId="14B0FC3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default" w:ascii="宋体" w:hAnsi="宋体" w:eastAsia="宋体" w:cs="宋体"/>
          <w:color w:val="auto"/>
          <w:sz w:val="24"/>
          <w:szCs w:val="24"/>
          <w:highlight w:val="none"/>
          <w:lang w:val="en-US"/>
        </w:rPr>
      </w:pPr>
      <w:r>
        <w:rPr>
          <w:rFonts w:hint="eastAsia" w:ascii="宋体" w:hAnsi="宋体" w:eastAsia="宋体" w:cs="宋体"/>
          <w:b/>
          <w:bCs w:val="0"/>
          <w:color w:val="000000"/>
          <w:sz w:val="24"/>
          <w:szCs w:val="24"/>
          <w:highlight w:val="none"/>
          <w:u w:val="none"/>
          <w:lang w:val="en-US" w:eastAsia="zh-CN"/>
        </w:rPr>
        <w:t>五</w:t>
      </w:r>
      <w:r>
        <w:rPr>
          <w:rFonts w:hint="eastAsia" w:ascii="宋体" w:hAnsi="宋体" w:eastAsia="宋体" w:cs="宋体"/>
          <w:b/>
          <w:color w:val="auto"/>
          <w:sz w:val="24"/>
          <w:szCs w:val="24"/>
          <w:highlight w:val="none"/>
          <w:lang w:val="en-US" w:eastAsia="zh-CN"/>
        </w:rPr>
        <w:t>、</w:t>
      </w:r>
      <w:r>
        <w:rPr>
          <w:rFonts w:hint="eastAsia" w:ascii="宋体" w:hAnsi="宋体" w:cs="宋体"/>
          <w:b/>
          <w:color w:val="auto"/>
          <w:sz w:val="24"/>
          <w:szCs w:val="24"/>
          <w:highlight w:val="none"/>
          <w:lang w:val="en-US" w:eastAsia="zh-CN"/>
        </w:rPr>
        <w:t>期限</w:t>
      </w:r>
    </w:p>
    <w:p w14:paraId="12153D7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Cs/>
          <w:color w:val="000000"/>
          <w:sz w:val="24"/>
          <w:szCs w:val="24"/>
          <w:highlight w:val="none"/>
          <w:u w:val="none"/>
          <w:lang w:val="en-US" w:eastAsia="zh-CN"/>
        </w:rPr>
        <w:t>自合同签订之日起至2026年度消费品以旧换新工作全部结束、审核清算完成、资料归档完毕止。</w:t>
      </w:r>
    </w:p>
    <w:p w14:paraId="20321A2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六、</w:t>
      </w:r>
      <w:r>
        <w:rPr>
          <w:rFonts w:hint="eastAsia" w:ascii="宋体" w:hAnsi="宋体" w:cs="宋体"/>
          <w:b/>
          <w:color w:val="auto"/>
          <w:sz w:val="24"/>
          <w:szCs w:val="24"/>
          <w:highlight w:val="none"/>
          <w:lang w:val="en-US" w:eastAsia="zh-CN"/>
        </w:rPr>
        <w:t>双方承诺</w:t>
      </w:r>
    </w:p>
    <w:p w14:paraId="5FA6C3E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t>供应商向采购人承诺，按照本合同约定提供相关服务。</w:t>
      </w:r>
    </w:p>
    <w:p w14:paraId="49CEC28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en-US" w:eastAsia="zh-CN"/>
        </w:rPr>
        <w:t>采购人向供应商承诺，按照本合同约定支付服务款项。</w:t>
      </w:r>
    </w:p>
    <w:p w14:paraId="66DC111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七、</w:t>
      </w:r>
      <w:r>
        <w:rPr>
          <w:rFonts w:hint="eastAsia" w:ascii="宋体" w:hAnsi="宋体" w:cs="宋体"/>
          <w:b/>
          <w:color w:val="auto"/>
          <w:sz w:val="24"/>
          <w:szCs w:val="24"/>
          <w:highlight w:val="none"/>
          <w:lang w:val="en-US" w:eastAsia="zh-CN"/>
        </w:rPr>
        <w:t>内容及要求</w:t>
      </w:r>
    </w:p>
    <w:p w14:paraId="56E098A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即服务内容与</w:t>
      </w:r>
      <w:r>
        <w:rPr>
          <w:rFonts w:hint="eastAsia" w:ascii="宋体" w:hAnsi="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val="en-US" w:eastAsia="zh-CN"/>
        </w:rPr>
        <w:t>文件、中标通知书等所指明的，或者与本合同所指明的服务内容相一致。</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附清单</w:t>
      </w:r>
      <w:r>
        <w:rPr>
          <w:rFonts w:hint="eastAsia" w:ascii="宋体" w:hAnsi="宋体" w:cs="宋体"/>
          <w:b w:val="0"/>
          <w:bCs/>
          <w:color w:val="auto"/>
          <w:sz w:val="24"/>
          <w:szCs w:val="24"/>
          <w:highlight w:val="none"/>
          <w:lang w:val="en-US" w:eastAsia="zh-CN"/>
        </w:rPr>
        <w:t>）</w:t>
      </w:r>
    </w:p>
    <w:p w14:paraId="112F3D9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八、</w:t>
      </w:r>
      <w:r>
        <w:rPr>
          <w:rFonts w:hint="eastAsia" w:ascii="宋体" w:hAnsi="宋体" w:cs="宋体"/>
          <w:b/>
          <w:color w:val="auto"/>
          <w:sz w:val="24"/>
          <w:szCs w:val="24"/>
          <w:highlight w:val="none"/>
          <w:lang w:val="en-US" w:eastAsia="zh-CN"/>
        </w:rPr>
        <w:t>项目服务地点：采购人指定地点。</w:t>
      </w:r>
    </w:p>
    <w:p w14:paraId="3F1876C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九、</w:t>
      </w:r>
      <w:r>
        <w:rPr>
          <w:rFonts w:hint="eastAsia" w:ascii="宋体" w:hAnsi="宋体" w:cs="宋体"/>
          <w:b/>
          <w:color w:val="auto"/>
          <w:sz w:val="24"/>
          <w:szCs w:val="24"/>
          <w:highlight w:val="none"/>
          <w:lang w:val="en-US" w:eastAsia="zh-CN"/>
        </w:rPr>
        <w:t>保密</w:t>
      </w:r>
    </w:p>
    <w:p w14:paraId="2F1470E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双方须对工作中了解到的使用单位技术、机密等进行严格保密，不得向他人泄漏。</w:t>
      </w:r>
    </w:p>
    <w:p w14:paraId="4227C94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十、知识产权</w:t>
      </w:r>
    </w:p>
    <w:p w14:paraId="256E344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供应商应保证投标产品及服务不会出现因第三方提出侵犯其专利权、商标权或</w:t>
      </w:r>
      <w:r>
        <w:rPr>
          <w:rFonts w:hint="eastAsia" w:ascii="宋体" w:hAnsi="宋体" w:cs="宋体"/>
          <w:b w:val="0"/>
          <w:bCs/>
          <w:color w:val="auto"/>
          <w:sz w:val="24"/>
          <w:szCs w:val="24"/>
          <w:highlight w:val="none"/>
          <w:lang w:val="en-US" w:eastAsia="zh-CN"/>
        </w:rPr>
        <w:t>其他</w:t>
      </w:r>
      <w:r>
        <w:rPr>
          <w:rFonts w:hint="eastAsia" w:ascii="宋体" w:hAnsi="宋体" w:eastAsia="宋体" w:cs="宋体"/>
          <w:b w:val="0"/>
          <w:bCs/>
          <w:color w:val="auto"/>
          <w:sz w:val="24"/>
          <w:szCs w:val="24"/>
          <w:highlight w:val="none"/>
          <w:lang w:val="en-US" w:eastAsia="zh-CN"/>
        </w:rPr>
        <w:t>知识产权而引</w:t>
      </w:r>
      <w:r>
        <w:rPr>
          <w:rFonts w:hint="eastAsia" w:ascii="宋体" w:hAnsi="宋体" w:cs="宋体"/>
          <w:b w:val="0"/>
          <w:bCs/>
          <w:color w:val="auto"/>
          <w:sz w:val="24"/>
          <w:szCs w:val="24"/>
          <w:highlight w:val="none"/>
          <w:lang w:val="en-US" w:eastAsia="zh-CN"/>
        </w:rPr>
        <w:t>发的</w:t>
      </w:r>
      <w:r>
        <w:rPr>
          <w:rFonts w:hint="eastAsia" w:ascii="宋体" w:hAnsi="宋体" w:eastAsia="宋体" w:cs="宋体"/>
          <w:b w:val="0"/>
          <w:bCs/>
          <w:color w:val="auto"/>
          <w:sz w:val="24"/>
          <w:szCs w:val="24"/>
          <w:highlight w:val="none"/>
          <w:lang w:val="en-US" w:eastAsia="zh-CN"/>
        </w:rPr>
        <w:t>法律或经济纠纷，否则由供应商承担全部责任。任何被供应商用于未经授权的商业目的行为所造成的违约或侵权责任由供应商</w:t>
      </w:r>
      <w:r>
        <w:rPr>
          <w:rFonts w:hint="eastAsia" w:ascii="宋体" w:hAnsi="宋体" w:cs="宋体"/>
          <w:b w:val="0"/>
          <w:bCs/>
          <w:color w:val="auto"/>
          <w:sz w:val="24"/>
          <w:szCs w:val="24"/>
          <w:highlight w:val="none"/>
          <w:lang w:val="en-US" w:eastAsia="zh-CN"/>
        </w:rPr>
        <w:t>承担</w:t>
      </w:r>
      <w:r>
        <w:rPr>
          <w:rFonts w:hint="eastAsia" w:ascii="宋体" w:hAnsi="宋体" w:eastAsia="宋体" w:cs="宋体"/>
          <w:b w:val="0"/>
          <w:bCs/>
          <w:color w:val="auto"/>
          <w:sz w:val="24"/>
          <w:szCs w:val="24"/>
          <w:highlight w:val="none"/>
          <w:lang w:val="en-US" w:eastAsia="zh-CN"/>
        </w:rPr>
        <w:t>。</w:t>
      </w:r>
    </w:p>
    <w:p w14:paraId="169C5E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bCs w:val="0"/>
          <w:color w:val="auto"/>
          <w:sz w:val="24"/>
          <w:szCs w:val="24"/>
          <w:highlight w:val="none"/>
          <w:lang w:val="en-US" w:eastAsia="zh-CN"/>
        </w:rPr>
        <w:t>十一</w:t>
      </w:r>
      <w:r>
        <w:rPr>
          <w:rFonts w:hint="eastAsia" w:ascii="宋体" w:hAnsi="宋体" w:eastAsia="宋体" w:cs="宋体"/>
          <w:b/>
          <w:bCs w:val="0"/>
          <w:color w:val="auto"/>
          <w:sz w:val="24"/>
          <w:szCs w:val="24"/>
          <w:highlight w:val="none"/>
          <w:lang w:val="en-US" w:eastAsia="zh-CN"/>
        </w:rPr>
        <w:t>、合同争议的解决</w:t>
      </w:r>
      <w:r>
        <w:rPr>
          <w:rFonts w:hint="eastAsia" w:ascii="宋体" w:hAnsi="宋体" w:cs="宋体"/>
          <w:b/>
          <w:bCs w:val="0"/>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合同执行中发生争议的，当事人双方应协商解决，协商达不成一致时，可向采购人住所地有管辖权的人民法院</w:t>
      </w:r>
      <w:r>
        <w:rPr>
          <w:rFonts w:hint="eastAsia" w:ascii="宋体" w:hAnsi="宋体" w:cs="宋体"/>
          <w:b w:val="0"/>
          <w:bCs/>
          <w:color w:val="auto"/>
          <w:sz w:val="24"/>
          <w:szCs w:val="24"/>
          <w:highlight w:val="none"/>
          <w:lang w:val="en-US" w:eastAsia="zh-CN"/>
        </w:rPr>
        <w:t>提起</w:t>
      </w:r>
      <w:r>
        <w:rPr>
          <w:rFonts w:hint="eastAsia" w:ascii="宋体" w:hAnsi="宋体" w:eastAsia="宋体" w:cs="宋体"/>
          <w:b w:val="0"/>
          <w:bCs/>
          <w:color w:val="auto"/>
          <w:sz w:val="24"/>
          <w:szCs w:val="24"/>
          <w:highlight w:val="none"/>
          <w:lang w:val="en-US" w:eastAsia="zh-CN"/>
        </w:rPr>
        <w:t>诉讼。</w:t>
      </w:r>
    </w:p>
    <w:p w14:paraId="0855F9F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十二、</w:t>
      </w:r>
      <w:r>
        <w:rPr>
          <w:rFonts w:hint="eastAsia" w:ascii="宋体" w:hAnsi="宋体" w:eastAsia="宋体" w:cs="宋体"/>
          <w:b w:val="0"/>
          <w:bCs/>
          <w:color w:val="auto"/>
          <w:sz w:val="24"/>
          <w:szCs w:val="24"/>
          <w:highlight w:val="none"/>
          <w:lang w:val="en-US" w:eastAsia="zh-CN"/>
        </w:rPr>
        <w:t>在发生不可抗力情况下的应对措施和解决办法。</w:t>
      </w:r>
    </w:p>
    <w:p w14:paraId="3488380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十三、</w:t>
      </w:r>
      <w:r>
        <w:rPr>
          <w:rFonts w:hint="eastAsia" w:ascii="宋体" w:hAnsi="宋体" w:eastAsia="宋体" w:cs="宋体"/>
          <w:b w:val="0"/>
          <w:bCs/>
          <w:color w:val="auto"/>
          <w:sz w:val="24"/>
          <w:szCs w:val="24"/>
          <w:highlight w:val="none"/>
          <w:lang w:val="en-US" w:eastAsia="zh-CN"/>
        </w:rPr>
        <w:t>合同一经签订，不得擅自变更、</w:t>
      </w:r>
      <w:r>
        <w:rPr>
          <w:rFonts w:hint="eastAsia" w:ascii="宋体" w:hAnsi="宋体" w:cs="宋体"/>
          <w:b w:val="0"/>
          <w:bCs/>
          <w:color w:val="auto"/>
          <w:sz w:val="24"/>
          <w:szCs w:val="24"/>
          <w:highlight w:val="none"/>
          <w:lang w:val="en-US" w:eastAsia="zh-CN"/>
        </w:rPr>
        <w:t>终止</w:t>
      </w:r>
      <w:r>
        <w:rPr>
          <w:rFonts w:hint="eastAsia" w:ascii="宋体" w:hAnsi="宋体" w:eastAsia="宋体" w:cs="宋体"/>
          <w:b w:val="0"/>
          <w:bCs/>
          <w:color w:val="auto"/>
          <w:sz w:val="24"/>
          <w:szCs w:val="24"/>
          <w:highlight w:val="none"/>
          <w:lang w:val="en-US" w:eastAsia="zh-CN"/>
        </w:rPr>
        <w:t>或者终止合同。对确需变更、调整或者</w:t>
      </w:r>
      <w:r>
        <w:rPr>
          <w:rFonts w:hint="eastAsia" w:ascii="宋体" w:hAnsi="宋体" w:cs="宋体"/>
          <w:b w:val="0"/>
          <w:bCs/>
          <w:color w:val="auto"/>
          <w:sz w:val="24"/>
          <w:szCs w:val="24"/>
          <w:highlight w:val="none"/>
          <w:lang w:val="en-US" w:eastAsia="zh-CN"/>
        </w:rPr>
        <w:t>终止</w:t>
      </w:r>
      <w:r>
        <w:rPr>
          <w:rFonts w:hint="eastAsia" w:ascii="宋体" w:hAnsi="宋体" w:eastAsia="宋体" w:cs="宋体"/>
          <w:b w:val="0"/>
          <w:bCs/>
          <w:color w:val="auto"/>
          <w:sz w:val="24"/>
          <w:szCs w:val="24"/>
          <w:highlight w:val="none"/>
          <w:lang w:val="en-US" w:eastAsia="zh-CN"/>
        </w:rPr>
        <w:t>、终止合同的，应按规定履行相应的手续。</w:t>
      </w:r>
    </w:p>
    <w:p w14:paraId="64C1F43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十四、违约责任</w:t>
      </w:r>
    </w:p>
    <w:p w14:paraId="6C0E674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依据《中华人民共和国民法典</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中华人民共和国政府采购法》的相关条款和本合同约定，中标供应商未全面履行合同义务或者发生违</w:t>
      </w:r>
      <w:r>
        <w:rPr>
          <w:rFonts w:hint="eastAsia" w:ascii="宋体" w:hAnsi="宋体" w:cs="宋体"/>
          <w:b w:val="0"/>
          <w:bCs/>
          <w:color w:val="auto"/>
          <w:sz w:val="24"/>
          <w:szCs w:val="24"/>
          <w:highlight w:val="none"/>
          <w:lang w:val="en-US" w:eastAsia="zh-CN"/>
        </w:rPr>
        <w:t>约的</w:t>
      </w:r>
      <w:r>
        <w:rPr>
          <w:rFonts w:hint="eastAsia" w:ascii="宋体" w:hAnsi="宋体" w:eastAsia="宋体" w:cs="宋体"/>
          <w:b w:val="0"/>
          <w:bCs/>
          <w:color w:val="auto"/>
          <w:sz w:val="24"/>
          <w:szCs w:val="24"/>
          <w:highlight w:val="none"/>
          <w:lang w:val="en-US" w:eastAsia="zh-CN"/>
        </w:rPr>
        <w:t>，采购单位会同采购代理机构有权终止合同，依法向中标供应商进行经济索赔，并报请政府采购监督管理机关进行相应的行政处罚。采购单位违约的，应当赔偿给中标供应商造成的经济损失。</w:t>
      </w:r>
    </w:p>
    <w:p w14:paraId="53A9F97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十五、验收</w:t>
      </w:r>
    </w:p>
    <w:p w14:paraId="522ABB8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由采购人负责组织验收，或者邀请有关专家、质检机构共同进行</w:t>
      </w:r>
      <w:bookmarkStart w:id="1" w:name="_GoBack"/>
      <w:bookmarkEnd w:id="1"/>
      <w:r>
        <w:rPr>
          <w:rFonts w:hint="eastAsia" w:ascii="宋体" w:hAnsi="宋体" w:eastAsia="宋体" w:cs="宋体"/>
          <w:b w:val="0"/>
          <w:bCs/>
          <w:color w:val="auto"/>
          <w:sz w:val="24"/>
          <w:szCs w:val="24"/>
          <w:highlight w:val="none"/>
          <w:lang w:val="en-US" w:eastAsia="zh-CN"/>
        </w:rPr>
        <w:t>验收</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验收合格须交接项目实施的全部资料，并填写政府采购项目验收报告单。验收须以合同、</w:t>
      </w:r>
      <w:r>
        <w:rPr>
          <w:rFonts w:hint="eastAsia" w:ascii="宋体" w:hAnsi="宋体" w:cs="宋体"/>
          <w:b w:val="0"/>
          <w:bCs/>
          <w:color w:val="auto"/>
          <w:sz w:val="24"/>
          <w:szCs w:val="24"/>
          <w:highlight w:val="none"/>
          <w:lang w:val="en-US" w:eastAsia="zh-CN"/>
        </w:rPr>
        <w:t>磋商</w:t>
      </w:r>
      <w:r>
        <w:rPr>
          <w:rFonts w:hint="eastAsia" w:ascii="宋体" w:hAnsi="宋体" w:eastAsia="宋体" w:cs="宋体"/>
          <w:b w:val="0"/>
          <w:bCs/>
          <w:color w:val="auto"/>
          <w:sz w:val="24"/>
          <w:szCs w:val="24"/>
          <w:highlight w:val="none"/>
          <w:lang w:val="en-US" w:eastAsia="zh-CN"/>
        </w:rPr>
        <w:t>文件及</w:t>
      </w:r>
      <w:r>
        <w:rPr>
          <w:rFonts w:hint="eastAsia" w:ascii="宋体" w:hAnsi="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val="en-US" w:eastAsia="zh-CN"/>
        </w:rPr>
        <w:t>文件、澄清</w:t>
      </w:r>
      <w:r>
        <w:rPr>
          <w:rFonts w:hint="eastAsia" w:ascii="宋体" w:hAnsi="宋体" w:cs="宋体"/>
          <w:b w:val="0"/>
          <w:bCs/>
          <w:color w:val="auto"/>
          <w:sz w:val="24"/>
          <w:szCs w:val="24"/>
          <w:highlight w:val="none"/>
          <w:lang w:val="en-US" w:eastAsia="zh-CN"/>
        </w:rPr>
        <w:t>及</w:t>
      </w:r>
      <w:r>
        <w:rPr>
          <w:rFonts w:hint="eastAsia" w:ascii="宋体" w:hAnsi="宋体" w:eastAsia="宋体" w:cs="宋体"/>
          <w:b w:val="0"/>
          <w:bCs/>
          <w:color w:val="auto"/>
          <w:sz w:val="24"/>
          <w:szCs w:val="24"/>
          <w:highlight w:val="none"/>
          <w:lang w:val="en-US" w:eastAsia="zh-CN"/>
        </w:rPr>
        <w:t>国家相应的标准、规范等为依据。</w:t>
      </w:r>
    </w:p>
    <w:p w14:paraId="7DE784A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十六、合同生效及其他</w:t>
      </w:r>
    </w:p>
    <w:p w14:paraId="50DE4EF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1.本合同双方签字盖章即生效，</w:t>
      </w:r>
      <w:r>
        <w:rPr>
          <w:rFonts w:hint="eastAsia" w:ascii="宋体" w:hAnsi="宋体" w:cs="宋体"/>
          <w:b w:val="0"/>
          <w:bCs/>
          <w:color w:val="auto"/>
          <w:sz w:val="24"/>
          <w:szCs w:val="24"/>
          <w:highlight w:val="none"/>
          <w:lang w:val="en-US" w:eastAsia="zh-CN"/>
        </w:rPr>
        <w:t>一式五份</w:t>
      </w:r>
      <w:r>
        <w:rPr>
          <w:rFonts w:hint="eastAsia" w:ascii="宋体" w:hAnsi="宋体" w:eastAsia="宋体" w:cs="宋体"/>
          <w:b w:val="0"/>
          <w:bCs/>
          <w:color w:val="auto"/>
          <w:sz w:val="24"/>
          <w:szCs w:val="24"/>
          <w:highlight w:val="none"/>
          <w:lang w:val="en-US" w:eastAsia="zh-CN"/>
        </w:rPr>
        <w:t>，甲方</w:t>
      </w:r>
      <w:r>
        <w:rPr>
          <w:rFonts w:hint="eastAsia" w:ascii="宋体" w:hAnsi="宋体" w:cs="宋体"/>
          <w:b w:val="0"/>
          <w:bCs/>
          <w:color w:val="auto"/>
          <w:sz w:val="24"/>
          <w:szCs w:val="24"/>
          <w:highlight w:val="none"/>
          <w:lang w:val="en-US" w:eastAsia="zh-CN"/>
        </w:rPr>
        <w:t>三份</w:t>
      </w:r>
      <w:r>
        <w:rPr>
          <w:rFonts w:hint="eastAsia" w:ascii="宋体" w:hAnsi="宋体" w:eastAsia="宋体" w:cs="宋体"/>
          <w:b w:val="0"/>
          <w:bCs/>
          <w:color w:val="auto"/>
          <w:sz w:val="24"/>
          <w:szCs w:val="24"/>
          <w:highlight w:val="none"/>
          <w:lang w:val="en-US" w:eastAsia="zh-CN"/>
        </w:rPr>
        <w:t>，乙方</w:t>
      </w:r>
      <w:r>
        <w:rPr>
          <w:rFonts w:hint="eastAsia" w:ascii="宋体" w:hAnsi="宋体" w:cs="宋体"/>
          <w:b w:val="0"/>
          <w:bCs/>
          <w:color w:val="auto"/>
          <w:sz w:val="24"/>
          <w:szCs w:val="24"/>
          <w:highlight w:val="none"/>
          <w:lang w:val="en-US" w:eastAsia="zh-CN"/>
        </w:rPr>
        <w:t>一份</w:t>
      </w:r>
      <w:r>
        <w:rPr>
          <w:rFonts w:hint="eastAsia" w:ascii="宋体" w:hAnsi="宋体" w:eastAsia="宋体" w:cs="宋体"/>
          <w:b w:val="0"/>
          <w:bCs/>
          <w:color w:val="auto"/>
          <w:sz w:val="24"/>
          <w:szCs w:val="24"/>
          <w:highlight w:val="none"/>
          <w:lang w:val="en-US" w:eastAsia="zh-CN"/>
        </w:rPr>
        <w:t>，代理机构</w:t>
      </w:r>
      <w:r>
        <w:rPr>
          <w:rFonts w:hint="eastAsia" w:ascii="宋体" w:hAnsi="宋体" w:cs="宋体"/>
          <w:b w:val="0"/>
          <w:bCs/>
          <w:color w:val="auto"/>
          <w:sz w:val="24"/>
          <w:szCs w:val="24"/>
          <w:highlight w:val="none"/>
          <w:lang w:val="en-US" w:eastAsia="zh-CN"/>
        </w:rPr>
        <w:t>一份</w:t>
      </w:r>
      <w:r>
        <w:rPr>
          <w:rFonts w:hint="eastAsia" w:ascii="宋体" w:hAnsi="宋体" w:eastAsia="宋体" w:cs="宋体"/>
          <w:b w:val="0"/>
          <w:bCs/>
          <w:color w:val="auto"/>
          <w:sz w:val="24"/>
          <w:szCs w:val="24"/>
          <w:highlight w:val="none"/>
          <w:lang w:val="en-US" w:eastAsia="zh-CN"/>
        </w:rPr>
        <w:t>。</w:t>
      </w:r>
    </w:p>
    <w:p w14:paraId="23CD1F0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2.由于不可抗力因素致使合同无法履行时，双方应及时协商解决。</w:t>
      </w:r>
    </w:p>
    <w:p w14:paraId="3F8D97B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3.双方</w:t>
      </w:r>
      <w:r>
        <w:rPr>
          <w:rFonts w:hint="eastAsia" w:ascii="宋体" w:hAnsi="宋体" w:cs="宋体"/>
          <w:b w:val="0"/>
          <w:bCs/>
          <w:color w:val="auto"/>
          <w:sz w:val="24"/>
          <w:szCs w:val="24"/>
          <w:highlight w:val="none"/>
          <w:lang w:val="en-US" w:eastAsia="zh-CN"/>
        </w:rPr>
        <w:t>认可</w:t>
      </w:r>
      <w:r>
        <w:rPr>
          <w:rFonts w:hint="eastAsia" w:ascii="宋体" w:hAnsi="宋体" w:eastAsia="宋体" w:cs="宋体"/>
          <w:b w:val="0"/>
          <w:bCs/>
          <w:color w:val="auto"/>
          <w:sz w:val="24"/>
          <w:szCs w:val="24"/>
          <w:highlight w:val="none"/>
          <w:lang w:val="en-US" w:eastAsia="zh-CN"/>
        </w:rPr>
        <w:t>的来往传真、电报、会议纪要等，均为合同的组成部分，与本合同具有同等法律效力。</w:t>
      </w:r>
    </w:p>
    <w:p w14:paraId="353FFC6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color w:val="000000"/>
          <w:sz w:val="24"/>
          <w:szCs w:val="24"/>
          <w:highlight w:val="none"/>
        </w:rPr>
      </w:pPr>
      <w:r>
        <w:rPr>
          <w:rFonts w:hint="eastAsia" w:ascii="宋体" w:hAnsi="宋体" w:eastAsia="宋体" w:cs="宋体"/>
          <w:b w:val="0"/>
          <w:bCs/>
          <w:color w:val="auto"/>
          <w:sz w:val="24"/>
          <w:szCs w:val="24"/>
          <w:highlight w:val="none"/>
          <w:lang w:val="en-US" w:eastAsia="zh-CN"/>
        </w:rPr>
        <w:t>4.未尽事宜，经双方协商一致，签订补充协议，补充协议与本合同具有同等效力。</w:t>
      </w:r>
    </w:p>
    <w:p w14:paraId="4A207862">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u w:val="single"/>
        </w:rPr>
        <w:t xml:space="preserve">   （盖章）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eastAsia="zh-CN"/>
        </w:rPr>
        <w:t>乙方</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u w:val="single"/>
        </w:rPr>
        <w:t xml:space="preserve">   （盖章）         </w:t>
      </w:r>
    </w:p>
    <w:p w14:paraId="15F1D54C">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 xml:space="preserve">地 址：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地  址：</w:t>
      </w:r>
      <w:r>
        <w:rPr>
          <w:rFonts w:hint="eastAsia" w:ascii="宋体" w:hAnsi="宋体" w:eastAsia="宋体" w:cs="宋体"/>
          <w:color w:val="000000"/>
          <w:sz w:val="24"/>
          <w:szCs w:val="24"/>
          <w:highlight w:val="none"/>
          <w:u w:val="single"/>
        </w:rPr>
        <w:t xml:space="preserve">                    </w:t>
      </w:r>
    </w:p>
    <w:p w14:paraId="5D5F3682">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邮政编码：</w:t>
      </w:r>
      <w:r>
        <w:rPr>
          <w:rFonts w:hint="eastAsia" w:ascii="宋体" w:hAnsi="宋体" w:eastAsia="宋体" w:cs="宋体"/>
          <w:color w:val="000000"/>
          <w:sz w:val="24"/>
          <w:szCs w:val="24"/>
          <w:highlight w:val="none"/>
          <w:u w:val="single"/>
        </w:rPr>
        <w:t xml:space="preserve">                   </w:t>
      </w:r>
    </w:p>
    <w:p w14:paraId="794688E9">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法定代表人或其授权                   法定代表人或其授权 </w:t>
      </w:r>
    </w:p>
    <w:p w14:paraId="6E0598C9">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的代理人：</w:t>
      </w:r>
      <w:r>
        <w:rPr>
          <w:rFonts w:hint="eastAsia" w:ascii="宋体" w:hAnsi="宋体" w:eastAsia="宋体" w:cs="宋体"/>
          <w:color w:val="000000"/>
          <w:sz w:val="24"/>
          <w:szCs w:val="24"/>
          <w:highlight w:val="none"/>
          <w:u w:val="single"/>
        </w:rPr>
        <w:t xml:space="preserve">（签字）      </w:t>
      </w:r>
      <w:r>
        <w:rPr>
          <w:rFonts w:hint="eastAsia" w:ascii="宋体" w:hAnsi="宋体" w:eastAsia="宋体" w:cs="宋体"/>
          <w:color w:val="000000"/>
          <w:sz w:val="24"/>
          <w:szCs w:val="24"/>
          <w:highlight w:val="none"/>
        </w:rPr>
        <w:t xml:space="preserve">             的代理人：</w:t>
      </w:r>
      <w:r>
        <w:rPr>
          <w:rFonts w:hint="eastAsia" w:ascii="宋体" w:hAnsi="宋体" w:eastAsia="宋体" w:cs="宋体"/>
          <w:color w:val="000000"/>
          <w:sz w:val="24"/>
          <w:szCs w:val="24"/>
          <w:highlight w:val="none"/>
          <w:u w:val="single"/>
        </w:rPr>
        <w:t xml:space="preserve">（签字）           </w:t>
      </w:r>
    </w:p>
    <w:p w14:paraId="2B258489">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开户银行：</w:t>
      </w:r>
      <w:r>
        <w:rPr>
          <w:rFonts w:hint="eastAsia" w:ascii="宋体" w:hAnsi="宋体" w:eastAsia="宋体" w:cs="宋体"/>
          <w:color w:val="000000"/>
          <w:sz w:val="24"/>
          <w:szCs w:val="24"/>
          <w:highlight w:val="none"/>
          <w:u w:val="single"/>
        </w:rPr>
        <w:t xml:space="preserve">                   </w:t>
      </w:r>
    </w:p>
    <w:p w14:paraId="69D95EC8">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账号：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2D016DB5">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电话：</w:t>
      </w:r>
      <w:r>
        <w:rPr>
          <w:rFonts w:hint="eastAsia" w:ascii="宋体" w:hAnsi="宋体" w:eastAsia="宋体" w:cs="宋体"/>
          <w:color w:val="000000"/>
          <w:sz w:val="24"/>
          <w:szCs w:val="24"/>
          <w:highlight w:val="none"/>
          <w:u w:val="single"/>
        </w:rPr>
        <w:t xml:space="preserve">                       </w:t>
      </w:r>
    </w:p>
    <w:p w14:paraId="4618DAE8">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传真：</w:t>
      </w:r>
      <w:r>
        <w:rPr>
          <w:rFonts w:hint="eastAsia" w:ascii="宋体" w:hAnsi="宋体" w:eastAsia="宋体" w:cs="宋体"/>
          <w:color w:val="000000"/>
          <w:sz w:val="24"/>
          <w:szCs w:val="24"/>
          <w:highlight w:val="none"/>
          <w:u w:val="single"/>
        </w:rPr>
        <w:t xml:space="preserve">                       </w:t>
      </w:r>
    </w:p>
    <w:p w14:paraId="57B5A6D9">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电子邮箱：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电子邮箱：</w:t>
      </w:r>
      <w:r>
        <w:rPr>
          <w:rFonts w:hint="eastAsia" w:ascii="宋体" w:hAnsi="宋体" w:eastAsia="宋体" w:cs="宋体"/>
          <w:color w:val="000000"/>
          <w:sz w:val="24"/>
          <w:szCs w:val="24"/>
          <w:highlight w:val="none"/>
          <w:u w:val="single"/>
        </w:rPr>
        <w:t xml:space="preserve">                   </w:t>
      </w:r>
    </w:p>
    <w:p w14:paraId="63432DFC">
      <w:pPr>
        <w:keepNext w:val="0"/>
        <w:keepLines w:val="0"/>
        <w:pageBreakBefore w:val="0"/>
        <w:kinsoku/>
        <w:wordWrap/>
        <w:overflowPunct/>
        <w:topLinePunct/>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000000"/>
          <w:sz w:val="24"/>
          <w:szCs w:val="24"/>
          <w:highlight w:val="none"/>
        </w:rPr>
        <w:t>注：上述合同仅作为参考文本，合同签订时双方可根据项目的具体要求进行修订，实质性内容不得违背</w:t>
      </w:r>
      <w:r>
        <w:rPr>
          <w:rFonts w:hint="eastAsia" w:ascii="宋体" w:hAnsi="宋体" w:cs="宋体"/>
          <w:b/>
          <w:bCs/>
          <w:color w:val="000000"/>
          <w:sz w:val="24"/>
          <w:szCs w:val="24"/>
          <w:highlight w:val="none"/>
          <w:lang w:val="en-US" w:eastAsia="zh-CN"/>
        </w:rPr>
        <w:t>磋商</w:t>
      </w:r>
      <w:r>
        <w:rPr>
          <w:rFonts w:hint="eastAsia" w:ascii="宋体" w:hAnsi="宋体" w:eastAsia="宋体" w:cs="宋体"/>
          <w:b/>
          <w:bCs/>
          <w:color w:val="000000"/>
          <w:sz w:val="24"/>
          <w:szCs w:val="24"/>
          <w:highlight w:val="none"/>
        </w:rPr>
        <w:t>文件的条款。</w:t>
      </w:r>
    </w:p>
    <w:p w14:paraId="23725A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YWFhNmFjMWYzMGUyZTIxZjI2Zjc5NDgwZTlkMzEifQ=="/>
  </w:docVars>
  <w:rsids>
    <w:rsidRoot w:val="67C24E09"/>
    <w:rsid w:val="08DB07BA"/>
    <w:rsid w:val="364C2B74"/>
    <w:rsid w:val="37537F32"/>
    <w:rsid w:val="4BC32B39"/>
    <w:rsid w:val="55A7171D"/>
    <w:rsid w:val="58092342"/>
    <w:rsid w:val="60FF786D"/>
    <w:rsid w:val="67C24E09"/>
    <w:rsid w:val="6BE97F42"/>
    <w:rsid w:val="6F213E96"/>
    <w:rsid w:val="70171F7C"/>
    <w:rsid w:val="7DF74745"/>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4">
    <w:name w:val="Body Text"/>
    <w:basedOn w:val="1"/>
    <w:next w:val="1"/>
    <w:qFormat/>
    <w:uiPriority w:val="0"/>
    <w:rPr>
      <w:rFonts w:ascii="仿宋_GB2312" w:eastAsia="仿宋_GB2312"/>
      <w:spacing w:val="-20"/>
      <w:sz w:val="28"/>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1592</Words>
  <Characters>1625</Characters>
  <Lines>0</Lines>
  <Paragraphs>0</Paragraphs>
  <TotalTime>1</TotalTime>
  <ScaleCrop>false</ScaleCrop>
  <LinksUpToDate>false</LinksUpToDate>
  <CharactersWithSpaces>2389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2025-08-27T08:20:00Z</dcterms:created>
  <dc:creator>1211259148</dc:creator>
  <cp:lastModifiedBy>1211259148</cp:lastModifiedBy>
  <dcterms:modified xsi:type="dcterms:W3CDTF">2026-03-28T06:16:04Z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ACCBD58166C249F8A84B47C3CC2593A3_13</vt:lpwstr>
  </property>
  <property fmtid="{D5CDD505-2E9C-101B-9397-08002B2CF9AE}" pid="4" name="KSOTemplateDocerSaveRecord">
    <vt:lpwstr>eyJoZGlkIjoiN2YzNjBkOTgyNWQ1YTMxYzM3MzMwNWFiODNmOWIzYWMiLCJ1c2VySWQiOiIxMjExMjU5MTQ4In0=</vt:lpwstr>
  </property>
</Properties>
</file>