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版本号：SXTCH-CG-202600220260414001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洗衣房外包服务项目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SXTCH-CG-2026002</w:t>
      </w:r>
      <w:r>
        <w:br/>
      </w:r>
      <w:r>
        <w:br/>
      </w:r>
      <w:r>
        <w:br/>
      </w:r>
    </w:p>
    <w:p>
      <w:pPr>
        <w:pStyle w:val="null3"/>
        <w:jc w:val="center"/>
        <w:outlineLvl w:val="2"/>
      </w:pPr>
      <w:r>
        <w:rPr>
          <w:rFonts w:ascii="仿宋_GB2312" w:hAnsi="仿宋_GB2312" w:cs="仿宋_GB2312" w:eastAsia="仿宋_GB2312"/>
          <w:sz w:val="28"/>
          <w:b/>
        </w:rPr>
        <w:t>商洛市中心医院</w:t>
      </w:r>
    </w:p>
    <w:p>
      <w:pPr>
        <w:pStyle w:val="null3"/>
        <w:jc w:val="center"/>
        <w:outlineLvl w:val="2"/>
      </w:pPr>
      <w:r>
        <w:rPr>
          <w:rFonts w:ascii="仿宋_GB2312" w:hAnsi="仿宋_GB2312" w:cs="仿宋_GB2312" w:eastAsia="仿宋_GB2312"/>
          <w:sz w:val="28"/>
          <w:b/>
        </w:rPr>
        <w:t>陕西泰昌恒工程管理有限公司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陕西泰昌恒工程管理有限公司</w:t>
      </w:r>
      <w:r>
        <w:rPr>
          <w:rFonts w:ascii="仿宋_GB2312" w:hAnsi="仿宋_GB2312" w:cs="仿宋_GB2312" w:eastAsia="仿宋_GB2312"/>
        </w:rPr>
        <w:t>（以下简称“代理机构”）受</w:t>
      </w:r>
      <w:r>
        <w:rPr>
          <w:rFonts w:ascii="仿宋_GB2312" w:hAnsi="仿宋_GB2312" w:cs="仿宋_GB2312" w:eastAsia="仿宋_GB2312"/>
        </w:rPr>
        <w:t>商洛市中心医院</w:t>
      </w:r>
      <w:r>
        <w:rPr>
          <w:rFonts w:ascii="仿宋_GB2312" w:hAnsi="仿宋_GB2312" w:cs="仿宋_GB2312" w:eastAsia="仿宋_GB2312"/>
        </w:rPr>
        <w:t>委托，拟对</w:t>
      </w:r>
      <w:r>
        <w:rPr>
          <w:rFonts w:ascii="仿宋_GB2312" w:hAnsi="仿宋_GB2312" w:cs="仿宋_GB2312" w:eastAsia="仿宋_GB2312"/>
        </w:rPr>
        <w:t>洗衣房外包服务项目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SXTCH-CG-2026002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洗衣房外包服务项目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为进一步优化我院后勤服务结构，提升洗衣房服务质量和运营效率，降低运营成本，保障临床诊疗配套服务规范运行，结合工作实际，现亟需开展洗衣房外包服务项目采购工作。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陕西省商洛市商州区商鞅大道37号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09142180023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陕西泰昌恒工程管理有限公司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西安市雁塔区丈八一路汇鑫中心C座907室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秦力、安芷琪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15399145235、15664772891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开户名称：陕西泰昌恒工程管理有限公司</w:t>
            </w:r>
          </w:p>
          <w:p>
            <w:pPr>
              <w:pStyle w:val="null3"/>
            </w:pPr>
            <w:r>
              <w:rPr>
                <w:rFonts w:ascii="仿宋_GB2312" w:hAnsi="仿宋_GB2312" w:cs="仿宋_GB2312" w:eastAsia="仿宋_GB2312"/>
              </w:rPr>
              <w:t>开户银行：中国工商银行西安紫薇田园都市支行</w:t>
            </w:r>
          </w:p>
          <w:p>
            <w:pPr>
              <w:pStyle w:val="null3"/>
            </w:pPr>
            <w:r>
              <w:rPr>
                <w:rFonts w:ascii="仿宋_GB2312" w:hAnsi="仿宋_GB2312" w:cs="仿宋_GB2312" w:eastAsia="仿宋_GB2312"/>
              </w:rPr>
              <w:t>银行账号：3700172419200146405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价格为基础，参照《招标代理服务收费管理暂行办法》的通知（计价格[2002]1980号）和《关于招标代理服务收费有关问题的通知》（发改办价格[2003]857号）的有关规定80%收取，具体收费金额将在成交公告中公布，在发出成交通知书前由成交供应商向代理机构一次性支付。 2、代理服务费可以采取现金、支票、银行汇票、电汇、网银等方式缴纳。 3、代理服务费缴纳信息： 银行户名：陕西泰昌恒工程管理有限公司 开户银行：中国工商银行股份有限公司西安曲江支行 账号：3700051309100066224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商洛市中心医院</w:t>
      </w:r>
      <w:r>
        <w:rPr>
          <w:rFonts w:ascii="仿宋_GB2312" w:hAnsi="仿宋_GB2312" w:cs="仿宋_GB2312" w:eastAsia="仿宋_GB2312"/>
        </w:rPr>
        <w:t>和</w:t>
      </w:r>
      <w:r>
        <w:rPr>
          <w:rFonts w:ascii="仿宋_GB2312" w:hAnsi="仿宋_GB2312" w:cs="仿宋_GB2312" w:eastAsia="仿宋_GB2312"/>
        </w:rPr>
        <w:t>陕西泰昌恒工程管理有限公司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陕西泰昌恒工程管理有限公司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陕西泰昌恒工程管理有限公司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根据采购文件要求、磋商响应文件及合同约定执行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陕西泰昌恒工程管理有限公司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陕西泰昌恒工程管理有限公司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陕西泰昌恒工程管理有限公司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联系人：秦力/安芷琪</w:t>
      </w:r>
    </w:p>
    <w:p>
      <w:pPr>
        <w:pStyle w:val="null3"/>
      </w:pPr>
      <w:r>
        <w:rPr>
          <w:rFonts w:ascii="仿宋_GB2312" w:hAnsi="仿宋_GB2312" w:cs="仿宋_GB2312" w:eastAsia="仿宋_GB2312"/>
        </w:rPr>
        <w:t>联系电话：15399145235/15664772891</w:t>
      </w:r>
    </w:p>
    <w:p>
      <w:pPr>
        <w:pStyle w:val="null3"/>
      </w:pPr>
      <w:r>
        <w:rPr>
          <w:rFonts w:ascii="仿宋_GB2312" w:hAnsi="仿宋_GB2312" w:cs="仿宋_GB2312" w:eastAsia="仿宋_GB2312"/>
        </w:rPr>
        <w:t>地址：西安市雁塔区丈八一路汇鑫中心C座907室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为进一步优化我院后勤服务结构，提升洗衣房服务质量和运营效率，降低运营成本，保障临床诊疗配套服务规范运行，结合工作实际，现亟需开展洗衣房外包服务项目采购工作。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洗衣房外包服务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标的名称：洗衣房外包服务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09"/>
              <w:gridCol w:w="546"/>
              <w:gridCol w:w="409"/>
              <w:gridCol w:w="409"/>
              <w:gridCol w:w="359"/>
              <w:gridCol w:w="409"/>
            </w:tblGrid>
            <w:tr>
              <w:tc>
                <w:tcPr>
                  <w:tcW w:type="dxa" w:w="254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洗涤单价限价表</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普通被服</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单价（元）</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单价（元）</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床单</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枕巾</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0.62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被套</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小巾</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褥套、床罩</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腹单</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枕套</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洞巾</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工作服、病员服</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尿垫</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拆缝被子</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包皮（包布）</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0.25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拆缝褥子</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4.23</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双层包皮</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0.34</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拆缝枕头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床垫套</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手术衣</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0.54</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中单（小）</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0.37</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沙发套</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中单（大）</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洗手衣</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0.38</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双层中单（门帘、转运单）</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0.70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腿带</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棉袄</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地毯</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滑行垫</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0.59</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120车垫</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新生儿被服</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床单</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鸟巢</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0.80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被套</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线衣</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0.80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被子</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暖箱罩</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浴巾</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睡袋</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小毛巾</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0.80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手术衣</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0.54</w:t>
                  </w:r>
                </w:p>
              </w:tc>
            </w:tr>
          </w:tbl>
          <w:p>
            <w:pPr>
              <w:pStyle w:val="null3"/>
            </w:pPr>
            <w:r>
              <w:rPr>
                <w:rFonts w:ascii="仿宋_GB2312" w:hAnsi="仿宋_GB2312" w:cs="仿宋_GB2312" w:eastAsia="仿宋_GB2312"/>
              </w:rPr>
              <w:t>本项目年度预算</w:t>
            </w:r>
            <w:r>
              <w:rPr>
                <w:rFonts w:ascii="仿宋_GB2312" w:hAnsi="仿宋_GB2312" w:cs="仿宋_GB2312" w:eastAsia="仿宋_GB2312"/>
              </w:rPr>
              <w:t>130万元，要求按分项报价，单项报价不得超过招标洗涤单项限价。</w:t>
            </w:r>
          </w:p>
          <w:p>
            <w:pPr>
              <w:pStyle w:val="null3"/>
            </w:pPr>
            <w:r>
              <w:rPr>
                <w:rFonts w:ascii="仿宋_GB2312" w:hAnsi="仿宋_GB2312" w:cs="仿宋_GB2312" w:eastAsia="仿宋_GB2312"/>
                <w:sz w:val="21"/>
              </w:rPr>
              <w:t>注</w:t>
            </w:r>
            <w:r>
              <w:rPr>
                <w:rFonts w:ascii="仿宋_GB2312" w:hAnsi="仿宋_GB2312" w:cs="仿宋_GB2312" w:eastAsia="仿宋_GB2312"/>
                <w:sz w:val="21"/>
              </w:rPr>
              <w:t>:本价目表之外项目的洗涤单价由医院洗衣房主管部门、受服务科室和承包方协商确定。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洗衣房外包服务项目基本情况及要求</w:t>
            </w:r>
          </w:p>
          <w:p>
            <w:pPr>
              <w:pStyle w:val="null3"/>
            </w:pPr>
            <w:r>
              <w:rPr>
                <w:rFonts w:ascii="仿宋_GB2312" w:hAnsi="仿宋_GB2312" w:cs="仿宋_GB2312" w:eastAsia="仿宋_GB2312"/>
              </w:rPr>
              <w:t>一、运行方式</w:t>
            </w:r>
          </w:p>
          <w:p>
            <w:pPr>
              <w:pStyle w:val="null3"/>
            </w:pPr>
            <w:r>
              <w:rPr>
                <w:rFonts w:ascii="仿宋_GB2312" w:hAnsi="仿宋_GB2312" w:cs="仿宋_GB2312" w:eastAsia="仿宋_GB2312"/>
              </w:rPr>
              <w:t>日常服务科室</w:t>
            </w:r>
            <w:r>
              <w:rPr>
                <w:rFonts w:ascii="仿宋_GB2312" w:hAnsi="仿宋_GB2312" w:cs="仿宋_GB2312" w:eastAsia="仿宋_GB2312"/>
              </w:rPr>
              <w:t>(区域)55个，床单元1800个，院方提供场地和洗涤、转运、办公桌椅等设备设施(仅限本院院区内)，接入水、电、气，每月根据实际洗涤数量按单价计件支付服务费。运行所需的洗涤剂、消毒剂费用;水、电、气费用;聘用工作人员的工资、福利待遇(含五险一金、节假日补助、节日慰问等)、人员培训、体检、伤残丧病等所有费用由承包方自行承担。承包方承担洗涤服务范围内的独立法律责任。</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服务范围:院内所有床单元(床套、被套、枕套)、手术类包布、工作服、病员服、洗手衣、手术衣、窗帘、隔帘、小毛巾、沙发套等织物类物资(以下简称为布草)的洗涤、消毒、熨烫、折叠、下收、下送、缝补等工作，全天24小时不间断服务。</w:t>
            </w:r>
          </w:p>
          <w:p>
            <w:pPr>
              <w:pStyle w:val="null3"/>
            </w:pPr>
            <w:r>
              <w:rPr>
                <w:rFonts w:ascii="仿宋_GB2312" w:hAnsi="仿宋_GB2312" w:cs="仿宋_GB2312" w:eastAsia="仿宋_GB2312"/>
              </w:rPr>
              <w:t>(二)洗涤服务等相关要求:</w:t>
            </w:r>
          </w:p>
          <w:p>
            <w:pPr>
              <w:pStyle w:val="null3"/>
            </w:pPr>
            <w:r>
              <w:rPr>
                <w:rFonts w:ascii="仿宋_GB2312" w:hAnsi="仿宋_GB2312" w:cs="仿宋_GB2312" w:eastAsia="仿宋_GB2312"/>
              </w:rPr>
              <w:t>2.1洗涤服务总体要求</w:t>
            </w:r>
          </w:p>
          <w:p>
            <w:pPr>
              <w:pStyle w:val="null3"/>
            </w:pPr>
            <w:r>
              <w:rPr>
                <w:rFonts w:ascii="仿宋_GB2312" w:hAnsi="仿宋_GB2312" w:cs="仿宋_GB2312" w:eastAsia="仿宋_GB2312"/>
              </w:rPr>
              <w:t>2.1.1按照医院规定时间，每天准时到各科室收集和下发</w:t>
            </w:r>
          </w:p>
          <w:p>
            <w:pPr>
              <w:pStyle w:val="null3"/>
            </w:pPr>
            <w:r>
              <w:rPr>
                <w:rFonts w:ascii="仿宋_GB2312" w:hAnsi="仿宋_GB2312" w:cs="仿宋_GB2312" w:eastAsia="仿宋_GB2312"/>
              </w:rPr>
              <w:t>布草，保证各科室洁净布草需求。</w:t>
            </w:r>
          </w:p>
          <w:p>
            <w:pPr>
              <w:pStyle w:val="null3"/>
            </w:pPr>
            <w:r>
              <w:rPr>
                <w:rFonts w:ascii="仿宋_GB2312" w:hAnsi="仿宋_GB2312" w:cs="仿宋_GB2312" w:eastAsia="仿宋_GB2312"/>
              </w:rPr>
              <w:t>2.1.2污染布草要按照普通污染布草和感染性污染布草分类收集、运送、消毒、洗涤。</w:t>
            </w:r>
          </w:p>
          <w:p>
            <w:pPr>
              <w:pStyle w:val="null3"/>
            </w:pPr>
            <w:r>
              <w:rPr>
                <w:rFonts w:ascii="仿宋_GB2312" w:hAnsi="仿宋_GB2312" w:cs="仿宋_GB2312" w:eastAsia="仿宋_GB2312"/>
              </w:rPr>
              <w:t>2.1.3必须在指定固定地点清点污染布草，直接放置污物</w:t>
            </w:r>
          </w:p>
          <w:p>
            <w:pPr>
              <w:pStyle w:val="null3"/>
            </w:pPr>
            <w:r>
              <w:rPr>
                <w:rFonts w:ascii="仿宋_GB2312" w:hAnsi="仿宋_GB2312" w:cs="仿宋_GB2312" w:eastAsia="仿宋_GB2312"/>
              </w:rPr>
              <w:t>袋内运送洗衣房污物间。盛装污染布草的包装袋应扎带封口，包装箱</w:t>
            </w:r>
            <w:r>
              <w:rPr>
                <w:rFonts w:ascii="仿宋_GB2312" w:hAnsi="仿宋_GB2312" w:cs="仿宋_GB2312" w:eastAsia="仿宋_GB2312"/>
              </w:rPr>
              <w:t>(桶)应加盖密闭，一用一清洗消毒。运送污染、洁净布草的专用运输工具应分别配置，不得交叉使用。运输工具定期清洗消毒。</w:t>
            </w:r>
          </w:p>
          <w:p>
            <w:pPr>
              <w:pStyle w:val="null3"/>
            </w:pPr>
            <w:r>
              <w:rPr>
                <w:rFonts w:ascii="仿宋_GB2312" w:hAnsi="仿宋_GB2312" w:cs="仿宋_GB2312" w:eastAsia="仿宋_GB2312"/>
              </w:rPr>
              <w:t>2.1.4所有布草发现破损须及时修补、熨烫平整后发放;</w:t>
            </w:r>
          </w:p>
          <w:p>
            <w:pPr>
              <w:pStyle w:val="null3"/>
            </w:pPr>
            <w:r>
              <w:rPr>
                <w:rFonts w:ascii="仿宋_GB2312" w:hAnsi="仿宋_GB2312" w:cs="仿宋_GB2312" w:eastAsia="仿宋_GB2312"/>
              </w:rPr>
              <w:t>需要报废的按报损程序处理。</w:t>
            </w:r>
          </w:p>
          <w:p>
            <w:pPr>
              <w:pStyle w:val="null3"/>
            </w:pPr>
            <w:r>
              <w:rPr>
                <w:rFonts w:ascii="仿宋_GB2312" w:hAnsi="仿宋_GB2312" w:cs="仿宋_GB2312" w:eastAsia="仿宋_GB2312"/>
              </w:rPr>
              <w:t>2.1.5应按规定对操作间物表和空气进行定期消毒。</w:t>
            </w:r>
          </w:p>
          <w:p>
            <w:pPr>
              <w:pStyle w:val="null3"/>
            </w:pPr>
            <w:r>
              <w:rPr>
                <w:rFonts w:ascii="仿宋_GB2312" w:hAnsi="仿宋_GB2312" w:cs="仿宋_GB2312" w:eastAsia="仿宋_GB2312"/>
              </w:rPr>
              <w:t>2.1.6承包方应建立有效沟通机制，定期到布草使用科室征求使用意见和建议。</w:t>
            </w:r>
          </w:p>
          <w:p>
            <w:pPr>
              <w:pStyle w:val="null3"/>
            </w:pPr>
            <w:r>
              <w:rPr>
                <w:rFonts w:ascii="仿宋_GB2312" w:hAnsi="仿宋_GB2312" w:cs="仿宋_GB2312" w:eastAsia="仿宋_GB2312"/>
              </w:rPr>
              <w:t>2.2布草清洁过程要求</w:t>
            </w:r>
          </w:p>
          <w:p>
            <w:pPr>
              <w:pStyle w:val="null3"/>
            </w:pPr>
            <w:r>
              <w:rPr>
                <w:rFonts w:ascii="仿宋_GB2312" w:hAnsi="仿宋_GB2312" w:cs="仿宋_GB2312" w:eastAsia="仿宋_GB2312"/>
              </w:rPr>
              <w:t>2.2.1洗涤流程包含但不局限于分捡、洗涤、烘干、熨烫、</w:t>
            </w:r>
          </w:p>
          <w:p>
            <w:pPr>
              <w:pStyle w:val="null3"/>
            </w:pPr>
            <w:r>
              <w:rPr>
                <w:rFonts w:ascii="仿宋_GB2312" w:hAnsi="仿宋_GB2312" w:cs="仿宋_GB2312" w:eastAsia="仿宋_GB2312"/>
              </w:rPr>
              <w:t>修补、折叠等六个程序。</w:t>
            </w:r>
          </w:p>
          <w:p>
            <w:pPr>
              <w:pStyle w:val="null3"/>
            </w:pPr>
            <w:r>
              <w:rPr>
                <w:rFonts w:ascii="仿宋_GB2312" w:hAnsi="仿宋_GB2312" w:cs="仿宋_GB2312" w:eastAsia="仿宋_GB2312"/>
              </w:rPr>
              <w:t>2.2.2分捡时应依布草的来源不同，分为病患类布草和工作人员类布草。病患类布草又分为一般布草、感染类布草和婴儿类布草。应明确分类、分机洗涤。</w:t>
            </w:r>
          </w:p>
          <w:p>
            <w:pPr>
              <w:pStyle w:val="null3"/>
            </w:pPr>
            <w:r>
              <w:rPr>
                <w:rFonts w:ascii="仿宋_GB2312" w:hAnsi="仿宋_GB2312" w:cs="仿宋_GB2312" w:eastAsia="仿宋_GB2312"/>
              </w:rPr>
              <w:t>2.2.3洗涤要求:新生儿、产房、手术室等重点科室病人</w:t>
            </w:r>
          </w:p>
          <w:p>
            <w:pPr>
              <w:pStyle w:val="null3"/>
            </w:pPr>
            <w:r>
              <w:rPr>
                <w:rFonts w:ascii="仿宋_GB2312" w:hAnsi="仿宋_GB2312" w:cs="仿宋_GB2312" w:eastAsia="仿宋_GB2312"/>
              </w:rPr>
              <w:t>的布草应分别单机清洗</w:t>
            </w:r>
            <w:r>
              <w:rPr>
                <w:rFonts w:ascii="仿宋_GB2312" w:hAnsi="仿宋_GB2312" w:cs="仿宋_GB2312" w:eastAsia="仿宋_GB2312"/>
              </w:rPr>
              <w:t>;医务人员布草和病人布草应分机清洗;感染性布草(包括传染病、多重耐药菌感染或定植患者使用后，或者被患者血液、体液、分泌物和排泄物等污染，具有潜在生物污染风险的医用织物)应专机洗涤、消毒。具体要求遵循《医院医用布草洗涤消毒技术规范》(中华人民共和国卫生行业标准WS/T508-2025)。</w:t>
            </w:r>
          </w:p>
          <w:p>
            <w:pPr>
              <w:pStyle w:val="null3"/>
            </w:pPr>
            <w:r>
              <w:rPr>
                <w:rFonts w:ascii="仿宋_GB2312" w:hAnsi="仿宋_GB2312" w:cs="仿宋_GB2312" w:eastAsia="仿宋_GB2312"/>
              </w:rPr>
              <w:t>2.3洗涤周期要求</w:t>
            </w:r>
          </w:p>
          <w:p>
            <w:pPr>
              <w:pStyle w:val="null3"/>
            </w:pPr>
            <w:r>
              <w:rPr>
                <w:rFonts w:ascii="仿宋_GB2312" w:hAnsi="仿宋_GB2312" w:cs="仿宋_GB2312" w:eastAsia="仿宋_GB2312"/>
              </w:rPr>
              <w:t>洗涤周期包括预洗、主洗、漂洗、中和、整理等五个步骤。</w:t>
            </w:r>
          </w:p>
          <w:p>
            <w:pPr>
              <w:pStyle w:val="null3"/>
            </w:pPr>
            <w:r>
              <w:rPr>
                <w:rFonts w:ascii="仿宋_GB2312" w:hAnsi="仿宋_GB2312" w:cs="仿宋_GB2312" w:eastAsia="仿宋_GB2312"/>
              </w:rPr>
              <w:t>2.3.1装载程度:医用布草洗涤时的装载量不应超过洗涤</w:t>
            </w:r>
          </w:p>
          <w:p>
            <w:pPr>
              <w:pStyle w:val="null3"/>
            </w:pPr>
            <w:r>
              <w:rPr>
                <w:rFonts w:ascii="仿宋_GB2312" w:hAnsi="仿宋_GB2312" w:cs="仿宋_GB2312" w:eastAsia="仿宋_GB2312"/>
              </w:rPr>
              <w:t>设备最大洗涤量的</w:t>
            </w:r>
            <w:r>
              <w:rPr>
                <w:rFonts w:ascii="仿宋_GB2312" w:hAnsi="仿宋_GB2312" w:cs="仿宋_GB2312" w:eastAsia="仿宋_GB2312"/>
              </w:rPr>
              <w:t>90%，即每100kg洗涤设备的洗涤量不超</w:t>
            </w:r>
          </w:p>
          <w:p>
            <w:pPr>
              <w:pStyle w:val="null3"/>
            </w:pPr>
            <w:r>
              <w:rPr>
                <w:rFonts w:ascii="仿宋_GB2312" w:hAnsi="仿宋_GB2312" w:cs="仿宋_GB2312" w:eastAsia="仿宋_GB2312"/>
              </w:rPr>
              <w:t>过</w:t>
            </w:r>
            <w:r>
              <w:rPr>
                <w:rFonts w:ascii="仿宋_GB2312" w:hAnsi="仿宋_GB2312" w:cs="仿宋_GB2312" w:eastAsia="仿宋_GB2312"/>
              </w:rPr>
              <w:t>90kg布草。</w:t>
            </w:r>
          </w:p>
          <w:p>
            <w:pPr>
              <w:pStyle w:val="null3"/>
            </w:pPr>
            <w:r>
              <w:rPr>
                <w:rFonts w:ascii="仿宋_GB2312" w:hAnsi="仿宋_GB2312" w:cs="仿宋_GB2312" w:eastAsia="仿宋_GB2312"/>
              </w:rPr>
              <w:t>2.3.2 预洗</w:t>
            </w:r>
          </w:p>
          <w:p>
            <w:pPr>
              <w:pStyle w:val="null3"/>
            </w:pPr>
            <w:r>
              <w:rPr>
                <w:rFonts w:ascii="仿宋_GB2312" w:hAnsi="仿宋_GB2312" w:cs="仿宋_GB2312" w:eastAsia="仿宋_GB2312"/>
              </w:rPr>
              <w:t>预洗是用温度不超过</w:t>
            </w:r>
            <w:r>
              <w:rPr>
                <w:rFonts w:ascii="仿宋_GB2312" w:hAnsi="仿宋_GB2312" w:cs="仿宋_GB2312" w:eastAsia="仿宋_GB2312"/>
              </w:rPr>
              <w:t>40C的水去除水溶性污垢的冲洗过程。预洗采用低温、高水位。预洗时间不宜少于10分钟。</w:t>
            </w:r>
          </w:p>
          <w:p>
            <w:pPr>
              <w:pStyle w:val="null3"/>
            </w:pPr>
            <w:r>
              <w:rPr>
                <w:rFonts w:ascii="仿宋_GB2312" w:hAnsi="仿宋_GB2312" w:cs="仿宋_GB2312" w:eastAsia="仿宋_GB2312"/>
              </w:rPr>
              <w:t>感染性布草的预洗</w:t>
            </w:r>
            <w:r>
              <w:rPr>
                <w:rFonts w:ascii="仿宋_GB2312" w:hAnsi="仿宋_GB2312" w:cs="仿宋_GB2312" w:eastAsia="仿宋_GB2312"/>
              </w:rPr>
              <w:t>:</w:t>
            </w:r>
          </w:p>
          <w:p>
            <w:pPr>
              <w:pStyle w:val="null3"/>
            </w:pPr>
            <w:r>
              <w:rPr>
                <w:rFonts w:ascii="仿宋_GB2312" w:hAnsi="仿宋_GB2312" w:cs="仿宋_GB2312" w:eastAsia="仿宋_GB2312"/>
              </w:rPr>
              <w:t>(1)对不耐热感染性布草宜选择在预洗环节同时作消毒处理;</w:t>
            </w:r>
          </w:p>
          <w:p>
            <w:pPr>
              <w:pStyle w:val="null3"/>
            </w:pPr>
            <w:r>
              <w:rPr>
                <w:rFonts w:ascii="仿宋_GB2312" w:hAnsi="仿宋_GB2312" w:cs="仿宋_GB2312" w:eastAsia="仿宋_GB2312"/>
              </w:rPr>
              <w:t>(2)对被朊病毒、气性坏疽、突发不明原因传染病的病原体污染或其他有明确规定的传染病病原体污染的感染性布草，若需重复使用应遵循先消毒后洗涤的原则;</w:t>
            </w:r>
          </w:p>
          <w:p>
            <w:pPr>
              <w:pStyle w:val="null3"/>
            </w:pPr>
            <w:r>
              <w:rPr>
                <w:rFonts w:ascii="仿宋_GB2312" w:hAnsi="仿宋_GB2312" w:cs="仿宋_GB2312" w:eastAsia="仿宋_GB2312"/>
              </w:rPr>
              <w:t>(3)应根据感染性布草使用对象和污渍性质、程度不同，在密闭状态下选择下列适宜的消毒(灭菌)方法进行处理</w:t>
            </w:r>
          </w:p>
          <w:p>
            <w:pPr>
              <w:pStyle w:val="null3"/>
            </w:pPr>
            <w:r>
              <w:rPr>
                <w:rFonts w:ascii="仿宋_GB2312" w:hAnsi="仿宋_GB2312" w:cs="仿宋_GB2312" w:eastAsia="仿宋_GB2312"/>
              </w:rPr>
              <w:t>①对于被亲脂病毒、细菌繁殖体污染的感染性织物，可使用500mg/L~1000mg/L的含氯(溴)消毒剂或250mg/L~</w:t>
            </w:r>
          </w:p>
          <w:p>
            <w:pPr>
              <w:pStyle w:val="null3"/>
            </w:pPr>
            <w:r>
              <w:rPr>
                <w:rFonts w:ascii="仿宋_GB2312" w:hAnsi="仿宋_GB2312" w:cs="仿宋_GB2312" w:eastAsia="仿宋_GB2312"/>
              </w:rPr>
              <w:t>500mg/L的二氧化氯消毒剂或1000mg/L~2000mg/L的复合季铵盐类消毒剂或相当剂量的其他消毒剂，洗涤消毒应不少</w:t>
            </w:r>
          </w:p>
          <w:p>
            <w:pPr>
              <w:pStyle w:val="null3"/>
            </w:pPr>
            <w:r>
              <w:rPr>
                <w:rFonts w:ascii="仿宋_GB2312" w:hAnsi="仿宋_GB2312" w:cs="仿宋_GB2312" w:eastAsia="仿宋_GB2312"/>
              </w:rPr>
              <w:t>于</w:t>
            </w:r>
            <w:r>
              <w:rPr>
                <w:rFonts w:ascii="仿宋_GB2312" w:hAnsi="仿宋_GB2312" w:cs="仿宋_GB2312" w:eastAsia="仿宋_GB2312"/>
              </w:rPr>
              <w:t>30min;也可选用煮沸消毒(100C,时间≥15min)和蒸汽消毒(100C,时间15min~30min)等湿热消毒方法;</w:t>
            </w:r>
          </w:p>
          <w:p>
            <w:pPr>
              <w:pStyle w:val="null3"/>
            </w:pPr>
            <w:r>
              <w:rPr>
                <w:rFonts w:ascii="仿宋_GB2312" w:hAnsi="仿宋_GB2312" w:cs="仿宋_GB2312" w:eastAsia="仿宋_GB2312"/>
              </w:rPr>
              <w:t>②对已明确被气性坏疽、经血传播病原体、突发不明原因传染病的病原体或分枝杆菌、细菌芽孢引起的传染病污染的感染性布草，可使用2000mg/L~5000mg/L的含氯消毒剂或500mg/L~1000mg/L的二氧化氯消毒剂或相当剂量的其他消毒剂，洗涤消毒应不少于30min;</w:t>
            </w:r>
          </w:p>
          <w:p>
            <w:pPr>
              <w:pStyle w:val="null3"/>
            </w:pPr>
            <w:r>
              <w:rPr>
                <w:rFonts w:ascii="仿宋_GB2312" w:hAnsi="仿宋_GB2312" w:cs="仿宋_GB2312" w:eastAsia="仿宋_GB2312"/>
              </w:rPr>
              <w:t>③对外观有明显血液、体液、分泌物、排泄物等污渍的感染性布草，应选择以上两种方法之一，在密闭状态下进行洗涤消毒</w:t>
            </w:r>
          </w:p>
          <w:p>
            <w:pPr>
              <w:pStyle w:val="null3"/>
            </w:pPr>
            <w:r>
              <w:rPr>
                <w:rFonts w:ascii="仿宋_GB2312" w:hAnsi="仿宋_GB2312" w:cs="仿宋_GB2312" w:eastAsia="仿宋_GB2312"/>
              </w:rPr>
              <w:t>2.3.3主洗:可根据洗涤的布草的污染情况加入碱、清洁</w:t>
            </w:r>
          </w:p>
          <w:p>
            <w:pPr>
              <w:pStyle w:val="null3"/>
            </w:pPr>
            <w:r>
              <w:rPr>
                <w:rFonts w:ascii="仿宋_GB2312" w:hAnsi="仿宋_GB2312" w:cs="仿宋_GB2312" w:eastAsia="仿宋_GB2312"/>
              </w:rPr>
              <w:t>剂或乳化剂。</w:t>
            </w:r>
          </w:p>
          <w:p>
            <w:pPr>
              <w:pStyle w:val="null3"/>
            </w:pPr>
            <w:r>
              <w:rPr>
                <w:rFonts w:ascii="仿宋_GB2312" w:hAnsi="仿宋_GB2312" w:cs="仿宋_GB2312" w:eastAsia="仿宋_GB2312"/>
              </w:rPr>
              <w:t>(1)洗涤方法</w:t>
            </w:r>
          </w:p>
          <w:p>
            <w:pPr>
              <w:pStyle w:val="null3"/>
            </w:pPr>
            <w:r>
              <w:rPr>
                <w:rFonts w:ascii="仿宋_GB2312" w:hAnsi="仿宋_GB2312" w:cs="仿宋_GB2312" w:eastAsia="仿宋_GB2312"/>
              </w:rPr>
              <w:t>①热洗涤方法:75°℃30分钟、90℃10分钟或A0值≥600，洗涤时间在确保消毒时间的基础上，根据布草污脏程度的需要而延长。</w:t>
            </w:r>
          </w:p>
          <w:p>
            <w:pPr>
              <w:pStyle w:val="null3"/>
            </w:pPr>
            <w:r>
              <w:rPr>
                <w:rFonts w:ascii="仿宋_GB2312" w:hAnsi="仿宋_GB2312" w:cs="仿宋_GB2312" w:eastAsia="仿宋_GB2312"/>
              </w:rPr>
              <w:t>②冷洗涤方法:用有效氯含量250mg-400mg/L的消毒液浸泡20min以上，冷洗去掉有机物。</w:t>
            </w:r>
          </w:p>
          <w:p>
            <w:pPr>
              <w:pStyle w:val="null3"/>
            </w:pPr>
            <w:r>
              <w:rPr>
                <w:rFonts w:ascii="仿宋_GB2312" w:hAnsi="仿宋_GB2312" w:cs="仿宋_GB2312" w:eastAsia="仿宋_GB2312"/>
              </w:rPr>
              <w:t>③不能确定污渍种类，局部的污渍处理则应采取下列程序。</w:t>
            </w:r>
          </w:p>
          <w:p>
            <w:pPr>
              <w:pStyle w:val="null3"/>
            </w:pPr>
            <w:r>
              <w:rPr>
                <w:rFonts w:ascii="仿宋_GB2312" w:hAnsi="仿宋_GB2312" w:cs="仿宋_GB2312" w:eastAsia="仿宋_GB2312"/>
              </w:rPr>
              <w:t>a)使用有机溶剂，如丙酮或酒精。</w:t>
            </w:r>
          </w:p>
          <w:p>
            <w:pPr>
              <w:pStyle w:val="null3"/>
            </w:pPr>
            <w:r>
              <w:rPr>
                <w:rFonts w:ascii="仿宋_GB2312" w:hAnsi="仿宋_GB2312" w:cs="仿宋_GB2312" w:eastAsia="仿宋_GB2312"/>
              </w:rPr>
              <w:t>b)使用洗涤剂。</w:t>
            </w:r>
          </w:p>
          <w:p>
            <w:pPr>
              <w:pStyle w:val="null3"/>
            </w:pPr>
            <w:r>
              <w:rPr>
                <w:rFonts w:ascii="仿宋_GB2312" w:hAnsi="仿宋_GB2312" w:cs="仿宋_GB2312" w:eastAsia="仿宋_GB2312"/>
              </w:rPr>
              <w:t>c)使用酸性溶液，如氟化氢钠、氟化氢氨;若为小块斑渍，使用实验室等级的氢氯酸溶液。</w:t>
            </w:r>
          </w:p>
          <w:p>
            <w:pPr>
              <w:pStyle w:val="null3"/>
            </w:pPr>
            <w:r>
              <w:rPr>
                <w:rFonts w:ascii="仿宋_GB2312" w:hAnsi="仿宋_GB2312" w:cs="仿宋_GB2312" w:eastAsia="仿宋_GB2312"/>
              </w:rPr>
              <w:t>d)使用还原剂或剥色剂的温溶液(&lt;40)，如连二亚硫酸钠或亚硫酸氢钠。</w:t>
            </w:r>
          </w:p>
          <w:p>
            <w:pPr>
              <w:pStyle w:val="null3"/>
            </w:pPr>
            <w:r>
              <w:rPr>
                <w:rFonts w:ascii="仿宋_GB2312" w:hAnsi="仿宋_GB2312" w:cs="仿宋_GB2312" w:eastAsia="仿宋_GB2312"/>
              </w:rPr>
              <w:t>e)使用氧化剂，如次氯酸钠(液体漂白剂)或过氧化氢。</w:t>
            </w:r>
          </w:p>
          <w:p>
            <w:pPr>
              <w:pStyle w:val="null3"/>
            </w:pPr>
            <w:r>
              <w:rPr>
                <w:rFonts w:ascii="仿宋_GB2312" w:hAnsi="仿宋_GB2312" w:cs="仿宋_GB2312" w:eastAsia="仿宋_GB2312"/>
              </w:rPr>
              <w:t>该洗涤程序应按所给顺序进行。每一步之间都应将布草</w:t>
            </w:r>
          </w:p>
          <w:p>
            <w:pPr>
              <w:pStyle w:val="null3"/>
            </w:pPr>
            <w:r>
              <w:rPr>
                <w:rFonts w:ascii="仿宋_GB2312" w:hAnsi="仿宋_GB2312" w:cs="仿宋_GB2312" w:eastAsia="仿宋_GB2312"/>
              </w:rPr>
              <w:t>充分过水。</w:t>
            </w:r>
          </w:p>
          <w:p>
            <w:pPr>
              <w:pStyle w:val="null3"/>
            </w:pPr>
            <w:r>
              <w:rPr>
                <w:rFonts w:ascii="仿宋_GB2312" w:hAnsi="仿宋_GB2312" w:cs="仿宋_GB2312" w:eastAsia="仿宋_GB2312"/>
              </w:rPr>
              <w:t>2.3.4漂洗</w:t>
            </w:r>
          </w:p>
          <w:p>
            <w:pPr>
              <w:pStyle w:val="null3"/>
            </w:pPr>
            <w:r>
              <w:rPr>
                <w:rFonts w:ascii="仿宋_GB2312" w:hAnsi="仿宋_GB2312" w:cs="仿宋_GB2312" w:eastAsia="仿宋_GB2312"/>
              </w:rPr>
              <w:t>通过稀释的方法去除布草中所有悬浮污渍和残留化学洗剂</w:t>
            </w:r>
            <w:r>
              <w:rPr>
                <w:rFonts w:ascii="仿宋_GB2312" w:hAnsi="仿宋_GB2312" w:cs="仿宋_GB2312" w:eastAsia="仿宋_GB2312"/>
              </w:rPr>
              <w:t>,每次漂洗时间不应低于3分钟,一般温度为65℃-70C，</w:t>
            </w:r>
          </w:p>
          <w:p>
            <w:pPr>
              <w:pStyle w:val="null3"/>
            </w:pPr>
            <w:r>
              <w:rPr>
                <w:rFonts w:ascii="仿宋_GB2312" w:hAnsi="仿宋_GB2312" w:cs="仿宋_GB2312" w:eastAsia="仿宋_GB2312"/>
              </w:rPr>
              <w:t>每次漂洗间隔应进行一次脱水，漂洗次数应不低于</w:t>
            </w:r>
            <w:r>
              <w:rPr>
                <w:rFonts w:ascii="仿宋_GB2312" w:hAnsi="仿宋_GB2312" w:cs="仿宋_GB2312" w:eastAsia="仿宋_GB2312"/>
              </w:rPr>
              <w:t>3次。</w:t>
            </w:r>
          </w:p>
          <w:p>
            <w:pPr>
              <w:pStyle w:val="null3"/>
            </w:pPr>
            <w:r>
              <w:rPr>
                <w:rFonts w:ascii="仿宋_GB2312" w:hAnsi="仿宋_GB2312" w:cs="仿宋_GB2312" w:eastAsia="仿宋_GB2312"/>
              </w:rPr>
              <w:t>2.3.5中和</w:t>
            </w:r>
          </w:p>
          <w:p>
            <w:pPr>
              <w:pStyle w:val="null3"/>
            </w:pPr>
            <w:r>
              <w:rPr>
                <w:rFonts w:ascii="仿宋_GB2312" w:hAnsi="仿宋_GB2312" w:cs="仿宋_GB2312" w:eastAsia="仿宋_GB2312"/>
              </w:rPr>
              <w:t>酸在最后一次过水时用于中和残留的碱。一般温度为</w:t>
            </w:r>
            <w:r>
              <w:rPr>
                <w:rFonts w:ascii="仿宋_GB2312" w:hAnsi="仿宋_GB2312" w:cs="仿宋_GB2312" w:eastAsia="仿宋_GB2312"/>
              </w:rPr>
              <w:t>45C-55°C，时间为5min，中和后水中的pH应达5.8-6.5。</w:t>
            </w:r>
          </w:p>
          <w:p>
            <w:pPr>
              <w:pStyle w:val="null3"/>
            </w:pPr>
            <w:r>
              <w:rPr>
                <w:rFonts w:ascii="仿宋_GB2312" w:hAnsi="仿宋_GB2312" w:cs="仿宋_GB2312" w:eastAsia="仿宋_GB2312"/>
              </w:rPr>
              <w:t>2.3.6 整理过程熨烫、修补、折叠过程严防清洗后的布草被二次污染。烘干温度应不低于60，为避免布草损伤和过度缩水，平烫机底面温度不应超过180℃。烘干和整理过程中应进行质量控制，如烘干前应目测检查洗涤后的医用布草是否干净，发现仍有污渍时需重新进行洗涤等。</w:t>
            </w:r>
          </w:p>
          <w:p>
            <w:pPr>
              <w:pStyle w:val="null3"/>
            </w:pPr>
            <w:r>
              <w:rPr>
                <w:rFonts w:ascii="仿宋_GB2312" w:hAnsi="仿宋_GB2312" w:cs="仿宋_GB2312" w:eastAsia="仿宋_GB2312"/>
              </w:rPr>
              <w:t>2.4缝补和报损要求:</w:t>
            </w:r>
          </w:p>
          <w:p>
            <w:pPr>
              <w:pStyle w:val="null3"/>
            </w:pPr>
            <w:r>
              <w:rPr>
                <w:rFonts w:ascii="仿宋_GB2312" w:hAnsi="仿宋_GB2312" w:cs="仿宋_GB2312" w:eastAsia="仿宋_GB2312"/>
              </w:rPr>
              <w:t>2.4.1承包方应对院方委托洗涤物的轻度破损被服(缺纽</w:t>
            </w:r>
          </w:p>
          <w:p>
            <w:pPr>
              <w:pStyle w:val="null3"/>
            </w:pPr>
            <w:r>
              <w:rPr>
                <w:rFonts w:ascii="仿宋_GB2312" w:hAnsi="仿宋_GB2312" w:cs="仿宋_GB2312" w:eastAsia="仿宋_GB2312"/>
              </w:rPr>
              <w:t>扣、少带子、脱线缝、撕裂等</w:t>
            </w:r>
            <w:r>
              <w:rPr>
                <w:rFonts w:ascii="仿宋_GB2312" w:hAnsi="仿宋_GB2312" w:cs="仿宋_GB2312" w:eastAsia="仿宋_GB2312"/>
              </w:rPr>
              <w:t>)，缝补完好后发出。确实需要报损的，按医院有关程序办理。月报损率不得高于被服量的1%。</w:t>
            </w:r>
          </w:p>
          <w:p>
            <w:pPr>
              <w:pStyle w:val="null3"/>
            </w:pPr>
            <w:r>
              <w:rPr>
                <w:rFonts w:ascii="仿宋_GB2312" w:hAnsi="仿宋_GB2312" w:cs="仿宋_GB2312" w:eastAsia="仿宋_GB2312"/>
              </w:rPr>
              <w:t>(三)质量要求:</w:t>
            </w:r>
          </w:p>
          <w:p>
            <w:pPr>
              <w:pStyle w:val="null3"/>
            </w:pPr>
            <w:r>
              <w:rPr>
                <w:rFonts w:ascii="仿宋_GB2312" w:hAnsi="仿宋_GB2312" w:cs="仿宋_GB2312" w:eastAsia="仿宋_GB2312"/>
              </w:rPr>
              <w:t>3.1洗涤服务需依据现行卫生行业标准“医院医用织物洗涤消毒技术规范”(中华人民共和国卫生行业标准WS/T508-2025).</w:t>
            </w:r>
          </w:p>
          <w:p>
            <w:pPr>
              <w:pStyle w:val="null3"/>
            </w:pPr>
            <w:r>
              <w:rPr>
                <w:rFonts w:ascii="仿宋_GB2312" w:hAnsi="仿宋_GB2312" w:cs="仿宋_GB2312" w:eastAsia="仿宋_GB2312"/>
              </w:rPr>
              <w:t>3.2如洗涤或熨烫质量不佳，使用部门有权退回，要求承包方重洗，重洗费用由承包方自负。</w:t>
            </w:r>
          </w:p>
          <w:p>
            <w:pPr>
              <w:pStyle w:val="null3"/>
            </w:pPr>
            <w:r>
              <w:rPr>
                <w:rFonts w:ascii="仿宋_GB2312" w:hAnsi="仿宋_GB2312" w:cs="仿宋_GB2312" w:eastAsia="仿宋_GB2312"/>
              </w:rPr>
              <w:t>3.3承包方定期接受医院感控部门布草消毒检验，以确保布草的安全卫生。</w:t>
            </w:r>
          </w:p>
          <w:p>
            <w:pPr>
              <w:pStyle w:val="null3"/>
            </w:pPr>
            <w:r>
              <w:rPr>
                <w:rFonts w:ascii="仿宋_GB2312" w:hAnsi="仿宋_GB2312" w:cs="仿宋_GB2312" w:eastAsia="仿宋_GB2312"/>
              </w:rPr>
              <w:t>三、人员配备要求</w:t>
            </w:r>
          </w:p>
          <w:p>
            <w:pPr>
              <w:pStyle w:val="null3"/>
            </w:pPr>
            <w:r>
              <w:rPr>
                <w:rFonts w:ascii="仿宋_GB2312" w:hAnsi="仿宋_GB2312" w:cs="仿宋_GB2312" w:eastAsia="仿宋_GB2312"/>
              </w:rPr>
              <w:t>1.岗位设计及职责:按照高效精干、保障有力的原则，结合洗涤工作实际科学合理地设置服务岗位、确定岗位薪酬，</w:t>
            </w:r>
          </w:p>
          <w:p>
            <w:pPr>
              <w:pStyle w:val="null3"/>
            </w:pPr>
            <w:r>
              <w:rPr>
                <w:rFonts w:ascii="仿宋_GB2312" w:hAnsi="仿宋_GB2312" w:cs="仿宋_GB2312" w:eastAsia="仿宋_GB2312"/>
              </w:rPr>
              <w:t>并有明确的职能职责和工作要求。</w:t>
            </w:r>
          </w:p>
          <w:p>
            <w:pPr>
              <w:pStyle w:val="null3"/>
            </w:pPr>
            <w:r>
              <w:rPr>
                <w:rFonts w:ascii="仿宋_GB2312" w:hAnsi="仿宋_GB2312" w:cs="仿宋_GB2312" w:eastAsia="仿宋_GB2312"/>
              </w:rPr>
              <w:t>2.人员要求:</w:t>
            </w:r>
          </w:p>
          <w:p>
            <w:pPr>
              <w:pStyle w:val="null3"/>
            </w:pPr>
            <w:r>
              <w:rPr>
                <w:rFonts w:ascii="仿宋_GB2312" w:hAnsi="仿宋_GB2312" w:cs="仿宋_GB2312" w:eastAsia="仿宋_GB2312"/>
              </w:rPr>
              <w:t>2.1承包方根据项目基本情况要足额配置工作人员，不得少于18人.</w:t>
            </w:r>
          </w:p>
          <w:p>
            <w:pPr>
              <w:pStyle w:val="null3"/>
            </w:pPr>
            <w:r>
              <w:rPr>
                <w:rFonts w:ascii="仿宋_GB2312" w:hAnsi="仿宋_GB2312" w:cs="仿宋_GB2312" w:eastAsia="仿宋_GB2312"/>
              </w:rPr>
              <w:t>2.2承包方负责其所聘用人员工资及福利(含五险一金、节假日补助、节日慰问等)、健康体检、人员培训、管理服务费、统一工服等。</w:t>
            </w:r>
          </w:p>
          <w:p>
            <w:pPr>
              <w:pStyle w:val="null3"/>
            </w:pPr>
            <w:r>
              <w:rPr>
                <w:rFonts w:ascii="仿宋_GB2312" w:hAnsi="仿宋_GB2312" w:cs="仿宋_GB2312" w:eastAsia="仿宋_GB2312"/>
              </w:rPr>
              <w:t>2.3所有员工身体健康，须持有效《健康证》上岗，院方有权对工作人员工进行不定期抽查体检。</w:t>
            </w:r>
          </w:p>
          <w:p>
            <w:pPr>
              <w:pStyle w:val="null3"/>
            </w:pPr>
            <w:r>
              <w:rPr>
                <w:rFonts w:ascii="仿宋_GB2312" w:hAnsi="仿宋_GB2312" w:cs="仿宋_GB2312" w:eastAsia="仿宋_GB2312"/>
              </w:rPr>
              <w:t>2.4承包方需接受医院管理部门的监督检查，并对合理化建议意见及时整改。对于院感、消防、安全及其他突出问题拒不整改的，院方有权随时终止合同。由此带来的损失，一律由承包方承担。</w:t>
            </w:r>
          </w:p>
          <w:p>
            <w:pPr>
              <w:pStyle w:val="null3"/>
            </w:pPr>
            <w:r>
              <w:rPr>
                <w:rFonts w:ascii="仿宋_GB2312" w:hAnsi="仿宋_GB2312" w:cs="仿宋_GB2312" w:eastAsia="仿宋_GB2312"/>
              </w:rPr>
              <w:t>2.5承包方应对所有员工登记造册进行档案管理，更换员工队伍主要管理人员的，应提前半个月以书面形式通知院方。</w:t>
            </w:r>
          </w:p>
          <w:p>
            <w:pPr>
              <w:pStyle w:val="null3"/>
            </w:pPr>
            <w:r>
              <w:rPr>
                <w:rFonts w:ascii="仿宋_GB2312" w:hAnsi="仿宋_GB2312" w:cs="仿宋_GB2312" w:eastAsia="仿宋_GB2312"/>
              </w:rPr>
              <w:t>2.6所有员工须统一着装，工作时形象整洁，服务热情周到。上班期间不得从事为院方服务以外的其他工作。</w:t>
            </w:r>
          </w:p>
          <w:p>
            <w:pPr>
              <w:pStyle w:val="null3"/>
            </w:pPr>
            <w:r>
              <w:rPr>
                <w:rFonts w:ascii="仿宋_GB2312" w:hAnsi="仿宋_GB2312" w:cs="仿宋_GB2312" w:eastAsia="仿宋_GB2312"/>
              </w:rPr>
              <w:t>2.7承包方应针对本项目制定合理地员工工伤补偿办法及员工纠纷管理办法，如承包方所有员工在服务过程中产生</w:t>
            </w:r>
          </w:p>
          <w:p>
            <w:pPr>
              <w:pStyle w:val="null3"/>
            </w:pPr>
            <w:r>
              <w:rPr>
                <w:rFonts w:ascii="仿宋_GB2312" w:hAnsi="仿宋_GB2312" w:cs="仿宋_GB2312" w:eastAsia="仿宋_GB2312"/>
              </w:rPr>
              <w:t>的劳务意外及纠纷事件，承包方应按相关法律规定予以解决，院方不承担一切法律责任。</w:t>
            </w:r>
          </w:p>
          <w:p>
            <w:pPr>
              <w:pStyle w:val="null3"/>
            </w:pPr>
            <w:r>
              <w:rPr>
                <w:rFonts w:ascii="仿宋_GB2312" w:hAnsi="仿宋_GB2312" w:cs="仿宋_GB2312" w:eastAsia="仿宋_GB2312"/>
              </w:rPr>
              <w:t>四、洗涤剂、消毒剂使用要求</w:t>
            </w:r>
          </w:p>
          <w:p>
            <w:pPr>
              <w:pStyle w:val="null3"/>
            </w:pPr>
            <w:r>
              <w:rPr>
                <w:rFonts w:ascii="仿宋_GB2312" w:hAnsi="仿宋_GB2312" w:cs="仿宋_GB2312" w:eastAsia="仿宋_GB2312"/>
              </w:rPr>
              <w:t>承包方须按不低于院方提供的技术参数购置洗涤剂、消毒剂，要求厂家直供，生产企业具有工业生产许可证、</w:t>
            </w:r>
            <w:r>
              <w:rPr>
                <w:rFonts w:ascii="仿宋_GB2312" w:hAnsi="仿宋_GB2312" w:cs="仿宋_GB2312" w:eastAsia="仿宋_GB2312"/>
              </w:rPr>
              <w:t>ISO9001质量管理体系认证、ISO14001环境管理体系认证，所有产品具有第三方检验报告。</w:t>
            </w:r>
          </w:p>
          <w:p>
            <w:pPr>
              <w:pStyle w:val="null3"/>
            </w:pPr>
            <w:r>
              <w:rPr>
                <w:rFonts w:ascii="仿宋_GB2312" w:hAnsi="仿宋_GB2312" w:cs="仿宋_GB2312" w:eastAsia="仿宋_GB2312"/>
              </w:rPr>
              <w:t>洗涤剂、消毒剂技术参数表</w:t>
            </w:r>
          </w:p>
          <w:tbl>
            <w:tblPr>
              <w:tblInd w:type="dxa" w:w="120"/>
              <w:tblBorders>
                <w:top w:val="none" w:color="000000" w:sz="4"/>
                <w:left w:val="none" w:color="000000" w:sz="4"/>
                <w:bottom w:val="none" w:color="000000" w:sz="4"/>
                <w:right w:val="none" w:color="000000" w:sz="4"/>
                <w:insideH w:val="none"/>
                <w:insideV w:val="none"/>
              </w:tblBorders>
            </w:tblPr>
            <w:tblGrid>
              <w:gridCol w:w="743"/>
              <w:gridCol w:w="1060"/>
              <w:gridCol w:w="751"/>
            </w:tblGrid>
            <w:tr>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产品名称</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PH值(1%水溶液)</w:t>
                  </w:r>
                </w:p>
                <w:p>
                  <w:pPr>
                    <w:pStyle w:val="null3"/>
                    <w:jc w:val="both"/>
                  </w:pPr>
                </w:p>
              </w:tc>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五氧化二磷含量，</w:t>
                  </w:r>
                  <w:r>
                    <w:rPr>
                      <w:rFonts w:ascii="仿宋_GB2312" w:hAnsi="仿宋_GB2312" w:cs="仿宋_GB2312" w:eastAsia="仿宋_GB2312"/>
                      <w:sz w:val="19"/>
                    </w:rPr>
                    <w:t>%</w:t>
                  </w:r>
                </w:p>
                <w:p>
                  <w:pPr>
                    <w:pStyle w:val="null3"/>
                    <w:jc w:val="both"/>
                  </w:p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增白粉</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10.0-12.0</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强力粉</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12.0-14.0</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彩漂粉</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10.5-11.5</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氯漂粉</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6.0-9.0</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乳化剂</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5.5-9.0</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酸粉</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5.0</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除血粉</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10.0-11.5</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r>
          </w:tbl>
          <w:p>
            <w:pPr>
              <w:pStyle w:val="null3"/>
            </w:pPr>
            <w:r>
              <w:rPr>
                <w:rFonts w:ascii="仿宋_GB2312" w:hAnsi="仿宋_GB2312" w:cs="仿宋_GB2312" w:eastAsia="仿宋_GB2312"/>
              </w:rPr>
              <w:t>五、清洁织物卫生质量要求</w:t>
            </w:r>
            <w:r>
              <w:rPr>
                <w:rFonts w:ascii="仿宋_GB2312" w:hAnsi="仿宋_GB2312" w:cs="仿宋_GB2312" w:eastAsia="仿宋_GB2312"/>
              </w:rPr>
              <w:t>(感控要求</w:t>
            </w:r>
          </w:p>
          <w:p>
            <w:pPr>
              <w:pStyle w:val="null3"/>
            </w:pPr>
            <w:r>
              <w:rPr>
                <w:rFonts w:ascii="仿宋_GB2312" w:hAnsi="仿宋_GB2312" w:cs="仿宋_GB2312" w:eastAsia="仿宋_GB2312"/>
              </w:rPr>
              <w:t>参照《</w:t>
            </w:r>
            <w:r>
              <w:rPr>
                <w:rFonts w:ascii="仿宋_GB2312" w:hAnsi="仿宋_GB2312" w:cs="仿宋_GB2312" w:eastAsia="仿宋_GB2312"/>
              </w:rPr>
              <w:t>WST508-2025医疗机构医用织物洗涤消毒技术标准》</w:t>
            </w:r>
          </w:p>
          <w:p>
            <w:pPr>
              <w:pStyle w:val="null3"/>
            </w:pPr>
            <w:r>
              <w:rPr>
                <w:rFonts w:ascii="仿宋_GB2312" w:hAnsi="仿宋_GB2312" w:cs="仿宋_GB2312" w:eastAsia="仿宋_GB2312"/>
              </w:rPr>
              <w:t>1、感观指标</w:t>
            </w:r>
          </w:p>
          <w:p>
            <w:pPr>
              <w:pStyle w:val="null3"/>
            </w:pPr>
            <w:r>
              <w:rPr>
                <w:rFonts w:ascii="仿宋_GB2312" w:hAnsi="仿宋_GB2312" w:cs="仿宋_GB2312" w:eastAsia="仿宋_GB2312"/>
              </w:rPr>
              <w:t>清洁织物外观整洁、干燥，无异味、异物、破损。</w:t>
            </w:r>
          </w:p>
          <w:p>
            <w:pPr>
              <w:pStyle w:val="null3"/>
            </w:pPr>
            <w:r>
              <w:rPr>
                <w:rFonts w:ascii="仿宋_GB2312" w:hAnsi="仿宋_GB2312" w:cs="仿宋_GB2312" w:eastAsia="仿宋_GB2312"/>
              </w:rPr>
              <w:t>2、微生物指标</w:t>
            </w:r>
          </w:p>
          <w:p>
            <w:pPr>
              <w:pStyle w:val="null3"/>
            </w:pPr>
            <w:r>
              <w:rPr>
                <w:rFonts w:ascii="仿宋_GB2312" w:hAnsi="仿宋_GB2312" w:cs="仿宋_GB2312" w:eastAsia="仿宋_GB2312"/>
              </w:rPr>
              <w:t>表</w:t>
            </w:r>
            <w:r>
              <w:rPr>
                <w:rFonts w:ascii="仿宋_GB2312" w:hAnsi="仿宋_GB2312" w:cs="仿宋_GB2312" w:eastAsia="仿宋_GB2312"/>
              </w:rPr>
              <w:t>1清洁织物微生物指标及要求</w:t>
            </w:r>
          </w:p>
          <w:tbl>
            <w:tblPr>
              <w:tblInd w:type="dxa" w:w="120"/>
              <w:tblBorders>
                <w:top w:val="none" w:color="000000" w:sz="4"/>
                <w:left w:val="none" w:color="000000" w:sz="4"/>
                <w:bottom w:val="none" w:color="000000" w:sz="4"/>
                <w:right w:val="none" w:color="000000" w:sz="4"/>
                <w:insideH w:val="none"/>
                <w:insideV w:val="none"/>
              </w:tblBorders>
            </w:tblPr>
            <w:tblGrid>
              <w:gridCol w:w="1535"/>
              <w:gridCol w:w="1018"/>
            </w:tblGrid>
            <w:tr>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指标</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细菌菌落总</w:t>
                  </w:r>
                  <w:r>
                    <w:rPr>
                      <w:rFonts w:ascii="仿宋_GB2312" w:hAnsi="仿宋_GB2312" w:cs="仿宋_GB2312" w:eastAsia="仿宋_GB2312"/>
                      <w:sz w:val="19"/>
                    </w:rPr>
                    <w:t>数</w:t>
                  </w:r>
                  <w:r>
                    <w:rPr>
                      <w:rFonts w:ascii="仿宋_GB2312" w:hAnsi="仿宋_GB2312" w:cs="仿宋_GB2312" w:eastAsia="仿宋_GB2312"/>
                      <w:sz w:val="19"/>
                    </w:rPr>
                    <w:t>(CFU/100</w:t>
                  </w:r>
                  <w:r>
                    <w:rPr>
                      <w:rFonts w:ascii="仿宋_GB2312" w:hAnsi="仿宋_GB2312" w:cs="仿宋_GB2312" w:eastAsia="仿宋_GB2312"/>
                      <w:sz w:val="19"/>
                    </w:rPr>
                    <w:t>cm</w:t>
                  </w:r>
                  <w:r>
                    <w:rPr>
                      <w:rFonts w:ascii="仿宋_GB2312" w:hAnsi="仿宋_GB2312" w:cs="仿宋_GB2312" w:eastAsia="仿宋_GB2312"/>
                      <w:sz w:val="19"/>
                      <w:vertAlign w:val="superscript"/>
                    </w:rPr>
                    <w:t>2</w:t>
                  </w:r>
                  <w:r>
                    <w:rPr>
                      <w:rFonts w:ascii="仿宋_GB2312" w:hAnsi="仿宋_GB2312" w:cs="仿宋_GB2312" w:eastAsia="仿宋_GB2312"/>
                      <w:sz w:val="19"/>
                    </w:rPr>
                    <w:t>或</w:t>
                  </w:r>
                  <w:r>
                    <w:rPr>
                      <w:rFonts w:ascii="仿宋_GB2312" w:hAnsi="仿宋_GB2312" w:cs="仿宋_GB2312" w:eastAsia="仿宋_GB2312"/>
                      <w:sz w:val="19"/>
                    </w:rPr>
                    <w:t>CFU/件)</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≤200</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大肠菌群</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不得检出</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金黄色葡萄球菌</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不得检出</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真菌</w:t>
                  </w:r>
                  <w:r>
                    <w:rPr>
                      <w:rFonts w:ascii="仿宋_GB2312" w:hAnsi="仿宋_GB2312" w:cs="仿宋_GB2312" w:eastAsia="仿宋_GB2312"/>
                      <w:sz w:val="19"/>
                    </w:rPr>
                    <w:t>菌落总</w:t>
                  </w:r>
                  <w:r>
                    <w:rPr>
                      <w:rFonts w:ascii="仿宋_GB2312" w:hAnsi="仿宋_GB2312" w:cs="仿宋_GB2312" w:eastAsia="仿宋_GB2312"/>
                      <w:sz w:val="19"/>
                    </w:rPr>
                    <w:t>数</w:t>
                  </w:r>
                  <w:r>
                    <w:rPr>
                      <w:rFonts w:ascii="仿宋_GB2312" w:hAnsi="仿宋_GB2312" w:cs="仿宋_GB2312" w:eastAsia="仿宋_GB2312"/>
                      <w:sz w:val="19"/>
                    </w:rPr>
                    <w:t>(CFU/100</w:t>
                  </w:r>
                  <w:r>
                    <w:rPr>
                      <w:rFonts w:ascii="仿宋_GB2312" w:hAnsi="仿宋_GB2312" w:cs="仿宋_GB2312" w:eastAsia="仿宋_GB2312"/>
                      <w:sz w:val="19"/>
                    </w:rPr>
                    <w:t>cm</w:t>
                  </w:r>
                  <w:r>
                    <w:rPr>
                      <w:rFonts w:ascii="仿宋_GB2312" w:hAnsi="仿宋_GB2312" w:cs="仿宋_GB2312" w:eastAsia="仿宋_GB2312"/>
                      <w:sz w:val="19"/>
                      <w:vertAlign w:val="superscript"/>
                    </w:rPr>
                    <w:t>2</w:t>
                  </w:r>
                  <w:r>
                    <w:rPr>
                      <w:rFonts w:ascii="仿宋_GB2312" w:hAnsi="仿宋_GB2312" w:cs="仿宋_GB2312" w:eastAsia="仿宋_GB2312"/>
                      <w:sz w:val="19"/>
                    </w:rPr>
                    <w:t>或</w:t>
                  </w:r>
                  <w:r>
                    <w:rPr>
                      <w:rFonts w:ascii="仿宋_GB2312" w:hAnsi="仿宋_GB2312" w:cs="仿宋_GB2312" w:eastAsia="仿宋_GB2312"/>
                      <w:sz w:val="19"/>
                    </w:rPr>
                    <w:t>CFU/件)</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服务期限：本项目服务期限为</w:t>
            </w:r>
            <w:r>
              <w:rPr>
                <w:rFonts w:ascii="仿宋_GB2312" w:hAnsi="仿宋_GB2312" w:cs="仿宋_GB2312" w:eastAsia="仿宋_GB2312"/>
                <w:sz w:val="21"/>
              </w:rPr>
              <w:t>3</w:t>
            </w:r>
            <w:r>
              <w:rPr>
                <w:rFonts w:ascii="仿宋_GB2312" w:hAnsi="仿宋_GB2312" w:cs="仿宋_GB2312" w:eastAsia="仿宋_GB2312"/>
                <w:sz w:val="21"/>
              </w:rPr>
              <w:t>年，合同一年一签。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本项目服务期限为3年，合同一年一签。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根据使用数量，按月据实结算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根据采购文件要求、磋商响应文件及合同约定执行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1.本项目所属行业：其他未列明行业。从业人员300人以下的为中小微型企业。其中，从业人员100人及以上的为中型企业；从业人员10人及以上的为小型企业；从业人员10人以下的为微型企业。 2.为保障政府采购电子化交易平台项目实施，供应商需要在线提交所有通过电子化交易平台实施的政府采购项目的响应文件，成交供应商在中标（成交）结果公示期结束后须向代理机构提交纸质版响应文件正本1套、副本2套、电子版(U盘1份）。纸质响应文件应与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营业执照等主体资格证明文件：提供有效存续的企业营业执照（副本）/事业单位法人证书/专业服务机构执业许可证/民办非企业单位登记证书等扫描件； （2）提供2024年度经审计的供应商财务报告（包括 “三表一注”即《资产负债表》《利润表》《现金流量表》及其附注）或其递交响应文件截止之日前六个月内基本开户银行出具的资信证明，或信用担保机构出具的投标担保函（以上三种形式的资料提供任何一种即可）（3）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 （4）社会保障资金缴纳证明：提供递交响应文件截止之日前一年内任意一个月的社会保障资金缴存单据或社保机构开具的社会保险参保缴费情况证明。依法不需要缴纳社会保障资金的供应商应提供相关文件证明； （5）提供具有履行合同所必需的设备和专业技术能力承诺函；（格式详见附件）（6）供应商参加本次磋商前3年内，在经营活动中没有重大违法记录的书面声明；（格式详见附件）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按照采购文件要求签署、盖章</w:t>
            </w:r>
          </w:p>
        </w:tc>
        <w:tc>
          <w:tcPr>
            <w:tcW w:type="dxa" w:w="1661"/>
          </w:tcPr>
          <w:p>
            <w:pPr>
              <w:pStyle w:val="null3"/>
            </w:pPr>
            <w:r>
              <w:rPr>
                <w:rFonts w:ascii="仿宋_GB2312" w:hAnsi="仿宋_GB2312" w:cs="仿宋_GB2312" w:eastAsia="仿宋_GB2312"/>
              </w:rPr>
              <w:t>中小企业声明函 授权委托书.docx 报价表 资格证明文件.docx 响应文件封面 分项报价表.docx 法定代表人（单位负责人自然人）身份证明.docx 残疾人福利性单位声明函 技术商务响应部分.docx 标的清单 其他材料.docx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响应文件封面 分项报价表.docx 法定代表人（单位负责人自然人）身份证明.docx 授权委托书.docx 技术商务响应部分.docx 标的清单 报价表 其他材料.docx 响应函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总体方案1: 服务内容及标准</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总体方案2: 服务理念及目标</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总体方案3：重点难点分析及保障措施</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洗涤服务方案1：进度保证措施</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洗涤服务方案2：质量保证措施</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洗涤服务方案3：安全保证措施、强制性标准</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洗涤服务方案4：突发紧急情况处理</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培训考核方案1：岗位知识培训计划</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管理制度1岗位制度：具有岗位工作标准、服务质量标准、现场质量控制体系；</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管理制度2内控制度：具有管理组织机构、问责机制、监督机制、自查制度</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管理制度3人员管理制度：具有员工日常管理办法、请销假制度、奖惩措施、激励机制、仪容仪表制度。</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拟派人员配备</w:t>
            </w:r>
          </w:p>
        </w:tc>
        <w:tc>
          <w:tcPr>
            <w:tcW w:type="dxa" w:w="2492"/>
          </w:tcPr>
          <w:p>
            <w:pPr>
              <w:pStyle w:val="null3"/>
            </w:pPr>
            <w:r>
              <w:rPr>
                <w:rFonts w:ascii="仿宋_GB2312" w:hAnsi="仿宋_GB2312" w:cs="仿宋_GB2312" w:eastAsia="仿宋_GB2312"/>
              </w:rPr>
              <w:t>1、针对本项目服务人员的配备方案，人员配备科学合理，有详细的人员列表，且信息完善有相应的资格证书得3分；人员配备科学合理，有详细的人员列表，且信息较完善得2分；其他情况得1分。 2、其中拟派人员中具有退伍军人的每人0.5分，最多得2分。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配套设施设备</w:t>
            </w:r>
          </w:p>
        </w:tc>
        <w:tc>
          <w:tcPr>
            <w:tcW w:type="dxa" w:w="2492"/>
          </w:tcPr>
          <w:p>
            <w:pPr>
              <w:pStyle w:val="null3"/>
            </w:pPr>
            <w:r>
              <w:rPr>
                <w:rFonts w:ascii="仿宋_GB2312" w:hAnsi="仿宋_GB2312" w:cs="仿宋_GB2312" w:eastAsia="仿宋_GB2312"/>
              </w:rPr>
              <w:t>针对本项目拟投入的配套设施设备情况进行打分，配套设施设备、器具齐全，种类全面，确保服务工作高效有序进行得4分；配套设施设备、器具较齐全，基本符合项目实施的整体安排得2-3分；其他情况得1分。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工作配合的保障措施</w:t>
            </w:r>
          </w:p>
        </w:tc>
        <w:tc>
          <w:tcPr>
            <w:tcW w:type="dxa" w:w="2492"/>
          </w:tcPr>
          <w:p>
            <w:pPr>
              <w:pStyle w:val="null3"/>
            </w:pPr>
            <w:r>
              <w:rPr>
                <w:rFonts w:ascii="仿宋_GB2312" w:hAnsi="仿宋_GB2312" w:cs="仿宋_GB2312" w:eastAsia="仿宋_GB2312"/>
              </w:rPr>
              <w:t>针对本项目服务人员与采购人工作配合的保障措施： 措施内容完整，具有较强的可行性，能体现工作配合过程的具体流程，确保服务人员与采购人工作配合高效、合理、有序进行得4分；措施内容基本完整，能确保服务人员与采购人工作配合正常进行得2-3分；其他情况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服务承诺1：承诺接受采购人对管理服务的监督、批评和建议。</w:t>
            </w:r>
          </w:p>
        </w:tc>
        <w:tc>
          <w:tcPr>
            <w:tcW w:type="dxa" w:w="2492"/>
          </w:tcPr>
          <w:p>
            <w:pPr>
              <w:pStyle w:val="null3"/>
            </w:pPr>
            <w:r>
              <w:rPr>
                <w:rFonts w:ascii="仿宋_GB2312" w:hAnsi="仿宋_GB2312" w:cs="仿宋_GB2312" w:eastAsia="仿宋_GB2312"/>
              </w:rPr>
              <w:t>评审内容针对本项目编制，符合项目实际情况及实施要求，内容详尽且涵盖角度全面，合理性和可行性强得4分；评审内容针对本项目编制，符合项目实际情况及实施要求，内容详尽且涵盖角度基本全面，有一定的合理性和可行性的得2-3分；其他情况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服务承诺2：承诺所配备人员稳定，若出现服务人员因病不能工作的，及时调配其他服务人员补充，确保服务工作的正常进行</w:t>
            </w:r>
          </w:p>
        </w:tc>
        <w:tc>
          <w:tcPr>
            <w:tcW w:type="dxa" w:w="2492"/>
          </w:tcPr>
          <w:p>
            <w:pPr>
              <w:pStyle w:val="null3"/>
            </w:pPr>
            <w:r>
              <w:rPr>
                <w:rFonts w:ascii="仿宋_GB2312" w:hAnsi="仿宋_GB2312" w:cs="仿宋_GB2312" w:eastAsia="仿宋_GB2312"/>
              </w:rPr>
              <w:t>评审内容针对本项目编制，符合项目实际情况及实施要求，内容详尽且涵盖角度全面，合理性和可行性强得4分；评审内容针对本项目编制，符合项目实际情况及实施要求，内容详尽且涵盖角度基本全面，有一定的合理性和可行性的得2-3分；其他情况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服务承诺3：除以上承诺外，供应商可根据自身情况在承接具体服务项目时给予其他的承诺事项，应以优质、具体、可行为原则。</w:t>
            </w:r>
          </w:p>
        </w:tc>
        <w:tc>
          <w:tcPr>
            <w:tcW w:type="dxa" w:w="2492"/>
          </w:tcPr>
          <w:p>
            <w:pPr>
              <w:pStyle w:val="null3"/>
            </w:pPr>
            <w:r>
              <w:rPr>
                <w:rFonts w:ascii="仿宋_GB2312" w:hAnsi="仿宋_GB2312" w:cs="仿宋_GB2312" w:eastAsia="仿宋_GB2312"/>
              </w:rPr>
              <w:t>评审内容针对本项目编制，符合项目实际情况及实施要求，内容详尽且涵盖角度全面，合理性和可行性强得4分；评审内容针对本项目编制，符合项目实际情况及实施要求，内容详尽且涵盖角度基本全面，有一定的合理性和可行性的得2-3分；其他情况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2023 年1月1日至今具有同类项目业绩（业绩以合同为准），每提供1个业绩得2.5分，最高得5分；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详见附件：技术商务响应部分.docx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