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70AD0">
      <w:pPr>
        <w:pStyle w:val="2"/>
        <w:numPr>
          <w:ilvl w:val="0"/>
          <w:numId w:val="0"/>
        </w:numPr>
        <w:ind w:firstLine="3600" w:firstLineChars="1000"/>
        <w:jc w:val="both"/>
        <w:outlineLvl w:val="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拟签订的合同文本</w:t>
      </w:r>
    </w:p>
    <w:p w14:paraId="0F234322">
      <w:pPr>
        <w:rPr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</w:rPr>
        <w:t>本合同文本仅供参考，具体合同条款由甲乙双方在签署合同时，根据项目实际需要另行协商确定，以双方最终签署的合同为准。</w:t>
      </w:r>
      <w:r>
        <w:rPr>
          <w:rFonts w:hint="eastAsia"/>
          <w:highlight w:val="none"/>
          <w:lang w:eastAsia="zh-CN"/>
        </w:rPr>
        <w:t>）</w:t>
      </w:r>
    </w:p>
    <w:p w14:paraId="5E5FE49E"/>
    <w:p w14:paraId="167F79D1">
      <w:pPr>
        <w:autoSpaceDE w:val="0"/>
        <w:spacing w:line="360" w:lineRule="auto"/>
        <w:ind w:firstLine="210" w:firstLineChars="100"/>
        <w:rPr>
          <w:rFonts w:hint="eastAsia" w:eastAsia="宋体"/>
          <w:b/>
          <w:bCs/>
          <w:szCs w:val="21"/>
          <w:u w:val="single"/>
          <w:lang w:val="en-US" w:eastAsia="zh-CN"/>
        </w:rPr>
      </w:pPr>
      <w:r>
        <w:rPr>
          <w:rFonts w:hint="eastAsia"/>
          <w:b/>
          <w:bCs/>
          <w:szCs w:val="21"/>
        </w:rPr>
        <w:t>甲方：</w:t>
      </w:r>
      <w:r>
        <w:rPr>
          <w:rFonts w:hint="eastAsia"/>
          <w:b/>
          <w:bCs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/>
          <w:b/>
          <w:bCs/>
          <w:szCs w:val="21"/>
          <w:u w:val="none"/>
          <w:lang w:val="en-US" w:eastAsia="zh-CN"/>
        </w:rPr>
        <w:t xml:space="preserve">  </w:t>
      </w:r>
    </w:p>
    <w:p w14:paraId="64C010A2">
      <w:pPr>
        <w:autoSpaceDE w:val="0"/>
        <w:spacing w:after="100" w:afterAutospacing="1" w:line="360" w:lineRule="auto"/>
        <w:ind w:firstLine="210" w:firstLineChars="100"/>
        <w:rPr>
          <w:rFonts w:ascii="Calibri" w:hAnsi="Calibri" w:cs="Calibri"/>
          <w:b/>
          <w:bCs/>
          <w:sz w:val="21"/>
          <w:szCs w:val="21"/>
          <w:u w:val="single"/>
        </w:rPr>
      </w:pPr>
      <w:r>
        <w:rPr>
          <w:rFonts w:hint="eastAsia"/>
          <w:b/>
          <w:bCs/>
          <w:szCs w:val="21"/>
        </w:rPr>
        <w:t>乙方：</w:t>
      </w:r>
      <w:r>
        <w:rPr>
          <w:rFonts w:hint="eastAsia"/>
          <w:b/>
          <w:bCs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/>
          <w:b/>
          <w:bCs/>
          <w:szCs w:val="21"/>
          <w:u w:val="none"/>
          <w:lang w:val="en-US" w:eastAsia="zh-CN"/>
        </w:rPr>
        <w:t xml:space="preserve">                    </w:t>
      </w:r>
      <w:r>
        <w:rPr>
          <w:rFonts w:hint="eastAsia"/>
          <w:b/>
          <w:bCs/>
          <w:szCs w:val="21"/>
          <w:u w:val="none"/>
        </w:rPr>
        <w:t xml:space="preserve"> </w:t>
      </w:r>
      <w:r>
        <w:rPr>
          <w:rFonts w:hint="eastAsia"/>
          <w:b/>
          <w:bCs/>
          <w:szCs w:val="21"/>
          <w:u w:val="none"/>
          <w:lang w:val="en-US" w:eastAsia="zh-CN"/>
        </w:rPr>
        <w:t xml:space="preserve"> </w:t>
      </w:r>
    </w:p>
    <w:p w14:paraId="478336A3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根据《中华人民共和国民法典》及其他相关法律、法规的规定，遵循平等、自愿、公平和诚信的原则，双方就乙方对甲方负责的</w:t>
      </w:r>
      <w:r>
        <w:rPr>
          <w:rFonts w:hint="eastAsia" w:ascii="宋体" w:hAnsi="宋体" w:cs="Times New Roman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项目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事宜，协商一致，签订本合同，以兹共同遵守。</w:t>
      </w:r>
    </w:p>
    <w:p w14:paraId="1521F613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</w:pPr>
      <w:bookmarkStart w:id="0" w:name="_Toc20016"/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>第一条  服务名称及地点</w:t>
      </w:r>
      <w:bookmarkEnd w:id="0"/>
    </w:p>
    <w:p w14:paraId="09702E76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1.1项目名称：</w:t>
      </w:r>
      <w:r>
        <w:rPr>
          <w:rFonts w:hint="eastAsia" w:ascii="宋体" w:hAnsi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。</w:t>
      </w:r>
    </w:p>
    <w:p w14:paraId="458C353B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1.2项目地点：</w:t>
      </w:r>
      <w:r>
        <w:rPr>
          <w:rFonts w:hint="eastAsia" w:ascii="宋体" w:hAnsi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。</w:t>
      </w:r>
    </w:p>
    <w:p w14:paraId="046612B6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</w:pPr>
      <w:bookmarkStart w:id="1" w:name="_Toc5121"/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>第二条  服务内容、范围及基本要求</w:t>
      </w:r>
      <w:bookmarkEnd w:id="1"/>
    </w:p>
    <w:p w14:paraId="6D577816">
      <w:pPr>
        <w:spacing w:line="360" w:lineRule="auto"/>
        <w:ind w:firstLine="420" w:firstLineChars="200"/>
        <w:outlineLvl w:val="1"/>
        <w:rPr>
          <w:rFonts w:hint="eastAsia" w:ascii="宋体" w:hAnsi="宋体" w:cs="Times New Roman"/>
          <w:b w:val="0"/>
          <w:bCs w:val="0"/>
          <w:sz w:val="21"/>
          <w:szCs w:val="21"/>
          <w:lang w:val="en-US" w:eastAsia="zh-CN"/>
        </w:rPr>
      </w:pPr>
      <w:bookmarkStart w:id="2" w:name="_Toc29405"/>
      <w:r>
        <w:rPr>
          <w:rFonts w:hint="eastAsia" w:ascii="宋体" w:hAnsi="宋体" w:cs="Times New Roman"/>
          <w:b w:val="0"/>
          <w:bCs w:val="0"/>
          <w:sz w:val="21"/>
          <w:szCs w:val="21"/>
          <w:lang w:val="en-US" w:eastAsia="zh-CN"/>
        </w:rPr>
        <w:t>2.1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lang w:val="en-US" w:eastAsia="zh-CN"/>
        </w:rPr>
        <w:t>服务内容</w:t>
      </w:r>
      <w:r>
        <w:rPr>
          <w:rFonts w:hint="eastAsia" w:ascii="宋体" w:hAnsi="宋体" w:cs="Times New Roman"/>
          <w:b w:val="0"/>
          <w:bCs w:val="0"/>
          <w:sz w:val="21"/>
          <w:szCs w:val="21"/>
          <w:lang w:val="en-US" w:eastAsia="zh-CN"/>
        </w:rPr>
        <w:t>:</w:t>
      </w:r>
      <w:r>
        <w:rPr>
          <w:rFonts w:hint="eastAsia" w:ascii="宋体" w:hAnsi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。</w:t>
      </w:r>
    </w:p>
    <w:p w14:paraId="0B31D276">
      <w:pPr>
        <w:spacing w:line="360" w:lineRule="auto"/>
        <w:ind w:firstLine="420" w:firstLineChars="200"/>
        <w:outlineLvl w:val="1"/>
        <w:rPr>
          <w:rFonts w:hint="default" w:ascii="宋体" w:hAnsi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 w:val="21"/>
          <w:szCs w:val="21"/>
          <w:lang w:val="en-US" w:eastAsia="zh-CN"/>
        </w:rPr>
        <w:t>2.2服务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lang w:val="en-US" w:eastAsia="zh-CN"/>
        </w:rPr>
        <w:t>范围</w:t>
      </w:r>
      <w:r>
        <w:rPr>
          <w:rFonts w:hint="eastAsia" w:ascii="宋体" w:hAnsi="宋体" w:cs="Times New Roman"/>
          <w:b w:val="0"/>
          <w:bCs w:val="0"/>
          <w:sz w:val="21"/>
          <w:szCs w:val="21"/>
          <w:lang w:val="en-US" w:eastAsia="zh-CN"/>
        </w:rPr>
        <w:t>：</w:t>
      </w:r>
      <w:r>
        <w:rPr>
          <w:rFonts w:hint="eastAsia" w:ascii="宋体" w:hAnsi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。</w:t>
      </w:r>
    </w:p>
    <w:p w14:paraId="244E805F">
      <w:pPr>
        <w:spacing w:line="360" w:lineRule="auto"/>
        <w:ind w:firstLine="420" w:firstLineChars="200"/>
        <w:outlineLvl w:val="1"/>
        <w:rPr>
          <w:rFonts w:hint="default" w:ascii="宋体" w:hAnsi="宋体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 w:val="21"/>
          <w:szCs w:val="21"/>
          <w:lang w:val="en-US" w:eastAsia="zh-CN"/>
        </w:rPr>
        <w:t>2.3基本要求：</w:t>
      </w:r>
      <w:r>
        <w:rPr>
          <w:rFonts w:hint="eastAsia" w:ascii="宋体" w:hAnsi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。</w:t>
      </w:r>
    </w:p>
    <w:p w14:paraId="7D0636EC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 xml:space="preserve">第三条  </w:t>
      </w:r>
      <w:bookmarkEnd w:id="2"/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>服务期限</w:t>
      </w:r>
    </w:p>
    <w:p w14:paraId="7C2A2D70">
      <w:pPr>
        <w:spacing w:line="360" w:lineRule="auto"/>
        <w:ind w:firstLine="420" w:firstLineChars="200"/>
        <w:rPr>
          <w:rFonts w:hint="eastAsia" w:ascii="宋体" w:hAnsi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 w:val="21"/>
          <w:szCs w:val="21"/>
          <w:lang w:val="en-US" w:eastAsia="zh-CN"/>
        </w:rPr>
        <w:t>3.1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lang w:val="en-US" w:eastAsia="zh-CN"/>
        </w:rPr>
        <w:t>服务期限</w:t>
      </w:r>
      <w:r>
        <w:rPr>
          <w:rFonts w:hint="eastAsia" w:ascii="宋体" w:hAnsi="宋体" w:cs="Times New Roman"/>
          <w:b w:val="0"/>
          <w:bCs w:val="0"/>
          <w:sz w:val="21"/>
          <w:szCs w:val="21"/>
          <w:lang w:val="en-US" w:eastAsia="zh-CN"/>
        </w:rPr>
        <w:t>：</w:t>
      </w:r>
      <w:r>
        <w:rPr>
          <w:rFonts w:hint="eastAsia" w:ascii="宋体" w:hAnsi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。</w:t>
      </w:r>
    </w:p>
    <w:p w14:paraId="6EB3804A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</w:pPr>
      <w:bookmarkStart w:id="3" w:name="_Toc16719"/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>第四条  合同价款及结算</w:t>
      </w:r>
      <w:bookmarkEnd w:id="3"/>
    </w:p>
    <w:p w14:paraId="1DFB6D27">
      <w:pPr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1"/>
          <w:lang w:val="en-US" w:eastAsia="zh-CN"/>
        </w:rPr>
        <w:t>4.1合同价款为：</w:t>
      </w:r>
    </w:p>
    <w:p w14:paraId="101E2C1F">
      <w:pPr>
        <w:spacing w:line="360" w:lineRule="auto"/>
        <w:ind w:firstLine="420" w:firstLineChars="200"/>
        <w:rPr>
          <w:rFonts w:hint="default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人民币（大写）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Times New Roman"/>
          <w:b w:val="0"/>
          <w:bCs w:val="0"/>
          <w:sz w:val="21"/>
          <w:szCs w:val="21"/>
          <w:highlight w:val="none"/>
          <w:lang w:val="en-US" w:eastAsia="zh-CN"/>
        </w:rPr>
        <w:t>¥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u w:val="none"/>
          <w:lang w:val="en-US" w:eastAsia="zh-CN"/>
        </w:rPr>
        <w:t>元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）。</w:t>
      </w:r>
      <w:r>
        <w:rPr>
          <w:rFonts w:hint="eastAsia" w:ascii="宋体" w:hAnsi="宋体" w:cs="Times New Roman"/>
          <w:b w:val="0"/>
          <w:bCs w:val="0"/>
          <w:sz w:val="21"/>
          <w:szCs w:val="21"/>
          <w:highlight w:val="none"/>
          <w:lang w:val="en-US" w:eastAsia="zh-CN"/>
        </w:rPr>
        <w:t>详见单价表。</w:t>
      </w:r>
      <w:bookmarkStart w:id="11" w:name="_GoBack"/>
      <w:bookmarkEnd w:id="11"/>
    </w:p>
    <w:p w14:paraId="4EA4159B">
      <w:pPr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4.2 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每月根据实际洗涤数量按单价计件支付服务费。</w:t>
      </w:r>
      <w:r>
        <w:rPr>
          <w:rFonts w:hint="eastAsia" w:ascii="宋体" w:hAnsi="宋体" w:cs="Times New Roman"/>
          <w:b w:val="0"/>
          <w:bCs w:val="0"/>
          <w:sz w:val="21"/>
          <w:szCs w:val="21"/>
          <w:highlight w:val="none"/>
          <w:lang w:val="en-US" w:eastAsia="zh-CN"/>
        </w:rPr>
        <w:t>不限于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运行所需的洗涤剂、消毒剂费用</w:t>
      </w:r>
      <w:r>
        <w:rPr>
          <w:rFonts w:hint="eastAsia" w:ascii="宋体" w:hAnsi="宋体" w:cs="Times New Roman"/>
          <w:b w:val="0"/>
          <w:bCs w:val="0"/>
          <w:sz w:val="21"/>
          <w:szCs w:val="21"/>
          <w:highlight w:val="none"/>
          <w:lang w:val="en-US" w:eastAsia="zh-CN"/>
        </w:rPr>
        <w:t>；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水、电、气费用</w:t>
      </w:r>
      <w:r>
        <w:rPr>
          <w:rFonts w:hint="eastAsia" w:ascii="宋体" w:hAnsi="宋体" w:cs="Times New Roman"/>
          <w:b w:val="0"/>
          <w:bCs w:val="0"/>
          <w:sz w:val="21"/>
          <w:szCs w:val="21"/>
          <w:highlight w:val="none"/>
          <w:lang w:val="en-US" w:eastAsia="zh-CN"/>
        </w:rPr>
        <w:t>；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聘用工作人员的工资、福利待遇(含五险一金、节假日补助、节日慰问等)、人员培训、体检、伤残丧病等所有费用等为完成本项目所涉及全部费用。</w:t>
      </w:r>
    </w:p>
    <w:p w14:paraId="4C80681C">
      <w:pPr>
        <w:spacing w:line="360" w:lineRule="auto"/>
        <w:ind w:firstLine="420" w:firstLineChars="200"/>
        <w:rPr>
          <w:rFonts w:hint="eastAsia" w:ascii="宋体" w:hAnsi="宋体" w:cs="Times New Roman"/>
          <w:b w:val="0"/>
          <w:bCs w:val="0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cs="Times New Roman"/>
          <w:b w:val="0"/>
          <w:bCs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 xml:space="preserve"> 付款条件说明：</w:t>
      </w:r>
      <w:r>
        <w:rPr>
          <w:rFonts w:hint="eastAsia" w:ascii="宋体" w:hAnsi="宋体" w:cs="Times New Roman"/>
          <w:b w:val="0"/>
          <w:bCs w:val="0"/>
          <w:sz w:val="21"/>
          <w:szCs w:val="21"/>
          <w:highlight w:val="none"/>
          <w:lang w:val="en-US" w:eastAsia="zh-CN"/>
        </w:rPr>
        <w:t>在月末甲方对乙方当月服务情况进行考核，根据考核情况结果在下月初支付上月费用。</w:t>
      </w:r>
    </w:p>
    <w:p w14:paraId="16218673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4.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甲方付款前，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乙方按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甲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方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要求开具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发票。</w:t>
      </w:r>
    </w:p>
    <w:p w14:paraId="631E3939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</w:pPr>
      <w:bookmarkStart w:id="4" w:name="_Toc24855"/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>第五条  甲方的权利和义务</w:t>
      </w:r>
      <w:bookmarkEnd w:id="4"/>
    </w:p>
    <w:p w14:paraId="29688A26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5.1 对乙方所呈报的问题及时给予答复。</w:t>
      </w:r>
    </w:p>
    <w:p w14:paraId="5B97FC92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5.2 有权对乙方配置人员进行身份和资格核查、备案。</w:t>
      </w:r>
    </w:p>
    <w:p w14:paraId="04A3D020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5.3 在服务过程中甲方现场工作人员有权对乙方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工作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人员的具体工作进行调整安排，同时有权对乙方的服务工作提出合理化建议，并要求乙方限期改正。</w:t>
      </w:r>
    </w:p>
    <w:p w14:paraId="1AC511B8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5.4有义务根据约定及时结算和支付合同费用。</w:t>
      </w:r>
    </w:p>
    <w:p w14:paraId="1F337574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5.5有义务协助乙方共同提高服务质量。</w:t>
      </w:r>
    </w:p>
    <w:p w14:paraId="447B717D">
      <w:pPr>
        <w:spacing w:line="360" w:lineRule="auto"/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5.6 甲方有权要求乙方调换不符合甲方要求、不服从甲方安排及可能影服务的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工作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人员。</w:t>
      </w:r>
    </w:p>
    <w:p w14:paraId="78322455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</w:pPr>
      <w:bookmarkStart w:id="5" w:name="_Toc15311"/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>第六条  乙方的权利和义务</w:t>
      </w:r>
      <w:bookmarkEnd w:id="5"/>
    </w:p>
    <w:p w14:paraId="3CEF2F52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6.1 乙方须科学建立管理机构、配置关键岗位，保证机构设置完整、合理、精干高效。乙方负责培训、岗位分配、工资发放、考勤考核等。</w:t>
      </w:r>
    </w:p>
    <w:p w14:paraId="535775C6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6.2 乙方应保证其配置人员符合国家、行业规定的准入条件、上岗条件和甲方要求。乙方有义务对其人员进行上岗培训、管理教育，确保能圆满顺利完成任务。</w:t>
      </w:r>
    </w:p>
    <w:p w14:paraId="61300180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6.3乙方项目负责人负责本项目派驻人员的管理、生产组织及相关资料建立等，组织队伍完成合同规定的工作内容。</w:t>
      </w:r>
    </w:p>
    <w:p w14:paraId="0F73FC03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6.4 对于服务中出现的投诉、事故，乙方应当自行处理，对于涉及甲方工作质量、荣誉、经济损失等重大问题时，需向甲方有关负责人及时沟通汇报。</w:t>
      </w:r>
    </w:p>
    <w:p w14:paraId="72BDBBC7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6.5乙方应当根据工作量及服务标准，足量配置员工队伍，保证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服务工作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人员服从甲方工作人员的指挥和安排。</w:t>
      </w:r>
    </w:p>
    <w:p w14:paraId="0997EDB2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6.6 未经甲方事先书面同意，乙方不得将本合同全部或者部分转包给第三方。</w:t>
      </w:r>
    </w:p>
    <w:p w14:paraId="392BF59A">
      <w:pPr>
        <w:pStyle w:val="6"/>
        <w:spacing w:line="360" w:lineRule="auto"/>
        <w:ind w:firstLine="559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6.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 xml:space="preserve"> 乙方应执行《劳动法》的相关规定，确保人员稳定。</w:t>
      </w:r>
    </w:p>
    <w:p w14:paraId="3D8FC407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</w:pPr>
      <w:bookmarkStart w:id="6" w:name="_Toc11049"/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>第七条  安全责任划分</w:t>
      </w:r>
      <w:bookmarkEnd w:id="6"/>
    </w:p>
    <w:p w14:paraId="04040231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7.1因乙方管理不力等原因造成的安全事件或人身伤害、环境污染等事件，以及其他安全环保事故、劳动纠纷、经济损失等，由乙方负责并承担责任。乙方人员在合同履行期间发生责任人身伤亡事故，全部由乙方自行负责并承担相应赔偿责任。</w:t>
      </w:r>
    </w:p>
    <w:p w14:paraId="771CB69F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7.2乙方必须按照法律相关规定对人身安全负责。</w:t>
      </w:r>
    </w:p>
    <w:p w14:paraId="63CEF029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7.3乙方派驻人员的道路交通安全由乙方负责。工作期间发生的道路交通安全事故责任，以公安部门认定为准。乙方单位或工作人员原因导致的道路交通责任事故，由乙方负责处理。</w:t>
      </w:r>
    </w:p>
    <w:p w14:paraId="5AF172EF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</w:pPr>
      <w:bookmarkStart w:id="7" w:name="_Toc5512"/>
      <w:r>
        <w:rPr>
          <w:rFonts w:hint="eastAsia" w:ascii="宋体" w:hAnsi="宋体" w:eastAsia="宋体" w:cs="Times New Roman"/>
          <w:b/>
          <w:bCs/>
          <w:sz w:val="21"/>
          <w:szCs w:val="21"/>
          <w:highlight w:val="none"/>
          <w:lang w:val="en-US" w:eastAsia="zh-CN"/>
        </w:rPr>
        <w:t>第八条 违约责任</w:t>
      </w:r>
      <w:bookmarkEnd w:id="7"/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 xml:space="preserve"> </w:t>
      </w:r>
    </w:p>
    <w:p w14:paraId="117B9D0B">
      <w:pPr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</w:pPr>
      <w:bookmarkStart w:id="8" w:name="_Toc18518"/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val="en-US" w:eastAsia="zh-CN"/>
        </w:rPr>
        <w:t>8.1履约保证金或履约担保的形式：</w:t>
      </w:r>
      <w:r>
        <w:rPr>
          <w:rFonts w:hint="eastAsia" w:ascii="宋体" w:hAnsi="宋体" w:cs="Times New Roman"/>
          <w:b w:val="0"/>
          <w:bCs w:val="0"/>
          <w:sz w:val="21"/>
          <w:szCs w:val="21"/>
          <w:highlight w:val="none"/>
          <w:u w:val="single"/>
          <w:lang w:val="en-US" w:eastAsia="zh-CN"/>
        </w:rPr>
        <w:t>无</w:t>
      </w:r>
    </w:p>
    <w:p w14:paraId="50857ADF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8.2乙方未能按照约定提供服务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或服务未达到甲方验收标准,甲方有权要求乙方限期整改,乙方无正当理由逾期未整改或拒绝整改,给甲方工作质量、进度、声誉造成影响，甲方有权无责终止合同，并要求乙方承担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合同额</w:t>
      </w:r>
      <w:r>
        <w:rPr>
          <w:rFonts w:hint="eastAsia" w:ascii="宋体" w:hAnsi="宋体" w:cs="Times New Roman"/>
          <w:b/>
          <w:bCs/>
          <w:sz w:val="21"/>
          <w:szCs w:val="21"/>
          <w:u w:val="single"/>
          <w:lang w:val="en-US" w:eastAsia="zh-CN"/>
        </w:rPr>
        <w:t>20%</w:t>
      </w:r>
      <w:r>
        <w:rPr>
          <w:rFonts w:hint="eastAsia" w:ascii="宋体" w:hAnsi="宋体" w:cs="Times New Roman"/>
          <w:b w:val="0"/>
          <w:bCs w:val="0"/>
          <w:sz w:val="21"/>
          <w:szCs w:val="21"/>
          <w:u w:val="none"/>
          <w:lang w:val="en-US" w:eastAsia="zh-CN"/>
        </w:rPr>
        <w:t>的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违约金。</w:t>
      </w:r>
    </w:p>
    <w:p w14:paraId="221B25DD">
      <w:pPr>
        <w:pStyle w:val="6"/>
        <w:spacing w:line="360" w:lineRule="auto"/>
        <w:ind w:firstLine="559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8.3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乙方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如未按上述合同约定履行自己的义务，造成的一切后果由甲方承担。</w:t>
      </w:r>
    </w:p>
    <w:p w14:paraId="6B8F6BC7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>第九条 合同的变更、解除、终止</w:t>
      </w:r>
      <w:bookmarkEnd w:id="8"/>
    </w:p>
    <w:p w14:paraId="295112B3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9.1 订立本合同所依据的客观情况发生重大变化，致使本合同无法履行的，经甲乙双方协商一致，本合同可以无责任解除。</w:t>
      </w:r>
    </w:p>
    <w:p w14:paraId="2C621D28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 xml:space="preserve">9.2 服务期限内甲方由于政策调整和甲方客观原因导致需要终止合同的，应以书面的方式通知乙方，自乙方收到书面通知之日起本合同即无责终止。 </w:t>
      </w:r>
    </w:p>
    <w:p w14:paraId="644B7BE0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 xml:space="preserve">9.3在合同履行过程中，因甲方服务需求增加时，经甲乙双方协商同意，可以签订补充协议。 </w:t>
      </w:r>
    </w:p>
    <w:p w14:paraId="3F691B49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</w:pPr>
      <w:bookmarkStart w:id="9" w:name="_Toc18593"/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>第十条 争议解决</w:t>
      </w:r>
      <w:bookmarkEnd w:id="9"/>
    </w:p>
    <w:p w14:paraId="08765468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因本合同发生的纠纷，各方应本着实事求是的原则，协商解决；协商不能解决时，任何一方均可通过向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项目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所在地有管辖权的人民法院诉讼解决。</w:t>
      </w:r>
    </w:p>
    <w:p w14:paraId="1E7D263B">
      <w:pPr>
        <w:spacing w:line="360" w:lineRule="auto"/>
        <w:ind w:firstLine="420" w:firstLineChars="200"/>
        <w:outlineLvl w:val="1"/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</w:pPr>
      <w:bookmarkStart w:id="10" w:name="_Toc29262"/>
      <w:r>
        <w:rPr>
          <w:rFonts w:hint="eastAsia" w:ascii="宋体" w:hAnsi="宋体" w:eastAsia="宋体" w:cs="Times New Roman"/>
          <w:b/>
          <w:bCs/>
          <w:sz w:val="21"/>
          <w:szCs w:val="21"/>
          <w:lang w:val="en-US" w:eastAsia="zh-CN"/>
        </w:rPr>
        <w:t>第十一条 其他</w:t>
      </w:r>
      <w:bookmarkEnd w:id="10"/>
    </w:p>
    <w:p w14:paraId="35311E7A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11.1采购人需追加与合同标的相同的货物、工程或者服务的，在不改变合同其他条款的前提下，可以与供应商协商签订补充合同，但所有补充合同的采购金额不得超过原合同采购金额的百分之十。</w:t>
      </w:r>
    </w:p>
    <w:p w14:paraId="5320CD37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11.2本合同未尽事宜由甲乙双方协商解决，并可签订补充协议作为本合同的附件。</w:t>
      </w:r>
    </w:p>
    <w:p w14:paraId="7AE05A17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11.3甲乙双方有义务对本合同条款保密，以确保双方利益。</w:t>
      </w:r>
    </w:p>
    <w:p w14:paraId="718ACE28">
      <w:pPr>
        <w:spacing w:line="360" w:lineRule="auto"/>
        <w:ind w:firstLine="420" w:firstLineChars="200"/>
        <w:rPr>
          <w:rFonts w:hint="default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12.</w:t>
      </w:r>
      <w:r>
        <w:rPr>
          <w:rFonts w:hint="eastAsia" w:ascii="宋体" w:hAnsi="宋体" w:cs="Times New Roman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 xml:space="preserve">本合同履行过程中发送的通知、文件、资料以及法律文书，若无特殊约定，均以本合同中载明的地址为送达地址。本条款适用于司法文书送达。 </w:t>
      </w:r>
    </w:p>
    <w:p w14:paraId="3D65A1DD">
      <w:pPr>
        <w:pStyle w:val="11"/>
        <w:keepNext w:val="0"/>
        <w:keepLines w:val="0"/>
        <w:widowControl w:val="0"/>
        <w:shd w:val="clear" w:color="auto" w:fill="auto"/>
        <w:tabs>
          <w:tab w:val="left" w:pos="1289"/>
        </w:tabs>
        <w:bidi w:val="0"/>
        <w:spacing w:before="0" w:after="0" w:line="360" w:lineRule="auto"/>
        <w:ind w:right="0" w:firstLine="478" w:firstLineChars="228"/>
        <w:jc w:val="both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12.</w:t>
      </w:r>
      <w:r>
        <w:rPr>
          <w:rFonts w:hint="eastAsia" w:cs="Times New Roman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本合同自双方签字盖章之日起生效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1"/>
          <w:szCs w:val="21"/>
          <w:lang w:val="en-US" w:eastAsia="zh-CN"/>
        </w:rPr>
        <w:t>，合同一式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份，其中甲方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份，乙方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份。</w:t>
      </w:r>
    </w:p>
    <w:p w14:paraId="533EE451">
      <w:pPr>
        <w:spacing w:line="360" w:lineRule="auto"/>
        <w:ind w:firstLine="420" w:firstLineChars="200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（以下无正文）</w:t>
      </w:r>
    </w:p>
    <w:p w14:paraId="3DE1518C">
      <w:pPr>
        <w:pStyle w:val="4"/>
        <w:rPr>
          <w:rFonts w:hint="eastAsia" w:ascii="宋体" w:hAnsi="宋体" w:eastAsia="宋体" w:cs="Times New Roman"/>
          <w:sz w:val="21"/>
          <w:szCs w:val="21"/>
          <w:lang w:val="en-US" w:eastAsia="zh-CN"/>
        </w:rPr>
      </w:pPr>
    </w:p>
    <w:p w14:paraId="5DD9A1C8"/>
    <w:tbl>
      <w:tblPr>
        <w:tblStyle w:val="7"/>
        <w:tblW w:w="92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051F7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  <w:noWrap w:val="0"/>
            <w:vAlign w:val="top"/>
          </w:tcPr>
          <w:p w14:paraId="483376C4">
            <w:pPr>
              <w:spacing w:line="360" w:lineRule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甲方名称（盖章）:</w:t>
            </w:r>
          </w:p>
          <w:p w14:paraId="12096E07">
            <w:pPr>
              <w:spacing w:line="360" w:lineRule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地址：</w:t>
            </w:r>
          </w:p>
          <w:p w14:paraId="795FE440">
            <w:pPr>
              <w:spacing w:line="360" w:lineRule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代表人（签字）：</w:t>
            </w:r>
          </w:p>
          <w:p w14:paraId="1F7DAA10">
            <w:pPr>
              <w:spacing w:line="360" w:lineRule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电话：</w:t>
            </w:r>
          </w:p>
          <w:p w14:paraId="553F44AD">
            <w:pPr>
              <w:spacing w:line="360" w:lineRule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开户银行：</w:t>
            </w:r>
          </w:p>
          <w:p w14:paraId="7E8B3368">
            <w:pPr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帐号：</w:t>
            </w:r>
          </w:p>
        </w:tc>
        <w:tc>
          <w:tcPr>
            <w:tcW w:w="4643" w:type="dxa"/>
            <w:noWrap w:val="0"/>
            <w:vAlign w:val="top"/>
          </w:tcPr>
          <w:p w14:paraId="0C62F6C4">
            <w:pPr>
              <w:spacing w:line="360" w:lineRule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乙方名称（盖章）:</w:t>
            </w:r>
          </w:p>
          <w:p w14:paraId="07F1C61C">
            <w:pPr>
              <w:spacing w:line="360" w:lineRule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地址：</w:t>
            </w:r>
          </w:p>
          <w:p w14:paraId="2134A4B4">
            <w:pPr>
              <w:spacing w:line="360" w:lineRule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代表人（签字）：</w:t>
            </w:r>
          </w:p>
          <w:p w14:paraId="764EF3A8">
            <w:pPr>
              <w:spacing w:line="360" w:lineRule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电话：</w:t>
            </w:r>
          </w:p>
          <w:p w14:paraId="0FA774E5">
            <w:pPr>
              <w:spacing w:line="360" w:lineRule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开户银行：</w:t>
            </w:r>
          </w:p>
          <w:p w14:paraId="47AC639D">
            <w:pPr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帐号：</w:t>
            </w:r>
          </w:p>
        </w:tc>
      </w:tr>
    </w:tbl>
    <w:p w14:paraId="0E5418CF"/>
    <w:sectPr>
      <w:pgSz w:w="11906" w:h="16838"/>
      <w:pgMar w:top="1134" w:right="1247" w:bottom="1134" w:left="1247" w:header="851" w:footer="992" w:gutter="0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2ODgzNWMwYzFhNTg2ZjliNWNlOTYxNTE0MDFmYmUifQ=="/>
  </w:docVars>
  <w:rsids>
    <w:rsidRoot w:val="00000000"/>
    <w:rsid w:val="031F00B4"/>
    <w:rsid w:val="066D7F38"/>
    <w:rsid w:val="06AB707D"/>
    <w:rsid w:val="07B354B4"/>
    <w:rsid w:val="13F45F76"/>
    <w:rsid w:val="17C835C9"/>
    <w:rsid w:val="1B2B5BB7"/>
    <w:rsid w:val="1F5D08C4"/>
    <w:rsid w:val="21437049"/>
    <w:rsid w:val="25F152BF"/>
    <w:rsid w:val="30AF32A8"/>
    <w:rsid w:val="31E35202"/>
    <w:rsid w:val="40B02468"/>
    <w:rsid w:val="4A3414AE"/>
    <w:rsid w:val="601577B0"/>
    <w:rsid w:val="64D22EF6"/>
    <w:rsid w:val="70A1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after="330" w:line="576" w:lineRule="auto"/>
    </w:pPr>
    <w:rPr>
      <w:rFonts w:ascii="Times New Roman" w:hAnsi="Times New Roman"/>
      <w:kern w:val="44"/>
      <w:sz w:val="36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Body Text Indent"/>
    <w:basedOn w:val="1"/>
    <w:qFormat/>
    <w:uiPriority w:val="0"/>
    <w:pPr>
      <w:widowControl/>
      <w:ind w:firstLine="652" w:firstLineChars="233"/>
    </w:pPr>
    <w:rPr>
      <w:kern w:val="0"/>
      <w:sz w:val="28"/>
    </w:rPr>
  </w:style>
  <w:style w:type="paragraph" w:styleId="6">
    <w:name w:val="Body Text First Indent 2"/>
    <w:basedOn w:val="5"/>
    <w:qFormat/>
    <w:uiPriority w:val="0"/>
    <w:pPr>
      <w:ind w:firstLine="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Body text|2"/>
    <w:basedOn w:val="1"/>
    <w:qFormat/>
    <w:uiPriority w:val="0"/>
    <w:pPr>
      <w:spacing w:after="200" w:line="305" w:lineRule="exact"/>
      <w:ind w:left="520" w:firstLine="480"/>
    </w:pPr>
    <w:rPr>
      <w:rFonts w:ascii="宋体" w:hAnsi="宋体" w:eastAsia="宋体" w:cs="宋体"/>
      <w:color w:val="E47A6D"/>
      <w:sz w:val="20"/>
      <w:szCs w:val="20"/>
      <w:lang w:val="zh-TW" w:eastAsia="zh-TW" w:bidi="zh-TW"/>
    </w:rPr>
  </w:style>
  <w:style w:type="paragraph" w:customStyle="1" w:styleId="11">
    <w:name w:val="Body text|1"/>
    <w:basedOn w:val="1"/>
    <w:qFormat/>
    <w:uiPriority w:val="0"/>
    <w:pPr>
      <w:widowControl w:val="0"/>
      <w:shd w:val="clear" w:color="auto" w:fill="auto"/>
      <w:spacing w:line="314" w:lineRule="auto"/>
      <w:ind w:firstLine="27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1918</Words>
  <Characters>1999</Characters>
  <Lines>0</Lines>
  <Paragraphs>0</Paragraphs>
  <TotalTime>5</TotalTime>
  <ScaleCrop>false</ScaleCrop>
  <LinksUpToDate>false</LinksUpToDate>
  <CharactersWithSpaces>2481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秦力</cp:lastModifiedBy>
  <dcterms:modified xsi:type="dcterms:W3CDTF">2026-04-14T07:13:01Z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383BC76A2EFC46EAABF095F12F71E360</vt:lpwstr>
  </property>
  <property fmtid="{D5CDD505-2E9C-101B-9397-08002B2CF9AE}" pid="4" name="KSOTemplateDocerSaveRecord">
    <vt:lpwstr>eyJoZGlkIjoiMWQyMjJjYjBmOTRhMzFiZDE1ZWYwZjBmMmZmZGJmMTIiLCJ1c2VySWQiOiIxNjc2MzU1OTg0In0=</vt:lpwstr>
  </property>
</Properties>
</file>