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1070A">
      <w:pPr>
        <w:keepNext w:val="0"/>
        <w:keepLines w:val="0"/>
        <w:pageBreakBefore/>
        <w:widowControl w:val="0"/>
        <w:kinsoku/>
        <w:wordWrap/>
        <w:overflowPunct/>
        <w:topLinePunct w:val="0"/>
        <w:autoSpaceDE/>
        <w:autoSpaceDN/>
        <w:bidi w:val="0"/>
        <w:adjustRightInd/>
        <w:snapToGrid/>
        <w:spacing w:after="240" w:afterLines="100" w:line="520" w:lineRule="exact"/>
        <w:jc w:val="center"/>
        <w:textAlignment w:val="auto"/>
        <w:outlineLvl w:val="0"/>
        <w:rPr>
          <w:rFonts w:hint="eastAsia" w:ascii="宋体" w:hAnsi="宋体"/>
          <w:b/>
          <w:sz w:val="36"/>
          <w:szCs w:val="36"/>
          <w:lang w:val="en-US" w:eastAsia="zh-CN"/>
        </w:rPr>
      </w:pPr>
      <w:bookmarkStart w:id="2" w:name="_GoBack"/>
      <w:bookmarkEnd w:id="2"/>
      <w:bookmarkStart w:id="0" w:name="_Toc18397"/>
      <w:bookmarkStart w:id="1" w:name="_Toc19447"/>
      <w:r>
        <w:rPr>
          <w:rFonts w:hint="eastAsia" w:ascii="宋体" w:hAnsi="宋体"/>
          <w:b/>
          <w:sz w:val="36"/>
          <w:szCs w:val="36"/>
          <w:lang w:val="en-US" w:eastAsia="zh-CN"/>
        </w:rPr>
        <w:t>供货</w:t>
      </w:r>
      <w:r>
        <w:rPr>
          <w:rFonts w:hint="eastAsia" w:ascii="宋体" w:hAnsi="宋体"/>
          <w:b/>
          <w:sz w:val="36"/>
          <w:szCs w:val="36"/>
        </w:rPr>
        <w:t>合同</w:t>
      </w:r>
      <w:bookmarkEnd w:id="0"/>
      <w:bookmarkEnd w:id="1"/>
    </w:p>
    <w:p w14:paraId="7994D53F">
      <w:pPr>
        <w:pStyle w:val="2"/>
        <w:rPr>
          <w:sz w:val="6"/>
          <w:szCs w:val="2"/>
        </w:rPr>
      </w:pPr>
    </w:p>
    <w:p w14:paraId="25E3488B">
      <w:pPr>
        <w:pStyle w:val="2"/>
        <w:rPr>
          <w:sz w:val="21"/>
        </w:rPr>
      </w:pPr>
    </w:p>
    <w:p w14:paraId="6F5B73EE">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2" w:firstLineChars="200"/>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采购人（全称）：</w:t>
      </w:r>
      <w:r>
        <w:rPr>
          <w:rFonts w:hint="eastAsia" w:ascii="华文中宋" w:hAnsi="华文中宋" w:eastAsia="华文中宋" w:cs="华文中宋"/>
          <w:b/>
          <w:highlight w:val="none"/>
          <w:u w:val="single"/>
        </w:rPr>
        <w:tab/>
      </w:r>
      <w:r>
        <w:rPr>
          <w:rFonts w:hint="eastAsia" w:ascii="华文中宋" w:hAnsi="华文中宋" w:eastAsia="华文中宋" w:cs="华文中宋"/>
          <w:color w:val="auto"/>
          <w:kern w:val="0"/>
          <w:sz w:val="24"/>
          <w:szCs w:val="24"/>
          <w:highlight w:val="none"/>
          <w:u w:val="single"/>
          <w:lang w:val="en-US" w:eastAsia="zh-CN" w:bidi="ar"/>
        </w:rPr>
        <w:t xml:space="preserve">                </w:t>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p>
    <w:p w14:paraId="334F517A">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2" w:firstLineChars="200"/>
        <w:textAlignment w:val="auto"/>
        <w:rPr>
          <w:rFonts w:hint="eastAsia" w:ascii="华文中宋" w:hAnsi="华文中宋" w:eastAsia="华文中宋" w:cs="华文中宋"/>
          <w:highlight w:val="none"/>
          <w:u w:val="single"/>
        </w:rPr>
      </w:pPr>
      <w:r>
        <w:rPr>
          <w:rFonts w:hint="eastAsia" w:ascii="华文中宋" w:hAnsi="华文中宋" w:eastAsia="华文中宋" w:cs="华文中宋"/>
          <w:b/>
          <w:highlight w:val="none"/>
        </w:rPr>
        <w:t>供应商（全称）：</w:t>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lang w:val="en-US" w:eastAsia="zh-CN"/>
        </w:rPr>
        <w:t xml:space="preserve">     </w:t>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r>
        <w:rPr>
          <w:rFonts w:hint="eastAsia" w:ascii="华文中宋" w:hAnsi="华文中宋" w:eastAsia="华文中宋" w:cs="华文中宋"/>
          <w:b/>
          <w:highlight w:val="none"/>
          <w:u w:val="single"/>
        </w:rPr>
        <w:tab/>
      </w:r>
    </w:p>
    <w:p w14:paraId="24B7C596">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highlight w:val="none"/>
          <w:u w:val="single"/>
        </w:rPr>
      </w:pPr>
      <w:r>
        <w:rPr>
          <w:rFonts w:hint="eastAsia" w:ascii="华文中宋" w:hAnsi="华文中宋" w:eastAsia="华文中宋" w:cs="华文中宋"/>
          <w:highlight w:val="none"/>
        </w:rPr>
        <w:t>根据《中华人民共和国民法典》及其他有关法律、法规，遵循平等、自愿、公平和诚信的原则，双方就下述项目范围与相关服务事项协商一致，订立本合同。</w:t>
      </w:r>
    </w:p>
    <w:p w14:paraId="0D22E245">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一、项目概况</w:t>
      </w:r>
    </w:p>
    <w:p w14:paraId="4DCED3F5">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u w:val="single"/>
        </w:rPr>
      </w:pPr>
      <w:r>
        <w:rPr>
          <w:rFonts w:hint="eastAsia" w:ascii="华文中宋" w:hAnsi="华文中宋" w:eastAsia="华文中宋" w:cs="华文中宋"/>
          <w:highlight w:val="none"/>
        </w:rPr>
        <w:t>1.项目名称：</w:t>
      </w:r>
    </w:p>
    <w:p w14:paraId="6D9E5E53">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u w:val="single"/>
        </w:rPr>
      </w:pPr>
      <w:r>
        <w:rPr>
          <w:rFonts w:hint="eastAsia" w:ascii="华文中宋" w:hAnsi="华文中宋" w:eastAsia="华文中宋" w:cs="华文中宋"/>
          <w:highlight w:val="none"/>
        </w:rPr>
        <w:t>2.项目地点：</w:t>
      </w:r>
    </w:p>
    <w:p w14:paraId="6DED61E1">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jc w:val="left"/>
        <w:textAlignment w:val="auto"/>
        <w:rPr>
          <w:rFonts w:hint="eastAsia" w:ascii="华文中宋" w:hAnsi="华文中宋" w:eastAsia="华文中宋" w:cs="华文中宋"/>
          <w:szCs w:val="24"/>
          <w:highlight w:val="none"/>
          <w:u w:val="single"/>
        </w:rPr>
      </w:pPr>
      <w:r>
        <w:rPr>
          <w:rFonts w:hint="eastAsia" w:ascii="华文中宋" w:hAnsi="华文中宋" w:eastAsia="华文中宋" w:cs="华文中宋"/>
          <w:szCs w:val="24"/>
          <w:highlight w:val="none"/>
        </w:rPr>
        <w:t>3.项目内容：</w:t>
      </w:r>
    </w:p>
    <w:p w14:paraId="718A36B6">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二、组成本合同的文件</w:t>
      </w:r>
    </w:p>
    <w:p w14:paraId="1ADFA388">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1. 协议书；</w:t>
      </w:r>
    </w:p>
    <w:p w14:paraId="4EC981B2">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 xml:space="preserve">2. </w:t>
      </w:r>
      <w:r>
        <w:rPr>
          <w:rFonts w:hint="eastAsia" w:ascii="华文中宋" w:hAnsi="华文中宋" w:eastAsia="华文中宋" w:cs="华文中宋"/>
          <w:highlight w:val="none"/>
          <w:lang w:eastAsia="zh-CN"/>
        </w:rPr>
        <w:t>中标</w:t>
      </w:r>
      <w:r>
        <w:rPr>
          <w:rFonts w:hint="eastAsia" w:ascii="华文中宋" w:hAnsi="华文中宋" w:eastAsia="华文中宋" w:cs="华文中宋"/>
          <w:highlight w:val="none"/>
        </w:rPr>
        <w:t>通知书、磋商响应文件、</w:t>
      </w:r>
      <w:r>
        <w:rPr>
          <w:rFonts w:hint="eastAsia" w:ascii="华文中宋" w:hAnsi="华文中宋" w:eastAsia="华文中宋" w:cs="华文中宋"/>
          <w:highlight w:val="none"/>
          <w:lang w:eastAsia="zh-CN"/>
        </w:rPr>
        <w:t>招标文件</w:t>
      </w:r>
      <w:r>
        <w:rPr>
          <w:rFonts w:hint="eastAsia" w:ascii="华文中宋" w:hAnsi="华文中宋" w:eastAsia="华文中宋" w:cs="华文中宋"/>
          <w:highlight w:val="none"/>
        </w:rPr>
        <w:t>、澄清、磋商补充文件（或委托书）；</w:t>
      </w:r>
    </w:p>
    <w:p w14:paraId="3DFBC385">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3. 相关服务建议书；</w:t>
      </w:r>
    </w:p>
    <w:p w14:paraId="4577F406">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4. 附录，即：附表内相关服务的范围和内容；</w:t>
      </w:r>
    </w:p>
    <w:p w14:paraId="36A2C8C0">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lang w:val="en-US" w:eastAsia="zh-CN"/>
        </w:rPr>
      </w:pPr>
      <w:r>
        <w:rPr>
          <w:rFonts w:hint="eastAsia" w:ascii="华文中宋" w:hAnsi="华文中宋" w:eastAsia="华文中宋" w:cs="华文中宋"/>
          <w:highlight w:val="none"/>
          <w:lang w:val="en-US" w:eastAsia="zh-CN"/>
        </w:rPr>
        <w:t>供应商向采购人提供下列货物（产品）：货物清单</w:t>
      </w:r>
    </w:p>
    <w:p w14:paraId="6E759A35">
      <w:pPr>
        <w:keepNext w:val="0"/>
        <w:keepLines w:val="0"/>
        <w:pageBreakBefore w:val="0"/>
        <w:widowControl w:val="0"/>
        <w:kinsoku/>
        <w:wordWrap/>
        <w:overflowPunct/>
        <w:topLinePunct w:val="0"/>
        <w:autoSpaceDE/>
        <w:autoSpaceDN/>
        <w:bidi w:val="0"/>
        <w:spacing w:before="120" w:after="0" w:line="360" w:lineRule="auto"/>
        <w:ind w:left="813" w:right="5640"/>
        <w:textAlignment w:val="auto"/>
        <w:rPr>
          <w:rFonts w:hint="eastAsia"/>
          <w:b/>
          <w:bCs/>
          <w:sz w:val="21"/>
        </w:rPr>
      </w:pPr>
    </w:p>
    <w:p w14:paraId="13781268">
      <w:pPr>
        <w:keepNext w:val="0"/>
        <w:keepLines w:val="0"/>
        <w:pageBreakBefore w:val="0"/>
        <w:widowControl w:val="0"/>
        <w:kinsoku/>
        <w:wordWrap/>
        <w:overflowPunct/>
        <w:topLinePunct w:val="0"/>
        <w:autoSpaceDE/>
        <w:autoSpaceDN/>
        <w:bidi w:val="0"/>
        <w:spacing w:before="120" w:after="0" w:line="360" w:lineRule="auto"/>
        <w:ind w:left="813" w:right="5640"/>
        <w:textAlignment w:val="auto"/>
        <w:outlineLvl w:val="2"/>
        <w:rPr>
          <w:rFonts w:hint="eastAsia"/>
          <w:b/>
          <w:bCs/>
          <w:sz w:val="24"/>
          <w:szCs w:val="32"/>
        </w:rPr>
      </w:pPr>
      <w:r>
        <w:rPr>
          <w:rFonts w:hint="eastAsia"/>
          <w:b/>
          <w:bCs/>
          <w:sz w:val="24"/>
          <w:szCs w:val="32"/>
        </w:rPr>
        <w:t>（清单表格</w:t>
      </w:r>
      <w:r>
        <w:rPr>
          <w:rFonts w:hint="eastAsia"/>
          <w:b/>
          <w:bCs/>
          <w:sz w:val="24"/>
          <w:szCs w:val="32"/>
          <w:lang w:eastAsia="zh-CN"/>
        </w:rPr>
        <w:t>，</w:t>
      </w:r>
      <w:r>
        <w:rPr>
          <w:rFonts w:hint="eastAsia"/>
          <w:b/>
          <w:bCs/>
          <w:sz w:val="24"/>
          <w:szCs w:val="32"/>
          <w:lang w:val="en-US" w:eastAsia="zh-CN"/>
        </w:rPr>
        <w:t>格式自拟</w:t>
      </w:r>
      <w:r>
        <w:rPr>
          <w:rFonts w:hint="eastAsia"/>
          <w:b/>
          <w:bCs/>
          <w:sz w:val="24"/>
          <w:szCs w:val="32"/>
        </w:rPr>
        <w:t>）</w:t>
      </w:r>
    </w:p>
    <w:p w14:paraId="67BE7046">
      <w:pPr>
        <w:keepNext w:val="0"/>
        <w:keepLines w:val="0"/>
        <w:pageBreakBefore w:val="0"/>
        <w:widowControl w:val="0"/>
        <w:numPr>
          <w:ilvl w:val="0"/>
          <w:numId w:val="0"/>
        </w:numPr>
        <w:kinsoku/>
        <w:wordWrap/>
        <w:overflowPunct/>
        <w:topLinePunct w:val="0"/>
        <w:autoSpaceDE/>
        <w:autoSpaceDN/>
        <w:bidi w:val="0"/>
        <w:spacing w:before="120" w:after="0" w:line="360" w:lineRule="auto"/>
        <w:jc w:val="left"/>
        <w:textAlignment w:val="auto"/>
        <w:rPr>
          <w:rFonts w:hint="eastAsia" w:ascii="宋体" w:hAnsi="宋体" w:eastAsia="宋体" w:cs="宋体"/>
          <w:color w:val="auto"/>
          <w:sz w:val="24"/>
          <w:szCs w:val="24"/>
          <w:highlight w:val="none"/>
          <w:lang w:val="en-US" w:eastAsia="zh-CN"/>
        </w:rPr>
      </w:pPr>
    </w:p>
    <w:p w14:paraId="41B29D16">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highlight w:val="none"/>
        </w:rPr>
      </w:pPr>
      <w:r>
        <w:rPr>
          <w:rFonts w:hint="eastAsia" w:hAnsi="宋体"/>
          <w:b/>
          <w:bCs/>
          <w:szCs w:val="24"/>
          <w:highlight w:val="none"/>
          <w:lang w:val="en-US" w:eastAsia="zh-CN"/>
        </w:rPr>
        <w:t>备注：供货范围包括了所有设备、技术资料、安装、调试、服务及技术指导。</w:t>
      </w:r>
    </w:p>
    <w:p w14:paraId="0545811A">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本合同签订后，双方依法签订的补充协议也是本合同文件的组成部分。</w:t>
      </w:r>
    </w:p>
    <w:p w14:paraId="16217466">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rPr>
        <w:t>三、合同价款</w:t>
      </w:r>
    </w:p>
    <w:p w14:paraId="561E9EFD">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1.合同金额（大写）：（￥      ）。</w:t>
      </w:r>
    </w:p>
    <w:p w14:paraId="04AD3B41">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szCs w:val="24"/>
          <w:highlight w:val="none"/>
        </w:rPr>
      </w:pPr>
      <w:r>
        <w:rPr>
          <w:rFonts w:hint="eastAsia" w:ascii="华文中宋" w:hAnsi="华文中宋" w:eastAsia="华文中宋" w:cs="华文中宋"/>
          <w:highlight w:val="none"/>
        </w:rPr>
        <w:t>2.</w:t>
      </w:r>
      <w:r>
        <w:rPr>
          <w:rFonts w:hint="eastAsia" w:ascii="华文中宋" w:hAnsi="华文中宋" w:eastAsia="华文中宋" w:cs="华文中宋"/>
          <w:highlight w:val="none"/>
          <w:lang w:eastAsia="zh-CN"/>
        </w:rPr>
        <w:t>单品价格</w:t>
      </w:r>
      <w:r>
        <w:rPr>
          <w:rFonts w:hint="eastAsia" w:ascii="华文中宋" w:hAnsi="华文中宋" w:eastAsia="华文中宋" w:cs="华文中宋"/>
          <w:highlight w:val="none"/>
          <w:lang w:val="en-US" w:eastAsia="zh-CN"/>
        </w:rPr>
        <w:t>固定，按照签约合同价执行</w:t>
      </w:r>
      <w:r>
        <w:rPr>
          <w:rFonts w:hint="eastAsia" w:ascii="华文中宋" w:hAnsi="华文中宋" w:eastAsia="华文中宋" w:cs="华文中宋"/>
          <w:highlight w:val="none"/>
          <w:lang w:eastAsia="zh-CN"/>
        </w:rPr>
        <w:t>，</w:t>
      </w:r>
      <w:r>
        <w:rPr>
          <w:rFonts w:hint="eastAsia" w:ascii="华文中宋" w:hAnsi="华文中宋" w:eastAsia="华文中宋" w:cs="华文中宋"/>
          <w:highlight w:val="none"/>
          <w:lang w:val="en-US" w:eastAsia="zh-CN"/>
        </w:rPr>
        <w:t>根据实际供货数量进行结算</w:t>
      </w:r>
      <w:r>
        <w:rPr>
          <w:rFonts w:hint="eastAsia" w:ascii="华文中宋" w:hAnsi="华文中宋" w:eastAsia="华文中宋" w:cs="华文中宋"/>
          <w:highlight w:val="none"/>
          <w:lang w:eastAsia="zh-CN"/>
        </w:rPr>
        <w:t>。</w:t>
      </w:r>
    </w:p>
    <w:p w14:paraId="47EB5B5D">
      <w:pPr>
        <w:keepNext w:val="0"/>
        <w:keepLines w:val="0"/>
        <w:pageBreakBefore w:val="0"/>
        <w:widowControl w:val="0"/>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u w:val="single"/>
        </w:rPr>
      </w:pPr>
      <w:r>
        <w:rPr>
          <w:rFonts w:hint="eastAsia" w:ascii="华文中宋" w:hAnsi="华文中宋" w:eastAsia="华文中宋" w:cs="华文中宋"/>
          <w:b/>
          <w:szCs w:val="24"/>
          <w:highlight w:val="none"/>
        </w:rPr>
        <w:t>四、项目实施地点：</w:t>
      </w:r>
    </w:p>
    <w:p w14:paraId="5290C432">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五、</w:t>
      </w:r>
      <w:r>
        <w:rPr>
          <w:rFonts w:hint="eastAsia" w:ascii="华文中宋" w:hAnsi="华文中宋" w:eastAsia="华文中宋" w:cs="华文中宋"/>
          <w:b/>
          <w:szCs w:val="24"/>
          <w:highlight w:val="none"/>
          <w:lang w:val="en-US" w:eastAsia="zh-CN"/>
        </w:rPr>
        <w:t>货</w:t>
      </w:r>
      <w:r>
        <w:rPr>
          <w:rFonts w:hint="eastAsia" w:ascii="华文中宋" w:hAnsi="华文中宋" w:eastAsia="华文中宋" w:cs="华文中宋"/>
          <w:b/>
          <w:szCs w:val="24"/>
          <w:highlight w:val="none"/>
        </w:rPr>
        <w:t>期、运行维护期</w:t>
      </w:r>
    </w:p>
    <w:p w14:paraId="72D050CC">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highlight w:val="none"/>
          <w:lang w:val="en-US" w:eastAsia="zh-CN"/>
        </w:rPr>
        <w:t>货期：自合同签订后3个月内完成所有货物交付及通过最终验收并合格。</w:t>
      </w:r>
      <w:r>
        <w:rPr>
          <w:rFonts w:hint="eastAsia" w:ascii="华文中宋" w:hAnsi="华文中宋" w:eastAsia="华文中宋" w:cs="华文中宋"/>
          <w:highlight w:val="none"/>
        </w:rPr>
        <w:t>（此日期包含供货、安装、调试、验收、交付使用等所有日历天）</w:t>
      </w:r>
      <w:r>
        <w:rPr>
          <w:rFonts w:hint="eastAsia" w:ascii="华文中宋" w:hAnsi="华文中宋" w:eastAsia="华文中宋" w:cs="华文中宋"/>
          <w:highlight w:val="none"/>
          <w:lang w:eastAsia="zh-CN"/>
        </w:rPr>
        <w:t>，</w:t>
      </w:r>
      <w:r>
        <w:rPr>
          <w:rFonts w:hint="eastAsia" w:ascii="华文中宋" w:hAnsi="华文中宋" w:eastAsia="华文中宋" w:cs="华文中宋"/>
          <w:highlight w:val="none"/>
          <w:lang w:val="en-US" w:eastAsia="zh-CN"/>
        </w:rPr>
        <w:t>质保期为验收合格之日起12个月。</w:t>
      </w:r>
    </w:p>
    <w:p w14:paraId="7B8A62C8">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六、付款方式</w:t>
      </w:r>
    </w:p>
    <w:p w14:paraId="1408071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szCs w:val="24"/>
          <w:highlight w:val="none"/>
        </w:rPr>
        <w:t>1.合同价款的确定及调整：</w:t>
      </w:r>
      <w:r>
        <w:rPr>
          <w:rFonts w:hint="eastAsia" w:ascii="华文中宋" w:hAnsi="华文中宋" w:eastAsia="华文中宋" w:cs="华文中宋"/>
          <w:color w:val="000000"/>
          <w:highlight w:val="none"/>
        </w:rPr>
        <w:t>合同</w:t>
      </w:r>
      <w:r>
        <w:rPr>
          <w:rFonts w:hint="eastAsia" w:ascii="华文中宋" w:hAnsi="华文中宋" w:eastAsia="华文中宋" w:cs="华文中宋"/>
          <w:color w:val="000000"/>
          <w:highlight w:val="none"/>
          <w:lang w:val="en-US" w:eastAsia="zh-CN"/>
        </w:rPr>
        <w:t>单价</w:t>
      </w:r>
      <w:r>
        <w:rPr>
          <w:rFonts w:hint="eastAsia" w:ascii="华文中宋" w:hAnsi="华文中宋" w:eastAsia="华文中宋" w:cs="华文中宋"/>
          <w:color w:val="000000"/>
          <w:highlight w:val="none"/>
        </w:rPr>
        <w:t>一次性包死，不受市场价格变化因素的影响。</w:t>
      </w:r>
    </w:p>
    <w:p w14:paraId="1E2E8D6D">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2.付款方式和程序：</w:t>
      </w:r>
    </w:p>
    <w:p w14:paraId="6FF128C9">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2.1</w:t>
      </w:r>
      <w:r>
        <w:rPr>
          <w:rFonts w:hint="eastAsia" w:ascii="华文中宋" w:hAnsi="华文中宋" w:eastAsia="华文中宋" w:cs="华文中宋"/>
          <w:color w:val="000000"/>
          <w:highlight w:val="none"/>
        </w:rPr>
        <w:t>验收合格后填写采购项目验收单（一式贰份）,增值税普通发票（按合同总价直开采购人），</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持中标通知书、合同、发票、项目验收单，与采购人结算</w:t>
      </w:r>
      <w:r>
        <w:rPr>
          <w:rFonts w:hint="eastAsia" w:ascii="华文中宋" w:hAnsi="华文中宋" w:eastAsia="华文中宋" w:cs="华文中宋"/>
          <w:szCs w:val="24"/>
          <w:highlight w:val="none"/>
        </w:rPr>
        <w:t>。</w:t>
      </w:r>
    </w:p>
    <w:p w14:paraId="0A6F98A5">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2.2付款方式：</w:t>
      </w:r>
    </w:p>
    <w:p w14:paraId="31245CCF">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szCs w:val="24"/>
          <w:highlight w:val="none"/>
        </w:rPr>
        <w:t>2.2.1</w:t>
      </w:r>
      <w:r>
        <w:rPr>
          <w:rFonts w:hint="eastAsia" w:ascii="华文中宋" w:hAnsi="华文中宋" w:eastAsia="华文中宋" w:cs="华文中宋"/>
          <w:color w:val="000000"/>
          <w:highlight w:val="none"/>
        </w:rPr>
        <w:t>（1）款项</w:t>
      </w:r>
      <w:r>
        <w:rPr>
          <w:rFonts w:hint="eastAsia" w:ascii="华文中宋" w:hAnsi="华文中宋" w:eastAsia="华文中宋" w:cs="华文中宋"/>
          <w:color w:val="000000"/>
          <w:highlight w:val="none"/>
          <w:lang w:val="en-US" w:eastAsia="zh-CN"/>
        </w:rPr>
        <w:t>凭</w:t>
      </w:r>
      <w:r>
        <w:rPr>
          <w:rFonts w:hint="eastAsia" w:ascii="华文中宋" w:hAnsi="华文中宋" w:eastAsia="华文中宋" w:cs="华文中宋"/>
          <w:color w:val="000000"/>
          <w:highlight w:val="none"/>
        </w:rPr>
        <w:t>增值税普通发票按照合同总额的比例（</w:t>
      </w:r>
      <w:r>
        <w:rPr>
          <w:rFonts w:hint="eastAsia" w:ascii="华文中宋" w:hAnsi="华文中宋" w:eastAsia="华文中宋" w:cs="华文中宋"/>
          <w:color w:val="000000"/>
          <w:highlight w:val="none"/>
          <w:lang w:val="en-US" w:eastAsia="zh-CN"/>
        </w:rPr>
        <w:t>30</w:t>
      </w:r>
      <w:r>
        <w:rPr>
          <w:rFonts w:hint="eastAsia" w:ascii="华文中宋" w:hAnsi="华文中宋" w:eastAsia="华文中宋" w:cs="华文中宋"/>
          <w:color w:val="000000"/>
          <w:highlight w:val="none"/>
        </w:rPr>
        <w:t>%、</w:t>
      </w:r>
      <w:r>
        <w:rPr>
          <w:rFonts w:hint="eastAsia" w:ascii="华文中宋" w:hAnsi="华文中宋" w:eastAsia="华文中宋" w:cs="华文中宋"/>
          <w:color w:val="000000"/>
          <w:highlight w:val="none"/>
          <w:lang w:val="en-US" w:eastAsia="zh-CN"/>
        </w:rPr>
        <w:t>50</w:t>
      </w:r>
      <w:r>
        <w:rPr>
          <w:rFonts w:hint="eastAsia" w:ascii="华文中宋" w:hAnsi="华文中宋" w:eastAsia="华文中宋" w:cs="华文中宋"/>
          <w:color w:val="000000"/>
          <w:highlight w:val="none"/>
        </w:rPr>
        <w:t>%、</w:t>
      </w:r>
      <w:r>
        <w:rPr>
          <w:rFonts w:hint="eastAsia" w:ascii="华文中宋" w:hAnsi="华文中宋" w:eastAsia="华文中宋" w:cs="华文中宋"/>
          <w:color w:val="000000"/>
          <w:highlight w:val="none"/>
          <w:lang w:val="en-US" w:eastAsia="zh-CN"/>
        </w:rPr>
        <w:t>20</w:t>
      </w:r>
      <w:r>
        <w:rPr>
          <w:rFonts w:hint="eastAsia" w:ascii="华文中宋" w:hAnsi="华文中宋" w:eastAsia="华文中宋" w:cs="华文中宋"/>
          <w:color w:val="000000"/>
          <w:highlight w:val="none"/>
        </w:rPr>
        <w:t>%）支付。</w:t>
      </w:r>
    </w:p>
    <w:p w14:paraId="6AFA29BD">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 1 \* GB3 </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①</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lang w:val="en-US" w:eastAsia="zh-CN"/>
        </w:rPr>
        <w:t>合同签订后10</w:t>
      </w:r>
      <w:r>
        <w:rPr>
          <w:rFonts w:hint="eastAsia" w:ascii="华文中宋" w:hAnsi="华文中宋" w:eastAsia="华文中宋" w:cs="华文中宋"/>
          <w:color w:val="000000"/>
          <w:highlight w:val="none"/>
        </w:rPr>
        <w:t>日内支付合同总额的</w:t>
      </w:r>
      <w:r>
        <w:rPr>
          <w:rFonts w:hint="eastAsia" w:ascii="华文中宋" w:hAnsi="华文中宋" w:eastAsia="华文中宋" w:cs="华文中宋"/>
          <w:color w:val="000000"/>
          <w:highlight w:val="none"/>
          <w:lang w:val="en-US" w:eastAsia="zh-CN"/>
        </w:rPr>
        <w:t>30</w:t>
      </w:r>
      <w:r>
        <w:rPr>
          <w:rFonts w:hint="eastAsia" w:ascii="华文中宋" w:hAnsi="华文中宋" w:eastAsia="华文中宋" w:cs="华文中宋"/>
          <w:color w:val="000000"/>
          <w:highlight w:val="none"/>
        </w:rPr>
        <w:t>%。</w:t>
      </w:r>
    </w:p>
    <w:p w14:paraId="5C9AFE2E">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highlight w:val="none"/>
          <w:lang w:val="en-US" w:eastAsia="zh-CN"/>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 2 \* GB3 </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②</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lang w:val="en-US" w:eastAsia="zh-CN"/>
        </w:rPr>
        <w:t>设备完成供货后10</w:t>
      </w:r>
      <w:r>
        <w:rPr>
          <w:rFonts w:hint="eastAsia" w:ascii="华文中宋" w:hAnsi="华文中宋" w:eastAsia="华文中宋" w:cs="华文中宋"/>
          <w:color w:val="000000"/>
          <w:highlight w:val="none"/>
        </w:rPr>
        <w:t>日</w:t>
      </w:r>
      <w:r>
        <w:rPr>
          <w:rFonts w:hint="eastAsia" w:ascii="华文中宋" w:hAnsi="华文中宋" w:eastAsia="华文中宋" w:cs="华文中宋"/>
          <w:color w:val="000000"/>
          <w:highlight w:val="none"/>
          <w:lang w:val="en-US" w:eastAsia="zh-CN"/>
        </w:rPr>
        <w:t>内</w:t>
      </w:r>
      <w:r>
        <w:rPr>
          <w:rFonts w:hint="eastAsia" w:ascii="华文中宋" w:hAnsi="华文中宋" w:eastAsia="华文中宋" w:cs="华文中宋"/>
          <w:color w:val="000000"/>
          <w:highlight w:val="none"/>
        </w:rPr>
        <w:t>支付合同总额的</w:t>
      </w:r>
      <w:r>
        <w:rPr>
          <w:rFonts w:hint="eastAsia" w:ascii="华文中宋" w:hAnsi="华文中宋" w:eastAsia="华文中宋" w:cs="华文中宋"/>
          <w:color w:val="000000"/>
          <w:highlight w:val="none"/>
          <w:lang w:val="en-US" w:eastAsia="zh-CN"/>
        </w:rPr>
        <w:t>50</w:t>
      </w:r>
      <w:r>
        <w:rPr>
          <w:rFonts w:hint="eastAsia" w:ascii="华文中宋" w:hAnsi="华文中宋" w:eastAsia="华文中宋" w:cs="华文中宋"/>
          <w:color w:val="000000"/>
          <w:highlight w:val="none"/>
        </w:rPr>
        <w:t>%。</w:t>
      </w:r>
    </w:p>
    <w:p w14:paraId="21F20B1E">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 3 \* GB3 </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③</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lang w:val="en-US" w:eastAsia="zh-CN"/>
        </w:rPr>
        <w:t>安装调试使用后并验收合格，10</w:t>
      </w:r>
      <w:r>
        <w:rPr>
          <w:rFonts w:hint="eastAsia" w:ascii="华文中宋" w:hAnsi="华文中宋" w:eastAsia="华文中宋" w:cs="华文中宋"/>
          <w:color w:val="000000"/>
          <w:highlight w:val="none"/>
        </w:rPr>
        <w:t>日内支付合同总额的</w:t>
      </w:r>
      <w:r>
        <w:rPr>
          <w:rFonts w:hint="eastAsia" w:ascii="华文中宋" w:hAnsi="华文中宋" w:eastAsia="华文中宋" w:cs="华文中宋"/>
          <w:color w:val="000000"/>
          <w:highlight w:val="none"/>
          <w:lang w:val="en-US" w:eastAsia="zh-CN"/>
        </w:rPr>
        <w:t>20</w:t>
      </w:r>
      <w:r>
        <w:rPr>
          <w:rFonts w:hint="eastAsia" w:ascii="华文中宋" w:hAnsi="华文中宋" w:eastAsia="华文中宋" w:cs="华文中宋"/>
          <w:color w:val="000000"/>
          <w:highlight w:val="none"/>
        </w:rPr>
        <w:t>%。</w:t>
      </w:r>
    </w:p>
    <w:p w14:paraId="4A3B8CAB">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szCs w:val="24"/>
          <w:highlight w:val="none"/>
        </w:rPr>
        <w:t>2.2.2支付方式：银行转账。</w:t>
      </w:r>
    </w:p>
    <w:p w14:paraId="76696C4E">
      <w:pPr>
        <w:keepNext w:val="0"/>
        <w:keepLines w:val="0"/>
        <w:pageBreakBefore w:val="0"/>
        <w:widowControl w:val="0"/>
        <w:numPr>
          <w:ilvl w:val="0"/>
          <w:numId w:val="0"/>
        </w:numPr>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lang w:val="en-US" w:eastAsia="zh-CN"/>
        </w:rPr>
        <w:t>七、</w:t>
      </w:r>
      <w:r>
        <w:rPr>
          <w:rFonts w:hint="eastAsia" w:ascii="华文中宋" w:hAnsi="华文中宋" w:eastAsia="华文中宋" w:cs="华文中宋"/>
          <w:b/>
          <w:szCs w:val="24"/>
          <w:highlight w:val="none"/>
        </w:rPr>
        <w:t>质量保证</w:t>
      </w:r>
    </w:p>
    <w:p w14:paraId="7886985E">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（1）保证技术指标先进、质量性能可靠，全面满足招标要求。</w:t>
      </w:r>
    </w:p>
    <w:p w14:paraId="0CADA7C4">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（2）符合国家有关规范要求，确保达到最佳运行状态。</w:t>
      </w:r>
    </w:p>
    <w:p w14:paraId="3F44EF18">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（3）具有良好的外观，适合安装场所的使用。</w:t>
      </w:r>
    </w:p>
    <w:p w14:paraId="620E6BAE">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（4）自验收合格之日起</w:t>
      </w:r>
      <w:r>
        <w:rPr>
          <w:rFonts w:hint="eastAsia" w:ascii="华文中宋" w:hAnsi="华文中宋" w:eastAsia="华文中宋" w:cs="华文中宋"/>
          <w:color w:val="000000"/>
          <w:highlight w:val="none"/>
          <w:lang w:val="en-US" w:eastAsia="zh-CN"/>
        </w:rPr>
        <w:t>12个月</w:t>
      </w:r>
      <w:r>
        <w:rPr>
          <w:rFonts w:hint="eastAsia" w:ascii="华文中宋" w:hAnsi="华文中宋" w:eastAsia="华文中宋" w:cs="华文中宋"/>
          <w:color w:val="000000"/>
          <w:highlight w:val="none"/>
        </w:rPr>
        <w:t>的质保期。</w:t>
      </w:r>
    </w:p>
    <w:p w14:paraId="6296F13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（5）质保期内发生故障，接到采购人通知后，应于48小时内派出专业的维护人员到现场进行检测维修，供应商承担往返费用；如需进行更换设备的，应由供应商免费更换，并承担因更换设备产生的费</w:t>
      </w:r>
      <w:r>
        <w:rPr>
          <w:rFonts w:hint="eastAsia" w:ascii="华文中宋" w:hAnsi="华文中宋" w:eastAsia="华文中宋" w:cs="华文中宋"/>
          <w:color w:val="000000"/>
          <w:highlight w:val="none"/>
          <w:lang w:val="en-US" w:eastAsia="zh-CN"/>
        </w:rPr>
        <w:t>用及采购人的损失</w:t>
      </w:r>
      <w:r>
        <w:rPr>
          <w:rFonts w:hint="eastAsia" w:ascii="华文中宋" w:hAnsi="华文中宋" w:eastAsia="华文中宋" w:cs="华文中宋"/>
          <w:color w:val="000000"/>
          <w:highlight w:val="none"/>
        </w:rPr>
        <w:t>；</w:t>
      </w:r>
    </w:p>
    <w:p w14:paraId="122678B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（6）定期派技术人员到现场走访，给予检查维护；</w:t>
      </w:r>
    </w:p>
    <w:p w14:paraId="2FEFBDFE">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（7）</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必须满足所有的技术参数要求，由此产生的风险由</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自行承担。</w:t>
      </w:r>
    </w:p>
    <w:p w14:paraId="637350C8">
      <w:pPr>
        <w:keepNext w:val="0"/>
        <w:keepLines w:val="0"/>
        <w:pageBreakBefore w:val="0"/>
        <w:widowControl w:val="0"/>
        <w:kinsoku/>
        <w:wordWrap/>
        <w:overflowPunct/>
        <w:topLinePunct w:val="0"/>
        <w:autoSpaceDE/>
        <w:autoSpaceDN/>
        <w:bidi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八、考核验收</w:t>
      </w:r>
    </w:p>
    <w:p w14:paraId="53094D2A">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（1）安装部署、调试并正常运行后，由</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进行自检合格后，准备验收文件，并书面通知采购人。</w:t>
      </w:r>
    </w:p>
    <w:p w14:paraId="399B7F69">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（2）供应商提出验收申请之日起</w:t>
      </w:r>
      <w:r>
        <w:rPr>
          <w:rFonts w:hint="eastAsia" w:ascii="华文中宋" w:hAnsi="华文中宋" w:eastAsia="华文中宋" w:cs="华文中宋"/>
          <w:color w:val="000000"/>
          <w:highlight w:val="none"/>
          <w:lang w:val="en-US" w:eastAsia="zh-CN"/>
        </w:rPr>
        <w:t>15</w:t>
      </w:r>
      <w:r>
        <w:rPr>
          <w:rFonts w:hint="eastAsia" w:ascii="华文中宋" w:hAnsi="华文中宋" w:eastAsia="华文中宋" w:cs="华文中宋"/>
          <w:color w:val="000000"/>
          <w:highlight w:val="none"/>
        </w:rPr>
        <w:t>日内组织验收。</w:t>
      </w:r>
    </w:p>
    <w:p w14:paraId="6F7F7ABB">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（3）采购人确认</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设备能够达到招标要求后，组织</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（必要时请有关专家）进行项目验收，验收合格后，填写项目验收单（一式贰份）作为对项目的最终认可。</w:t>
      </w:r>
    </w:p>
    <w:p w14:paraId="1C8C88D3">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（4）</w:t>
      </w:r>
      <w:r>
        <w:rPr>
          <w:rFonts w:hint="eastAsia" w:ascii="华文中宋" w:hAnsi="华文中宋" w:eastAsia="华文中宋" w:cs="华文中宋"/>
          <w:color w:val="000000"/>
          <w:highlight w:val="none"/>
          <w:lang w:eastAsia="zh-CN"/>
        </w:rPr>
        <w:t>供应商</w:t>
      </w:r>
      <w:r>
        <w:rPr>
          <w:rFonts w:hint="eastAsia" w:ascii="华文中宋" w:hAnsi="华文中宋" w:eastAsia="华文中宋" w:cs="华文中宋"/>
          <w:color w:val="000000"/>
          <w:highlight w:val="none"/>
        </w:rPr>
        <w:t>向采购人提交项目实施过程中的所有资料,以便采购人日后管理和维护该项目。</w:t>
      </w:r>
    </w:p>
    <w:p w14:paraId="14879665">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t>（5）验收依据</w:t>
      </w:r>
    </w:p>
    <w:p w14:paraId="1762BDB2">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1 \* GB3</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①</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rPr>
        <w:t>招标文件、投标文件、澄清表（函）；</w:t>
      </w:r>
    </w:p>
    <w:p w14:paraId="150B98CF">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color w:val="000000"/>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2 \* GB3</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②</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rPr>
        <w:t>本合同及附件文本；</w:t>
      </w:r>
    </w:p>
    <w:p w14:paraId="3F36A303">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color w:val="000000"/>
          <w:highlight w:val="none"/>
        </w:rPr>
        <w:fldChar w:fldCharType="begin"/>
      </w:r>
      <w:r>
        <w:rPr>
          <w:rFonts w:hint="eastAsia" w:ascii="华文中宋" w:hAnsi="华文中宋" w:eastAsia="华文中宋" w:cs="华文中宋"/>
          <w:color w:val="000000"/>
          <w:highlight w:val="none"/>
        </w:rPr>
        <w:instrText xml:space="preserve">= 3 \* GB3</w:instrText>
      </w:r>
      <w:r>
        <w:rPr>
          <w:rFonts w:hint="eastAsia" w:ascii="华文中宋" w:hAnsi="华文中宋" w:eastAsia="华文中宋" w:cs="华文中宋"/>
          <w:color w:val="000000"/>
          <w:highlight w:val="none"/>
        </w:rPr>
        <w:fldChar w:fldCharType="separate"/>
      </w:r>
      <w:r>
        <w:rPr>
          <w:rFonts w:hint="eastAsia" w:ascii="华文中宋" w:hAnsi="华文中宋" w:eastAsia="华文中宋" w:cs="华文中宋"/>
          <w:color w:val="000000"/>
          <w:highlight w:val="none"/>
        </w:rPr>
        <w:t>③</w:t>
      </w:r>
      <w:r>
        <w:rPr>
          <w:rFonts w:hint="eastAsia" w:ascii="华文中宋" w:hAnsi="华文中宋" w:eastAsia="华文中宋" w:cs="华文中宋"/>
          <w:color w:val="000000"/>
          <w:highlight w:val="none"/>
        </w:rPr>
        <w:fldChar w:fldCharType="end"/>
      </w:r>
      <w:r>
        <w:rPr>
          <w:rFonts w:hint="eastAsia" w:ascii="华文中宋" w:hAnsi="华文中宋" w:eastAsia="华文中宋" w:cs="华文中宋"/>
          <w:color w:val="000000"/>
          <w:highlight w:val="none"/>
        </w:rPr>
        <w:t>国家相应的标准、规范。</w:t>
      </w:r>
    </w:p>
    <w:p w14:paraId="70427E5C">
      <w:pPr>
        <w:keepNext w:val="0"/>
        <w:keepLines w:val="0"/>
        <w:pageBreakBefore w:val="0"/>
        <w:widowControl w:val="0"/>
        <w:numPr>
          <w:ilvl w:val="0"/>
          <w:numId w:val="1"/>
        </w:numPr>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合同实施</w:t>
      </w:r>
    </w:p>
    <w:p w14:paraId="49530DF5">
      <w:pPr>
        <w:keepNext w:val="0"/>
        <w:keepLines w:val="0"/>
        <w:pageBreakBefore w:val="0"/>
        <w:widowControl w:val="0"/>
        <w:kinsoku/>
        <w:wordWrap/>
        <w:overflowPunct/>
        <w:topLinePunct w:val="0"/>
        <w:autoSpaceDE/>
        <w:autoSpaceDN/>
        <w:bidi w:val="0"/>
        <w:spacing w:before="120" w:after="0" w:line="360" w:lineRule="auto"/>
        <w:ind w:firstLine="420" w:firstLineChars="200"/>
        <w:jc w:val="left"/>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1、中标供应商应在合同签订后安排人员（项目组成人员简历表所列）与使用单位就此项目等一系列工作进行安排、部署。</w:t>
      </w:r>
    </w:p>
    <w:p w14:paraId="5C509B84">
      <w:pPr>
        <w:keepNext w:val="0"/>
        <w:keepLines w:val="0"/>
        <w:pageBreakBefore w:val="0"/>
        <w:widowControl w:val="0"/>
        <w:numPr>
          <w:ilvl w:val="0"/>
          <w:numId w:val="0"/>
        </w:numPr>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2、若未能完成合同规定的义务，由此对</w:t>
      </w:r>
      <w:r>
        <w:rPr>
          <w:rFonts w:hint="eastAsia" w:ascii="华文中宋" w:hAnsi="华文中宋" w:eastAsia="华文中宋" w:cs="华文中宋"/>
          <w:szCs w:val="24"/>
          <w:highlight w:val="none"/>
          <w:lang w:eastAsia="zh-CN"/>
        </w:rPr>
        <w:t>采购人</w:t>
      </w:r>
      <w:r>
        <w:rPr>
          <w:rFonts w:hint="eastAsia" w:ascii="华文中宋" w:hAnsi="华文中宋" w:eastAsia="华文中宋" w:cs="华文中宋"/>
          <w:szCs w:val="24"/>
          <w:highlight w:val="none"/>
        </w:rPr>
        <w:t>造成的延误和一切损失，将由中标人的履约保证金弥补</w:t>
      </w:r>
      <w:r>
        <w:rPr>
          <w:rFonts w:hint="eastAsia" w:ascii="华文中宋" w:hAnsi="华文中宋" w:eastAsia="华文中宋" w:cs="华文中宋"/>
          <w:szCs w:val="24"/>
          <w:highlight w:val="none"/>
          <w:lang w:eastAsia="zh-CN"/>
        </w:rPr>
        <w:t>采购人</w:t>
      </w:r>
      <w:r>
        <w:rPr>
          <w:rFonts w:hint="eastAsia" w:ascii="华文中宋" w:hAnsi="华文中宋" w:eastAsia="华文中宋" w:cs="华文中宋"/>
          <w:szCs w:val="24"/>
          <w:highlight w:val="none"/>
        </w:rPr>
        <w:t>的损失。</w:t>
      </w:r>
    </w:p>
    <w:p w14:paraId="12F70281">
      <w:pPr>
        <w:keepNext w:val="0"/>
        <w:keepLines w:val="0"/>
        <w:pageBreakBefore w:val="0"/>
        <w:widowControl w:val="0"/>
        <w:numPr>
          <w:ilvl w:val="0"/>
          <w:numId w:val="0"/>
        </w:numPr>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十、知识产权</w:t>
      </w:r>
    </w:p>
    <w:p w14:paraId="7F362482">
      <w:pPr>
        <w:keepNext w:val="0"/>
        <w:keepLines w:val="0"/>
        <w:pageBreakBefore w:val="0"/>
        <w:widowControl w:val="0"/>
        <w:numPr>
          <w:ilvl w:val="0"/>
          <w:numId w:val="0"/>
        </w:numPr>
        <w:kinsoku/>
        <w:wordWrap/>
        <w:overflowPunct/>
        <w:topLinePunct w:val="0"/>
        <w:autoSpaceDE/>
        <w:autoSpaceDN/>
        <w:bidi w:val="0"/>
        <w:adjustRightInd w:val="0"/>
        <w:snapToGrid w:val="0"/>
        <w:spacing w:before="120" w:after="0" w:line="360" w:lineRule="auto"/>
        <w:ind w:firstLine="420" w:firstLineChars="200"/>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szCs w:val="24"/>
          <w:highlight w:val="none"/>
        </w:rPr>
        <w:t>采购人在中华人民共和国境内使用</w:t>
      </w:r>
      <w:r>
        <w:rPr>
          <w:rFonts w:hint="eastAsia" w:ascii="华文中宋" w:hAnsi="华文中宋" w:eastAsia="华文中宋" w:cs="华文中宋"/>
          <w:szCs w:val="24"/>
          <w:highlight w:val="none"/>
          <w:lang w:eastAsia="zh-CN"/>
        </w:rPr>
        <w:t>中标供应商</w:t>
      </w:r>
      <w:r>
        <w:rPr>
          <w:rFonts w:hint="eastAsia" w:ascii="华文中宋" w:hAnsi="华文中宋" w:eastAsia="华文中宋" w:cs="华文中宋"/>
          <w:szCs w:val="24"/>
          <w:highlight w:val="none"/>
        </w:rPr>
        <w:t>提供的货物及服务时免受第三方提出的侵犯其专利权或其它知识产权的起诉。如果第三方提出侵权指控，</w:t>
      </w:r>
      <w:r>
        <w:rPr>
          <w:rFonts w:hint="eastAsia" w:ascii="华文中宋" w:hAnsi="华文中宋" w:eastAsia="华文中宋" w:cs="华文中宋"/>
          <w:szCs w:val="24"/>
          <w:highlight w:val="none"/>
          <w:lang w:eastAsia="zh-CN"/>
        </w:rPr>
        <w:t>中标供应商</w:t>
      </w:r>
      <w:r>
        <w:rPr>
          <w:rFonts w:hint="eastAsia" w:ascii="华文中宋" w:hAnsi="华文中宋" w:eastAsia="华文中宋" w:cs="华文中宋"/>
          <w:szCs w:val="24"/>
          <w:highlight w:val="none"/>
        </w:rPr>
        <w:t>应承担由此而引起的一切法律责任和费用。</w:t>
      </w:r>
    </w:p>
    <w:p w14:paraId="6B9923C5">
      <w:pPr>
        <w:keepNext w:val="0"/>
        <w:keepLines w:val="0"/>
        <w:pageBreakBefore w:val="0"/>
        <w:widowControl w:val="0"/>
        <w:kinsoku/>
        <w:wordWrap/>
        <w:overflowPunct/>
        <w:topLinePunct w:val="0"/>
        <w:autoSpaceDE/>
        <w:autoSpaceDN/>
        <w:bidi w:val="0"/>
        <w:adjustRightInd w:val="0"/>
        <w:snapToGrid w:val="0"/>
        <w:spacing w:before="120" w:after="0" w:line="360" w:lineRule="auto"/>
        <w:textAlignment w:val="auto"/>
        <w:rPr>
          <w:rFonts w:hint="eastAsia" w:ascii="华文中宋" w:hAnsi="华文中宋" w:eastAsia="华文中宋" w:cs="华文中宋"/>
          <w:b/>
          <w:szCs w:val="24"/>
          <w:highlight w:val="none"/>
        </w:rPr>
      </w:pPr>
      <w:r>
        <w:rPr>
          <w:rFonts w:hint="eastAsia" w:ascii="华文中宋" w:hAnsi="华文中宋" w:eastAsia="华文中宋" w:cs="华文中宋"/>
          <w:b/>
          <w:szCs w:val="24"/>
          <w:highlight w:val="none"/>
        </w:rPr>
        <w:t>十一、合同争议的解决</w:t>
      </w:r>
    </w:p>
    <w:p w14:paraId="6190A088">
      <w:pPr>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highlight w:val="none"/>
        </w:rPr>
        <w:t>合同执行中发生争议的，当事人双方应协商解决，协商达不成一致时，可向采购人所在地人民法院提</w:t>
      </w:r>
      <w:r>
        <w:rPr>
          <w:rFonts w:hint="eastAsia" w:ascii="华文中宋" w:hAnsi="华文中宋" w:eastAsia="华文中宋" w:cs="华文中宋"/>
          <w:highlight w:val="none"/>
          <w:lang w:val="en-US" w:eastAsia="zh-CN"/>
        </w:rPr>
        <w:t>起</w:t>
      </w:r>
      <w:r>
        <w:rPr>
          <w:rFonts w:hint="eastAsia" w:ascii="华文中宋" w:hAnsi="华文中宋" w:eastAsia="华文中宋" w:cs="华文中宋"/>
          <w:highlight w:val="none"/>
        </w:rPr>
        <w:t>诉讼。</w:t>
      </w:r>
    </w:p>
    <w:p w14:paraId="269A1CCD">
      <w:pPr>
        <w:keepNext w:val="0"/>
        <w:keepLines w:val="0"/>
        <w:pageBreakBefore w:val="0"/>
        <w:widowControl w:val="0"/>
        <w:kinsoku/>
        <w:wordWrap/>
        <w:overflowPunct/>
        <w:topLinePunct w:val="0"/>
        <w:autoSpaceDE/>
        <w:autoSpaceDN/>
        <w:bidi w:val="0"/>
        <w:spacing w:before="120" w:after="0" w:line="360" w:lineRule="auto"/>
        <w:jc w:val="left"/>
        <w:textAlignment w:val="auto"/>
        <w:rPr>
          <w:rFonts w:hint="eastAsia" w:ascii="华文中宋" w:hAnsi="华文中宋" w:eastAsia="华文中宋" w:cs="华文中宋"/>
          <w:b/>
          <w:bCs/>
          <w:szCs w:val="24"/>
          <w:highlight w:val="none"/>
          <w:lang w:eastAsia="zh-CN"/>
        </w:rPr>
      </w:pPr>
      <w:r>
        <w:rPr>
          <w:rFonts w:hint="eastAsia" w:ascii="华文中宋" w:hAnsi="华文中宋" w:eastAsia="华文中宋" w:cs="华文中宋"/>
          <w:b/>
          <w:bCs/>
          <w:szCs w:val="24"/>
          <w:highlight w:val="none"/>
        </w:rPr>
        <w:t>十二、不可抗力情况下的免责约定</w:t>
      </w:r>
    </w:p>
    <w:p w14:paraId="1AAE4506">
      <w:pPr>
        <w:keepNext w:val="0"/>
        <w:keepLines w:val="0"/>
        <w:pageBreakBefore w:val="0"/>
        <w:widowControl w:val="0"/>
        <w:kinsoku/>
        <w:wordWrap/>
        <w:overflowPunct/>
        <w:topLinePunct w:val="0"/>
        <w:autoSpaceDE/>
        <w:autoSpaceDN/>
        <w:bidi w:val="0"/>
        <w:spacing w:before="120" w:after="0" w:line="360" w:lineRule="auto"/>
        <w:jc w:val="left"/>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 xml:space="preserve">    双方约定不可抗力情况指：双方不可预见、不可避免、不可克服的客观情况，但不包括双方的违约或疏忽。这些事件包括但不限于：战争、严重火灾、洪水、台风、地震等。</w:t>
      </w:r>
    </w:p>
    <w:p w14:paraId="294ED68D">
      <w:pPr>
        <w:keepNext w:val="0"/>
        <w:keepLines w:val="0"/>
        <w:pageBreakBefore w:val="0"/>
        <w:widowControl w:val="0"/>
        <w:kinsoku/>
        <w:wordWrap/>
        <w:overflowPunct/>
        <w:topLinePunct w:val="0"/>
        <w:autoSpaceDE/>
        <w:autoSpaceDN/>
        <w:bidi w:val="0"/>
        <w:spacing w:before="120" w:after="0" w:line="360" w:lineRule="auto"/>
        <w:jc w:val="left"/>
        <w:textAlignment w:val="auto"/>
        <w:rPr>
          <w:rFonts w:hint="eastAsia" w:ascii="华文中宋" w:hAnsi="华文中宋" w:eastAsia="华文中宋" w:cs="华文中宋"/>
          <w:b/>
          <w:bCs/>
          <w:szCs w:val="24"/>
          <w:highlight w:val="none"/>
          <w:lang w:eastAsia="zh-CN"/>
        </w:rPr>
      </w:pPr>
      <w:r>
        <w:rPr>
          <w:rFonts w:hint="eastAsia" w:ascii="华文中宋" w:hAnsi="华文中宋" w:eastAsia="华文中宋" w:cs="华文中宋"/>
          <w:b/>
          <w:bCs/>
          <w:szCs w:val="24"/>
          <w:highlight w:val="none"/>
          <w:lang w:val="en-US" w:eastAsia="zh-CN"/>
        </w:rPr>
        <w:t>十三、</w:t>
      </w:r>
      <w:r>
        <w:rPr>
          <w:rFonts w:hint="eastAsia" w:ascii="华文中宋" w:hAnsi="华文中宋" w:eastAsia="华文中宋" w:cs="华文中宋"/>
          <w:b/>
          <w:bCs/>
          <w:szCs w:val="24"/>
          <w:highlight w:val="none"/>
        </w:rPr>
        <w:t>违约责任</w:t>
      </w:r>
    </w:p>
    <w:p w14:paraId="3E30D16D">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lang w:val="en-US" w:eastAsia="zh-CN"/>
        </w:rPr>
        <w:t>1.</w:t>
      </w:r>
      <w:r>
        <w:rPr>
          <w:rFonts w:hint="eastAsia" w:ascii="华文中宋" w:hAnsi="华文中宋" w:eastAsia="华文中宋" w:cs="华文中宋"/>
          <w:szCs w:val="24"/>
          <w:highlight w:val="none"/>
        </w:rPr>
        <w:t>未按合同或</w:t>
      </w:r>
      <w:r>
        <w:rPr>
          <w:rFonts w:hint="eastAsia" w:ascii="华文中宋" w:hAnsi="华文中宋" w:eastAsia="华文中宋" w:cs="华文中宋"/>
          <w:szCs w:val="24"/>
          <w:highlight w:val="none"/>
          <w:lang w:eastAsia="zh-CN"/>
        </w:rPr>
        <w:t>招标文件</w:t>
      </w:r>
      <w:r>
        <w:rPr>
          <w:rFonts w:hint="eastAsia" w:ascii="华文中宋" w:hAnsi="华文中宋" w:eastAsia="华文中宋" w:cs="华文中宋"/>
          <w:szCs w:val="24"/>
          <w:highlight w:val="none"/>
        </w:rPr>
        <w:t>要求提供合格产品或工期、质量不能满足要求，采购人有权终止合同，并对供方违约行为进行追究，同时按《</w:t>
      </w:r>
      <w:r>
        <w:rPr>
          <w:rFonts w:hint="eastAsia" w:ascii="华文中宋" w:hAnsi="华文中宋" w:eastAsia="华文中宋" w:cs="华文中宋"/>
          <w:szCs w:val="24"/>
          <w:highlight w:val="none"/>
          <w:lang w:val="en-US" w:eastAsia="zh-CN"/>
        </w:rPr>
        <w:t>政府采购</w:t>
      </w:r>
      <w:r>
        <w:rPr>
          <w:rFonts w:hint="eastAsia" w:ascii="华文中宋" w:hAnsi="华文中宋" w:eastAsia="华文中宋" w:cs="华文中宋"/>
          <w:szCs w:val="24"/>
          <w:highlight w:val="none"/>
        </w:rPr>
        <w:t>法》的有关规定进行处罚。</w:t>
      </w:r>
    </w:p>
    <w:p w14:paraId="7F2CED8B">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2.供应商未按本协议约定期限完工交付的，每迟延一日，应按合同约定总价款的千分之三向采购方支付迟 延违约金。违约金不足以弥补采购方损失的，供应方并应赔偿。</w:t>
      </w:r>
    </w:p>
    <w:p w14:paraId="3CCBC16A">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3. 在质保期内，供应方未按本合同约定履行质保义务的，采购方有权委托第三方提供质保服务，费用由供应方承担。</w:t>
      </w:r>
    </w:p>
    <w:p w14:paraId="0C9AA483">
      <w:pPr>
        <w:keepNext w:val="0"/>
        <w:keepLines w:val="0"/>
        <w:pageBreakBefore w:val="0"/>
        <w:widowControl w:val="0"/>
        <w:numPr>
          <w:ilvl w:val="0"/>
          <w:numId w:val="0"/>
        </w:numPr>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szCs w:val="24"/>
          <w:highlight w:val="none"/>
        </w:rPr>
      </w:pPr>
      <w:r>
        <w:rPr>
          <w:rFonts w:hint="eastAsia" w:ascii="华文中宋" w:hAnsi="华文中宋" w:eastAsia="华文中宋" w:cs="华文中宋"/>
          <w:szCs w:val="24"/>
          <w:highlight w:val="none"/>
        </w:rPr>
        <w:t>4.其余违约责任按《中华人民共和国政府采购法》、《中华人民共和国民法典》中的相关条款执行。</w:t>
      </w:r>
    </w:p>
    <w:p w14:paraId="472CB02C">
      <w:pPr>
        <w:keepNext w:val="0"/>
        <w:keepLines w:val="0"/>
        <w:pageBreakBefore w:val="0"/>
        <w:widowControl w:val="0"/>
        <w:numPr>
          <w:ilvl w:val="0"/>
          <w:numId w:val="0"/>
        </w:numPr>
        <w:kinsoku/>
        <w:wordWrap/>
        <w:overflowPunct/>
        <w:topLinePunct w:val="0"/>
        <w:autoSpaceDE/>
        <w:autoSpaceDN/>
        <w:bidi w:val="0"/>
        <w:spacing w:before="120" w:after="0" w:line="360" w:lineRule="auto"/>
        <w:textAlignment w:val="auto"/>
        <w:rPr>
          <w:rFonts w:hint="default" w:ascii="华文中宋" w:hAnsi="华文中宋" w:eastAsia="华文中宋" w:cs="华文中宋"/>
          <w:b/>
          <w:highlight w:val="none"/>
          <w:lang w:val="en-US" w:eastAsia="zh-CN"/>
        </w:rPr>
      </w:pPr>
      <w:r>
        <w:rPr>
          <w:rFonts w:hint="eastAsia" w:ascii="华文中宋" w:hAnsi="华文中宋" w:eastAsia="华文中宋" w:cs="华文中宋"/>
          <w:b/>
          <w:highlight w:val="none"/>
          <w:lang w:val="en-US" w:eastAsia="zh-CN"/>
        </w:rPr>
        <w:t>十四、</w:t>
      </w:r>
      <w:r>
        <w:rPr>
          <w:rFonts w:hint="eastAsia" w:ascii="华文中宋" w:hAnsi="华文中宋" w:eastAsia="华文中宋" w:cs="华文中宋"/>
          <w:b/>
          <w:highlight w:val="none"/>
        </w:rPr>
        <w:t>其他</w:t>
      </w:r>
      <w:r>
        <w:rPr>
          <w:rFonts w:hint="eastAsia" w:ascii="华文中宋" w:hAnsi="华文中宋" w:eastAsia="华文中宋" w:cs="华文中宋"/>
          <w:b/>
          <w:highlight w:val="none"/>
          <w:lang w:val="en-US" w:eastAsia="zh-CN"/>
        </w:rPr>
        <w:t xml:space="preserve"> ：无</w:t>
      </w:r>
    </w:p>
    <w:p w14:paraId="7322D534">
      <w:pPr>
        <w:keepNext w:val="0"/>
        <w:keepLines w:val="0"/>
        <w:pageBreakBefore w:val="0"/>
        <w:widowControl w:val="0"/>
        <w:numPr>
          <w:ilvl w:val="0"/>
          <w:numId w:val="0"/>
        </w:numPr>
        <w:kinsoku/>
        <w:wordWrap/>
        <w:overflowPunct/>
        <w:topLinePunct w:val="0"/>
        <w:autoSpaceDE/>
        <w:autoSpaceDN/>
        <w:bidi w:val="0"/>
        <w:spacing w:before="120" w:after="0" w:line="360" w:lineRule="auto"/>
        <w:textAlignment w:val="auto"/>
        <w:rPr>
          <w:rFonts w:hint="eastAsia" w:ascii="华文中宋" w:hAnsi="华文中宋" w:eastAsia="华文中宋" w:cs="华文中宋"/>
          <w:b/>
          <w:highlight w:val="none"/>
        </w:rPr>
      </w:pPr>
      <w:r>
        <w:rPr>
          <w:rFonts w:hint="eastAsia" w:ascii="华文中宋" w:hAnsi="华文中宋" w:eastAsia="华文中宋" w:cs="华文中宋"/>
          <w:b/>
          <w:highlight w:val="none"/>
          <w:lang w:val="en-US" w:eastAsia="zh-CN"/>
        </w:rPr>
        <w:t>十五、</w:t>
      </w:r>
      <w:r>
        <w:rPr>
          <w:rFonts w:hint="eastAsia" w:ascii="华文中宋" w:hAnsi="华文中宋" w:eastAsia="华文中宋" w:cs="华文中宋"/>
          <w:b/>
          <w:highlight w:val="none"/>
        </w:rPr>
        <w:t>合同订立</w:t>
      </w:r>
    </w:p>
    <w:p w14:paraId="6CCAB3D6">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1. 订立时间：</w:t>
      </w:r>
      <w:r>
        <w:rPr>
          <w:rFonts w:hint="eastAsia" w:ascii="华文中宋" w:hAnsi="华文中宋" w:eastAsia="华文中宋" w:cs="华文中宋"/>
          <w:highlight w:val="none"/>
          <w:lang w:val="en-US" w:eastAsia="zh-CN"/>
        </w:rPr>
        <w:t xml:space="preserve">  </w:t>
      </w:r>
      <w:r>
        <w:rPr>
          <w:rFonts w:hint="eastAsia" w:ascii="华文中宋" w:hAnsi="华文中宋" w:eastAsia="华文中宋" w:cs="华文中宋"/>
          <w:highlight w:val="none"/>
        </w:rPr>
        <w:t>年</w:t>
      </w:r>
      <w:r>
        <w:rPr>
          <w:rFonts w:hint="eastAsia" w:ascii="华文中宋" w:hAnsi="华文中宋" w:eastAsia="华文中宋" w:cs="华文中宋"/>
          <w:highlight w:val="none"/>
          <w:lang w:val="en-US" w:eastAsia="zh-CN"/>
        </w:rPr>
        <w:t xml:space="preserve">  </w:t>
      </w:r>
      <w:r>
        <w:rPr>
          <w:rFonts w:hint="eastAsia" w:ascii="华文中宋" w:hAnsi="华文中宋" w:eastAsia="华文中宋" w:cs="华文中宋"/>
          <w:highlight w:val="none"/>
        </w:rPr>
        <w:t>月</w:t>
      </w:r>
      <w:r>
        <w:rPr>
          <w:rFonts w:hint="eastAsia" w:ascii="华文中宋" w:hAnsi="华文中宋" w:eastAsia="华文中宋" w:cs="华文中宋"/>
          <w:highlight w:val="none"/>
          <w:lang w:val="en-US" w:eastAsia="zh-CN"/>
        </w:rPr>
        <w:t xml:space="preserve">  </w:t>
      </w:r>
      <w:r>
        <w:rPr>
          <w:rFonts w:hint="eastAsia" w:ascii="华文中宋" w:hAnsi="华文中宋" w:eastAsia="华文中宋" w:cs="华文中宋"/>
          <w:highlight w:val="none"/>
        </w:rPr>
        <w:t>日。</w:t>
      </w:r>
    </w:p>
    <w:p w14:paraId="481A0B80">
      <w:pPr>
        <w:keepNext w:val="0"/>
        <w:keepLines w:val="0"/>
        <w:pageBreakBefore w:val="0"/>
        <w:widowControl w:val="0"/>
        <w:kinsoku/>
        <w:wordWrap/>
        <w:overflowPunct/>
        <w:topLinePunct w:val="0"/>
        <w:autoSpaceDE/>
        <w:autoSpaceDN/>
        <w:bidi w:val="0"/>
        <w:adjustRightInd w:val="0"/>
        <w:snapToGrid w:val="0"/>
        <w:spacing w:before="120" w:after="0" w:line="360" w:lineRule="auto"/>
        <w:ind w:firstLine="415" w:firstLineChars="198"/>
        <w:textAlignment w:val="auto"/>
        <w:rPr>
          <w:rFonts w:hint="eastAsia" w:ascii="华文中宋" w:hAnsi="华文中宋" w:eastAsia="华文中宋" w:cs="华文中宋"/>
          <w:highlight w:val="none"/>
        </w:rPr>
      </w:pPr>
      <w:r>
        <w:rPr>
          <w:rFonts w:hint="eastAsia" w:ascii="华文中宋" w:hAnsi="华文中宋" w:eastAsia="华文中宋" w:cs="华文中宋"/>
          <w:highlight w:val="none"/>
        </w:rPr>
        <w:t>2. 订立地点：</w:t>
      </w:r>
    </w:p>
    <w:p w14:paraId="29945B69">
      <w:pPr>
        <w:pStyle w:val="5"/>
        <w:keepNext w:val="0"/>
        <w:keepLines w:val="0"/>
        <w:pageBreakBefore w:val="0"/>
        <w:widowControl w:val="0"/>
        <w:kinsoku/>
        <w:wordWrap/>
        <w:overflowPunct/>
        <w:topLinePunct w:val="0"/>
        <w:autoSpaceDE/>
        <w:autoSpaceDN/>
        <w:bidi w:val="0"/>
        <w:spacing w:before="120" w:after="0" w:line="360" w:lineRule="auto"/>
        <w:ind w:firstLine="420" w:firstLineChars="200"/>
        <w:textAlignment w:val="auto"/>
        <w:rPr>
          <w:rFonts w:hint="eastAsia" w:ascii="华文中宋" w:hAnsi="华文中宋" w:eastAsia="华文中宋" w:cs="华文中宋"/>
          <w:kern w:val="2"/>
          <w:sz w:val="21"/>
          <w:szCs w:val="24"/>
          <w:highlight w:val="none"/>
          <w:lang w:val="en-US" w:eastAsia="zh-CN" w:bidi="ar-SA"/>
        </w:rPr>
      </w:pPr>
      <w:r>
        <w:rPr>
          <w:rFonts w:hint="eastAsia" w:ascii="华文中宋" w:hAnsi="华文中宋" w:eastAsia="华文中宋" w:cs="华文中宋"/>
          <w:kern w:val="2"/>
          <w:sz w:val="21"/>
          <w:szCs w:val="24"/>
          <w:highlight w:val="none"/>
          <w:lang w:val="en-US" w:eastAsia="zh-CN" w:bidi="ar-SA"/>
        </w:rPr>
        <w:t>3. 本合同一式   份，具有同等法律效力，双方各执   份。各方签字盖章后生效，合同执行完毕自动失效。（合同的服务承诺则长期有效）。</w:t>
      </w:r>
    </w:p>
    <w:p w14:paraId="7D6409F9">
      <w:pPr>
        <w:pStyle w:val="2"/>
        <w:tabs>
          <w:tab w:val="left" w:pos="1756"/>
          <w:tab w:val="left" w:pos="4487"/>
          <w:tab w:val="left" w:pos="5433"/>
        </w:tabs>
        <w:ind w:left="813"/>
        <w:rPr>
          <w:rFonts w:hint="eastAsia" w:ascii="宋体" w:hAnsi="宋体" w:eastAsia="宋体" w:cs="宋体"/>
          <w:sz w:val="21"/>
          <w:szCs w:val="18"/>
        </w:rPr>
      </w:pPr>
    </w:p>
    <w:p w14:paraId="7EF90518">
      <w:pPr>
        <w:pStyle w:val="2"/>
        <w:tabs>
          <w:tab w:val="left" w:pos="1756"/>
          <w:tab w:val="left" w:pos="4487"/>
          <w:tab w:val="left" w:pos="5433"/>
        </w:tabs>
        <w:ind w:left="813"/>
        <w:rPr>
          <w:rFonts w:hint="eastAsia" w:ascii="宋体" w:hAnsi="宋体" w:eastAsia="宋体" w:cs="宋体"/>
          <w:sz w:val="21"/>
          <w:szCs w:val="18"/>
        </w:rPr>
      </w:pPr>
    </w:p>
    <w:p w14:paraId="7B0FA217">
      <w:pPr>
        <w:pStyle w:val="2"/>
        <w:tabs>
          <w:tab w:val="left" w:pos="1756"/>
          <w:tab w:val="left" w:pos="4487"/>
          <w:tab w:val="left" w:pos="5433"/>
        </w:tabs>
        <w:ind w:left="813"/>
        <w:rPr>
          <w:rFonts w:hint="eastAsia" w:ascii="宋体" w:hAnsi="宋体" w:eastAsia="宋体" w:cs="宋体"/>
          <w:sz w:val="21"/>
          <w:szCs w:val="18"/>
        </w:rPr>
      </w:pPr>
    </w:p>
    <w:p w14:paraId="67977239">
      <w:pPr>
        <w:pStyle w:val="2"/>
        <w:tabs>
          <w:tab w:val="left" w:pos="1756"/>
          <w:tab w:val="left" w:pos="4487"/>
          <w:tab w:val="left" w:pos="5433"/>
        </w:tabs>
        <w:ind w:left="813"/>
        <w:rPr>
          <w:rFonts w:hint="eastAsia"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采购人：</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（盖章）</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 xml:space="preserve">    供应商：</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（盖章）</w:t>
      </w:r>
    </w:p>
    <w:p w14:paraId="3A976C81">
      <w:pPr>
        <w:pStyle w:val="2"/>
        <w:spacing w:before="5"/>
        <w:rPr>
          <w:rFonts w:hint="eastAsia" w:ascii="华文中宋" w:hAnsi="华文中宋" w:eastAsia="华文中宋" w:cs="华文中宋"/>
          <w:kern w:val="2"/>
          <w:sz w:val="22"/>
          <w:szCs w:val="28"/>
          <w:highlight w:val="none"/>
          <w:lang w:val="en-US" w:eastAsia="zh-CN" w:bidi="ar-SA"/>
        </w:rPr>
      </w:pPr>
    </w:p>
    <w:p w14:paraId="1BD56606">
      <w:pPr>
        <w:pStyle w:val="2"/>
        <w:tabs>
          <w:tab w:val="left" w:pos="4487"/>
        </w:tabs>
        <w:ind w:left="813"/>
        <w:rPr>
          <w:rFonts w:hint="eastAsia"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法定代表人/委托代理人：</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 xml:space="preserve">    法定代表人/委托代理人：</w:t>
      </w:r>
    </w:p>
    <w:p w14:paraId="51091651">
      <w:pPr>
        <w:pStyle w:val="2"/>
        <w:spacing w:before="2"/>
        <w:rPr>
          <w:rFonts w:hint="eastAsia" w:ascii="华文中宋" w:hAnsi="华文中宋" w:eastAsia="华文中宋" w:cs="华文中宋"/>
          <w:kern w:val="2"/>
          <w:sz w:val="22"/>
          <w:szCs w:val="28"/>
          <w:highlight w:val="none"/>
          <w:lang w:val="en-US" w:eastAsia="zh-CN" w:bidi="ar-SA"/>
        </w:rPr>
      </w:pPr>
    </w:p>
    <w:p w14:paraId="2425F638">
      <w:pPr>
        <w:pStyle w:val="2"/>
        <w:tabs>
          <w:tab w:val="left" w:pos="1442"/>
          <w:tab w:val="left" w:pos="4487"/>
          <w:tab w:val="left" w:pos="5116"/>
        </w:tabs>
        <w:spacing w:before="1"/>
        <w:ind w:left="813"/>
        <w:rPr>
          <w:rFonts w:hint="eastAsia"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地</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址：</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 xml:space="preserve">    地</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址：</w:t>
      </w:r>
    </w:p>
    <w:p w14:paraId="47EC824A">
      <w:pPr>
        <w:pStyle w:val="2"/>
        <w:spacing w:before="7"/>
        <w:rPr>
          <w:rFonts w:hint="eastAsia" w:ascii="华文中宋" w:hAnsi="华文中宋" w:eastAsia="华文中宋" w:cs="华文中宋"/>
          <w:kern w:val="2"/>
          <w:sz w:val="22"/>
          <w:szCs w:val="28"/>
          <w:highlight w:val="none"/>
          <w:lang w:val="en-US" w:eastAsia="zh-CN" w:bidi="ar-SA"/>
        </w:rPr>
      </w:pPr>
    </w:p>
    <w:tbl>
      <w:tblPr>
        <w:tblStyle w:val="9"/>
        <w:tblW w:w="0" w:type="auto"/>
        <w:tblInd w:w="771" w:type="dxa"/>
        <w:tblLayout w:type="fixed"/>
        <w:tblCellMar>
          <w:top w:w="0" w:type="dxa"/>
          <w:left w:w="0" w:type="dxa"/>
          <w:bottom w:w="0" w:type="dxa"/>
          <w:right w:w="0" w:type="dxa"/>
        </w:tblCellMar>
      </w:tblPr>
      <w:tblGrid>
        <w:gridCol w:w="1309"/>
        <w:gridCol w:w="2256"/>
        <w:gridCol w:w="4214"/>
      </w:tblGrid>
      <w:tr w14:paraId="20E0A940">
        <w:tblPrEx>
          <w:tblCellMar>
            <w:top w:w="0" w:type="dxa"/>
            <w:left w:w="0" w:type="dxa"/>
            <w:bottom w:w="0" w:type="dxa"/>
            <w:right w:w="0" w:type="dxa"/>
          </w:tblCellMar>
        </w:tblPrEx>
        <w:trPr>
          <w:trHeight w:val="443" w:hRule="atLeast"/>
        </w:trPr>
        <w:tc>
          <w:tcPr>
            <w:tcW w:w="1309" w:type="dxa"/>
            <w:noWrap w:val="0"/>
            <w:vAlign w:val="top"/>
          </w:tcPr>
          <w:p w14:paraId="45E55ADA">
            <w:pPr>
              <w:pStyle w:val="8"/>
              <w:keepNext w:val="0"/>
              <w:keepLines w:val="0"/>
              <w:suppressLineNumbers w:val="0"/>
              <w:spacing w:before="0" w:beforeAutospacing="0" w:after="0" w:afterAutospacing="0" w:line="239" w:lineRule="exact"/>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开户银行：</w:t>
            </w:r>
          </w:p>
        </w:tc>
        <w:tc>
          <w:tcPr>
            <w:tcW w:w="2256" w:type="dxa"/>
            <w:noWrap w:val="0"/>
            <w:vAlign w:val="top"/>
          </w:tcPr>
          <w:p w14:paraId="49B2269B">
            <w:pPr>
              <w:pStyle w:val="8"/>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0A18B049">
            <w:pPr>
              <w:pStyle w:val="8"/>
              <w:keepNext w:val="0"/>
              <w:keepLines w:val="0"/>
              <w:suppressLineNumbers w:val="0"/>
              <w:spacing w:before="0" w:beforeAutospacing="0" w:after="0" w:afterAutospacing="0" w:line="239" w:lineRule="exact"/>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开户银行：</w:t>
            </w:r>
          </w:p>
        </w:tc>
      </w:tr>
      <w:tr w14:paraId="1A777E09">
        <w:tblPrEx>
          <w:tblCellMar>
            <w:top w:w="0" w:type="dxa"/>
            <w:left w:w="0" w:type="dxa"/>
            <w:bottom w:w="0" w:type="dxa"/>
            <w:right w:w="0" w:type="dxa"/>
          </w:tblCellMar>
        </w:tblPrEx>
        <w:trPr>
          <w:trHeight w:val="529" w:hRule="atLeast"/>
        </w:trPr>
        <w:tc>
          <w:tcPr>
            <w:tcW w:w="1309" w:type="dxa"/>
            <w:noWrap w:val="0"/>
            <w:vAlign w:val="top"/>
          </w:tcPr>
          <w:p w14:paraId="3D1FBF74">
            <w:pPr>
              <w:pStyle w:val="8"/>
              <w:keepNext w:val="0"/>
              <w:keepLines w:val="0"/>
              <w:suppressLineNumbers w:val="0"/>
              <w:tabs>
                <w:tab w:val="left" w:pos="678"/>
              </w:tabs>
              <w:spacing w:before="129" w:beforeAutospacing="0" w:after="0" w:afterAutospacing="0"/>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账</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号：</w:t>
            </w:r>
          </w:p>
        </w:tc>
        <w:tc>
          <w:tcPr>
            <w:tcW w:w="2256" w:type="dxa"/>
            <w:noWrap w:val="0"/>
            <w:vAlign w:val="top"/>
          </w:tcPr>
          <w:p w14:paraId="68DE496A">
            <w:pPr>
              <w:pStyle w:val="8"/>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51C2D481">
            <w:pPr>
              <w:pStyle w:val="8"/>
              <w:keepNext w:val="0"/>
              <w:keepLines w:val="0"/>
              <w:suppressLineNumbers w:val="0"/>
              <w:tabs>
                <w:tab w:val="left" w:pos="1207"/>
              </w:tabs>
              <w:spacing w:before="129" w:beforeAutospacing="0" w:after="0" w:afterAutospacing="0"/>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账</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号：</w:t>
            </w:r>
          </w:p>
        </w:tc>
      </w:tr>
      <w:tr w14:paraId="134FDB2A">
        <w:tblPrEx>
          <w:tblCellMar>
            <w:top w:w="0" w:type="dxa"/>
            <w:left w:w="0" w:type="dxa"/>
            <w:bottom w:w="0" w:type="dxa"/>
            <w:right w:w="0" w:type="dxa"/>
          </w:tblCellMar>
        </w:tblPrEx>
        <w:trPr>
          <w:trHeight w:val="529" w:hRule="atLeast"/>
        </w:trPr>
        <w:tc>
          <w:tcPr>
            <w:tcW w:w="1309" w:type="dxa"/>
            <w:noWrap w:val="0"/>
            <w:vAlign w:val="top"/>
          </w:tcPr>
          <w:p w14:paraId="55F27E5E">
            <w:pPr>
              <w:pStyle w:val="8"/>
              <w:keepNext w:val="0"/>
              <w:keepLines w:val="0"/>
              <w:suppressLineNumbers w:val="0"/>
              <w:tabs>
                <w:tab w:val="left" w:pos="678"/>
              </w:tabs>
              <w:spacing w:before="130" w:beforeAutospacing="0" w:after="0" w:afterAutospacing="0"/>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电</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话：</w:t>
            </w:r>
          </w:p>
        </w:tc>
        <w:tc>
          <w:tcPr>
            <w:tcW w:w="2256" w:type="dxa"/>
            <w:noWrap w:val="0"/>
            <w:vAlign w:val="top"/>
          </w:tcPr>
          <w:p w14:paraId="71A7EA2B">
            <w:pPr>
              <w:pStyle w:val="8"/>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5B272BD1">
            <w:pPr>
              <w:pStyle w:val="8"/>
              <w:keepNext w:val="0"/>
              <w:keepLines w:val="0"/>
              <w:suppressLineNumbers w:val="0"/>
              <w:tabs>
                <w:tab w:val="left" w:pos="1207"/>
              </w:tabs>
              <w:spacing w:before="130" w:beforeAutospacing="0" w:after="0" w:afterAutospacing="0"/>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电</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话：</w:t>
            </w:r>
          </w:p>
        </w:tc>
      </w:tr>
      <w:tr w14:paraId="47E54034">
        <w:tblPrEx>
          <w:tblCellMar>
            <w:top w:w="0" w:type="dxa"/>
            <w:left w:w="0" w:type="dxa"/>
            <w:bottom w:w="0" w:type="dxa"/>
            <w:right w:w="0" w:type="dxa"/>
          </w:tblCellMar>
        </w:tblPrEx>
        <w:trPr>
          <w:trHeight w:val="527" w:hRule="atLeast"/>
        </w:trPr>
        <w:tc>
          <w:tcPr>
            <w:tcW w:w="1309" w:type="dxa"/>
            <w:noWrap w:val="0"/>
            <w:vAlign w:val="top"/>
          </w:tcPr>
          <w:p w14:paraId="627443D4">
            <w:pPr>
              <w:pStyle w:val="8"/>
              <w:keepNext w:val="0"/>
              <w:keepLines w:val="0"/>
              <w:suppressLineNumbers w:val="0"/>
              <w:tabs>
                <w:tab w:val="left" w:pos="678"/>
              </w:tabs>
              <w:spacing w:before="129" w:beforeAutospacing="0" w:after="0" w:afterAutospacing="0"/>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传</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真：</w:t>
            </w:r>
          </w:p>
        </w:tc>
        <w:tc>
          <w:tcPr>
            <w:tcW w:w="2256" w:type="dxa"/>
            <w:noWrap w:val="0"/>
            <w:vAlign w:val="top"/>
          </w:tcPr>
          <w:p w14:paraId="3B26DAC5">
            <w:pPr>
              <w:pStyle w:val="8"/>
              <w:keepNext w:val="0"/>
              <w:keepLines w:val="0"/>
              <w:suppressLineNumbers w:val="0"/>
              <w:spacing w:before="0" w:beforeAutospacing="0" w:after="0" w:afterAutospacing="0"/>
              <w:ind w:left="0" w:right="0"/>
              <w:rPr>
                <w:rFonts w:hint="default" w:ascii="华文中宋" w:hAnsi="华文中宋" w:eastAsia="华文中宋" w:cs="华文中宋"/>
                <w:kern w:val="2"/>
                <w:sz w:val="22"/>
                <w:szCs w:val="28"/>
                <w:highlight w:val="none"/>
                <w:lang w:val="en-US" w:eastAsia="zh-CN" w:bidi="ar-SA"/>
              </w:rPr>
            </w:pPr>
          </w:p>
        </w:tc>
        <w:tc>
          <w:tcPr>
            <w:tcW w:w="4214" w:type="dxa"/>
            <w:noWrap w:val="0"/>
            <w:vAlign w:val="top"/>
          </w:tcPr>
          <w:p w14:paraId="029ABA2D">
            <w:pPr>
              <w:pStyle w:val="8"/>
              <w:keepNext w:val="0"/>
              <w:keepLines w:val="0"/>
              <w:suppressLineNumbers w:val="0"/>
              <w:tabs>
                <w:tab w:val="left" w:pos="1207"/>
              </w:tabs>
              <w:spacing w:before="129" w:beforeAutospacing="0" w:after="0" w:afterAutospacing="0"/>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传</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真：</w:t>
            </w:r>
          </w:p>
        </w:tc>
      </w:tr>
      <w:tr w14:paraId="337EECD7">
        <w:tblPrEx>
          <w:tblCellMar>
            <w:top w:w="0" w:type="dxa"/>
            <w:left w:w="0" w:type="dxa"/>
            <w:bottom w:w="0" w:type="dxa"/>
            <w:right w:w="0" w:type="dxa"/>
          </w:tblCellMar>
        </w:tblPrEx>
        <w:trPr>
          <w:trHeight w:val="454" w:hRule="atLeast"/>
        </w:trPr>
        <w:tc>
          <w:tcPr>
            <w:tcW w:w="1309" w:type="dxa"/>
            <w:noWrap w:val="0"/>
            <w:vAlign w:val="top"/>
          </w:tcPr>
          <w:p w14:paraId="1D9A6DD4">
            <w:pPr>
              <w:pStyle w:val="8"/>
              <w:keepNext w:val="0"/>
              <w:keepLines w:val="0"/>
              <w:suppressLineNumbers w:val="0"/>
              <w:spacing w:before="129" w:beforeAutospacing="0" w:after="0" w:afterAutospacing="0" w:line="219" w:lineRule="exact"/>
              <w:ind w:left="50"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签约日期：</w:t>
            </w:r>
          </w:p>
        </w:tc>
        <w:tc>
          <w:tcPr>
            <w:tcW w:w="2256" w:type="dxa"/>
            <w:noWrap w:val="0"/>
            <w:vAlign w:val="top"/>
          </w:tcPr>
          <w:p w14:paraId="136A32E8">
            <w:pPr>
              <w:pStyle w:val="8"/>
              <w:keepNext w:val="0"/>
              <w:keepLines w:val="0"/>
              <w:suppressLineNumbers w:val="0"/>
              <w:spacing w:before="129" w:beforeAutospacing="0" w:after="0" w:afterAutospacing="0" w:line="219" w:lineRule="exact"/>
              <w:ind w:left="209"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年 月 日</w:t>
            </w:r>
          </w:p>
        </w:tc>
        <w:tc>
          <w:tcPr>
            <w:tcW w:w="4214" w:type="dxa"/>
            <w:noWrap w:val="0"/>
            <w:vAlign w:val="top"/>
          </w:tcPr>
          <w:p w14:paraId="59ECA978">
            <w:pPr>
              <w:pStyle w:val="8"/>
              <w:keepNext w:val="0"/>
              <w:keepLines w:val="0"/>
              <w:suppressLineNumbers w:val="0"/>
              <w:tabs>
                <w:tab w:val="left" w:pos="2047"/>
              </w:tabs>
              <w:spacing w:before="129" w:beforeAutospacing="0" w:after="0" w:afterAutospacing="0" w:line="219" w:lineRule="exact"/>
              <w:ind w:left="578" w:right="0"/>
              <w:rPr>
                <w:rFonts w:hint="default" w:ascii="华文中宋" w:hAnsi="华文中宋" w:eastAsia="华文中宋" w:cs="华文中宋"/>
                <w:kern w:val="2"/>
                <w:sz w:val="22"/>
                <w:szCs w:val="28"/>
                <w:highlight w:val="none"/>
                <w:lang w:val="en-US" w:eastAsia="zh-CN" w:bidi="ar-SA"/>
              </w:rPr>
            </w:pPr>
            <w:r>
              <w:rPr>
                <w:rFonts w:hint="eastAsia" w:ascii="华文中宋" w:hAnsi="华文中宋" w:eastAsia="华文中宋" w:cs="华文中宋"/>
                <w:kern w:val="2"/>
                <w:sz w:val="22"/>
                <w:szCs w:val="28"/>
                <w:highlight w:val="none"/>
                <w:lang w:val="en-US" w:eastAsia="zh-CN" w:bidi="ar-SA"/>
              </w:rPr>
              <w:t>签约日期：</w:t>
            </w:r>
            <w:r>
              <w:rPr>
                <w:rFonts w:hint="eastAsia" w:ascii="华文中宋" w:hAnsi="华文中宋" w:eastAsia="华文中宋" w:cs="华文中宋"/>
                <w:kern w:val="2"/>
                <w:sz w:val="22"/>
                <w:szCs w:val="28"/>
                <w:highlight w:val="none"/>
                <w:lang w:val="en-US" w:eastAsia="zh-CN" w:bidi="ar-SA"/>
              </w:rPr>
              <w:tab/>
            </w:r>
            <w:r>
              <w:rPr>
                <w:rFonts w:hint="eastAsia" w:ascii="华文中宋" w:hAnsi="华文中宋" w:eastAsia="华文中宋" w:cs="华文中宋"/>
                <w:kern w:val="2"/>
                <w:sz w:val="22"/>
                <w:szCs w:val="28"/>
                <w:highlight w:val="none"/>
                <w:lang w:val="en-US" w:eastAsia="zh-CN" w:bidi="ar-SA"/>
              </w:rPr>
              <w:t>年 月  日</w:t>
            </w:r>
          </w:p>
        </w:tc>
      </w:tr>
    </w:tbl>
    <w:p w14:paraId="18D73FA7">
      <w:pPr>
        <w:spacing w:line="219" w:lineRule="exact"/>
        <w:rPr>
          <w:sz w:val="21"/>
        </w:rPr>
        <w:sectPr>
          <w:footerReference r:id="rId3" w:type="default"/>
          <w:pgSz w:w="11910" w:h="16840"/>
          <w:pgMar w:top="1247" w:right="1395" w:bottom="1200" w:left="1366" w:header="833" w:footer="1004" w:gutter="0"/>
          <w:pgNumType w:fmt="decimal" w:start="1"/>
          <w:cols w:space="720" w:num="1"/>
        </w:sectPr>
      </w:pPr>
    </w:p>
    <w:p w14:paraId="029BB9D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462A6">
    <w:pPr>
      <w:pStyle w:val="3"/>
      <w:jc w:val="both"/>
    </w:pP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2D630"/>
    <w:multiLevelType w:val="singleLevel"/>
    <w:tmpl w:val="8F22D63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32051"/>
    <w:rsid w:val="67F448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next w:val="1"/>
    <w:qFormat/>
    <w:uiPriority w:val="0"/>
    <w:rPr>
      <w:rFonts w:ascii="楷体_GB2312" w:eastAsia="楷体_GB2312"/>
      <w:sz w:val="32"/>
    </w:rPr>
  </w:style>
  <w:style w:type="paragraph" w:styleId="3">
    <w:name w:val="footer"/>
    <w:basedOn w:val="1"/>
    <w:next w:val="2"/>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w:basedOn w:val="2"/>
    <w:unhideWhenUsed/>
    <w:qFormat/>
    <w:uiPriority w:val="0"/>
    <w:pPr>
      <w:tabs>
        <w:tab w:val="left" w:pos="567"/>
      </w:tabs>
      <w:ind w:firstLine="420" w:firstLineChars="100"/>
    </w:pPr>
  </w:style>
  <w:style w:type="paragraph" w:customStyle="1" w:styleId="8">
    <w:name w:val="Table Paragraph"/>
    <w:basedOn w:val="1"/>
    <w:qFormat/>
    <w:uiPriority w:val="1"/>
    <w:rPr>
      <w:rFonts w:ascii="宋体" w:hAnsi="宋体" w:eastAsia="宋体" w:cs="宋体"/>
    </w:rPr>
  </w:style>
  <w:style w:type="table" w:customStyle="1" w:styleId="9">
    <w:name w:val="Table Normal"/>
    <w:basedOn w:val="6"/>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Style w:val="6"/>
      <w:tblCellMar>
        <w:top w:w="0" w:type="dxa"/>
        <w:left w:w="0" w:type="dxa"/>
        <w:bottom w:w="0" w:type="dxa"/>
        <w:right w:w="0" w:type="dxa"/>
      </w:tblCellMar>
    </w:tbl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1949</Words>
  <Characters>1998</Characters>
  <Lines>0</Lines>
  <Paragraphs>0</Paragraphs>
  <TotalTime>1</TotalTime>
  <ScaleCrop>false</ScaleCrop>
  <LinksUpToDate>false</LinksUpToDate>
  <CharactersWithSpaces>2097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2026-04-15T07:53:12Z</dcterms:created>
  <dc:creator>Administrator</dc:creator>
  <cp:lastModifiedBy>WPS_1634818979</cp:lastModifiedBy>
  <dcterms:modified xsi:type="dcterms:W3CDTF">2026-04-15T08:26:11Z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eyJoZGlkIjoiYmZlYThkZjViMzU1MjYzNDk0Mzg3M2Y3NWEyMTA5ZDMiLCJ1c2VySWQiOiIxMjc5MDI0Njg5In0=</vt:lpwstr>
  </property>
  <property fmtid="{D5CDD505-2E9C-101B-9397-08002B2CF9AE}" pid="4" name="ICV">
    <vt:lpwstr>6CAF0AD76AF146EBADBDFABA7174B995_13</vt:lpwstr>
  </property>
</Properties>
</file>