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版本号：SXLYCG(2026)第006号20260513002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商洛市中心城区2026年街景亮化</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SXLYCG(2026)第006号</w:t>
      </w:r>
      <w:r>
        <w:br/>
      </w:r>
      <w:r>
        <w:br/>
      </w:r>
      <w:r>
        <w:br/>
      </w:r>
    </w:p>
    <w:p>
      <w:pPr>
        <w:pStyle w:val="null3"/>
        <w:jc w:val="center"/>
        <w:outlineLvl w:val="2"/>
      </w:pPr>
      <w:r>
        <w:rPr>
          <w:rFonts w:ascii="仿宋_GB2312" w:hAnsi="仿宋_GB2312" w:cs="仿宋_GB2312" w:eastAsia="仿宋_GB2312"/>
          <w:sz w:val="28"/>
          <w:b/>
        </w:rPr>
        <w:t>商洛市市政园林管理处</w:t>
      </w:r>
    </w:p>
    <w:p>
      <w:pPr>
        <w:pStyle w:val="null3"/>
        <w:jc w:val="center"/>
        <w:outlineLvl w:val="2"/>
      </w:pPr>
      <w:r>
        <w:rPr>
          <w:rFonts w:ascii="仿宋_GB2312" w:hAnsi="仿宋_GB2312" w:cs="仿宋_GB2312" w:eastAsia="仿宋_GB2312"/>
          <w:sz w:val="28"/>
          <w:b/>
        </w:rPr>
        <w:t>陕西力源工程咨询管理有限公司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陕西力源工程咨询管理有限公司</w:t>
      </w:r>
      <w:r>
        <w:rPr>
          <w:rFonts w:ascii="仿宋_GB2312" w:hAnsi="仿宋_GB2312" w:cs="仿宋_GB2312" w:eastAsia="仿宋_GB2312"/>
        </w:rPr>
        <w:t>（以下简称“代理机构”）受</w:t>
      </w:r>
      <w:r>
        <w:rPr>
          <w:rFonts w:ascii="仿宋_GB2312" w:hAnsi="仿宋_GB2312" w:cs="仿宋_GB2312" w:eastAsia="仿宋_GB2312"/>
        </w:rPr>
        <w:t>商洛市市政园林管理处</w:t>
      </w:r>
      <w:r>
        <w:rPr>
          <w:rFonts w:ascii="仿宋_GB2312" w:hAnsi="仿宋_GB2312" w:cs="仿宋_GB2312" w:eastAsia="仿宋_GB2312"/>
        </w:rPr>
        <w:t>委托，拟对</w:t>
      </w:r>
      <w:r>
        <w:rPr>
          <w:rFonts w:ascii="仿宋_GB2312" w:hAnsi="仿宋_GB2312" w:cs="仿宋_GB2312" w:eastAsia="仿宋_GB2312"/>
        </w:rPr>
        <w:t>商洛市中心城区2026年街景亮化</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SXLYCG(2026)第006号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商洛市中心城区2026年街景亮化</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主要对西商二线等4条街路进行街景亮化；对莲湖公园、望江楼广场等两处公园广场进行装饰亮化。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采购包1（商洛市中心城区2026年街景亮化项目（包1））：属于专门面向小微企业采购。</w:t>
      </w:r>
    </w:p>
    <w:p>
      <w:pPr>
        <w:pStyle w:val="null3"/>
      </w:pPr>
      <w:r>
        <w:rPr>
          <w:rFonts w:ascii="仿宋_GB2312" w:hAnsi="仿宋_GB2312" w:cs="仿宋_GB2312" w:eastAsia="仿宋_GB2312"/>
        </w:rPr>
        <w:t>采购包2（商洛市中心城区2026年街景亮化项目（包2））：属于专门面向null采购。</w:t>
      </w:r>
    </w:p>
    <w:p>
      <w:pPr>
        <w:pStyle w:val="null3"/>
      </w:pPr>
      <w:r>
        <w:rPr>
          <w:rFonts w:ascii="仿宋_GB2312" w:hAnsi="仿宋_GB2312" w:cs="仿宋_GB2312" w:eastAsia="仿宋_GB2312"/>
        </w:rPr>
        <w:t>采购包3（商洛市中心城区2026年街景亮化项目（包3））：属于专门面向null采购。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商洛市市政园林管理处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09142312356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陕西力源工程咨询管理有限公司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商洛市移动路芙蓉大厦三楼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0914-2181009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采购包1：294,255.00元</w:t>
            </w:r>
          </w:p>
          <w:p>
            <w:pPr>
              <w:pStyle w:val="null3"/>
            </w:pPr>
            <w:r>
              <w:rPr>
                <w:rFonts w:ascii="仿宋_GB2312" w:hAnsi="仿宋_GB2312" w:cs="仿宋_GB2312" w:eastAsia="仿宋_GB2312"/>
              </w:rPr>
              <w:t>采购包2：498,591.00元</w:t>
            </w:r>
          </w:p>
          <w:p>
            <w:pPr>
              <w:pStyle w:val="null3"/>
            </w:pPr>
            <w:r>
              <w:rPr>
                <w:rFonts w:ascii="仿宋_GB2312" w:hAnsi="仿宋_GB2312" w:cs="仿宋_GB2312" w:eastAsia="仿宋_GB2312"/>
              </w:rPr>
              <w:t>采购包3：296,000.00元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属于</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属于</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属于</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代理服务费收费标准：中标价的1.5%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商洛市市政园林管理处</w:t>
      </w:r>
      <w:r>
        <w:rPr>
          <w:rFonts w:ascii="仿宋_GB2312" w:hAnsi="仿宋_GB2312" w:cs="仿宋_GB2312" w:eastAsia="仿宋_GB2312"/>
        </w:rPr>
        <w:t>和</w:t>
      </w:r>
      <w:r>
        <w:rPr>
          <w:rFonts w:ascii="仿宋_GB2312" w:hAnsi="仿宋_GB2312" w:cs="仿宋_GB2312" w:eastAsia="仿宋_GB2312"/>
        </w:rPr>
        <w:t>陕西力源工程咨询管理有限公司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商洛市市政园林管理处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陕西力源工程咨询管理有限公司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商洛市市政园林管理处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陕西力源工程咨询管理有限公司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国家相关标准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国家相关标准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陕西力源工程咨询管理有限公司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陕西力源工程咨询管理有限公司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陕西力源工程咨询管理有限公司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联系电话：17709140799</w:t>
      </w:r>
    </w:p>
    <w:p>
      <w:pPr>
        <w:pStyle w:val="null3"/>
      </w:pPr>
      <w:r>
        <w:rPr>
          <w:rFonts w:ascii="仿宋_GB2312" w:hAnsi="仿宋_GB2312" w:cs="仿宋_GB2312" w:eastAsia="仿宋_GB2312"/>
        </w:rPr>
        <w:t>地址：商洛市商州区人民路8号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294,255.00</w:t>
      </w:r>
    </w:p>
    <w:p>
      <w:pPr>
        <w:pStyle w:val="null3"/>
      </w:pPr>
      <w:r>
        <w:rPr>
          <w:rFonts w:ascii="仿宋_GB2312" w:hAnsi="仿宋_GB2312" w:cs="仿宋_GB2312" w:eastAsia="仿宋_GB2312"/>
        </w:rPr>
        <w:t>采购包最高限价（元）: 294,255.00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商洛市中心城区2026年街景亮化项目一标段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294,255.00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498,591.00</w:t>
      </w:r>
    </w:p>
    <w:p>
      <w:pPr>
        <w:pStyle w:val="null3"/>
      </w:pPr>
      <w:r>
        <w:rPr>
          <w:rFonts w:ascii="仿宋_GB2312" w:hAnsi="仿宋_GB2312" w:cs="仿宋_GB2312" w:eastAsia="仿宋_GB2312"/>
        </w:rPr>
        <w:t>采购包最高限价（元）: 498,591.00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商洛市中心城区2026年街景亮化项目二标段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498,591.00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296,000.00</w:t>
      </w:r>
    </w:p>
    <w:p>
      <w:pPr>
        <w:pStyle w:val="null3"/>
      </w:pPr>
      <w:r>
        <w:rPr>
          <w:rFonts w:ascii="仿宋_GB2312" w:hAnsi="仿宋_GB2312" w:cs="仿宋_GB2312" w:eastAsia="仿宋_GB2312"/>
        </w:rPr>
        <w:t>采购包最高限价（元）: 296,000.00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商洛市中心城区2026年街景亮化项目三标段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标的名称：商洛市中心城区2026年街景亮化项目一标段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八角灯笼50cm*20cm、大福袋40cm、大鞭炮50cm*20cm等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标的名称：商洛市中心城区2026年街景亮化项目二标段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高杆灯灯笼组件，灯架挂件为工字形（材质30*30*2.5mm镀锌钢管焊接），左右各串挂直径800mm绸面红色布艺灯笼，竖向灯笼间用扁铁铆接，灯笼光源为30WLed灯，组件与高杆灯之间用抱箍、扁铁、扎带、螺丝等进行连接加固，每组使用独立空气开关控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标的名称：商洛市中心城区2026年街景亮化项目三标段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莲湖公园南门广场迎春工艺造型花灯摆件，长10m，高3.2m；主体钢架结构、丝骨架造型，内透LED光源，绸缎分色裱糊，局部喷布处理，美工效果处理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望江楼广场迎春工艺造型花灯摆件，长35m,高3.8m；主体玻璃钢结构，吸塑浮雕工艺造型，内置LED光源，美工效果处理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2022-2024年的财务报告，（成立时间至提交投标文件截止时间不足一年的可提供成立后任意时段的资产负债表），或其开标前半年内基本存款账户开户银行出具的资信证明及基本存款账户开户许可证或开户行出具的基本账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2022-2024年的财务报告，（成立时间至提交投标文件截止时间不足一年的可提供成立后任意时段的资产负债表），或其开标前半年内基本存款账户开户银行出具的资信证明及基本存款账户开户许可证或开户行出具的基本账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2022-2024年的财务报告，（成立时间至提交投标文件截止时间不足一年的可提供成立后任意时段的资产负债表），或其开标前半年内基本存款账户开户银行出具的资信证明及基本存款账户开户许可证或开户行出具的基本账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投标产品技术参数、性能及功能全部满足招标文件要求得18分；若技术指标有负偏离，但不影响实质性响应的，每处扣3分，扣完为止。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根据投标人提供的技术方案、效果图等，从人性化设计能力、技术力量、设备先进程度、新材料选用程度等横向对比，视优劣分0-7、8-12、13-15分三档给分。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方案措施</w:t>
            </w:r>
          </w:p>
        </w:tc>
        <w:tc>
          <w:tcPr>
            <w:tcW w:type="dxa" w:w="2492"/>
          </w:tcPr>
          <w:p>
            <w:pPr>
              <w:pStyle w:val="null3"/>
            </w:pPr>
            <w:r>
              <w:rPr>
                <w:rFonts w:ascii="仿宋_GB2312" w:hAnsi="仿宋_GB2312" w:cs="仿宋_GB2312" w:eastAsia="仿宋_GB2312"/>
              </w:rPr>
              <w:t>根据投标人提供的供货方案、安装现场安全文明措施、质量保证措施叙述详尽合理程度，进行综合对比评定，视优劣分0-5、6-9、10-15分三档给分。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投标人或生产厂家的ISO9001质量管理体系认证证书、ISO14001环境管理体系证书、OHSAS18001职业健康安全管理体系证书，三项齐全得3分，缺一不得分；提供投标人或生产厂家的售后服务认证证书及AAA信用等级证书，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根据提供完善合理的售后服务计划（包括内容、形式、快速响应程度、解决问题效率、维保名称地点技术人员情况、质保期内外维保承诺等），从详细、具体、可行程度，视优劣分0-4、5-10、11-15分三档给分。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本地化</w:t>
            </w:r>
          </w:p>
        </w:tc>
        <w:tc>
          <w:tcPr>
            <w:tcW w:type="dxa" w:w="2492"/>
          </w:tcPr>
          <w:p>
            <w:pPr>
              <w:pStyle w:val="null3"/>
            </w:pPr>
            <w:r>
              <w:rPr>
                <w:rFonts w:ascii="仿宋_GB2312" w:hAnsi="仿宋_GB2312" w:cs="仿宋_GB2312" w:eastAsia="仿宋_GB2312"/>
              </w:rPr>
              <w:t>供应商能在项目使用地设立技术支持常设机构，如遇紧急情况，保证在1小时内到现场紧急维护的，得2分。（需提供售后服务协议或营业执照）</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1、当有效投标报价≥7家时，评标基准价为：去掉一个最高和一个最低报价后的其他报价的算术平均值；当有效投标报价＜7家时，评标基准价为：所有有效投标报价的算术平均值； 2、投标报价与评标基准价相比，相等得基本分25分；高于基准价的，每高1%在25分基础上扣1分，最多扣5分；低于基准价的，每低1%在25分基础上加1分，最多加5分得满分30分；当投标报价低于评标基准价5%以上的，每再低1%在满分30分基础上扣2分，扣完为止。 3、符合政府采购优惠政策的，按照标准给予扣除后参与评分。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投标产品技术参数、性能及功能全部满足招标文件要求得18分；若技术指标有负偏离，但不影响实质性响应的，每处扣3分，扣完为止。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根据投标人提供的技术方案、效果图等，从人性化设计能力、技术力量、设备先进程度、新材料选用程度等横向对比，视优劣分0-7、8-12、13-15分三档给分。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方案措施</w:t>
            </w:r>
          </w:p>
        </w:tc>
        <w:tc>
          <w:tcPr>
            <w:tcW w:type="dxa" w:w="2492"/>
          </w:tcPr>
          <w:p>
            <w:pPr>
              <w:pStyle w:val="null3"/>
            </w:pPr>
            <w:r>
              <w:rPr>
                <w:rFonts w:ascii="仿宋_GB2312" w:hAnsi="仿宋_GB2312" w:cs="仿宋_GB2312" w:eastAsia="仿宋_GB2312"/>
              </w:rPr>
              <w:t>根据投标人提供的供货方案、安装现场安全文明措施、质量保证措施叙述详尽合理程度，进行综合对比评定，视优劣分0-5、6-9、10-15分三档给分。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投标人或生产厂家的ISO9001质量管理体系认证证书、ISO14001环境管理体系证书、OHSAS18001职业健康安全管理体系证书，三项齐全得3分，缺一不得分；提供投标人或生产厂家的售后服务认证证书及AAA信用等级证书，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根据提供完善合理的售后服务计划（包括内容、形式、快速响应程度、解决问题效率、维保名称地点技术人员情况、质保期内外维保承诺等），从详细、具体、可行程度，视优劣分0-4、5-10、11-15分三档给分。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本地化</w:t>
            </w:r>
          </w:p>
        </w:tc>
        <w:tc>
          <w:tcPr>
            <w:tcW w:type="dxa" w:w="2492"/>
          </w:tcPr>
          <w:p>
            <w:pPr>
              <w:pStyle w:val="null3"/>
            </w:pPr>
            <w:r>
              <w:rPr>
                <w:rFonts w:ascii="仿宋_GB2312" w:hAnsi="仿宋_GB2312" w:cs="仿宋_GB2312" w:eastAsia="仿宋_GB2312"/>
              </w:rPr>
              <w:t>供应商能在项目使用地设立技术支持常设机构，如遇紧急情况，保证在1小时内到现场紧急维护的，得2分。（需提供售后服务协议或营业执照）</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1、当有效投标报价≥7家时，评标基准价为：去掉一个最高和一个最低报价后的其他报价的算术平均值；当有效投标报价＜7家时，评标基准价为：所有有效投标报价的算术平均值； 2、投标报价与评标基准价相比，相等得基本分25分；高于基准价的，每高1%在25分基础上扣1分，最多扣5分；低于基准价的，每低1%在25分基础上加1分，最多加5分得满分30分；当投标报价低于评标基准价5%以上的，每再低1%在满分30分基础上扣2分，扣完为止。 3、符合政府采购优惠政策的，按照标准给予扣除后参与评分。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投标产品技术参数、性能及功能全部满足招标文件要求得18分；若技术指标有负偏离，但不影响实质性响应的，每处扣3分，扣完为止。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根据投标人提供的技术方案、效果图等，从人性化设计能力、技术力量、设备先进程度、新材料选用程度等横向对比，视优劣分0-7、8-12、13-15分三档给分。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方案措施</w:t>
            </w:r>
          </w:p>
        </w:tc>
        <w:tc>
          <w:tcPr>
            <w:tcW w:type="dxa" w:w="2492"/>
          </w:tcPr>
          <w:p>
            <w:pPr>
              <w:pStyle w:val="null3"/>
            </w:pPr>
            <w:r>
              <w:rPr>
                <w:rFonts w:ascii="仿宋_GB2312" w:hAnsi="仿宋_GB2312" w:cs="仿宋_GB2312" w:eastAsia="仿宋_GB2312"/>
              </w:rPr>
              <w:t>根据投标人提供的供货方案、安装现场安全文明措施、质量保证措施叙述详尽合理程度，进行综合对比评定，视优劣分0-5、6-9、10-15分三档给分。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投标人或生产厂家的ISO9001质量管理体系认证证书、ISO14001环境管理体系证书、OHSAS18001职业健康安全管理体系证书，三项齐全得3分，缺一不得分；提供投标人或生产厂家的售后服务认证证书及AAA信用等级证书，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根据提供完善合理的售后服务计划（包括内容、形式、快速响应程度、解决问题效率、维保名称地点技术人员情况、质保期内外维保承诺等），从详细、具体、可行程度，视优劣分0-4、5-10、11-15分三档给分。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本地化</w:t>
            </w:r>
          </w:p>
        </w:tc>
        <w:tc>
          <w:tcPr>
            <w:tcW w:type="dxa" w:w="2492"/>
          </w:tcPr>
          <w:p>
            <w:pPr>
              <w:pStyle w:val="null3"/>
            </w:pPr>
            <w:r>
              <w:rPr>
                <w:rFonts w:ascii="仿宋_GB2312" w:hAnsi="仿宋_GB2312" w:cs="仿宋_GB2312" w:eastAsia="仿宋_GB2312"/>
              </w:rPr>
              <w:t>供应商能在项目使用地设立技术支持常设机构，如遇紧急情况，保证在1小时内到现场紧急维护的，得2分。（需提供售后服务协议或营业执照）</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1、当有效投标报价≥7家时，评标基准价为：去掉一个最高和一个最低报价后的其他报价的算术平均值；当有效投标报价＜7家时，评标基准价为：所有有效投标报价的算术平均值； 2、投标报价与评标基准价相比，相等得基本分25分；高于基准价的，每高1%在25分基础上扣1分，最多扣5分；低于基准价的，每低1%在25分基础上加1分，最多加5分得满分30分；当投标报价低于评标基准价5%以上的，每再低1%在满分30分基础上扣2分，扣完为止。 3、符合政府采购优惠政策的，按照标准给予扣除后参与评分。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