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A6CFA92">
      <w:pPr>
        <w:jc w:val="left"/>
        <w:rPr>
          <w:rFonts w:hint="eastAsia" w:asciiTheme="minorEastAsia" w:hAnsiTheme="minorEastAsia" w:eastAsiaTheme="minorEastAsia" w:cstheme="minorEastAsia"/>
          <w:b/>
          <w:bCs/>
          <w:sz w:val="32"/>
          <w:szCs w:val="32"/>
          <w:highlight w:val="none"/>
          <w:lang w:eastAsia="zh-CN"/>
        </w:rPr>
      </w:pPr>
      <w:r>
        <w:rPr>
          <w:rFonts w:hint="eastAsia" w:asciiTheme="minorEastAsia" w:hAnsiTheme="minorEastAsia" w:eastAsiaTheme="minorEastAsia" w:cstheme="minorEastAsia"/>
          <w:b/>
          <w:bCs/>
          <w:sz w:val="32"/>
          <w:szCs w:val="32"/>
          <w:highlight w:val="none"/>
        </w:rPr>
        <w:t>项目编号：</w:t>
      </w:r>
      <w:r>
        <w:rPr>
          <w:rFonts w:hint="eastAsia" w:asciiTheme="minorEastAsia" w:hAnsiTheme="minorEastAsia" w:eastAsiaTheme="minorEastAsia" w:cstheme="minorEastAsia"/>
          <w:b/>
          <w:bCs/>
          <w:sz w:val="32"/>
          <w:szCs w:val="32"/>
          <w:highlight w:val="none"/>
          <w:lang w:eastAsia="zh-CN"/>
        </w:rPr>
        <w:t>SXZCZB2024-ZCGK-1211</w:t>
      </w:r>
    </w:p>
    <w:p w14:paraId="560ED270">
      <w:pPr>
        <w:jc w:val="center"/>
        <w:rPr>
          <w:rFonts w:asciiTheme="minorEastAsia" w:hAnsiTheme="minorEastAsia" w:eastAsiaTheme="minorEastAsia" w:cstheme="minorEastAsia"/>
          <w:b/>
          <w:sz w:val="36"/>
          <w:highlight w:val="none"/>
        </w:rPr>
      </w:pPr>
      <w:r>
        <w:rPr>
          <w:rFonts w:hint="eastAsia" w:asciiTheme="minorEastAsia" w:hAnsiTheme="minorEastAsia" w:eastAsiaTheme="minorEastAsia" w:cstheme="minorEastAsia"/>
          <w:b/>
          <w:sz w:val="36"/>
          <w:highlight w:val="none"/>
        </w:rPr>
        <w:t xml:space="preserve"> </w:t>
      </w:r>
    </w:p>
    <w:p w14:paraId="04C57823">
      <w:pPr>
        <w:jc w:val="center"/>
        <w:rPr>
          <w:rFonts w:asciiTheme="minorEastAsia" w:hAnsiTheme="minorEastAsia" w:eastAsiaTheme="minorEastAsia" w:cstheme="minorEastAsia"/>
          <w:b/>
          <w:sz w:val="36"/>
          <w:highlight w:val="none"/>
        </w:rPr>
      </w:pPr>
    </w:p>
    <w:p w14:paraId="212E830B">
      <w:pPr>
        <w:jc w:val="center"/>
        <w:rPr>
          <w:rFonts w:asciiTheme="minorEastAsia" w:hAnsiTheme="minorEastAsia" w:eastAsiaTheme="minorEastAsia" w:cstheme="minorEastAsia"/>
          <w:b/>
          <w:sz w:val="36"/>
          <w:highlight w:val="none"/>
        </w:rPr>
      </w:pPr>
    </w:p>
    <w:p w14:paraId="007F87F2">
      <w:pPr>
        <w:jc w:val="center"/>
        <w:rPr>
          <w:rFonts w:asciiTheme="minorEastAsia" w:hAnsiTheme="minorEastAsia" w:eastAsiaTheme="minorEastAsia" w:cstheme="minorEastAsia"/>
          <w:b/>
          <w:sz w:val="48"/>
          <w:szCs w:val="48"/>
          <w:highlight w:val="none"/>
        </w:rPr>
      </w:pPr>
    </w:p>
    <w:p w14:paraId="22ECF32D">
      <w:pPr>
        <w:jc w:val="center"/>
        <w:rPr>
          <w:rFonts w:hint="eastAsia" w:asciiTheme="minorEastAsia" w:hAnsiTheme="minorEastAsia" w:eastAsiaTheme="minorEastAsia" w:cstheme="minorEastAsia"/>
          <w:b/>
          <w:sz w:val="22"/>
          <w:highlight w:val="none"/>
          <w:lang w:eastAsia="zh-CN"/>
        </w:rPr>
      </w:pPr>
      <w:r>
        <w:rPr>
          <w:rFonts w:hint="eastAsia" w:asciiTheme="minorEastAsia" w:hAnsiTheme="minorEastAsia" w:eastAsiaTheme="minorEastAsia" w:cstheme="minorEastAsia"/>
          <w:b/>
          <w:sz w:val="44"/>
          <w:szCs w:val="44"/>
          <w:highlight w:val="none"/>
          <w:lang w:eastAsia="zh-CN"/>
        </w:rPr>
        <w:t>商洛市秦岭中段(南麓)水源涵养与生物多样性保护恢复项目2024年山阳县退化林修复</w:t>
      </w:r>
    </w:p>
    <w:p w14:paraId="418D6CBF">
      <w:pPr>
        <w:jc w:val="center"/>
        <w:rPr>
          <w:rFonts w:asciiTheme="minorEastAsia" w:hAnsiTheme="minorEastAsia" w:eastAsiaTheme="minorEastAsia" w:cstheme="minorEastAsia"/>
          <w:b/>
          <w:sz w:val="40"/>
          <w:szCs w:val="40"/>
          <w:highlight w:val="none"/>
        </w:rPr>
      </w:pPr>
    </w:p>
    <w:p w14:paraId="08F21F67">
      <w:pPr>
        <w:jc w:val="center"/>
        <w:rPr>
          <w:rFonts w:asciiTheme="minorEastAsia" w:hAnsiTheme="minorEastAsia" w:eastAsiaTheme="minorEastAsia" w:cstheme="minorEastAsia"/>
          <w:b/>
          <w:sz w:val="36"/>
          <w:szCs w:val="36"/>
          <w:highlight w:val="none"/>
        </w:rPr>
      </w:pPr>
    </w:p>
    <w:p w14:paraId="58320765">
      <w:pPr>
        <w:pStyle w:val="26"/>
        <w:rPr>
          <w:highlight w:val="none"/>
        </w:rPr>
      </w:pPr>
    </w:p>
    <w:p w14:paraId="1BA99CB8">
      <w:pPr>
        <w:spacing w:line="780" w:lineRule="auto"/>
        <w:jc w:val="center"/>
        <w:rPr>
          <w:rFonts w:asciiTheme="minorEastAsia" w:hAnsiTheme="minorEastAsia" w:eastAsiaTheme="minorEastAsia" w:cstheme="minorEastAsia"/>
          <w:b/>
          <w:sz w:val="72"/>
          <w:szCs w:val="72"/>
          <w:highlight w:val="none"/>
        </w:rPr>
      </w:pPr>
      <w:r>
        <w:rPr>
          <w:rFonts w:hint="eastAsia" w:asciiTheme="minorEastAsia" w:hAnsiTheme="minorEastAsia" w:eastAsiaTheme="minorEastAsia" w:cstheme="minorEastAsia"/>
          <w:b/>
          <w:sz w:val="72"/>
          <w:szCs w:val="72"/>
          <w:highlight w:val="none"/>
        </w:rPr>
        <w:t>招标文件</w:t>
      </w:r>
    </w:p>
    <w:p w14:paraId="4DDD7910">
      <w:pPr>
        <w:rPr>
          <w:rFonts w:asciiTheme="minorEastAsia" w:hAnsiTheme="minorEastAsia" w:eastAsiaTheme="minorEastAsia" w:cstheme="minorEastAsia"/>
          <w:highlight w:val="none"/>
        </w:rPr>
      </w:pPr>
      <w:bookmarkStart w:id="0" w:name="_Toc363463325"/>
    </w:p>
    <w:p w14:paraId="63823398">
      <w:pPr>
        <w:rPr>
          <w:rFonts w:asciiTheme="minorEastAsia" w:hAnsiTheme="minorEastAsia" w:eastAsiaTheme="minorEastAsia" w:cstheme="minorEastAsia"/>
          <w:highlight w:val="none"/>
        </w:rPr>
      </w:pPr>
    </w:p>
    <w:bookmarkEnd w:id="0"/>
    <w:p w14:paraId="45EA7978">
      <w:pPr>
        <w:jc w:val="center"/>
        <w:rPr>
          <w:rFonts w:asciiTheme="minorEastAsia" w:hAnsiTheme="minorEastAsia" w:eastAsiaTheme="minorEastAsia" w:cstheme="minorEastAsia"/>
          <w:b/>
          <w:sz w:val="36"/>
          <w:szCs w:val="36"/>
          <w:highlight w:val="none"/>
        </w:rPr>
      </w:pPr>
    </w:p>
    <w:p w14:paraId="3E2D89EA">
      <w:pPr>
        <w:rPr>
          <w:rFonts w:asciiTheme="minorEastAsia" w:hAnsiTheme="minorEastAsia" w:eastAsiaTheme="minorEastAsia" w:cstheme="minorEastAsia"/>
          <w:sz w:val="36"/>
          <w:szCs w:val="36"/>
          <w:highlight w:val="none"/>
        </w:rPr>
      </w:pPr>
    </w:p>
    <w:p w14:paraId="1A9B1283">
      <w:pPr>
        <w:jc w:val="center"/>
        <w:rPr>
          <w:rFonts w:asciiTheme="minorEastAsia" w:hAnsiTheme="minorEastAsia" w:eastAsiaTheme="minorEastAsia" w:cstheme="minorEastAsia"/>
          <w:sz w:val="36"/>
          <w:szCs w:val="36"/>
          <w:highlight w:val="none"/>
        </w:rPr>
      </w:pPr>
    </w:p>
    <w:p w14:paraId="6F2E1CB4">
      <w:pPr>
        <w:jc w:val="center"/>
        <w:rPr>
          <w:rFonts w:asciiTheme="minorEastAsia" w:hAnsiTheme="minorEastAsia" w:eastAsiaTheme="minorEastAsia" w:cstheme="minorEastAsia"/>
          <w:sz w:val="36"/>
          <w:szCs w:val="36"/>
          <w:highlight w:val="none"/>
        </w:rPr>
      </w:pPr>
    </w:p>
    <w:p w14:paraId="15D0B8C2">
      <w:pPr>
        <w:rPr>
          <w:rFonts w:asciiTheme="minorEastAsia" w:hAnsiTheme="minorEastAsia" w:eastAsiaTheme="minorEastAsia" w:cstheme="minorEastAsia"/>
          <w:sz w:val="18"/>
          <w:szCs w:val="18"/>
          <w:highlight w:val="none"/>
        </w:rPr>
      </w:pPr>
    </w:p>
    <w:p w14:paraId="5AF4CDC4">
      <w:pPr>
        <w:rPr>
          <w:rFonts w:asciiTheme="minorEastAsia" w:hAnsiTheme="minorEastAsia" w:eastAsiaTheme="minorEastAsia" w:cstheme="minorEastAsia"/>
          <w:sz w:val="18"/>
          <w:szCs w:val="18"/>
          <w:highlight w:val="none"/>
        </w:rPr>
      </w:pPr>
    </w:p>
    <w:p w14:paraId="354FECB4">
      <w:pPr>
        <w:pStyle w:val="26"/>
        <w:ind w:firstLine="749"/>
        <w:rPr>
          <w:rFonts w:hint="eastAsia" w:asciiTheme="minorEastAsia" w:hAnsiTheme="minorEastAsia" w:eastAsiaTheme="minorEastAsia" w:cstheme="minorEastAsia"/>
          <w:b/>
          <w:bCs/>
          <w:sz w:val="32"/>
          <w:szCs w:val="32"/>
          <w:highlight w:val="none"/>
          <w:lang w:eastAsia="zh-CN"/>
        </w:rPr>
      </w:pPr>
      <w:r>
        <w:rPr>
          <w:rFonts w:hint="eastAsia" w:asciiTheme="minorEastAsia" w:hAnsiTheme="minorEastAsia" w:eastAsiaTheme="minorEastAsia" w:cstheme="minorEastAsia"/>
          <w:b/>
          <w:bCs/>
          <w:sz w:val="32"/>
          <w:szCs w:val="32"/>
          <w:highlight w:val="none"/>
        </w:rPr>
        <w:t>采 购 人：</w:t>
      </w:r>
      <w:r>
        <w:rPr>
          <w:rFonts w:hint="eastAsia" w:asciiTheme="minorEastAsia" w:hAnsiTheme="minorEastAsia" w:eastAsiaTheme="minorEastAsia" w:cstheme="minorEastAsia"/>
          <w:b/>
          <w:bCs/>
          <w:sz w:val="32"/>
          <w:szCs w:val="32"/>
          <w:highlight w:val="none"/>
          <w:lang w:eastAsia="zh-CN"/>
        </w:rPr>
        <w:t>山阳县城区森林公园管理站</w:t>
      </w:r>
    </w:p>
    <w:p w14:paraId="4A2ACB97">
      <w:pPr>
        <w:pStyle w:val="26"/>
        <w:ind w:firstLine="749"/>
        <w:rPr>
          <w:rFonts w:asciiTheme="minorEastAsia" w:hAnsiTheme="minorEastAsia" w:eastAsiaTheme="minorEastAsia" w:cstheme="minorEastAsia"/>
          <w:b/>
          <w:bCs/>
          <w:sz w:val="32"/>
          <w:szCs w:val="32"/>
          <w:highlight w:val="none"/>
        </w:rPr>
      </w:pPr>
      <w:r>
        <w:rPr>
          <w:rFonts w:hint="eastAsia" w:asciiTheme="minorEastAsia" w:hAnsiTheme="minorEastAsia" w:eastAsiaTheme="minorEastAsia" w:cstheme="minorEastAsia"/>
          <w:b/>
          <w:bCs/>
          <w:sz w:val="32"/>
          <w:szCs w:val="32"/>
          <w:highlight w:val="none"/>
        </w:rPr>
        <w:t>代理机构：陕西至诚项目管理集团有限公司</w:t>
      </w:r>
    </w:p>
    <w:p w14:paraId="2FDDA4C2">
      <w:pPr>
        <w:pStyle w:val="26"/>
        <w:ind w:firstLine="749"/>
        <w:rPr>
          <w:rFonts w:asciiTheme="minorEastAsia" w:hAnsiTheme="minorEastAsia" w:eastAsiaTheme="minorEastAsia" w:cstheme="minorEastAsia"/>
          <w:b/>
          <w:bCs/>
          <w:sz w:val="32"/>
          <w:szCs w:val="32"/>
          <w:highlight w:val="none"/>
        </w:rPr>
      </w:pPr>
      <w:r>
        <w:rPr>
          <w:rFonts w:hint="eastAsia" w:asciiTheme="minorEastAsia" w:hAnsiTheme="minorEastAsia" w:eastAsiaTheme="minorEastAsia" w:cstheme="minorEastAsia"/>
          <w:b/>
          <w:bCs/>
          <w:sz w:val="32"/>
          <w:szCs w:val="32"/>
          <w:highlight w:val="none"/>
        </w:rPr>
        <w:t>日    期：202</w:t>
      </w:r>
      <w:r>
        <w:rPr>
          <w:rFonts w:hint="eastAsia" w:asciiTheme="minorEastAsia" w:hAnsiTheme="minorEastAsia" w:eastAsiaTheme="minorEastAsia" w:cstheme="minorEastAsia"/>
          <w:b/>
          <w:bCs/>
          <w:sz w:val="32"/>
          <w:szCs w:val="32"/>
          <w:highlight w:val="none"/>
          <w:lang w:val="en-US" w:eastAsia="zh-CN"/>
        </w:rPr>
        <w:t>4</w:t>
      </w:r>
      <w:r>
        <w:rPr>
          <w:rFonts w:hint="eastAsia" w:asciiTheme="minorEastAsia" w:hAnsiTheme="minorEastAsia" w:eastAsiaTheme="minorEastAsia" w:cstheme="minorEastAsia"/>
          <w:b/>
          <w:bCs/>
          <w:sz w:val="32"/>
          <w:szCs w:val="32"/>
          <w:highlight w:val="none"/>
        </w:rPr>
        <w:t>年1</w:t>
      </w:r>
      <w:r>
        <w:rPr>
          <w:rFonts w:hint="eastAsia" w:asciiTheme="minorEastAsia" w:hAnsiTheme="minorEastAsia" w:eastAsiaTheme="minorEastAsia" w:cstheme="minorEastAsia"/>
          <w:b/>
          <w:bCs/>
          <w:sz w:val="32"/>
          <w:szCs w:val="32"/>
          <w:highlight w:val="none"/>
          <w:lang w:val="en-US" w:eastAsia="zh-CN"/>
        </w:rPr>
        <w:t>2</w:t>
      </w:r>
      <w:r>
        <w:rPr>
          <w:rFonts w:hint="eastAsia" w:asciiTheme="minorEastAsia" w:hAnsiTheme="minorEastAsia" w:eastAsiaTheme="minorEastAsia" w:cstheme="minorEastAsia"/>
          <w:b/>
          <w:bCs/>
          <w:sz w:val="32"/>
          <w:szCs w:val="32"/>
          <w:highlight w:val="none"/>
        </w:rPr>
        <w:t>月</w:t>
      </w:r>
    </w:p>
    <w:p w14:paraId="0D230695">
      <w:pPr>
        <w:pStyle w:val="26"/>
        <w:ind w:firstLine="749"/>
        <w:rPr>
          <w:rFonts w:asciiTheme="minorEastAsia" w:hAnsiTheme="minorEastAsia" w:eastAsiaTheme="minorEastAsia" w:cstheme="minorEastAsia"/>
          <w:b/>
          <w:bCs/>
          <w:sz w:val="32"/>
          <w:szCs w:val="32"/>
          <w:highlight w:val="none"/>
        </w:rPr>
      </w:pPr>
    </w:p>
    <w:p w14:paraId="3D02C685">
      <w:pPr>
        <w:pStyle w:val="26"/>
        <w:ind w:firstLine="749"/>
        <w:rPr>
          <w:rFonts w:asciiTheme="minorEastAsia" w:hAnsiTheme="minorEastAsia" w:eastAsiaTheme="minorEastAsia" w:cstheme="minorEastAsia"/>
          <w:b/>
          <w:bCs/>
          <w:sz w:val="32"/>
          <w:szCs w:val="32"/>
          <w:highlight w:val="none"/>
        </w:rPr>
        <w:sectPr>
          <w:headerReference r:id="rId5" w:type="first"/>
          <w:headerReference r:id="rId3" w:type="default"/>
          <w:footerReference r:id="rId6" w:type="default"/>
          <w:headerReference r:id="rId4" w:type="even"/>
          <w:footerReference r:id="rId7" w:type="even"/>
          <w:pgSz w:w="11906" w:h="16838"/>
          <w:pgMar w:top="1304" w:right="1361" w:bottom="1304" w:left="1361" w:header="851" w:footer="992" w:gutter="0"/>
          <w:pgNumType w:start="1"/>
          <w:cols w:space="720" w:num="1"/>
          <w:titlePg/>
          <w:docGrid w:type="lines" w:linePitch="312" w:charSpace="0"/>
        </w:sectPr>
      </w:pPr>
    </w:p>
    <w:p w14:paraId="44C16728">
      <w:pPr>
        <w:spacing w:line="480" w:lineRule="auto"/>
        <w:jc w:val="center"/>
        <w:rPr>
          <w:rFonts w:asciiTheme="minorEastAsia" w:hAnsiTheme="minorEastAsia" w:eastAsiaTheme="minorEastAsia" w:cstheme="minorEastAsia"/>
          <w:b/>
          <w:sz w:val="44"/>
          <w:szCs w:val="44"/>
          <w:highlight w:val="none"/>
        </w:rPr>
      </w:pPr>
      <w:r>
        <w:rPr>
          <w:rFonts w:hint="eastAsia" w:asciiTheme="minorEastAsia" w:hAnsiTheme="minorEastAsia" w:eastAsiaTheme="minorEastAsia" w:cstheme="minorEastAsia"/>
          <w:b/>
          <w:sz w:val="44"/>
          <w:szCs w:val="44"/>
          <w:highlight w:val="none"/>
        </w:rPr>
        <w:t>目   录</w:t>
      </w:r>
    </w:p>
    <w:p w14:paraId="5FE9E456">
      <w:pPr>
        <w:pStyle w:val="19"/>
        <w:tabs>
          <w:tab w:val="right" w:leader="dot" w:pos="9184"/>
        </w:tabs>
        <w:spacing w:line="480" w:lineRule="auto"/>
        <w:rPr>
          <w:rFonts w:ascii="宋体" w:hAnsi="宋体" w:cs="宋体"/>
          <w:sz w:val="24"/>
          <w:szCs w:val="24"/>
          <w:highlight w:val="none"/>
        </w:rPr>
      </w:pP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TOC \o "1-4" \h \u </w:instrText>
      </w:r>
      <w:r>
        <w:rPr>
          <w:rFonts w:hint="eastAsia" w:ascii="宋体" w:hAnsi="宋体" w:cs="宋体"/>
          <w:sz w:val="24"/>
          <w:szCs w:val="24"/>
          <w:highlight w:val="none"/>
        </w:rPr>
        <w:fldChar w:fldCharType="separate"/>
      </w:r>
      <w:r>
        <w:rPr>
          <w:highlight w:val="none"/>
        </w:rPr>
        <w:fldChar w:fldCharType="begin"/>
      </w:r>
      <w:r>
        <w:rPr>
          <w:highlight w:val="none"/>
        </w:rPr>
        <w:instrText xml:space="preserve"> HYPERLINK \l "_Toc31666" </w:instrText>
      </w:r>
      <w:r>
        <w:rPr>
          <w:highlight w:val="none"/>
        </w:rPr>
        <w:fldChar w:fldCharType="separate"/>
      </w:r>
      <w:r>
        <w:rPr>
          <w:rFonts w:hint="eastAsia" w:ascii="宋体" w:hAnsi="宋体" w:cs="宋体"/>
          <w:sz w:val="24"/>
          <w:szCs w:val="24"/>
          <w:highlight w:val="none"/>
        </w:rPr>
        <w:t>第一章  招标公告</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_Toc31666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2</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03BF0B54">
      <w:pPr>
        <w:pStyle w:val="19"/>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"_Toc31960" </w:instrText>
      </w:r>
      <w:r>
        <w:rPr>
          <w:highlight w:val="none"/>
        </w:rPr>
        <w:fldChar w:fldCharType="separate"/>
      </w:r>
      <w:r>
        <w:rPr>
          <w:rFonts w:hint="eastAsia" w:ascii="宋体" w:hAnsi="宋体" w:cs="宋体"/>
          <w:sz w:val="24"/>
          <w:szCs w:val="24"/>
          <w:highlight w:val="none"/>
        </w:rPr>
        <w:t>第二章  投标人须知</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_Toc31960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2</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2D310BE1">
      <w:pPr>
        <w:pStyle w:val="22"/>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"_Toc6196" </w:instrText>
      </w:r>
      <w:r>
        <w:rPr>
          <w:highlight w:val="none"/>
        </w:rPr>
        <w:fldChar w:fldCharType="separate"/>
      </w:r>
      <w:r>
        <w:rPr>
          <w:rFonts w:hint="eastAsia" w:ascii="宋体" w:hAnsi="宋体" w:cs="宋体"/>
          <w:bCs/>
          <w:sz w:val="24"/>
          <w:szCs w:val="24"/>
          <w:highlight w:val="none"/>
        </w:rPr>
        <w:t>投标人须知前附表</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_Toc6196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24</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77858445">
      <w:pPr>
        <w:pStyle w:val="19"/>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"_Toc21993" </w:instrText>
      </w:r>
      <w:r>
        <w:rPr>
          <w:highlight w:val="none"/>
        </w:rPr>
        <w:fldChar w:fldCharType="separate"/>
      </w:r>
      <w:r>
        <w:rPr>
          <w:rFonts w:hint="eastAsia" w:ascii="宋体" w:hAnsi="宋体" w:cs="宋体"/>
          <w:bCs/>
          <w:sz w:val="24"/>
          <w:szCs w:val="24"/>
          <w:highlight w:val="none"/>
        </w:rPr>
        <w:t>第三章  评审方法</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_Toc21993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40</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0E79C54D">
      <w:pPr>
        <w:pStyle w:val="19"/>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"_Toc26850" </w:instrText>
      </w:r>
      <w:r>
        <w:rPr>
          <w:highlight w:val="none"/>
        </w:rPr>
        <w:fldChar w:fldCharType="separate"/>
      </w:r>
      <w:r>
        <w:rPr>
          <w:rFonts w:hint="eastAsia" w:ascii="宋体" w:hAnsi="宋体" w:cs="宋体"/>
          <w:sz w:val="24"/>
          <w:szCs w:val="24"/>
          <w:highlight w:val="none"/>
        </w:rPr>
        <w:t xml:space="preserve">第四章  </w:t>
      </w:r>
      <w:r>
        <w:rPr>
          <w:rFonts w:hint="eastAsia" w:ascii="宋体" w:hAnsi="宋体" w:cs="宋体"/>
          <w:bCs/>
          <w:sz w:val="24"/>
          <w:szCs w:val="24"/>
          <w:highlight w:val="none"/>
        </w:rPr>
        <w:t>合同条款及格式</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_Toc26850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47</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66C36226">
      <w:pPr>
        <w:pStyle w:val="22"/>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"_Toc6496" </w:instrText>
      </w:r>
      <w:r>
        <w:rPr>
          <w:highlight w:val="none"/>
        </w:rPr>
        <w:fldChar w:fldCharType="separate"/>
      </w:r>
      <w:r>
        <w:rPr>
          <w:rFonts w:hint="eastAsia" w:ascii="宋体" w:hAnsi="宋体" w:cs="宋体"/>
          <w:sz w:val="24"/>
          <w:szCs w:val="24"/>
          <w:highlight w:val="none"/>
        </w:rPr>
        <w:t>合同条款及格式前附表</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_Toc6496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47</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4AF4355E">
      <w:pPr>
        <w:pStyle w:val="19"/>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"_Toc8858" </w:instrText>
      </w:r>
      <w:r>
        <w:rPr>
          <w:highlight w:val="none"/>
        </w:rPr>
        <w:fldChar w:fldCharType="separate"/>
      </w:r>
      <w:r>
        <w:rPr>
          <w:rFonts w:hint="eastAsia" w:ascii="宋体" w:hAnsi="宋体" w:cs="宋体"/>
          <w:sz w:val="24"/>
          <w:szCs w:val="24"/>
          <w:highlight w:val="none"/>
        </w:rPr>
        <w:t>第五章  项目概况及技术要求</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_Toc8858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62</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2BD6D68B">
      <w:pPr>
        <w:pStyle w:val="19"/>
        <w:tabs>
          <w:tab w:val="right" w:leader="dot" w:pos="9184"/>
        </w:tabs>
        <w:spacing w:line="480" w:lineRule="auto"/>
        <w:rPr>
          <w:rFonts w:ascii="宋体" w:hAnsi="宋体" w:cs="宋体"/>
          <w:sz w:val="24"/>
          <w:szCs w:val="24"/>
          <w:highlight w:val="none"/>
        </w:rPr>
      </w:pPr>
      <w:r>
        <w:rPr>
          <w:highlight w:val="none"/>
        </w:rPr>
        <w:fldChar w:fldCharType="begin"/>
      </w:r>
      <w:r>
        <w:rPr>
          <w:highlight w:val="none"/>
        </w:rPr>
        <w:instrText xml:space="preserve"> HYPERLINK \l "_Toc24769" </w:instrText>
      </w:r>
      <w:r>
        <w:rPr>
          <w:highlight w:val="none"/>
        </w:rPr>
        <w:fldChar w:fldCharType="separate"/>
      </w:r>
      <w:r>
        <w:rPr>
          <w:rFonts w:hint="eastAsia" w:ascii="宋体" w:hAnsi="宋体" w:cs="宋体"/>
          <w:bCs/>
          <w:sz w:val="24"/>
          <w:szCs w:val="24"/>
          <w:highlight w:val="none"/>
        </w:rPr>
        <w:t>第六章  投标文件构成及格式</w:t>
      </w:r>
      <w:r>
        <w:rPr>
          <w:rFonts w:hint="eastAsia" w:ascii="宋体" w:hAnsi="宋体" w:cs="宋体"/>
          <w:sz w:val="24"/>
          <w:szCs w:val="24"/>
          <w:highlight w:val="none"/>
        </w:rPr>
        <w:tab/>
      </w:r>
      <w:r>
        <w:rPr>
          <w:rFonts w:hint="eastAsia" w:ascii="宋体" w:hAnsi="宋体" w:cs="宋体"/>
          <w:sz w:val="24"/>
          <w:szCs w:val="24"/>
          <w:highlight w:val="none"/>
        </w:rPr>
        <w:fldChar w:fldCharType="begin"/>
      </w:r>
      <w:r>
        <w:rPr>
          <w:rFonts w:hint="eastAsia" w:ascii="宋体" w:hAnsi="宋体" w:cs="宋体"/>
          <w:sz w:val="24"/>
          <w:szCs w:val="24"/>
          <w:highlight w:val="none"/>
        </w:rPr>
        <w:instrText xml:space="preserve"> PAGEREF _Toc24769 \h </w:instrText>
      </w:r>
      <w:r>
        <w:rPr>
          <w:rFonts w:hint="eastAsia" w:ascii="宋体" w:hAnsi="宋体" w:cs="宋体"/>
          <w:sz w:val="24"/>
          <w:szCs w:val="24"/>
          <w:highlight w:val="none"/>
        </w:rPr>
        <w:fldChar w:fldCharType="separate"/>
      </w:r>
      <w:r>
        <w:rPr>
          <w:rFonts w:hint="eastAsia" w:ascii="宋体" w:hAnsi="宋体" w:cs="宋体"/>
          <w:sz w:val="24"/>
          <w:szCs w:val="24"/>
          <w:highlight w:val="none"/>
        </w:rPr>
        <w:t>122</w:t>
      </w:r>
      <w:r>
        <w:rPr>
          <w:rFonts w:hint="eastAsia" w:ascii="宋体" w:hAnsi="宋体" w:cs="宋体"/>
          <w:sz w:val="24"/>
          <w:szCs w:val="24"/>
          <w:highlight w:val="none"/>
        </w:rPr>
        <w:fldChar w:fldCharType="end"/>
      </w:r>
      <w:r>
        <w:rPr>
          <w:rFonts w:hint="eastAsia" w:ascii="宋体" w:hAnsi="宋体" w:cs="宋体"/>
          <w:sz w:val="24"/>
          <w:szCs w:val="24"/>
          <w:highlight w:val="none"/>
        </w:rPr>
        <w:fldChar w:fldCharType="end"/>
      </w:r>
    </w:p>
    <w:p w14:paraId="6BBBF188">
      <w:pPr>
        <w:spacing w:line="480" w:lineRule="auto"/>
        <w:rPr>
          <w:rFonts w:asciiTheme="minorEastAsia" w:hAnsiTheme="minorEastAsia" w:eastAsiaTheme="minorEastAsia" w:cstheme="minorEastAsia"/>
          <w:sz w:val="24"/>
          <w:szCs w:val="24"/>
          <w:highlight w:val="none"/>
        </w:rPr>
      </w:pPr>
      <w:r>
        <w:rPr>
          <w:rFonts w:hint="eastAsia" w:ascii="宋体" w:hAnsi="宋体" w:cs="宋体"/>
          <w:sz w:val="24"/>
          <w:szCs w:val="24"/>
          <w:highlight w:val="none"/>
        </w:rPr>
        <w:fldChar w:fldCharType="end"/>
      </w:r>
      <w:r>
        <w:rPr>
          <w:rFonts w:hint="eastAsia" w:asciiTheme="minorEastAsia" w:hAnsiTheme="minorEastAsia" w:eastAsiaTheme="minorEastAsia" w:cstheme="minorEastAsia"/>
          <w:sz w:val="24"/>
          <w:szCs w:val="24"/>
          <w:highlight w:val="none"/>
        </w:rPr>
        <w:br w:type="page"/>
      </w:r>
    </w:p>
    <w:p w14:paraId="677C32D4">
      <w:pPr>
        <w:pStyle w:val="4"/>
        <w:jc w:val="center"/>
        <w:rPr>
          <w:rFonts w:asciiTheme="minorEastAsia" w:hAnsiTheme="minorEastAsia" w:eastAsiaTheme="minorEastAsia" w:cstheme="minorEastAsia"/>
          <w:highlight w:val="none"/>
        </w:rPr>
      </w:pPr>
      <w:bookmarkStart w:id="1" w:name="_Toc31666"/>
      <w:bookmarkStart w:id="2" w:name="_Toc14968"/>
      <w:r>
        <w:rPr>
          <w:rFonts w:hint="eastAsia" w:asciiTheme="minorEastAsia" w:hAnsiTheme="minorEastAsia" w:eastAsiaTheme="minorEastAsia" w:cstheme="minorEastAsia"/>
          <w:highlight w:val="none"/>
        </w:rPr>
        <w:t>第一章  招标公告</w:t>
      </w:r>
      <w:bookmarkEnd w:id="1"/>
      <w:bookmarkEnd w:id="2"/>
    </w:p>
    <w:p w14:paraId="0F134C66">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30" w:lineRule="atLeast"/>
        <w:ind w:left="0" w:right="0"/>
        <w:jc w:val="left"/>
        <w:textAlignment w:val="baseline"/>
        <w:rPr>
          <w:rFonts w:hint="eastAsia" w:ascii="宋体" w:hAnsi="宋体" w:eastAsia="宋体" w:cs="宋体"/>
          <w:b w:val="0"/>
          <w:bCs w:val="0"/>
          <w:sz w:val="24"/>
          <w:szCs w:val="24"/>
          <w:highlight w:val="none"/>
        </w:rPr>
      </w:pPr>
      <w:bookmarkStart w:id="3" w:name="_Toc31960"/>
      <w:bookmarkStart w:id="4" w:name="_Toc421778363"/>
      <w:bookmarkStart w:id="5" w:name="_Toc18593"/>
      <w:r>
        <w:rPr>
          <w:rStyle w:val="30"/>
          <w:rFonts w:hint="eastAsia" w:ascii="宋体" w:hAnsi="宋体" w:eastAsia="宋体" w:cs="宋体"/>
          <w:b/>
          <w:bCs/>
          <w:i w:val="0"/>
          <w:iCs w:val="0"/>
          <w:caps w:val="0"/>
          <w:color w:val="333333"/>
          <w:spacing w:val="0"/>
          <w:sz w:val="24"/>
          <w:szCs w:val="24"/>
          <w:highlight w:val="none"/>
          <w:shd w:val="clear" w:fill="FFFFFF"/>
          <w:vertAlign w:val="baseline"/>
        </w:rPr>
        <w:t>项目概况</w:t>
      </w:r>
    </w:p>
    <w:p w14:paraId="4BA940C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150" w:beforeAutospacing="0" w:after="15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商洛市秦岭中段(南麓)水源涵养与生物多样性保护恢复项目2024年山阳县退化林修复招标项目的潜在投标人应在陕西省西安市经济技术开发区未央路171-1号银池道拉斯财富中心21楼获取招标文件，并于 2024年12月23日 09时00分 （北京时间）前递交投标文件。</w:t>
      </w:r>
    </w:p>
    <w:p w14:paraId="0B635B12">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一、项目基本情况</w:t>
      </w:r>
    </w:p>
    <w:p w14:paraId="60E21B5C">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项目编号：SXZCZB2024-ZCGK-1211</w:t>
      </w:r>
    </w:p>
    <w:p w14:paraId="19E125C1">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项目名称：商洛市秦岭中段(南麓)水源涵养与生物多样性保护恢复项目2024年山阳县退化林修复</w:t>
      </w:r>
    </w:p>
    <w:p w14:paraId="5E729F38">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采购方式：公开招标</w:t>
      </w:r>
    </w:p>
    <w:p w14:paraId="57536329">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预算金额：26,818,000.00元</w:t>
      </w:r>
    </w:p>
    <w:p w14:paraId="66B6FD01">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采购需求：</w:t>
      </w:r>
    </w:p>
    <w:p w14:paraId="7AD11B7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合同包1(1标段：三宫殿村1-5 小班):</w:t>
      </w:r>
    </w:p>
    <w:p w14:paraId="2DD592C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合同包预算金额：599,706.00元</w:t>
      </w:r>
    </w:p>
    <w:p w14:paraId="3F369D0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合同包最高限价：599,706.00元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3C4DA0B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78B79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79AF7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BE5C9C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BE00D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0BC10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D0BD65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506971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6D3F04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A3D45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7852F1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55B01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1标段：三宫殿村1-5小班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D4F06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DD65ED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9417F00">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599,706.00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91FC9A0">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599,706.00</w:t>
            </w:r>
          </w:p>
        </w:tc>
      </w:tr>
    </w:tbl>
    <w:p w14:paraId="6B4EC70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2A95311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15BE8BC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合同包2(2标段：三宫殿村6-12小班):</w:t>
      </w:r>
    </w:p>
    <w:p w14:paraId="4195243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合同包预算金额：574,924.00元</w:t>
      </w:r>
    </w:p>
    <w:p w14:paraId="7081C91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合同包最高限价：574,924.00元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22A21AA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D3D133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C11A0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E335D8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CF0495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F5903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601AD9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54A50F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7E4733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DDEBB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4E248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E7B202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2标段：三宫殿村6-12小班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505AA1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389C16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E2288C">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574,924.00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7AF768">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574,924.00</w:t>
            </w:r>
          </w:p>
        </w:tc>
      </w:tr>
    </w:tbl>
    <w:p w14:paraId="39494C5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2185506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6B19BBE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合同包3(3标段：柳山坡村1-4小班):</w:t>
      </w:r>
    </w:p>
    <w:p w14:paraId="2372F58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合同包预算金额：487,770.00元</w:t>
      </w:r>
    </w:p>
    <w:p w14:paraId="70B3954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合同包最高限价：487,770.00元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25ABE52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AD5849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ACAED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302D5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7CB25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C93FD1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B0B4AF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C9D001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3EF1623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56C35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64C947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AC6A63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3标段：柳山坡村1-4小班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3EAA6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F1FD9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6574DC5">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487,770.00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8DCD5F3">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487,770.00</w:t>
            </w:r>
          </w:p>
        </w:tc>
      </w:tr>
    </w:tbl>
    <w:p w14:paraId="0900A52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258828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56D7651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合同包4(4标段：柳山坡村5-12小班):</w:t>
      </w:r>
    </w:p>
    <w:p w14:paraId="19C7322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合同包预算金额：605,558.00元</w:t>
      </w:r>
    </w:p>
    <w:p w14:paraId="41369D7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合同包最高限价：605,558.00元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5DF8FE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88EE3C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E3439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AD16C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1A205E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3B30B4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B8D39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1178F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4AB63C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5EA4D1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4-1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01C4F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5A0C7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4标段：柳山坡村5-12小班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E2883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92167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60A5B5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605,558.00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D6EBC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605,558.00</w:t>
            </w:r>
          </w:p>
        </w:tc>
      </w:tr>
    </w:tbl>
    <w:p w14:paraId="2509057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49C8AFD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655B0D0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合同包5(5标段：柳山坡村13-21小班):</w:t>
      </w:r>
    </w:p>
    <w:p w14:paraId="4C3CCBA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合同包预算金额：496,350.00元</w:t>
      </w:r>
    </w:p>
    <w:p w14:paraId="59DEEFC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合同包最高限价：496,350.00元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7FE82B1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F31D7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DDA72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3FC63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16031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5A4359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7FCDD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81C19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692AB12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591D9D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5-1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08D80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599766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5标段：柳山坡村13-21小班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DDBA4B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BA9F1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1DED5D">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496,350.00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57F69B">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496,350.00</w:t>
            </w:r>
          </w:p>
        </w:tc>
      </w:tr>
    </w:tbl>
    <w:p w14:paraId="0BFB87A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15CD64D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5C62618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合同包6(6标段：柳山坡村22-29小班):</w:t>
      </w:r>
    </w:p>
    <w:p w14:paraId="2E16AC2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合同包预算金额：580,100.00元</w:t>
      </w:r>
    </w:p>
    <w:p w14:paraId="3C8DA0A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合同包最高限价：580,100.00元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2B519D8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7F4EE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E179F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C6454C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1E38F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DBCD8A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A1A67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10D857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3BBE6D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4CBE4A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6-1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8D04DB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3BA10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6标段：柳山坡村22-29小班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8E622C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72C79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A7EBBB0">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580,100.00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6BF906">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580,100.00</w:t>
            </w:r>
          </w:p>
        </w:tc>
      </w:tr>
    </w:tbl>
    <w:p w14:paraId="36248D4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70AE1A8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05925A9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合同包7(7标段：阳坡村1-11小班):</w:t>
      </w:r>
    </w:p>
    <w:p w14:paraId="3E304B0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合同包预算金额：891,644.00元</w:t>
      </w:r>
    </w:p>
    <w:p w14:paraId="0D7F129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合同包最高限价：891,644.00元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4CDD6C6F">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37641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FA4E22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EF01B4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B3037B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92E32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CCA48C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589439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107D20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5786E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7-1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403436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2C90A2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7标段：阳坡村1-11小班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A28A0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F6CA1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A72756">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891,644.00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31691B">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891,644.00</w:t>
            </w:r>
          </w:p>
        </w:tc>
      </w:tr>
    </w:tbl>
    <w:p w14:paraId="4DD8976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DEF385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065F7A0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合同包8(8标段：湾坪村1-7小班):</w:t>
      </w:r>
    </w:p>
    <w:p w14:paraId="4A07881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合同包预算金额：623,576.00元</w:t>
      </w:r>
    </w:p>
    <w:p w14:paraId="2C0C801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合同包最高限价：623,576.00元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0BE229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C9F66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7BA5D4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4DA495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66D467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F359E0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EE2027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546E6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7DBCF05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A1CFC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8-1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EAF44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96981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8标段：湾坪村1-7小班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89ABE6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89725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5CB200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623,576.00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271234B">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623,576.00</w:t>
            </w:r>
          </w:p>
        </w:tc>
      </w:tr>
    </w:tbl>
    <w:p w14:paraId="0083982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DDD7BE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71C36C6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合同包9(9标段：湾坪村8-15小班):</w:t>
      </w:r>
    </w:p>
    <w:p w14:paraId="3A7CBAE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合同包预算金额：576,136.00元</w:t>
      </w:r>
    </w:p>
    <w:p w14:paraId="13F26F1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合同包最高限价：576,136.00元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50E29BC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15290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A1E7F9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3B1386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DB82F0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436E6C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8A086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D4EDB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4F82482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C057C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9-1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E5022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CAD20F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9标段：湾坪村8-15小班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17E11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2115B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A50F9AC">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576,136.00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40F87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576,136.00</w:t>
            </w:r>
          </w:p>
        </w:tc>
      </w:tr>
    </w:tbl>
    <w:p w14:paraId="3767F7F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29D964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7FF2399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合同包10(10标段：长沟街社区1-5小班):</w:t>
      </w:r>
    </w:p>
    <w:p w14:paraId="7114695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合同包预算金额：297,596.00元</w:t>
      </w:r>
    </w:p>
    <w:p w14:paraId="4C35452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合同包最高限价：297,596.00元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2EAFE11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D07C8C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1F5F1E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AD974D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DE2566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D211DA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EAD7F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60FC6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48B4D16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F4E4D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10-1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74BBC8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3C10F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10标段：长沟街社区1-5小班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B4FD7D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233F37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FE4E29E">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297,596.00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EADE0A3">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297,596.00</w:t>
            </w:r>
          </w:p>
        </w:tc>
      </w:tr>
    </w:tbl>
    <w:p w14:paraId="4676638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92F138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3FCF10C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合同包11(11标段：寺北沟村1-6小班、17-18小班):</w:t>
      </w:r>
    </w:p>
    <w:p w14:paraId="5194D1C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合同包预算金额：677,430.00元</w:t>
      </w:r>
    </w:p>
    <w:p w14:paraId="46F6320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合同包最高限价：677,430.00元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08"/>
        <w:gridCol w:w="1950"/>
        <w:gridCol w:w="2031"/>
        <w:gridCol w:w="722"/>
        <w:gridCol w:w="1326"/>
        <w:gridCol w:w="1440"/>
        <w:gridCol w:w="1441"/>
      </w:tblGrid>
      <w:tr w14:paraId="1CF9E18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770EE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2"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E8A0BD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4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B2BA20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9B0E5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51E6D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EFAEC2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89ACDF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5087ED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094AD9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11-1</w:t>
            </w:r>
          </w:p>
        </w:tc>
        <w:tc>
          <w:tcPr>
            <w:tcW w:w="1102"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1722E4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4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8C926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11标段：寺北沟村1-6小班、17-18小班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3909C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1DA49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B06BB9">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677,430.00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2E688E">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677,430.00</w:t>
            </w:r>
          </w:p>
        </w:tc>
      </w:tr>
    </w:tbl>
    <w:p w14:paraId="620BC9C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5052926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2D552D6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合同包12(12标段：寺北沟村7-16小班):</w:t>
      </w:r>
    </w:p>
    <w:p w14:paraId="001283C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合同包预算金额：682,100.00元</w:t>
      </w:r>
    </w:p>
    <w:p w14:paraId="4C95397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合同包最高限价：682,100.00元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10BF2D3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43C9F5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44B49A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FC30C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61585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09A001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9E0B83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A09111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4B2698F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B270B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12-1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D4622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A76BA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12标段：寺北沟村7-16小班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C44DC4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70379C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D8DF88">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682,100.00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08BB08">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682,100.00</w:t>
            </w:r>
          </w:p>
        </w:tc>
      </w:tr>
    </w:tbl>
    <w:p w14:paraId="1C2D5EE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1DEFDC8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47182BC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合同包13(13标段：银花社区1-9小班):</w:t>
      </w:r>
    </w:p>
    <w:p w14:paraId="7D9274B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合同包预算金额：667,378.00元</w:t>
      </w:r>
    </w:p>
    <w:p w14:paraId="4254D75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合同包最高限价：667,378.00元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3A8743D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4C544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9843ED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3CDC90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E85427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50C27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08D94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66E63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0BB3F1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3C0B1F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13-1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73DA93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4E3844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13标段：银花社区1-9小班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0D99F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F2B98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9835A1">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667,378.00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A6920D">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667,378.00</w:t>
            </w:r>
          </w:p>
        </w:tc>
      </w:tr>
    </w:tbl>
    <w:p w14:paraId="3288923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A3974E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0576A2C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合同包14(14标段：银花社区10-15小班):</w:t>
      </w:r>
    </w:p>
    <w:p w14:paraId="14D569D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合同包预算金额：679,172.00元</w:t>
      </w:r>
    </w:p>
    <w:p w14:paraId="0FD91D9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合同包最高限价：679,172.00元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14ADDF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2B7BDF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CFDAC4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562D24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815C9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83532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AF174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D5E921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56DFD7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823EE2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14-1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1CDD9B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E34ACA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14标段：银花社区10-15小班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DB583A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2427D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84BAC65">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679,172.00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360C10F">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679,172.00</w:t>
            </w:r>
          </w:p>
        </w:tc>
      </w:tr>
    </w:tbl>
    <w:p w14:paraId="14E543D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2808D13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301510D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合同包15(15标段：湘子店村1-4小班):</w:t>
      </w:r>
    </w:p>
    <w:p w14:paraId="0979EC6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合同包预算金额：682,784.00元</w:t>
      </w:r>
    </w:p>
    <w:p w14:paraId="3A1968C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合同包最高限价：682,784.00元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4EE79C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58EF0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A65CA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38A68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26352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006F6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4761E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F8D11F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42B31BB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752262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15-1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499626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FAC95F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15标段：湘子店村1-4小班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D8F51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ED2B07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B89F4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682,784.00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4CB171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682,784.00</w:t>
            </w:r>
          </w:p>
        </w:tc>
      </w:tr>
    </w:tbl>
    <w:p w14:paraId="7DAB652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4B8736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4AF6EC7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合同包16(16标段：湘子店村5-7小班):</w:t>
      </w:r>
    </w:p>
    <w:p w14:paraId="35DA693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合同包预算金额：478,044.00元</w:t>
      </w:r>
    </w:p>
    <w:p w14:paraId="1CF1AB0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合同包最高限价：478,044.00元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539F9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B0B5B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725C6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BF71EA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C0298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B8816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29A1B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F0C11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7AE451F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22755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16-1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097A3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6553E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16标段：湘子店村5-7小班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A9FDE0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CEF470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67A08F3">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478,044.00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F2378F">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478,044.00</w:t>
            </w:r>
          </w:p>
        </w:tc>
      </w:tr>
    </w:tbl>
    <w:p w14:paraId="0BD45CA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B9675E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7E684CD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合同包17(17标段：湘子店村8-16小班):</w:t>
      </w:r>
    </w:p>
    <w:p w14:paraId="712C30A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合同包预算金额：1,115,980.00元</w:t>
      </w:r>
    </w:p>
    <w:p w14:paraId="4BB764A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合同包最高限价：1,115,980.00元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34E1697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4D57E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F7EA7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9563D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632ADB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1D6D5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03A5E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CCA83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1EA977D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3F6452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17-1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F3BF8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B67792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17标段：湘子店村8-16小班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B4857D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D3C6E5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BA1D33B">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1,115,980.00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788D4E">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1,115,980.00</w:t>
            </w:r>
          </w:p>
        </w:tc>
      </w:tr>
    </w:tbl>
    <w:p w14:paraId="5F6EFB4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49D6DEF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60F17C0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合同包18(18标段：湘子店村17-26小班):</w:t>
      </w:r>
    </w:p>
    <w:p w14:paraId="58DA5D6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合同包预算金额：1,071,060.00元</w:t>
      </w:r>
    </w:p>
    <w:p w14:paraId="42E8703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合同包最高限价：1,071,060.00元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7A3807F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E8D47E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928721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FDBD3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4E7BD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6CDA51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8CE16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207D8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1DC87B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4AF4B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18-1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FDE3FB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B75CF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18标段：湘子店村17-26小班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03B436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A9A9C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CEDD15">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1,071,060.00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1F390B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1,071,060.00</w:t>
            </w:r>
          </w:p>
        </w:tc>
      </w:tr>
    </w:tbl>
    <w:p w14:paraId="5D5D18B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4B57D84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220F887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合同包19(19标段：湘子店村27-39小班):</w:t>
      </w:r>
    </w:p>
    <w:p w14:paraId="23D6F8C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合同包预算金额：944,100.00元</w:t>
      </w:r>
    </w:p>
    <w:p w14:paraId="6C88AA7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合同包最高限价：944,100.00元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1890F5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D812A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D7F5A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1B826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C2AC9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B09349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47B6F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BFA1AF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51FAC2C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119F4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19-1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2BB2F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73B907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19标段：湘子店村27-39小班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303C5C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4CF16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DFCDCBD">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944,100.00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BCBEF7">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944,100.00</w:t>
            </w:r>
          </w:p>
        </w:tc>
      </w:tr>
    </w:tbl>
    <w:p w14:paraId="46968FD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717B75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2E996E3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合同包20(20标段：梅子沟村1-5小班):</w:t>
      </w:r>
    </w:p>
    <w:p w14:paraId="59E8087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合同包预算金额：521,412.00元</w:t>
      </w:r>
    </w:p>
    <w:p w14:paraId="53441D7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合同包最高限价：521,412.00元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86DB46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C0573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6241D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DE37BE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E3F84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8F7BEF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B1AE7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CCB17F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3F1FAF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D332E9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20-1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2097DA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860F71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20标段：梅子沟村1-5小班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C15B6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68A046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DBB86D">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521,412.00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5E42A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521,412.00</w:t>
            </w:r>
          </w:p>
        </w:tc>
      </w:tr>
    </w:tbl>
    <w:p w14:paraId="6112C2B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2E3BCAD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3F1B979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合同包21(21标段：孙家湾村1-9小班):</w:t>
      </w:r>
    </w:p>
    <w:p w14:paraId="56D9F37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合同包预算金额：1,030,884.00元</w:t>
      </w:r>
    </w:p>
    <w:p w14:paraId="7E96A46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合同包最高限价：1,030,884.00元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2D77203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D02C3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64A5F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F1E4C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E52DF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63C94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375A6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F98D32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D5088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A75BD3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21-1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B3C00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4A6018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21标段：孙家湾村1-9小班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772A7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065D2A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5ECB816">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1,030,884.00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ED340D0">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1,030,884.00</w:t>
            </w:r>
          </w:p>
        </w:tc>
      </w:tr>
    </w:tbl>
    <w:p w14:paraId="40D6644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767C5D3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114E8FE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合同包22(22标段：孙家湾村10-18小班):</w:t>
      </w:r>
    </w:p>
    <w:p w14:paraId="48E423C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合同包预算金额：1,021,744.00元</w:t>
      </w:r>
    </w:p>
    <w:p w14:paraId="1D58BAB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合同包最高限价：1,021,744.00元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26AD304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5ABF5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BE7E13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16AA8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A027D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1D61A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E6D09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7CBD06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C9338C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5A081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22-1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744FE9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BFADB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22标段：孙家湾村10-18小班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BB45E5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5DA3B9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4A9AE1">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1,021,744.00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7DE4E9">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1,021,744.00</w:t>
            </w:r>
          </w:p>
        </w:tc>
      </w:tr>
    </w:tbl>
    <w:p w14:paraId="4DD9046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053E14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3F4F5F1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合同包23(23标段：孙家湾村19-29小班):</w:t>
      </w:r>
    </w:p>
    <w:p w14:paraId="1A6BE2B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合同包预算金额：1,045,690.00元</w:t>
      </w:r>
    </w:p>
    <w:p w14:paraId="7C56593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合同包最高限价：1,045,690.00元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6A69E42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E2EC1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9AF09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C1B77E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5C7EC6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C35AD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A180D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B9EEA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FEBFAA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09FFAF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23-1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F3F5A0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C56864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23标段：孙家湾村19-29小班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3B044E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9AEB3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8EA07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1,045,690.00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846A4C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1,045,690.00</w:t>
            </w:r>
          </w:p>
        </w:tc>
      </w:tr>
    </w:tbl>
    <w:p w14:paraId="5E339CB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7E086A1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52282DC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合同包24(24标段：孙家湾村30-42小班):</w:t>
      </w:r>
    </w:p>
    <w:p w14:paraId="5EF23A5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合同包预算金额：1,018,690.00元</w:t>
      </w:r>
    </w:p>
    <w:p w14:paraId="3E5E45D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合同包最高限价：1,018,690.00元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4DF8DD0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0CB974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9F91E2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F3B968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C196D2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0580A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F6E466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01B65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0576A6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6F87C3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24-1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C2796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62E6F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24标段：孙家湾村30-42小班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5CFA1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B90F6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81E906F">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1,018,690.00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F02A5E">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1,018,690.00</w:t>
            </w:r>
          </w:p>
        </w:tc>
      </w:tr>
    </w:tbl>
    <w:p w14:paraId="2070E7E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E0CB8E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41ED7C1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合同包25(25标段：孙家湾村43-50小班):</w:t>
      </w:r>
    </w:p>
    <w:p w14:paraId="5EC61B0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合同包预算金额：997,174.00元</w:t>
      </w:r>
    </w:p>
    <w:p w14:paraId="49EB063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合同包最高限价：997,174.00元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71EEAE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3570C2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104DF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1CAD9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4DADA4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91C2C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92C898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2790E7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69E2B1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CFE6E2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25-1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F59DE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35EFE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25标段：孙家湾村43-50小班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6F45A0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4298B7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682AD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997,174.00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B429272">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997,174.00</w:t>
            </w:r>
          </w:p>
        </w:tc>
      </w:tr>
    </w:tbl>
    <w:p w14:paraId="008CE43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588D874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29FC0A3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合同包26(26标段：孙家湾村51-60小班):</w:t>
      </w:r>
    </w:p>
    <w:p w14:paraId="4DDC19A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合同包预算金额：1,035,000.00元</w:t>
      </w:r>
    </w:p>
    <w:p w14:paraId="6E0EF97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合同包最高限价：1,035,000.00元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2F30546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4F8499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670327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2C82B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B605F7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A5D4C3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E2170A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A794CA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3D0A09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F9F2B2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26-1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7AFAE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7650B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26标段：孙家湾村51-60小班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C5587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DE25E7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5C857B">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1,035,000.00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4C11DA3">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1,035,000.00</w:t>
            </w:r>
          </w:p>
        </w:tc>
      </w:tr>
    </w:tbl>
    <w:p w14:paraId="64ECC06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4FDEF6A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3229586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合同包27(27标段：孙家湾村61-70小班):</w:t>
      </w:r>
    </w:p>
    <w:p w14:paraId="148EF09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合同包预算金额：1,059,900.00元</w:t>
      </w:r>
    </w:p>
    <w:p w14:paraId="4558715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合同包最高限价：1,059,900.00元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794"/>
        <w:gridCol w:w="1904"/>
        <w:gridCol w:w="722"/>
        <w:gridCol w:w="1157"/>
        <w:gridCol w:w="1680"/>
        <w:gridCol w:w="1680"/>
      </w:tblGrid>
      <w:tr w14:paraId="4E5166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F4F087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AF238A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052DBF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9FA2A3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CBF1B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BB4DB8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5D44D1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72D6928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FFFFDD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27-1</w:t>
            </w:r>
          </w:p>
        </w:tc>
        <w:tc>
          <w:tcPr>
            <w:tcW w:w="10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E4A66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1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2E637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27标段：孙家湾村61-70小班</w:t>
            </w:r>
          </w:p>
        </w:tc>
        <w:tc>
          <w:tcPr>
            <w:tcW w:w="434"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BD1A6A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7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69EB2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9068C92">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1,059,900.00</w:t>
            </w:r>
          </w:p>
        </w:tc>
        <w:tc>
          <w:tcPr>
            <w:tcW w:w="625"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7DDA26">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1,059,900.00</w:t>
            </w:r>
          </w:p>
        </w:tc>
      </w:tr>
    </w:tbl>
    <w:p w14:paraId="1B295F2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64A505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38041B6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合同包28(28标段：孙家湾村71-75小班):</w:t>
      </w:r>
    </w:p>
    <w:p w14:paraId="449C8AF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合同包预算金额：667,182.00元</w:t>
      </w:r>
    </w:p>
    <w:p w14:paraId="37C9385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合同包最高限价：667,182.00元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3101DE48">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80FBE0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927801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73E372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EF8921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779FF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96340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77F8E3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6BE7A22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4F4DE0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28-1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409E11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02B1D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28标段：孙家湾村71-75小班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8B1F9C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25FD5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86AB3BF">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667,182.00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0474408">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667,182.00</w:t>
            </w:r>
          </w:p>
        </w:tc>
      </w:tr>
    </w:tbl>
    <w:p w14:paraId="1BC7247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470F68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7D6F609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合同包29(29标段：孙家湾村76-80小班):</w:t>
      </w:r>
    </w:p>
    <w:p w14:paraId="30E93CE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合同包预算金额：592,916.00元</w:t>
      </w:r>
    </w:p>
    <w:p w14:paraId="2B04DBF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合同包最高限价：592,916.00元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7057E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226C8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63750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8C7227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79E9C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7AAF84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9F94E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E57D3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5B15592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4A74E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29-1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89C4DF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6F36CC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29标段：孙家湾村76-80小班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81D296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763AD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C7CA21">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592,916.00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802DB0">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592,916.00</w:t>
            </w:r>
          </w:p>
        </w:tc>
      </w:tr>
    </w:tbl>
    <w:p w14:paraId="3FC5DA9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5D54E77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4985B06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合同包30(30标段：龙洞沟村1、5小班):</w:t>
      </w:r>
    </w:p>
    <w:p w14:paraId="0A8E0CA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合同包预算金额：554,190.00元</w:t>
      </w:r>
    </w:p>
    <w:p w14:paraId="47C6838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合同包最高限价：554,190.00元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183632B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59B56A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DC6D93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2BCF3B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0650B5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E8A72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66870D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9DD654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1FD67D1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A2F940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30-1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AA7A84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FF8A74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30标段：龙洞沟村1、5小班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56DC6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1(项目)</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CD0F1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135EA1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554,190.00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1A550B">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554,190.00</w:t>
            </w:r>
          </w:p>
        </w:tc>
      </w:tr>
    </w:tbl>
    <w:p w14:paraId="7F72B23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55C4650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5D64CD8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合同包31(31标段：龙洞沟村3、4小班):</w:t>
      </w:r>
    </w:p>
    <w:p w14:paraId="1A75966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合同包预算金额：579,670.00元</w:t>
      </w:r>
    </w:p>
    <w:p w14:paraId="13F61FC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合同包最高限价：579,670.00元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18CDE61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97951D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1F4653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237ED1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25AD6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D8092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4CD85A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12A049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53F24D1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EA436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31-1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1D58A6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EC977E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31标段：龙洞沟村3、4小班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4662C0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FA44A1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FBCBAF2">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579,670.00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BF487E2">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579,670.00</w:t>
            </w:r>
          </w:p>
        </w:tc>
      </w:tr>
    </w:tbl>
    <w:p w14:paraId="3E91B34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6812A33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6C4DD02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合同包32(32标段：龙洞沟村2、6、7小班):</w:t>
      </w:r>
    </w:p>
    <w:p w14:paraId="3DFA314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合同包预算金额：579,670.00元</w:t>
      </w:r>
    </w:p>
    <w:p w14:paraId="65C5F15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合同包最高限价：579,670.00元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4DB0FF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D9132F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34DDFF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D3793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DC1768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E89139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21DB81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88157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73237E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F44F3E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32-1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53360B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01DD2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32标段：龙洞沟村2、6、7小班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08B52D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2A4BAC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40CE608">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579,670.00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CE34AE">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579,670.00</w:t>
            </w:r>
          </w:p>
        </w:tc>
      </w:tr>
    </w:tbl>
    <w:p w14:paraId="1912B64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109FD08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0A487D6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合同包33(33标段：铁炉子村1、6小班):</w:t>
      </w:r>
    </w:p>
    <w:p w14:paraId="491DFAA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合同包预算金额：420,420.00元</w:t>
      </w:r>
    </w:p>
    <w:p w14:paraId="787E2EC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合同包最高限价：420,420.00元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48D030C">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5AF67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D05FA8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5CBCCE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B46AC2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5FA7BB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54AC84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E3D195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2B2C7AE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58EA37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33-1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FE94D8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A1F839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33标段：铁炉子村1、6小班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F1826F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C60DE3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9E2609A">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420,420.00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E3221FD">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420,420.00</w:t>
            </w:r>
          </w:p>
        </w:tc>
      </w:tr>
    </w:tbl>
    <w:p w14:paraId="4480DF2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36A699B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2FA01E2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合同包34(34标段：铁炉子村3、4小班):</w:t>
      </w:r>
    </w:p>
    <w:p w14:paraId="592D76C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合同包预算金额：490,490.00元</w:t>
      </w:r>
    </w:p>
    <w:p w14:paraId="29536D7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合同包最高限价：490,490.00元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75ADA58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D28617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A06805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68281D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EFB076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78F16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D4F3B0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DBB723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330C81E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0FD6F4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34-1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55C43D">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144F02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34标段：铁炉子村3、4小班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CA7052">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72133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6EFBED">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490,490.00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E7C3C8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490,490.00</w:t>
            </w:r>
          </w:p>
        </w:tc>
      </w:tr>
    </w:tbl>
    <w:p w14:paraId="3D45070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6B61005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178FC73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合同包35(35标段：铁炉子村2、5小班):</w:t>
      </w:r>
    </w:p>
    <w:p w14:paraId="7343A01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合同包预算金额：528,710.00元</w:t>
      </w:r>
    </w:p>
    <w:p w14:paraId="148C6F0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合同包最高限价：528,710.00元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565D17C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7C7EAF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4804E7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99505F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4B8F42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EAC472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DCDF09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DB97EF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7E838F7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A1DB55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35-1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AE7675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1132A1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35标段：铁炉子村2、5小班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78EECBC">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699B4FE">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7C82446E">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528,710.00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02F583C0">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528,710.00</w:t>
            </w:r>
          </w:p>
        </w:tc>
      </w:tr>
    </w:tbl>
    <w:p w14:paraId="64A1AA7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039705B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6B7A1FB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合同包36(36标段：西河村1-5小班):</w:t>
      </w:r>
    </w:p>
    <w:p w14:paraId="6E5F93B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合同包预算金额：942,760.00元</w:t>
      </w:r>
    </w:p>
    <w:p w14:paraId="5F8316C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合同包最高限价：942,760.00元</w:t>
      </w:r>
    </w:p>
    <w:tbl>
      <w:tblPr>
        <w:tblStyle w:val="27"/>
        <w:tblW w:w="4998"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510"/>
        <w:gridCol w:w="1958"/>
        <w:gridCol w:w="2016"/>
        <w:gridCol w:w="722"/>
        <w:gridCol w:w="1334"/>
        <w:gridCol w:w="1440"/>
        <w:gridCol w:w="1440"/>
      </w:tblGrid>
      <w:tr w14:paraId="6593A16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728" w:hRule="atLeast"/>
          <w:tblHeader/>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9FBA19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02AAC0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8E343E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4DE8C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C0C400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C3FC9D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EFB8F87">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1D3778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480" w:hRule="atLeast"/>
        </w:trPr>
        <w:tc>
          <w:tcPr>
            <w:tcW w:w="33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3E18A6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36-1</w:t>
            </w:r>
          </w:p>
        </w:tc>
        <w:tc>
          <w:tcPr>
            <w:tcW w:w="110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38F4BA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13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C0FAFE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36标段：西河村1-5小班</w:t>
            </w:r>
          </w:p>
        </w:tc>
        <w:tc>
          <w:tcPr>
            <w:tcW w:w="43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C1F1F41">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787"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ADED71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748A542">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942,760.00</w:t>
            </w:r>
          </w:p>
        </w:tc>
        <w:tc>
          <w:tcPr>
            <w:tcW w:w="59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3737D44">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942,760.00</w:t>
            </w:r>
          </w:p>
        </w:tc>
      </w:tr>
    </w:tbl>
    <w:p w14:paraId="71E80B5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7B02B16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2942905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合同包37(37标段：西河村6-8小班、白龙村1小班、马家店村1小班):</w:t>
      </w:r>
    </w:p>
    <w:p w14:paraId="500831E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合同包预算金额：1,000,090.00元</w:t>
      </w:r>
    </w:p>
    <w:p w14:paraId="42C542B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合同包最高限价：1,000,090.00元</w:t>
      </w:r>
    </w:p>
    <w:tbl>
      <w:tblPr>
        <w:tblStyle w:val="27"/>
        <w:tblW w:w="4997" w:type="pct"/>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481"/>
        <w:gridCol w:w="1488"/>
        <w:gridCol w:w="2409"/>
        <w:gridCol w:w="722"/>
        <w:gridCol w:w="957"/>
        <w:gridCol w:w="1680"/>
        <w:gridCol w:w="1681"/>
      </w:tblGrid>
      <w:tr w14:paraId="4ED22E4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728" w:hRule="atLeast"/>
          <w:tblHeader/>
        </w:trPr>
        <w:tc>
          <w:tcPr>
            <w:tcW w:w="310"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292682A">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品目号</w:t>
            </w:r>
          </w:p>
        </w:tc>
        <w:tc>
          <w:tcPr>
            <w:tcW w:w="951"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E413BB4">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品目名称</w:t>
            </w:r>
          </w:p>
        </w:tc>
        <w:tc>
          <w:tcPr>
            <w:tcW w:w="13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9F5E0D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采购标的</w:t>
            </w:r>
          </w:p>
        </w:tc>
        <w:tc>
          <w:tcPr>
            <w:tcW w:w="40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B836A93">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数量（单位）</w:t>
            </w:r>
          </w:p>
        </w:tc>
        <w:tc>
          <w:tcPr>
            <w:tcW w:w="699"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3CA0E3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技术规格、参数及要求</w:t>
            </w:r>
          </w:p>
        </w:tc>
        <w:tc>
          <w:tcPr>
            <w:tcW w:w="621"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5657616B">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品目预算(元)</w:t>
            </w:r>
          </w:p>
        </w:tc>
        <w:tc>
          <w:tcPr>
            <w:tcW w:w="621"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0B95AD0">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b/>
                <w:bCs/>
                <w:sz w:val="24"/>
                <w:szCs w:val="24"/>
                <w:highlight w:val="none"/>
              </w:rPr>
            </w:pPr>
            <w:r>
              <w:rPr>
                <w:rFonts w:hint="eastAsia" w:ascii="宋体" w:hAnsi="宋体" w:eastAsia="宋体" w:cs="宋体"/>
                <w:b/>
                <w:bCs/>
                <w:kern w:val="0"/>
                <w:sz w:val="24"/>
                <w:szCs w:val="24"/>
                <w:highlight w:val="none"/>
                <w:lang w:val="en-US" w:eastAsia="zh-CN" w:bidi="ar"/>
              </w:rPr>
              <w:t>最高限价(元)</w:t>
            </w:r>
          </w:p>
        </w:tc>
      </w:tr>
      <w:tr w14:paraId="4207A7E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480" w:hRule="atLeast"/>
        </w:trPr>
        <w:tc>
          <w:tcPr>
            <w:tcW w:w="310"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F72ECCF">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37-1</w:t>
            </w:r>
          </w:p>
        </w:tc>
        <w:tc>
          <w:tcPr>
            <w:tcW w:w="951"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69C20046">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天然林保护工程施工</w:t>
            </w:r>
          </w:p>
        </w:tc>
        <w:tc>
          <w:tcPr>
            <w:tcW w:w="1386"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2DAB4A05">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37标段：西河村6-8小班、白龙村1小班、马家店村1小班</w:t>
            </w:r>
          </w:p>
        </w:tc>
        <w:tc>
          <w:tcPr>
            <w:tcW w:w="408"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44274F69">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1(项)</w:t>
            </w:r>
          </w:p>
        </w:tc>
        <w:tc>
          <w:tcPr>
            <w:tcW w:w="699"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3BBD3428">
            <w:pPr>
              <w:keepNext w:val="0"/>
              <w:keepLines w:val="0"/>
              <w:widowControl/>
              <w:suppressLineNumbers w:val="0"/>
              <w:wordWrap w:val="0"/>
              <w:spacing w:before="0" w:beforeAutospacing="0" w:after="0" w:afterAutospacing="0" w:line="360" w:lineRule="atLeast"/>
              <w:ind w:left="0" w:right="0"/>
              <w:jc w:val="center"/>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lang w:val="en-US" w:eastAsia="zh-CN" w:bidi="ar"/>
              </w:rPr>
              <w:t>详见采购文件</w:t>
            </w:r>
          </w:p>
        </w:tc>
        <w:tc>
          <w:tcPr>
            <w:tcW w:w="621"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326B752">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1,000,090.00</w:t>
            </w:r>
          </w:p>
        </w:tc>
        <w:tc>
          <w:tcPr>
            <w:tcW w:w="621" w:type="pct"/>
            <w:tcBorders>
              <w:top w:val="single" w:color="333333" w:sz="6" w:space="0"/>
              <w:left w:val="single" w:color="333333" w:sz="6" w:space="0"/>
              <w:bottom w:val="single" w:color="333333" w:sz="6" w:space="0"/>
              <w:right w:val="single" w:color="333333" w:sz="6" w:space="0"/>
            </w:tcBorders>
            <w:shd w:val="clear" w:color="auto" w:fill="auto"/>
            <w:tcMar>
              <w:top w:w="75" w:type="dxa"/>
              <w:left w:w="120" w:type="dxa"/>
              <w:bottom w:w="75" w:type="dxa"/>
              <w:right w:w="120" w:type="dxa"/>
            </w:tcMar>
            <w:vAlign w:val="center"/>
          </w:tcPr>
          <w:p w14:paraId="119D4056">
            <w:pPr>
              <w:keepNext w:val="0"/>
              <w:keepLines w:val="0"/>
              <w:widowControl/>
              <w:suppressLineNumbers w:val="0"/>
              <w:wordWrap/>
              <w:spacing w:before="0" w:beforeAutospacing="0" w:after="0" w:afterAutospacing="0" w:line="360" w:lineRule="atLeast"/>
              <w:ind w:left="0" w:right="0"/>
              <w:jc w:val="right"/>
              <w:textAlignment w:val="center"/>
              <w:rPr>
                <w:rFonts w:hint="eastAsia" w:ascii="宋体" w:hAnsi="宋体" w:eastAsia="宋体" w:cs="宋体"/>
                <w:sz w:val="24"/>
                <w:szCs w:val="24"/>
                <w:highlight w:val="none"/>
              </w:rPr>
            </w:pPr>
            <w:r>
              <w:rPr>
                <w:rFonts w:hint="eastAsia" w:ascii="宋体" w:hAnsi="宋体" w:eastAsia="宋体" w:cs="宋体"/>
                <w:kern w:val="0"/>
                <w:sz w:val="24"/>
                <w:szCs w:val="24"/>
                <w:highlight w:val="none"/>
                <w:vertAlign w:val="baseline"/>
                <w:lang w:val="en-US" w:eastAsia="zh-CN" w:bidi="ar"/>
              </w:rPr>
              <w:t>1,000,090.00</w:t>
            </w:r>
          </w:p>
        </w:tc>
      </w:tr>
    </w:tbl>
    <w:p w14:paraId="3F7B741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本合同包不接受联合体投标</w:t>
      </w:r>
    </w:p>
    <w:p w14:paraId="101174D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63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合同履行期限：无</w:t>
      </w:r>
    </w:p>
    <w:p w14:paraId="581CA031">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二、申请人的资格要求：</w:t>
      </w:r>
    </w:p>
    <w:p w14:paraId="46173F9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1.满足《中华人民共和国政府采购法》第二十二条规定;</w:t>
      </w:r>
    </w:p>
    <w:p w14:paraId="4DA288C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2.落实政府采购政策需满足的资格要求：</w:t>
      </w:r>
    </w:p>
    <w:p w14:paraId="2BEA0A5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合同包1(1标段：三宫殿村1-5 小班)落实政府采购政策需满足的资格要求如下:</w:t>
      </w:r>
    </w:p>
    <w:p w14:paraId="71D0033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（1）《政府采购促进中小企业发展管理办法》（财库〔2020〕46号）；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（2）《财政部司法部关于政府采购支持监狱企业发展有关问题的通知》（财库〔2014〕68号）；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（3）《关于促进残疾人就业政府采购政策的通知》（财库〔2017〕141号）；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（4）《节能产品政府采购实施意见》（财库〔2004〕185号）；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（5）《环境标志产品政府采购实施的意见》（财库〔2006〕90号）；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（6）《国务院办公厅关于建立政府强制采购节能产品制度的通知》（国办发〔2007〕51号）；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（7）财政部发展改革委生态环境部市场监管总局关于调整优化节能产品、环境标志产品政府采购执行机制的通知（财库〔2019〕9</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（8）《关于印发环境标志产品政府采购品目清单的通知》--（财库〔2019〕18号）；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（9）《关于印发节能产品政府采购品目清单的通知》--（财库〔2019〕19号）；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（10）《市场监督总局关于发布参与实施政府采购节能产品、环境标志产品认证机构名录的公告》—2019年第16号；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（11）《关于运用政府采购政策支持乡村产业振兴的通知》（财库〔2021〕19号）；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（12）陕西省财政厅关于印发《陕西省中小企业政府采购信用融资办法》（陕财办采〔2018〕23号），相关政策、业务流程、办理</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平台（详见http://www.ccgp-shaanxi.gov.cn/zcdservice/zcd/shanxi/）；</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（13）《陕西省财政厅关于加快推进我省中小企业政府采购信用融资工作的通知》（陕财办采〔2020〕15号）；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（14）《关于进一步加强政府绿色采购有关问题的通知》（陕财办采〔2021〕29号）；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（15）《陕西省财政厅陕西省工业和信息化厅关于运用政府采购政策支持首台（套）及创新产品有关事项的通知》（陕财办采〔202</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1〕17号）；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（16）《关于进一步加大政府采购支持中小企业力度的通知》（财库〔2022〕19号）、《关于落实政府采购支持中小企业政策有关</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事项的通知》（陕财办采函〔2022〕10号）；</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（17）其他需要落实的政府采购政策。</w:t>
      </w:r>
    </w:p>
    <w:p w14:paraId="15FD94F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合同包2(2标段：三宫殿村6-12小班)落实政府采购政策需满足的资格要求如下:</w:t>
      </w:r>
    </w:p>
    <w:p w14:paraId="0D9A8CB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647A6F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合同包3(3标段：柳山坡村1-4小班)落实政府采购政策需满足的资格要求如下:</w:t>
      </w:r>
    </w:p>
    <w:p w14:paraId="565B473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5B5FC6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合同包4(4标段：柳山坡村5-12小班)落实政府采购政策需满足的资格要求如下:</w:t>
      </w:r>
    </w:p>
    <w:p w14:paraId="61B3914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F0B68F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合同包5(5标段：柳山坡村13-21小班)落实政府采购政策需满足的资格要求如下:</w:t>
      </w:r>
    </w:p>
    <w:p w14:paraId="0BEEF97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C0CC1E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合同包6(6标段：柳山坡村22-29小班)落实政府采购政策需满足的资格要求如下:</w:t>
      </w:r>
    </w:p>
    <w:p w14:paraId="25D8439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31B380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合同包7(7标段：阳坡村1-11小班)落实政府采购政策需满足的资格要求如下:</w:t>
      </w:r>
    </w:p>
    <w:p w14:paraId="06B3DCE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EBC6D2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合同包8(8标段：湾坪村1-7小班)落实政府采购政策需满足的资格要求如下:</w:t>
      </w:r>
    </w:p>
    <w:p w14:paraId="706D741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FAAEA0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合同包9(9标段：湾坪村8-15小班)落实政府采购政策需满足的资格要求如下:</w:t>
      </w:r>
    </w:p>
    <w:p w14:paraId="5885BC9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0826B6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合同包10(10标段：长沟街社区1-5小班)落实政府采购政策需满足的资格要求如下:</w:t>
      </w:r>
    </w:p>
    <w:p w14:paraId="067D0AE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82C3C0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合同包11(11标段：寺北沟村1-6小班、17-18小班)落实政府采购政策需满足的资格要求如下:</w:t>
      </w:r>
    </w:p>
    <w:p w14:paraId="0A5B50F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393A03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合同包12(12标段：寺北沟村7-16小班)落实政府采购政策需满足的资格要求如下:</w:t>
      </w:r>
    </w:p>
    <w:p w14:paraId="0F1CF7E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94D28F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合同包13(13标段：银花社区1-9小班)落实政府采购政策需满足的资格要求如下:</w:t>
      </w:r>
    </w:p>
    <w:p w14:paraId="263ACE1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649F27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合同包14(14标段：银花社区10-15小班)落实政府采购政策需满足的资格要求如下:</w:t>
      </w:r>
    </w:p>
    <w:p w14:paraId="25B8CC5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07909E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合同包15(15标段：湘子店村1-4小班)落实政府采购政策需满足的资格要求如下:</w:t>
      </w:r>
    </w:p>
    <w:p w14:paraId="33DAE40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D8DCB4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合同包16(16标段：湘子店村5-7小班)落实政府采购政策需满足的资格要求如下:</w:t>
      </w:r>
    </w:p>
    <w:p w14:paraId="7E34070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007D87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合同包17(17标段：湘子店村8-16小班)落实政府采购政策需满足的资格要求如下:</w:t>
      </w:r>
    </w:p>
    <w:p w14:paraId="474895A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A98456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合同包18(18标段：湘子店村17-26小班)落实政府采购政策需满足的资格要求如下:</w:t>
      </w:r>
    </w:p>
    <w:p w14:paraId="32084EA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D83FF5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合同包19(19标段：湘子店村27-39小班)落实政府采购政策需满足的资格要求如下:</w:t>
      </w:r>
    </w:p>
    <w:p w14:paraId="7D38C3E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91D705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合同包20(20标段：梅子沟村1-5小班)落实政府采购政策需满足的资格要求如下:</w:t>
      </w:r>
    </w:p>
    <w:p w14:paraId="33CE212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22F45E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合同包21(21标段：孙家湾村1-9小班)落实政府采购政策需满足的资格要求如下:</w:t>
      </w:r>
    </w:p>
    <w:p w14:paraId="13CD4E6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1763F8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合同包22(22标段：孙家湾村10-18小班)落实政府采购政策需满足的资格要求如下:</w:t>
      </w:r>
    </w:p>
    <w:p w14:paraId="7557049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69B9A6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合同包23(23标段：孙家湾村19-29小班)落实政府采购政策需满足的资格要求如下:</w:t>
      </w:r>
    </w:p>
    <w:p w14:paraId="54A3718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9EC05E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合同包24(24标段：孙家湾村30-42小班)落实政府采购政策需满足的资格要求如下:</w:t>
      </w:r>
    </w:p>
    <w:p w14:paraId="39E09B8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D4F1FE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合同包25(25标段：孙家湾村43-50小班)落实政府采购政策需满足的资格要求如下:</w:t>
      </w:r>
    </w:p>
    <w:p w14:paraId="131AF23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1D2440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合同包26(26标段：孙家湾村51-60小班)落实政府采购政策需满足的资格要求如下:</w:t>
      </w:r>
    </w:p>
    <w:p w14:paraId="3934393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EEA808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合同包27(27标段：孙家湾村61-70小班)落实政府采购政策需满足的资格要求如下:</w:t>
      </w:r>
    </w:p>
    <w:p w14:paraId="393E946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90ED50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合同包28(28标段：孙家湾村71-75小班)落实政府采购政策需满足的资格要求如下:</w:t>
      </w:r>
    </w:p>
    <w:p w14:paraId="391B0FB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9B16C6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合同包29(29标段：孙家湾村76-80小班)落实政府采购政策需满足的资格要求如下:</w:t>
      </w:r>
    </w:p>
    <w:p w14:paraId="34E0BBF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8D3F0D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合同包30(30标段：龙洞沟村1、5小班)落实政府采购政策需满足的资格要求如下:</w:t>
      </w:r>
    </w:p>
    <w:p w14:paraId="41CA310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897E93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合同包31(31标段：龙洞沟村3、4小班)落实政府采购政策需满足的资格要求如下:</w:t>
      </w:r>
    </w:p>
    <w:p w14:paraId="58D92CF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70483C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合同包32(32标段：龙洞沟村2、6、7小班)落实政府采购政策需满足的资格要求如下:</w:t>
      </w:r>
    </w:p>
    <w:p w14:paraId="44F48A2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14B11D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合同包33(33标段：铁炉子村1、6小班)落实政府采购政策需满足的资格要求如下:</w:t>
      </w:r>
    </w:p>
    <w:p w14:paraId="3C5E68F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1F0C5A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合同包34(34标段：铁炉子村3、4小班)落实政府采购政策需满足的资格要求如下:</w:t>
      </w:r>
    </w:p>
    <w:p w14:paraId="3765E19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A55673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合同包35(35标段：铁炉子村2、5小班)落实政府采购政策需满足的资格要求如下:</w:t>
      </w:r>
    </w:p>
    <w:p w14:paraId="60AC422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72CA05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合同包36(36标段：西河村1-5小班)落实政府采购政策需满足的资格要求如下:</w:t>
      </w:r>
    </w:p>
    <w:p w14:paraId="6FF562B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5DC4FF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合同包37(37标段：西河村6-8小班、白龙村1小班、马家店村1小班)落实政府采购政策需满足的资格要求如下:</w:t>
      </w:r>
    </w:p>
    <w:p w14:paraId="381A1C2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B2A529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3.本项目的特定资格要求：</w:t>
      </w:r>
    </w:p>
    <w:p w14:paraId="1369555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合同包1(1标段：三宫殿村1-5 小班)特定资格要求如下:</w:t>
      </w:r>
    </w:p>
    <w:p w14:paraId="17ADC60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（1）提供合格有效的法人或者其他组织的营业执照等证明文件，自然人的身份证明；</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（2）提供法定代表人授权书（附法定代表人、被授权人身份证复印件，法定代表人直接参加投标，须提供法定代表人身份证明及身份证复印件）；</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（3）提供2023年度的财务审计报告（成立时间至提交投标文件截止时间不足一年的可提供成立后任意时段的资产负债表）或开标时间前六个月内银行出具的资信证明；</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（4）税收缴纳证明：提供投标截止日前近一年内任意一个月的纳税证明或完税证明（任意税种），依法免税的单位应提供相关证明材料；</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（5）社会保障资金缴纳证明：提供投标截止日前近一年内任意一个月的社会保障资金缴存单据或社保机构开具的社会保险参保缴费情况证明，依法不需要缴纳社会保障资金的单位应提供相关证明材料；</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（6）提供具有履行本合同所必需的设备和专业技术能力的说明及承诺书；</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（7）供应商通过“信用中国”网站(www.creditchina.gov.cn)、中国政府采购网(www.ccgp.gov.cn)等查询相关主体信用记录；</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（8）参加政府采购活动前3年内，在经营活动中没有重大违法记录的书面声明；</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（9）提供中小企业声明函；</w:t>
      </w:r>
      <w:r>
        <w:rPr>
          <w:rFonts w:hint="eastAsia" w:ascii="宋体" w:hAnsi="宋体" w:eastAsia="宋体" w:cs="宋体"/>
          <w:i w:val="0"/>
          <w:iCs w:val="0"/>
          <w:caps w:val="0"/>
          <w:color w:val="333333"/>
          <w:spacing w:val="0"/>
          <w:sz w:val="24"/>
          <w:szCs w:val="24"/>
          <w:highlight w:val="none"/>
          <w:shd w:val="clear" w:fill="FFFFFF"/>
          <w:vertAlign w:val="baseline"/>
        </w:rPr>
        <w:br w:type="textWrapping"/>
      </w:r>
      <w:r>
        <w:rPr>
          <w:rFonts w:hint="eastAsia" w:ascii="宋体" w:hAnsi="宋体" w:eastAsia="宋体" w:cs="宋体"/>
          <w:i w:val="0"/>
          <w:iCs w:val="0"/>
          <w:caps w:val="0"/>
          <w:color w:val="333333"/>
          <w:spacing w:val="0"/>
          <w:sz w:val="24"/>
          <w:szCs w:val="24"/>
          <w:highlight w:val="none"/>
          <w:shd w:val="clear" w:fill="FFFFFF"/>
          <w:vertAlign w:val="baseline"/>
        </w:rPr>
        <w:t>（10）本项目不接受联合体投标（提供承诺书）。</w:t>
      </w:r>
    </w:p>
    <w:p w14:paraId="76FD615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合同包2(2标段：三宫殿村6-12小班)特定资格要求如下:</w:t>
      </w:r>
    </w:p>
    <w:p w14:paraId="6D4C4A0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D30613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合同包3(3标段：柳山坡村1-4小班)特定资格要求如下:</w:t>
      </w:r>
    </w:p>
    <w:p w14:paraId="2AE7403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91C1D8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合同包4(4标段：柳山坡村5-12小班)特定资格要求如下:</w:t>
      </w:r>
    </w:p>
    <w:p w14:paraId="67F03B2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6EFA77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合同包5(5标段：柳山坡村13-21小班)特定资格要求如下:</w:t>
      </w:r>
    </w:p>
    <w:p w14:paraId="7483354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A15598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合同包6(6标段：柳山坡村22-29小班)特定资格要求如下:</w:t>
      </w:r>
    </w:p>
    <w:p w14:paraId="2666B4C4">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9B4E21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合同包7(7标段：阳坡村1-11小班)特定资格要求如下:</w:t>
      </w:r>
    </w:p>
    <w:p w14:paraId="37F7439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2973F9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合同包8(8标段：湾坪村1-7小班)特定资格要求如下:</w:t>
      </w:r>
    </w:p>
    <w:p w14:paraId="0B28EA1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F6136E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合同包9(9标段：湾坪村8-15小班)特定资格要求如下:</w:t>
      </w:r>
    </w:p>
    <w:p w14:paraId="143BBA0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6493762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合同包10(10标段：长沟街社区1-5小班)特定资格要求如下:</w:t>
      </w:r>
    </w:p>
    <w:p w14:paraId="028130E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A42DE2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合同包11(11标段：寺北沟村1-6小班、17-18小班)特定资格要求如下:</w:t>
      </w:r>
    </w:p>
    <w:p w14:paraId="707DF8F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DDDC5A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合同包12(12标段：寺北沟村7-16小班)特定资格要求如下:</w:t>
      </w:r>
    </w:p>
    <w:p w14:paraId="6C27B22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5C0AD1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合同包13(13标段：银花社区1-9小班)特定资格要求如下:</w:t>
      </w:r>
    </w:p>
    <w:p w14:paraId="71F8CE7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0E3339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合同包14(14标段：银花社区10-15小班)特定资格要求如下:</w:t>
      </w:r>
    </w:p>
    <w:p w14:paraId="18DB76A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3133AB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合同包15(15标段：湘子店村1-4小班)特定资格要求如下:</w:t>
      </w:r>
    </w:p>
    <w:p w14:paraId="543C3CF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E5E30C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合同包16(16标段：湘子店村5-7小班)特定资格要求如下:</w:t>
      </w:r>
    </w:p>
    <w:p w14:paraId="30DBA95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BB4BE3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合同包17(17标段：湘子店村8-16小班)特定资格要求如下:</w:t>
      </w:r>
    </w:p>
    <w:p w14:paraId="7EA34B9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42E8DC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合同包18(18标段：湘子店村17-26小班)特定资格要求如下:</w:t>
      </w:r>
    </w:p>
    <w:p w14:paraId="482EA7C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0CB5F2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合同包19(19标段：湘子店村27-39小班)特定资格要求如下:</w:t>
      </w:r>
    </w:p>
    <w:p w14:paraId="1D53D38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0A1176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合同包20(20标段：梅子沟村1-5小班)特定资格要求如下:</w:t>
      </w:r>
    </w:p>
    <w:p w14:paraId="08733B2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B05935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合同包21(21标段：孙家湾村1-9小班)特定资格要求如下:</w:t>
      </w:r>
    </w:p>
    <w:p w14:paraId="122B9AC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3256F67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合同包22(22标段：孙家湾村10-18小班)特定资格要求如下:</w:t>
      </w:r>
    </w:p>
    <w:p w14:paraId="4B753D8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68FFA4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合同包23(23标段：孙家湾村19-29小班)特定资格要求如下:</w:t>
      </w:r>
    </w:p>
    <w:p w14:paraId="1386D52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BA6C58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合同包24(24标段：孙家湾村30-42小班)特定资格要求如下:</w:t>
      </w:r>
    </w:p>
    <w:p w14:paraId="684581B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4ED471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合同包25(25标段：孙家湾村43-50小班)特定资格要求如下:</w:t>
      </w:r>
    </w:p>
    <w:p w14:paraId="51B04EA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2DF5EE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合同包26(26标段：孙家湾村51-60小班)特定资格要求如下:</w:t>
      </w:r>
    </w:p>
    <w:p w14:paraId="02A2235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62D16A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合同包27(27标段：孙家湾村61-70小班)特定资格要求如下:</w:t>
      </w:r>
    </w:p>
    <w:p w14:paraId="0E704C6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F73294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合同包28(28标段：孙家湾村71-75小班)特定资格要求如下:</w:t>
      </w:r>
    </w:p>
    <w:p w14:paraId="2BA3C90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838877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合同包29(29标段：孙家湾村76-80小班)特定资格要求如下:</w:t>
      </w:r>
    </w:p>
    <w:p w14:paraId="365687D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082DFE8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合同包30(30标段：龙洞沟村1、5小班)特定资格要求如下:</w:t>
      </w:r>
    </w:p>
    <w:p w14:paraId="7CBB4B5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84DE92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合同包31(31标段：龙洞沟村3、4小班)特定资格要求如下:</w:t>
      </w:r>
    </w:p>
    <w:p w14:paraId="1F42329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1B78E66E">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合同包32(32标段：龙洞沟村2、6、7小班)特定资格要求如下:</w:t>
      </w:r>
    </w:p>
    <w:p w14:paraId="527CD57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D2FEEA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合同包33(33标段：铁炉子村1、6小班)特定资格要求如下:</w:t>
      </w:r>
    </w:p>
    <w:p w14:paraId="64F880C2">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5E7833F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合同包34(34标段：铁炉子村3、4小班)特定资格要求如下:</w:t>
      </w:r>
    </w:p>
    <w:p w14:paraId="4D919A06">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C5561BA">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合同包35(35标段：铁炉子村2、5小班)特定资格要求如下:</w:t>
      </w:r>
    </w:p>
    <w:p w14:paraId="09C81A89">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4ADB7CE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合同包36(36标段：西河村1-5小班)特定资格要求如下:</w:t>
      </w:r>
    </w:p>
    <w:p w14:paraId="488AB905">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787BFAA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合同包37(37标段：西河村6-8小班、白龙村1小班、马家店村1小班)特定资格要求如下:</w:t>
      </w:r>
    </w:p>
    <w:p w14:paraId="0A75DD37">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tLeast"/>
        <w:ind w:left="480" w:right="0" w:firstLine="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同合同包1</w:t>
      </w:r>
    </w:p>
    <w:p w14:paraId="229EB682">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三、获取招标文件</w:t>
      </w:r>
    </w:p>
    <w:p w14:paraId="3204770A">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时间：2024年12月03日至2024年12月09日，每天上午09:00:00至12:00:00，下午14:00:00至17:00:00（北京时间）</w:t>
      </w:r>
    </w:p>
    <w:p w14:paraId="6B7A485B">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途径：陕西省西安市经济技术开发区未央路171-1号银池道拉斯财富中心21楼</w:t>
      </w:r>
    </w:p>
    <w:p w14:paraId="719DB0A2">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方式：现场获取</w:t>
      </w:r>
    </w:p>
    <w:p w14:paraId="2B790B4D">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售价：0元</w:t>
      </w:r>
    </w:p>
    <w:p w14:paraId="035F796D">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四、提交投标文件截止时间、开标时间和地点</w:t>
      </w:r>
    </w:p>
    <w:p w14:paraId="6B47B5AA">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时间：2024年12月23日 09时00分00秒 （北京时间）</w:t>
      </w:r>
    </w:p>
    <w:p w14:paraId="0F756013">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提交投标文件地点：陕西省西安市经济技术开发区未央路171-1号银池道拉斯财富中心21楼</w:t>
      </w:r>
    </w:p>
    <w:p w14:paraId="50815959">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开标地点：陕西省西安市经济技术开发区未央路171-1号银池道拉斯财富中心21楼</w:t>
      </w:r>
    </w:p>
    <w:p w14:paraId="0AAE220C">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五、公告期限</w:t>
      </w:r>
    </w:p>
    <w:p w14:paraId="40B1E307">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tLeast"/>
        <w:ind w:left="0" w:right="0" w:firstLine="480"/>
        <w:jc w:val="both"/>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自本公告发布之日起5个工作日。</w:t>
      </w:r>
    </w:p>
    <w:p w14:paraId="788C9598">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六、其他补充事宜</w:t>
      </w:r>
    </w:p>
    <w:p w14:paraId="3B454E1B">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0"/>
        <w:jc w:val="both"/>
        <w:textAlignment w:val="baseline"/>
        <w:rPr>
          <w:rFonts w:hint="eastAsia" w:ascii="宋体" w:hAnsi="宋体" w:eastAsia="宋体" w:cs="宋体"/>
          <w:i w:val="0"/>
          <w:iCs w:val="0"/>
          <w:caps w:val="0"/>
          <w:color w:val="333333"/>
          <w:spacing w:val="11"/>
          <w:sz w:val="24"/>
          <w:szCs w:val="24"/>
          <w:highlight w:val="none"/>
        </w:rPr>
      </w:pPr>
      <w:r>
        <w:rPr>
          <w:rFonts w:hint="eastAsia" w:ascii="宋体" w:hAnsi="宋体" w:eastAsia="宋体" w:cs="宋体"/>
          <w:i w:val="0"/>
          <w:iCs w:val="0"/>
          <w:caps w:val="0"/>
          <w:color w:val="3D3D3D"/>
          <w:spacing w:val="11"/>
          <w:kern w:val="0"/>
          <w:sz w:val="24"/>
          <w:szCs w:val="24"/>
          <w:highlight w:val="none"/>
          <w:shd w:val="clear" w:fill="FFFFFF"/>
          <w:vertAlign w:val="baseline"/>
          <w:lang w:val="en-US" w:eastAsia="zh-CN" w:bidi="ar"/>
        </w:rPr>
        <w:t>（1）供应商领取标书时，请携带单位介绍信及经办人身份证原件及复印件加盖公章。</w:t>
      </w:r>
    </w:p>
    <w:p w14:paraId="3950220F">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0"/>
        <w:jc w:val="both"/>
        <w:textAlignment w:val="baseline"/>
        <w:rPr>
          <w:rFonts w:hint="eastAsia" w:ascii="宋体" w:hAnsi="宋体" w:eastAsia="宋体" w:cs="宋体"/>
          <w:i w:val="0"/>
          <w:iCs w:val="0"/>
          <w:caps w:val="0"/>
          <w:color w:val="333333"/>
          <w:spacing w:val="11"/>
          <w:sz w:val="24"/>
          <w:szCs w:val="24"/>
          <w:highlight w:val="none"/>
        </w:rPr>
      </w:pPr>
      <w:r>
        <w:rPr>
          <w:rFonts w:hint="eastAsia" w:ascii="宋体" w:hAnsi="宋体" w:eastAsia="宋体" w:cs="宋体"/>
          <w:i w:val="0"/>
          <w:iCs w:val="0"/>
          <w:caps w:val="0"/>
          <w:color w:val="3D3D3D"/>
          <w:spacing w:val="11"/>
          <w:kern w:val="0"/>
          <w:sz w:val="24"/>
          <w:szCs w:val="24"/>
          <w:highlight w:val="none"/>
          <w:shd w:val="clear" w:fill="FFFFFF"/>
          <w:vertAlign w:val="baseline"/>
          <w:lang w:val="en-US" w:eastAsia="zh-CN" w:bidi="ar"/>
        </w:rPr>
        <w:t>（2）请投标人按照《陕西省财政厅关于政府采购供应商注册登记有关事项的通知》中的要求，通过陕西省政府采购网（http://www.ccgp-shaanxi.gov.cn/）注册登记加入陕西省政府采购供应商库。</w:t>
      </w:r>
    </w:p>
    <w:p w14:paraId="17174136">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0"/>
        <w:jc w:val="both"/>
        <w:textAlignment w:val="baseline"/>
        <w:rPr>
          <w:rFonts w:hint="eastAsia" w:ascii="宋体" w:hAnsi="宋体" w:eastAsia="宋体" w:cs="宋体"/>
          <w:i w:val="0"/>
          <w:iCs w:val="0"/>
          <w:caps w:val="0"/>
          <w:color w:val="333333"/>
          <w:spacing w:val="11"/>
          <w:sz w:val="24"/>
          <w:szCs w:val="24"/>
          <w:highlight w:val="none"/>
        </w:rPr>
      </w:pPr>
      <w:r>
        <w:rPr>
          <w:rFonts w:hint="eastAsia" w:ascii="宋体" w:hAnsi="宋体" w:eastAsia="宋体" w:cs="宋体"/>
          <w:i w:val="0"/>
          <w:iCs w:val="0"/>
          <w:caps w:val="0"/>
          <w:color w:val="3D3D3D"/>
          <w:spacing w:val="11"/>
          <w:kern w:val="0"/>
          <w:sz w:val="24"/>
          <w:szCs w:val="24"/>
          <w:highlight w:val="none"/>
          <w:shd w:val="clear" w:fill="FFFFFF"/>
          <w:vertAlign w:val="baseline"/>
          <w:lang w:val="en-US" w:eastAsia="zh-CN" w:bidi="ar"/>
        </w:rPr>
        <w:t>（3）本项目专门面向中小企业。</w:t>
      </w:r>
    </w:p>
    <w:p w14:paraId="21B88903">
      <w:pPr>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0"/>
        <w:jc w:val="both"/>
        <w:textAlignment w:val="baseline"/>
        <w:rPr>
          <w:rFonts w:hint="eastAsia" w:ascii="宋体" w:hAnsi="宋体" w:eastAsia="宋体" w:cs="宋体"/>
          <w:i w:val="0"/>
          <w:iCs w:val="0"/>
          <w:caps w:val="0"/>
          <w:color w:val="333333"/>
          <w:spacing w:val="11"/>
          <w:sz w:val="24"/>
          <w:szCs w:val="24"/>
          <w:highlight w:val="none"/>
        </w:rPr>
      </w:pPr>
      <w:r>
        <w:rPr>
          <w:rFonts w:hint="eastAsia" w:ascii="宋体" w:hAnsi="宋体" w:eastAsia="宋体" w:cs="宋体"/>
          <w:i w:val="0"/>
          <w:iCs w:val="0"/>
          <w:caps w:val="0"/>
          <w:color w:val="3D3D3D"/>
          <w:spacing w:val="11"/>
          <w:kern w:val="0"/>
          <w:sz w:val="24"/>
          <w:szCs w:val="24"/>
          <w:highlight w:val="none"/>
          <w:shd w:val="clear" w:fill="FFFFFF"/>
          <w:vertAlign w:val="baseline"/>
          <w:lang w:val="en-US" w:eastAsia="zh-CN" w:bidi="ar"/>
        </w:rPr>
        <w:t>（4）本项目允许多个标段投标，但只允许中一个标段。</w:t>
      </w:r>
    </w:p>
    <w:p w14:paraId="24C6CD37">
      <w:pPr>
        <w:pStyle w:val="8"/>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150" w:beforeAutospacing="0" w:after="0" w:afterAutospacing="0" w:line="750" w:lineRule="atLeast"/>
        <w:ind w:left="0" w:right="0" w:firstLine="0"/>
        <w:jc w:val="left"/>
        <w:textAlignment w:val="baseline"/>
        <w:rPr>
          <w:rFonts w:hint="eastAsia" w:ascii="宋体" w:hAnsi="宋体" w:eastAsia="宋体" w:cs="宋体"/>
          <w:b w:val="0"/>
          <w:bCs w:val="0"/>
          <w:i w:val="0"/>
          <w:iCs w:val="0"/>
          <w:caps w:val="0"/>
          <w:color w:val="333333"/>
          <w:spacing w:val="0"/>
          <w:sz w:val="24"/>
          <w:szCs w:val="24"/>
          <w:highlight w:val="none"/>
        </w:rPr>
      </w:pPr>
      <w:r>
        <w:rPr>
          <w:rStyle w:val="30"/>
          <w:rFonts w:hint="eastAsia" w:ascii="宋体" w:hAnsi="宋体" w:eastAsia="宋体" w:cs="宋体"/>
          <w:b/>
          <w:bCs/>
          <w:i w:val="0"/>
          <w:iCs w:val="0"/>
          <w:caps w:val="0"/>
          <w:color w:val="333333"/>
          <w:spacing w:val="0"/>
          <w:sz w:val="24"/>
          <w:szCs w:val="24"/>
          <w:highlight w:val="none"/>
          <w:shd w:val="clear" w:fill="FFFFFF"/>
          <w:vertAlign w:val="baseline"/>
        </w:rPr>
        <w:t>七、对本次招标提出询问，请按以下方式联系。</w:t>
      </w:r>
    </w:p>
    <w:p w14:paraId="2F8AA140">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jc w:val="left"/>
        <w:textAlignment w:val="baseline"/>
        <w:rPr>
          <w:rFonts w:hint="eastAsia" w:ascii="宋体" w:hAnsi="宋体" w:eastAsia="宋体" w:cs="宋体"/>
          <w:b w:val="0"/>
          <w:bCs w:val="0"/>
          <w:sz w:val="24"/>
          <w:szCs w:val="24"/>
          <w:highlight w:val="none"/>
        </w:rPr>
      </w:pPr>
      <w:r>
        <w:rPr>
          <w:rFonts w:hint="eastAsia" w:ascii="宋体" w:hAnsi="宋体" w:eastAsia="宋体" w:cs="宋体"/>
          <w:b w:val="0"/>
          <w:bCs w:val="0"/>
          <w:i w:val="0"/>
          <w:iCs w:val="0"/>
          <w:caps w:val="0"/>
          <w:color w:val="333333"/>
          <w:spacing w:val="0"/>
          <w:sz w:val="24"/>
          <w:szCs w:val="24"/>
          <w:highlight w:val="none"/>
          <w:shd w:val="clear" w:fill="FFFFFF"/>
          <w:vertAlign w:val="baseline"/>
        </w:rPr>
        <w:t>1.采购人信息</w:t>
      </w:r>
    </w:p>
    <w:p w14:paraId="6D022F7B">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名称：山阳县城区森林公园管理站</w:t>
      </w:r>
    </w:p>
    <w:p w14:paraId="2B98222D">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地址：山阳县城关街办西关</w:t>
      </w:r>
    </w:p>
    <w:p w14:paraId="5678180F">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联系方式：18991455628</w:t>
      </w:r>
    </w:p>
    <w:p w14:paraId="1CB2F4F2">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jc w:val="left"/>
        <w:textAlignment w:val="baseline"/>
        <w:rPr>
          <w:rFonts w:hint="eastAsia" w:ascii="宋体" w:hAnsi="宋体" w:eastAsia="宋体" w:cs="宋体"/>
          <w:b w:val="0"/>
          <w:bCs w:val="0"/>
          <w:sz w:val="24"/>
          <w:szCs w:val="24"/>
          <w:highlight w:val="none"/>
        </w:rPr>
      </w:pPr>
      <w:r>
        <w:rPr>
          <w:rFonts w:hint="eastAsia" w:ascii="宋体" w:hAnsi="宋体" w:eastAsia="宋体" w:cs="宋体"/>
          <w:b w:val="0"/>
          <w:bCs w:val="0"/>
          <w:i w:val="0"/>
          <w:iCs w:val="0"/>
          <w:caps w:val="0"/>
          <w:color w:val="333333"/>
          <w:spacing w:val="0"/>
          <w:sz w:val="24"/>
          <w:szCs w:val="24"/>
          <w:highlight w:val="none"/>
          <w:shd w:val="clear" w:fill="FFFFFF"/>
          <w:vertAlign w:val="baseline"/>
        </w:rPr>
        <w:t>2.采购代理机构信息</w:t>
      </w:r>
    </w:p>
    <w:p w14:paraId="7EA81B91">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名称：陕西至诚项目管理集团有限公司</w:t>
      </w:r>
    </w:p>
    <w:p w14:paraId="16DDBAC8">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地址：陕西省西安市经济技术开发区未央路171-1号银池道拉斯财富中心21楼</w:t>
      </w:r>
    </w:p>
    <w:p w14:paraId="34877283">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联系方式：029-88219779</w:t>
      </w:r>
    </w:p>
    <w:p w14:paraId="03BAE195">
      <w:pPr>
        <w:pStyle w:val="9"/>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jc w:val="left"/>
        <w:textAlignment w:val="baseline"/>
        <w:rPr>
          <w:rFonts w:hint="eastAsia" w:ascii="宋体" w:hAnsi="宋体" w:eastAsia="宋体" w:cs="宋体"/>
          <w:b w:val="0"/>
          <w:bCs w:val="0"/>
          <w:sz w:val="24"/>
          <w:szCs w:val="24"/>
          <w:highlight w:val="none"/>
        </w:rPr>
      </w:pPr>
      <w:r>
        <w:rPr>
          <w:rFonts w:hint="eastAsia" w:ascii="宋体" w:hAnsi="宋体" w:eastAsia="宋体" w:cs="宋体"/>
          <w:b w:val="0"/>
          <w:bCs w:val="0"/>
          <w:i w:val="0"/>
          <w:iCs w:val="0"/>
          <w:caps w:val="0"/>
          <w:color w:val="333333"/>
          <w:spacing w:val="0"/>
          <w:sz w:val="24"/>
          <w:szCs w:val="24"/>
          <w:highlight w:val="none"/>
          <w:shd w:val="clear" w:fill="FFFFFF"/>
          <w:vertAlign w:val="baseline"/>
        </w:rPr>
        <w:t>3.项目联系方式</w:t>
      </w:r>
    </w:p>
    <w:p w14:paraId="7061E7CC">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项目联系人：倪沛、刘瑞琦、王欣玫</w:t>
      </w:r>
    </w:p>
    <w:p w14:paraId="385B61B0">
      <w:pPr>
        <w:pStyle w:val="24"/>
        <w:keepNext w:val="0"/>
        <w:keepLines w:val="0"/>
        <w:widowControl/>
        <w:suppressLineNumbers w:val="0"/>
        <w:pBdr>
          <w:top w:val="none" w:color="auto" w:sz="0" w:space="0"/>
          <w:left w:val="none" w:color="auto" w:sz="0" w:space="0"/>
          <w:bottom w:val="none" w:color="auto" w:sz="0" w:space="0"/>
          <w:right w:val="none" w:color="auto" w:sz="0" w:space="0"/>
        </w:pBdr>
        <w:spacing w:before="0" w:beforeAutospacing="0" w:after="0" w:afterAutospacing="0" w:line="480" w:lineRule="auto"/>
        <w:ind w:left="0" w:right="0" w:firstLine="480"/>
        <w:jc w:val="both"/>
        <w:textAlignment w:val="baseline"/>
        <w:rPr>
          <w:rFonts w:hint="eastAsia" w:ascii="宋体" w:hAnsi="宋体" w:eastAsia="宋体" w:cs="宋体"/>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电话：029-88219779</w:t>
      </w:r>
    </w:p>
    <w:p w14:paraId="36C700AA">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480"/>
        <w:jc w:val="right"/>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陕西至诚项目管理集团有限公司</w:t>
      </w:r>
    </w:p>
    <w:p w14:paraId="3BA4C51B">
      <w:pPr>
        <w:pStyle w:val="24"/>
        <w:keepNext w:val="0"/>
        <w:keepLines w:val="0"/>
        <w:widowControl/>
        <w:suppressLineNumbers w:val="0"/>
        <w:pBdr>
          <w:top w:val="none" w:color="auto" w:sz="0" w:space="0"/>
          <w:left w:val="none" w:color="auto" w:sz="0" w:space="0"/>
          <w:bottom w:val="none" w:color="auto" w:sz="0" w:space="0"/>
          <w:right w:val="none" w:color="auto" w:sz="0" w:space="0"/>
        </w:pBdr>
        <w:shd w:val="clear" w:fill="FFFFFF"/>
        <w:spacing w:before="0" w:beforeAutospacing="0" w:after="0" w:afterAutospacing="0" w:line="480" w:lineRule="auto"/>
        <w:ind w:left="0" w:right="0" w:firstLine="480"/>
        <w:jc w:val="right"/>
        <w:textAlignment w:val="baseline"/>
        <w:rPr>
          <w:rFonts w:hint="eastAsia" w:ascii="宋体" w:hAnsi="宋体" w:eastAsia="宋体" w:cs="宋体"/>
          <w:i w:val="0"/>
          <w:iCs w:val="0"/>
          <w:caps w:val="0"/>
          <w:color w:val="333333"/>
          <w:spacing w:val="0"/>
          <w:sz w:val="24"/>
          <w:szCs w:val="24"/>
          <w:highlight w:val="none"/>
        </w:rPr>
      </w:pPr>
      <w:r>
        <w:rPr>
          <w:rFonts w:hint="eastAsia" w:ascii="宋体" w:hAnsi="宋体" w:eastAsia="宋体" w:cs="宋体"/>
          <w:i w:val="0"/>
          <w:iCs w:val="0"/>
          <w:caps w:val="0"/>
          <w:color w:val="333333"/>
          <w:spacing w:val="0"/>
          <w:sz w:val="24"/>
          <w:szCs w:val="24"/>
          <w:highlight w:val="none"/>
          <w:shd w:val="clear" w:fill="FFFFFF"/>
          <w:vertAlign w:val="baseline"/>
        </w:rPr>
        <w:t>2024年12月02日</w:t>
      </w:r>
    </w:p>
    <w:p w14:paraId="2FAFFD1A">
      <w:pPr>
        <w:pStyle w:val="24"/>
        <w:widowControl/>
        <w:spacing w:line="360" w:lineRule="auto"/>
        <w:ind w:firstLine="480"/>
        <w:jc w:val="right"/>
        <w:textAlignment w:val="baseline"/>
        <w:rPr>
          <w:rFonts w:ascii="宋体" w:hAnsi="宋体" w:cs="宋体"/>
          <w:color w:val="333333"/>
          <w:sz w:val="21"/>
          <w:szCs w:val="21"/>
          <w:highlight w:val="none"/>
          <w:shd w:val="clear" w:color="auto" w:fill="FFFFFF"/>
        </w:rPr>
      </w:pPr>
    </w:p>
    <w:p w14:paraId="34FB5226">
      <w:pPr>
        <w:spacing w:line="360" w:lineRule="auto"/>
        <w:rPr>
          <w:rFonts w:ascii="宋体" w:hAnsi="宋体" w:cs="宋体"/>
          <w:szCs w:val="21"/>
          <w:highlight w:val="none"/>
        </w:rPr>
      </w:pPr>
    </w:p>
    <w:p w14:paraId="2C4D8FA1">
      <w:pPr>
        <w:pStyle w:val="4"/>
        <w:keepNext w:val="0"/>
        <w:pageBreakBefore/>
        <w:spacing w:line="350" w:lineRule="auto"/>
        <w:jc w:val="center"/>
        <w:rPr>
          <w:rFonts w:asciiTheme="minorEastAsia" w:hAnsiTheme="minorEastAsia" w:eastAsiaTheme="minorEastAsia" w:cstheme="minorEastAsia"/>
          <w:sz w:val="36"/>
          <w:szCs w:val="20"/>
          <w:highlight w:val="none"/>
        </w:rPr>
      </w:pPr>
      <w:r>
        <w:rPr>
          <w:rFonts w:hint="eastAsia" w:asciiTheme="minorEastAsia" w:hAnsiTheme="minorEastAsia" w:eastAsiaTheme="minorEastAsia" w:cstheme="minorEastAsia"/>
          <w:sz w:val="36"/>
          <w:szCs w:val="20"/>
          <w:highlight w:val="none"/>
        </w:rPr>
        <w:t>第二章  投标人须知</w:t>
      </w:r>
      <w:bookmarkEnd w:id="3"/>
      <w:bookmarkEnd w:id="4"/>
      <w:bookmarkEnd w:id="5"/>
    </w:p>
    <w:p w14:paraId="24DEF7F4">
      <w:pPr>
        <w:spacing w:line="360" w:lineRule="auto"/>
        <w:jc w:val="center"/>
        <w:outlineLvl w:val="1"/>
        <w:rPr>
          <w:rFonts w:asciiTheme="minorEastAsia" w:hAnsiTheme="minorEastAsia" w:eastAsiaTheme="minorEastAsia" w:cstheme="minorEastAsia"/>
          <w:b/>
          <w:bCs/>
          <w:sz w:val="28"/>
          <w:szCs w:val="28"/>
          <w:highlight w:val="none"/>
        </w:rPr>
      </w:pPr>
      <w:bookmarkStart w:id="6" w:name="_Toc19675"/>
      <w:bookmarkStart w:id="7" w:name="_Toc420591642"/>
      <w:bookmarkStart w:id="8" w:name="_Toc421778364"/>
      <w:bookmarkStart w:id="9" w:name="_Toc6196"/>
      <w:r>
        <w:rPr>
          <w:rFonts w:hint="eastAsia" w:asciiTheme="minorEastAsia" w:hAnsiTheme="minorEastAsia" w:eastAsiaTheme="minorEastAsia" w:cstheme="minorEastAsia"/>
          <w:b/>
          <w:bCs/>
          <w:sz w:val="28"/>
          <w:szCs w:val="28"/>
          <w:highlight w:val="none"/>
        </w:rPr>
        <w:t>投标人须知前附表</w:t>
      </w:r>
      <w:bookmarkEnd w:id="6"/>
      <w:bookmarkEnd w:id="7"/>
      <w:bookmarkEnd w:id="8"/>
      <w:bookmarkEnd w:id="9"/>
    </w:p>
    <w:tbl>
      <w:tblPr>
        <w:tblStyle w:val="27"/>
        <w:tblW w:w="900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5"/>
        <w:gridCol w:w="1966"/>
        <w:gridCol w:w="6053"/>
      </w:tblGrid>
      <w:tr w14:paraId="559FF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85" w:type="dxa"/>
            <w:vAlign w:val="center"/>
          </w:tcPr>
          <w:p w14:paraId="0B829D28">
            <w:pPr>
              <w:spacing w:line="360" w:lineRule="auto"/>
              <w:jc w:val="center"/>
              <w:rPr>
                <w:rFonts w:ascii="宋体" w:hAnsi="宋体" w:cs="宋体"/>
                <w:b/>
                <w:bCs/>
                <w:sz w:val="24"/>
                <w:szCs w:val="24"/>
                <w:highlight w:val="none"/>
              </w:rPr>
            </w:pPr>
            <w:r>
              <w:rPr>
                <w:rFonts w:hint="eastAsia" w:ascii="宋体" w:hAnsi="宋体" w:cs="宋体"/>
                <w:b/>
                <w:bCs/>
                <w:sz w:val="24"/>
                <w:szCs w:val="24"/>
                <w:highlight w:val="none"/>
              </w:rPr>
              <w:t>条款号</w:t>
            </w:r>
          </w:p>
        </w:tc>
        <w:tc>
          <w:tcPr>
            <w:tcW w:w="1966" w:type="dxa"/>
            <w:vAlign w:val="center"/>
          </w:tcPr>
          <w:p w14:paraId="75E0A44F">
            <w:pPr>
              <w:spacing w:line="360" w:lineRule="auto"/>
              <w:jc w:val="center"/>
              <w:rPr>
                <w:rFonts w:ascii="宋体" w:hAnsi="宋体" w:cs="宋体"/>
                <w:b/>
                <w:bCs/>
                <w:sz w:val="24"/>
                <w:szCs w:val="24"/>
                <w:highlight w:val="none"/>
              </w:rPr>
            </w:pPr>
            <w:r>
              <w:rPr>
                <w:rFonts w:hint="eastAsia" w:ascii="宋体" w:hAnsi="宋体" w:cs="宋体"/>
                <w:b/>
                <w:bCs/>
                <w:sz w:val="24"/>
                <w:szCs w:val="24"/>
                <w:highlight w:val="none"/>
              </w:rPr>
              <w:t>条款名称</w:t>
            </w:r>
          </w:p>
        </w:tc>
        <w:tc>
          <w:tcPr>
            <w:tcW w:w="6053" w:type="dxa"/>
            <w:vAlign w:val="center"/>
          </w:tcPr>
          <w:p w14:paraId="656F9760">
            <w:pPr>
              <w:spacing w:line="360" w:lineRule="auto"/>
              <w:jc w:val="center"/>
              <w:rPr>
                <w:rFonts w:ascii="宋体" w:hAnsi="宋体" w:cs="宋体"/>
                <w:b/>
                <w:bCs/>
                <w:sz w:val="24"/>
                <w:szCs w:val="24"/>
                <w:highlight w:val="none"/>
              </w:rPr>
            </w:pPr>
            <w:r>
              <w:rPr>
                <w:rFonts w:hint="eastAsia" w:ascii="宋体" w:hAnsi="宋体" w:cs="宋体"/>
                <w:b/>
                <w:bCs/>
                <w:sz w:val="24"/>
                <w:szCs w:val="24"/>
                <w:highlight w:val="none"/>
              </w:rPr>
              <w:t>编列内容</w:t>
            </w:r>
          </w:p>
        </w:tc>
      </w:tr>
      <w:tr w14:paraId="5099C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6" w:hRule="atLeast"/>
          <w:jc w:val="center"/>
        </w:trPr>
        <w:tc>
          <w:tcPr>
            <w:tcW w:w="985" w:type="dxa"/>
            <w:vAlign w:val="center"/>
          </w:tcPr>
          <w:p w14:paraId="14BF766C">
            <w:pPr>
              <w:spacing w:line="360" w:lineRule="auto"/>
              <w:jc w:val="center"/>
              <w:rPr>
                <w:rFonts w:ascii="宋体" w:hAnsi="宋体" w:cs="宋体"/>
                <w:sz w:val="24"/>
                <w:szCs w:val="24"/>
                <w:highlight w:val="none"/>
              </w:rPr>
            </w:pPr>
            <w:r>
              <w:rPr>
                <w:rFonts w:hint="eastAsia" w:ascii="宋体" w:hAnsi="宋体" w:cs="宋体"/>
                <w:sz w:val="24"/>
                <w:szCs w:val="24"/>
                <w:highlight w:val="none"/>
              </w:rPr>
              <w:t>1.1.2</w:t>
            </w:r>
          </w:p>
        </w:tc>
        <w:tc>
          <w:tcPr>
            <w:tcW w:w="1966" w:type="dxa"/>
            <w:vAlign w:val="center"/>
          </w:tcPr>
          <w:p w14:paraId="6DF4C147">
            <w:pPr>
              <w:spacing w:line="360" w:lineRule="auto"/>
              <w:jc w:val="center"/>
              <w:rPr>
                <w:rFonts w:ascii="宋体" w:hAnsi="宋体" w:cs="宋体"/>
                <w:sz w:val="24"/>
                <w:szCs w:val="24"/>
                <w:highlight w:val="none"/>
              </w:rPr>
            </w:pPr>
            <w:r>
              <w:rPr>
                <w:rFonts w:hint="eastAsia" w:ascii="宋体" w:hAnsi="宋体" w:cs="宋体"/>
                <w:sz w:val="24"/>
                <w:szCs w:val="24"/>
                <w:highlight w:val="none"/>
              </w:rPr>
              <w:t>招标人</w:t>
            </w:r>
          </w:p>
        </w:tc>
        <w:tc>
          <w:tcPr>
            <w:tcW w:w="6053" w:type="dxa"/>
            <w:vAlign w:val="center"/>
          </w:tcPr>
          <w:p w14:paraId="286F4DF3">
            <w:pPr>
              <w:spacing w:line="360" w:lineRule="auto"/>
              <w:rPr>
                <w:rFonts w:hint="eastAsia" w:ascii="宋体" w:hAnsi="宋体" w:eastAsia="宋体" w:cs="宋体"/>
                <w:sz w:val="24"/>
                <w:szCs w:val="24"/>
                <w:highlight w:val="none"/>
                <w:lang w:eastAsia="zh-CN"/>
              </w:rPr>
            </w:pPr>
            <w:r>
              <w:rPr>
                <w:rFonts w:hint="eastAsia" w:ascii="宋体" w:hAnsi="宋体" w:cs="宋体"/>
                <w:sz w:val="24"/>
                <w:szCs w:val="24"/>
                <w:highlight w:val="none"/>
              </w:rPr>
              <w:t>招标人：</w:t>
            </w:r>
            <w:r>
              <w:rPr>
                <w:rFonts w:hint="eastAsia" w:ascii="宋体" w:hAnsi="宋体" w:cs="宋体"/>
                <w:sz w:val="24"/>
                <w:szCs w:val="24"/>
                <w:highlight w:val="none"/>
                <w:lang w:eastAsia="zh-CN"/>
              </w:rPr>
              <w:t>山阳县城区森林公园管理站</w:t>
            </w:r>
          </w:p>
          <w:p w14:paraId="71CAE3CF">
            <w:pPr>
              <w:spacing w:line="360" w:lineRule="auto"/>
              <w:rPr>
                <w:rFonts w:hint="eastAsia" w:ascii="宋体" w:hAnsi="宋体" w:eastAsia="宋体" w:cs="宋体"/>
                <w:sz w:val="24"/>
                <w:szCs w:val="24"/>
                <w:highlight w:val="none"/>
                <w:lang w:val="en-US" w:eastAsia="zh-CN"/>
              </w:rPr>
            </w:pPr>
            <w:r>
              <w:rPr>
                <w:rFonts w:hint="eastAsia" w:ascii="宋体" w:hAnsi="宋体" w:cs="宋体"/>
                <w:sz w:val="24"/>
                <w:szCs w:val="24"/>
                <w:highlight w:val="none"/>
              </w:rPr>
              <w:t>地  址：</w:t>
            </w:r>
            <w:r>
              <w:rPr>
                <w:rFonts w:hint="eastAsia" w:ascii="宋体" w:hAnsi="宋体" w:cs="宋体"/>
                <w:sz w:val="24"/>
                <w:szCs w:val="24"/>
                <w:highlight w:val="none"/>
                <w:lang w:eastAsia="zh-CN"/>
              </w:rPr>
              <w:t>山阳县城关街办西关</w:t>
            </w:r>
          </w:p>
        </w:tc>
      </w:tr>
      <w:tr w14:paraId="1454F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77" w:hRule="atLeast"/>
          <w:jc w:val="center"/>
        </w:trPr>
        <w:tc>
          <w:tcPr>
            <w:tcW w:w="985" w:type="dxa"/>
            <w:vAlign w:val="center"/>
          </w:tcPr>
          <w:p w14:paraId="6D9591C4">
            <w:pPr>
              <w:spacing w:line="360" w:lineRule="auto"/>
              <w:jc w:val="center"/>
              <w:rPr>
                <w:rFonts w:ascii="宋体" w:hAnsi="宋体" w:cs="宋体"/>
                <w:sz w:val="24"/>
                <w:szCs w:val="24"/>
                <w:highlight w:val="none"/>
              </w:rPr>
            </w:pPr>
            <w:r>
              <w:rPr>
                <w:rFonts w:hint="eastAsia" w:ascii="宋体" w:hAnsi="宋体" w:cs="宋体"/>
                <w:sz w:val="24"/>
                <w:szCs w:val="24"/>
                <w:highlight w:val="none"/>
              </w:rPr>
              <w:t>1.1.3</w:t>
            </w:r>
          </w:p>
        </w:tc>
        <w:tc>
          <w:tcPr>
            <w:tcW w:w="1966" w:type="dxa"/>
            <w:vAlign w:val="center"/>
          </w:tcPr>
          <w:p w14:paraId="40663BEE">
            <w:pPr>
              <w:spacing w:line="360" w:lineRule="auto"/>
              <w:jc w:val="center"/>
              <w:rPr>
                <w:rFonts w:ascii="宋体" w:hAnsi="宋体" w:cs="宋体"/>
                <w:sz w:val="24"/>
                <w:szCs w:val="24"/>
                <w:highlight w:val="none"/>
              </w:rPr>
            </w:pPr>
            <w:r>
              <w:rPr>
                <w:rFonts w:hint="eastAsia" w:ascii="宋体" w:hAnsi="宋体" w:cs="宋体"/>
                <w:sz w:val="24"/>
                <w:szCs w:val="24"/>
                <w:highlight w:val="none"/>
              </w:rPr>
              <w:t>招标代理机构</w:t>
            </w:r>
          </w:p>
        </w:tc>
        <w:tc>
          <w:tcPr>
            <w:tcW w:w="6053" w:type="dxa"/>
            <w:vAlign w:val="center"/>
          </w:tcPr>
          <w:p w14:paraId="4BA2DFBA">
            <w:pPr>
              <w:spacing w:line="360" w:lineRule="auto"/>
              <w:rPr>
                <w:rFonts w:ascii="宋体" w:hAnsi="宋体" w:cs="宋体"/>
                <w:sz w:val="24"/>
                <w:szCs w:val="24"/>
                <w:highlight w:val="none"/>
              </w:rPr>
            </w:pPr>
            <w:r>
              <w:rPr>
                <w:rFonts w:hint="eastAsia" w:ascii="宋体" w:hAnsi="宋体" w:cs="宋体"/>
                <w:sz w:val="24"/>
                <w:szCs w:val="24"/>
                <w:highlight w:val="none"/>
              </w:rPr>
              <w:t>名称：</w:t>
            </w:r>
            <w:r>
              <w:rPr>
                <w:rFonts w:hint="eastAsia" w:ascii="宋体" w:hAnsi="宋体" w:cs="宋体"/>
                <w:kern w:val="0"/>
                <w:sz w:val="24"/>
                <w:szCs w:val="24"/>
                <w:highlight w:val="none"/>
              </w:rPr>
              <w:t xml:space="preserve">陕西至诚项目管理集团有限公司 </w:t>
            </w:r>
          </w:p>
          <w:p w14:paraId="077C24BF">
            <w:pPr>
              <w:spacing w:line="360" w:lineRule="auto"/>
              <w:rPr>
                <w:rFonts w:ascii="宋体" w:hAnsi="宋体" w:cs="宋体"/>
                <w:sz w:val="24"/>
                <w:szCs w:val="24"/>
                <w:highlight w:val="none"/>
              </w:rPr>
            </w:pPr>
            <w:r>
              <w:rPr>
                <w:rFonts w:hint="eastAsia" w:ascii="宋体" w:hAnsi="宋体" w:cs="宋体"/>
                <w:sz w:val="24"/>
                <w:szCs w:val="24"/>
                <w:highlight w:val="none"/>
              </w:rPr>
              <w:t>地址：陕西省西安市经济技术开发区未央路171-1号银池道拉斯财富中心21楼</w:t>
            </w:r>
          </w:p>
          <w:p w14:paraId="78117E28">
            <w:pPr>
              <w:spacing w:line="360" w:lineRule="auto"/>
              <w:rPr>
                <w:rFonts w:ascii="宋体" w:hAnsi="宋体" w:cs="宋体"/>
                <w:sz w:val="24"/>
                <w:szCs w:val="24"/>
                <w:highlight w:val="none"/>
              </w:rPr>
            </w:pPr>
            <w:r>
              <w:rPr>
                <w:rFonts w:hint="eastAsia" w:ascii="宋体" w:hAnsi="宋体" w:cs="宋体"/>
                <w:sz w:val="24"/>
                <w:szCs w:val="24"/>
                <w:highlight w:val="none"/>
              </w:rPr>
              <w:t>联系人：倪沛、刘瑞琦、王欣玫</w:t>
            </w:r>
          </w:p>
          <w:p w14:paraId="02BC0F3A">
            <w:pPr>
              <w:spacing w:line="360" w:lineRule="auto"/>
              <w:rPr>
                <w:rFonts w:ascii="宋体" w:hAnsi="宋体" w:cs="宋体"/>
                <w:sz w:val="24"/>
                <w:szCs w:val="24"/>
                <w:highlight w:val="none"/>
              </w:rPr>
            </w:pPr>
            <w:r>
              <w:rPr>
                <w:rFonts w:hint="eastAsia" w:ascii="宋体" w:hAnsi="宋体" w:cs="宋体"/>
                <w:sz w:val="24"/>
                <w:szCs w:val="24"/>
                <w:highlight w:val="none"/>
              </w:rPr>
              <w:t>电话：029-88219779</w:t>
            </w:r>
          </w:p>
        </w:tc>
      </w:tr>
      <w:tr w14:paraId="01C38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85" w:type="dxa"/>
            <w:vAlign w:val="center"/>
          </w:tcPr>
          <w:p w14:paraId="2D82A05D">
            <w:pPr>
              <w:spacing w:line="360" w:lineRule="auto"/>
              <w:jc w:val="center"/>
              <w:rPr>
                <w:rFonts w:ascii="宋体" w:hAnsi="宋体" w:cs="宋体"/>
                <w:sz w:val="24"/>
                <w:szCs w:val="24"/>
                <w:highlight w:val="none"/>
              </w:rPr>
            </w:pPr>
            <w:r>
              <w:rPr>
                <w:rFonts w:hint="eastAsia" w:ascii="宋体" w:hAnsi="宋体" w:cs="宋体"/>
                <w:sz w:val="24"/>
                <w:szCs w:val="24"/>
                <w:highlight w:val="none"/>
              </w:rPr>
              <w:t>1.1.5</w:t>
            </w:r>
          </w:p>
        </w:tc>
        <w:tc>
          <w:tcPr>
            <w:tcW w:w="1966" w:type="dxa"/>
            <w:vAlign w:val="center"/>
          </w:tcPr>
          <w:p w14:paraId="35AB60EB">
            <w:pPr>
              <w:spacing w:line="360" w:lineRule="auto"/>
              <w:jc w:val="center"/>
              <w:rPr>
                <w:rFonts w:ascii="宋体" w:hAnsi="宋体" w:cs="宋体"/>
                <w:sz w:val="24"/>
                <w:szCs w:val="24"/>
                <w:highlight w:val="none"/>
              </w:rPr>
            </w:pPr>
            <w:r>
              <w:rPr>
                <w:rFonts w:hint="eastAsia" w:ascii="宋体" w:hAnsi="宋体" w:cs="宋体"/>
                <w:sz w:val="24"/>
                <w:szCs w:val="24"/>
                <w:highlight w:val="none"/>
              </w:rPr>
              <w:t>建设地点</w:t>
            </w:r>
          </w:p>
        </w:tc>
        <w:tc>
          <w:tcPr>
            <w:tcW w:w="6053" w:type="dxa"/>
            <w:vAlign w:val="center"/>
          </w:tcPr>
          <w:p w14:paraId="5A2F112B">
            <w:pPr>
              <w:spacing w:line="360" w:lineRule="auto"/>
              <w:rPr>
                <w:rFonts w:ascii="宋体" w:hAnsi="宋体" w:cs="宋体"/>
                <w:sz w:val="24"/>
                <w:szCs w:val="24"/>
                <w:highlight w:val="none"/>
              </w:rPr>
            </w:pPr>
            <w:r>
              <w:rPr>
                <w:rFonts w:hint="eastAsia" w:ascii="宋体" w:hAnsi="宋体" w:cs="宋体"/>
                <w:sz w:val="24"/>
                <w:szCs w:val="24"/>
                <w:highlight w:val="none"/>
              </w:rPr>
              <w:t>山阳县</w:t>
            </w:r>
          </w:p>
        </w:tc>
      </w:tr>
      <w:tr w14:paraId="2A741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985" w:type="dxa"/>
            <w:vAlign w:val="center"/>
          </w:tcPr>
          <w:p w14:paraId="1BFF72B9">
            <w:pPr>
              <w:spacing w:line="360" w:lineRule="auto"/>
              <w:jc w:val="center"/>
              <w:rPr>
                <w:rFonts w:ascii="宋体" w:hAnsi="宋体" w:cs="宋体"/>
                <w:sz w:val="24"/>
                <w:szCs w:val="24"/>
                <w:highlight w:val="none"/>
              </w:rPr>
            </w:pPr>
            <w:r>
              <w:rPr>
                <w:rFonts w:hint="eastAsia" w:ascii="宋体" w:hAnsi="宋体" w:cs="宋体"/>
                <w:sz w:val="24"/>
                <w:szCs w:val="24"/>
                <w:highlight w:val="none"/>
              </w:rPr>
              <w:t>1.2.1</w:t>
            </w:r>
          </w:p>
        </w:tc>
        <w:tc>
          <w:tcPr>
            <w:tcW w:w="1966" w:type="dxa"/>
            <w:vAlign w:val="center"/>
          </w:tcPr>
          <w:p w14:paraId="5808BFBF">
            <w:pPr>
              <w:spacing w:line="360" w:lineRule="auto"/>
              <w:jc w:val="center"/>
              <w:rPr>
                <w:rFonts w:ascii="宋体" w:hAnsi="宋体" w:cs="宋体"/>
                <w:sz w:val="24"/>
                <w:szCs w:val="24"/>
                <w:highlight w:val="none"/>
              </w:rPr>
            </w:pPr>
            <w:r>
              <w:rPr>
                <w:rFonts w:hint="eastAsia" w:ascii="宋体" w:hAnsi="宋体" w:cs="宋体"/>
                <w:sz w:val="24"/>
                <w:szCs w:val="24"/>
                <w:highlight w:val="none"/>
              </w:rPr>
              <w:t>资金来源</w:t>
            </w:r>
          </w:p>
        </w:tc>
        <w:tc>
          <w:tcPr>
            <w:tcW w:w="6053" w:type="dxa"/>
            <w:vAlign w:val="center"/>
          </w:tcPr>
          <w:p w14:paraId="44213B78">
            <w:pPr>
              <w:spacing w:line="360" w:lineRule="auto"/>
              <w:rPr>
                <w:rFonts w:ascii="宋体" w:hAnsi="宋体" w:cs="宋体"/>
                <w:sz w:val="24"/>
                <w:szCs w:val="24"/>
                <w:highlight w:val="none"/>
              </w:rPr>
            </w:pPr>
            <w:r>
              <w:rPr>
                <w:rFonts w:hint="eastAsia" w:ascii="宋体" w:hAnsi="宋体" w:cs="宋体"/>
                <w:sz w:val="24"/>
                <w:szCs w:val="24"/>
                <w:highlight w:val="none"/>
              </w:rPr>
              <w:t>财政资金</w:t>
            </w:r>
          </w:p>
        </w:tc>
      </w:tr>
      <w:tr w14:paraId="476F02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985" w:type="dxa"/>
            <w:vAlign w:val="center"/>
          </w:tcPr>
          <w:p w14:paraId="42724101">
            <w:pPr>
              <w:spacing w:line="360" w:lineRule="auto"/>
              <w:jc w:val="center"/>
              <w:rPr>
                <w:rFonts w:ascii="宋体" w:hAnsi="宋体" w:cs="宋体"/>
                <w:sz w:val="24"/>
                <w:szCs w:val="24"/>
                <w:highlight w:val="none"/>
              </w:rPr>
            </w:pPr>
            <w:r>
              <w:rPr>
                <w:rFonts w:hint="eastAsia" w:ascii="宋体" w:hAnsi="宋体" w:cs="宋体"/>
                <w:sz w:val="24"/>
                <w:szCs w:val="24"/>
                <w:highlight w:val="none"/>
              </w:rPr>
              <w:t>1.2.2</w:t>
            </w:r>
          </w:p>
        </w:tc>
        <w:tc>
          <w:tcPr>
            <w:tcW w:w="1966" w:type="dxa"/>
            <w:vAlign w:val="center"/>
          </w:tcPr>
          <w:p w14:paraId="703B1125">
            <w:pPr>
              <w:spacing w:line="360" w:lineRule="auto"/>
              <w:jc w:val="center"/>
              <w:rPr>
                <w:rFonts w:ascii="宋体" w:hAnsi="宋体" w:cs="宋体"/>
                <w:sz w:val="24"/>
                <w:szCs w:val="24"/>
                <w:highlight w:val="none"/>
              </w:rPr>
            </w:pPr>
            <w:r>
              <w:rPr>
                <w:rFonts w:hint="eastAsia" w:ascii="宋体" w:hAnsi="宋体" w:cs="宋体"/>
                <w:sz w:val="24"/>
                <w:szCs w:val="24"/>
                <w:highlight w:val="none"/>
              </w:rPr>
              <w:t>资金落实情况</w:t>
            </w:r>
          </w:p>
        </w:tc>
        <w:tc>
          <w:tcPr>
            <w:tcW w:w="6053" w:type="dxa"/>
            <w:vAlign w:val="center"/>
          </w:tcPr>
          <w:p w14:paraId="528CCD27">
            <w:pPr>
              <w:spacing w:line="360" w:lineRule="auto"/>
              <w:rPr>
                <w:rFonts w:ascii="宋体" w:hAnsi="宋体" w:cs="宋体"/>
                <w:color w:val="000000" w:themeColor="text1"/>
                <w:sz w:val="24"/>
                <w:szCs w:val="24"/>
                <w:highlight w:val="none"/>
              </w:rPr>
            </w:pPr>
            <w:r>
              <w:rPr>
                <w:rFonts w:hint="eastAsia" w:ascii="宋体" w:hAnsi="宋体" w:cs="宋体"/>
                <w:color w:val="000000" w:themeColor="text1"/>
                <w:sz w:val="24"/>
                <w:szCs w:val="24"/>
                <w:highlight w:val="none"/>
              </w:rPr>
              <w:t>资金已落实到位</w:t>
            </w:r>
          </w:p>
        </w:tc>
      </w:tr>
      <w:tr w14:paraId="5FEF76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85" w:type="dxa"/>
            <w:vAlign w:val="center"/>
          </w:tcPr>
          <w:p w14:paraId="608DA3AC">
            <w:pPr>
              <w:spacing w:line="360" w:lineRule="auto"/>
              <w:jc w:val="center"/>
              <w:rPr>
                <w:rFonts w:ascii="宋体" w:hAnsi="宋体" w:cs="宋体"/>
                <w:sz w:val="24"/>
                <w:szCs w:val="24"/>
                <w:highlight w:val="none"/>
              </w:rPr>
            </w:pPr>
            <w:r>
              <w:rPr>
                <w:rFonts w:hint="eastAsia" w:ascii="宋体" w:hAnsi="宋体" w:cs="宋体"/>
                <w:sz w:val="24"/>
                <w:szCs w:val="24"/>
                <w:highlight w:val="none"/>
              </w:rPr>
              <w:t>1.3.1</w:t>
            </w:r>
          </w:p>
        </w:tc>
        <w:tc>
          <w:tcPr>
            <w:tcW w:w="1966" w:type="dxa"/>
            <w:vAlign w:val="center"/>
          </w:tcPr>
          <w:p w14:paraId="4DB760DB">
            <w:pPr>
              <w:spacing w:line="360" w:lineRule="auto"/>
              <w:jc w:val="center"/>
              <w:rPr>
                <w:rFonts w:ascii="宋体" w:hAnsi="宋体" w:cs="宋体"/>
                <w:sz w:val="24"/>
                <w:szCs w:val="24"/>
                <w:highlight w:val="none"/>
              </w:rPr>
            </w:pPr>
            <w:r>
              <w:rPr>
                <w:rFonts w:hint="eastAsia" w:ascii="宋体" w:hAnsi="宋体" w:cs="宋体"/>
                <w:sz w:val="24"/>
                <w:szCs w:val="24"/>
                <w:highlight w:val="none"/>
              </w:rPr>
              <w:t>招标范围</w:t>
            </w:r>
          </w:p>
        </w:tc>
        <w:tc>
          <w:tcPr>
            <w:tcW w:w="6053" w:type="dxa"/>
            <w:vAlign w:val="center"/>
          </w:tcPr>
          <w:p w14:paraId="692E8AFE">
            <w:pPr>
              <w:spacing w:line="360" w:lineRule="auto"/>
              <w:rPr>
                <w:rFonts w:ascii="宋体" w:hAnsi="宋体" w:cs="宋体"/>
                <w:color w:val="000000" w:themeColor="text1"/>
                <w:sz w:val="24"/>
                <w:szCs w:val="24"/>
                <w:highlight w:val="none"/>
              </w:rPr>
            </w:pPr>
            <w:r>
              <w:rPr>
                <w:rFonts w:hint="eastAsia" w:ascii="宋体" w:hAnsi="宋体" w:cs="宋体"/>
                <w:color w:val="000000" w:themeColor="text1"/>
                <w:sz w:val="24"/>
                <w:szCs w:val="24"/>
                <w:highlight w:val="none"/>
              </w:rPr>
              <w:t>本项目包含的所有施工内容</w:t>
            </w:r>
          </w:p>
        </w:tc>
      </w:tr>
      <w:tr w14:paraId="3354C7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85" w:type="dxa"/>
            <w:vAlign w:val="center"/>
          </w:tcPr>
          <w:p w14:paraId="1962C960">
            <w:pPr>
              <w:spacing w:line="360" w:lineRule="auto"/>
              <w:jc w:val="center"/>
              <w:rPr>
                <w:rFonts w:ascii="宋体" w:hAnsi="宋体" w:cs="宋体"/>
                <w:sz w:val="24"/>
                <w:szCs w:val="24"/>
                <w:highlight w:val="none"/>
              </w:rPr>
            </w:pPr>
            <w:r>
              <w:rPr>
                <w:rFonts w:hint="eastAsia" w:ascii="宋体" w:hAnsi="宋体" w:cs="宋体"/>
                <w:sz w:val="24"/>
                <w:szCs w:val="24"/>
                <w:highlight w:val="none"/>
              </w:rPr>
              <w:t>1.3.2</w:t>
            </w:r>
          </w:p>
        </w:tc>
        <w:tc>
          <w:tcPr>
            <w:tcW w:w="1966" w:type="dxa"/>
            <w:vAlign w:val="center"/>
          </w:tcPr>
          <w:p w14:paraId="05639464">
            <w:pPr>
              <w:spacing w:line="360" w:lineRule="auto"/>
              <w:jc w:val="center"/>
              <w:rPr>
                <w:rFonts w:ascii="宋体" w:hAnsi="宋体" w:cs="宋体"/>
                <w:b/>
                <w:bCs/>
                <w:sz w:val="24"/>
                <w:szCs w:val="24"/>
                <w:highlight w:val="none"/>
              </w:rPr>
            </w:pPr>
            <w:r>
              <w:rPr>
                <w:rFonts w:hint="eastAsia" w:ascii="宋体" w:hAnsi="宋体" w:cs="宋体"/>
                <w:b/>
                <w:bCs/>
                <w:sz w:val="24"/>
                <w:szCs w:val="24"/>
                <w:highlight w:val="none"/>
              </w:rPr>
              <w:t>工期</w:t>
            </w:r>
          </w:p>
        </w:tc>
        <w:tc>
          <w:tcPr>
            <w:tcW w:w="6053" w:type="dxa"/>
            <w:vAlign w:val="center"/>
          </w:tcPr>
          <w:p w14:paraId="3CE12551">
            <w:pPr>
              <w:spacing w:line="360" w:lineRule="auto"/>
              <w:rPr>
                <w:rFonts w:ascii="宋体" w:hAnsi="宋体" w:cs="宋体"/>
                <w:b/>
                <w:bCs/>
                <w:color w:val="000000" w:themeColor="text1"/>
                <w:sz w:val="24"/>
                <w:szCs w:val="24"/>
                <w:highlight w:val="none"/>
              </w:rPr>
            </w:pPr>
            <w:r>
              <w:rPr>
                <w:rFonts w:hint="eastAsia" w:ascii="宋体" w:hAnsi="宋体" w:cs="宋体"/>
                <w:b/>
                <w:bCs/>
                <w:color w:val="000000" w:themeColor="text1"/>
                <w:sz w:val="24"/>
                <w:szCs w:val="24"/>
                <w:highlight w:val="none"/>
              </w:rPr>
              <w:t>自合同签订之日起</w:t>
            </w:r>
            <w:r>
              <w:rPr>
                <w:rFonts w:hint="eastAsia" w:ascii="宋体" w:hAnsi="宋体" w:cs="宋体"/>
                <w:b/>
                <w:bCs/>
                <w:color w:val="000000" w:themeColor="text1"/>
                <w:sz w:val="24"/>
                <w:szCs w:val="24"/>
                <w:highlight w:val="none"/>
                <w:lang w:val="en-US" w:eastAsia="zh-CN"/>
              </w:rPr>
              <w:t>210</w:t>
            </w:r>
            <w:r>
              <w:rPr>
                <w:rFonts w:hint="eastAsia" w:ascii="宋体" w:hAnsi="宋体" w:cs="宋体"/>
                <w:b/>
                <w:bCs/>
                <w:color w:val="000000" w:themeColor="text1"/>
                <w:sz w:val="24"/>
                <w:szCs w:val="24"/>
                <w:highlight w:val="none"/>
              </w:rPr>
              <w:t>日历天</w:t>
            </w:r>
          </w:p>
        </w:tc>
      </w:tr>
      <w:tr w14:paraId="621791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1" w:hRule="atLeast"/>
          <w:jc w:val="center"/>
        </w:trPr>
        <w:tc>
          <w:tcPr>
            <w:tcW w:w="985" w:type="dxa"/>
            <w:vAlign w:val="center"/>
          </w:tcPr>
          <w:p w14:paraId="12364D4F">
            <w:pPr>
              <w:spacing w:line="360" w:lineRule="auto"/>
              <w:jc w:val="center"/>
              <w:rPr>
                <w:rFonts w:ascii="宋体" w:hAnsi="宋体" w:cs="宋体"/>
                <w:sz w:val="24"/>
                <w:szCs w:val="24"/>
                <w:highlight w:val="none"/>
              </w:rPr>
            </w:pPr>
            <w:r>
              <w:rPr>
                <w:rFonts w:hint="eastAsia" w:ascii="宋体" w:hAnsi="宋体" w:cs="宋体"/>
                <w:sz w:val="24"/>
                <w:szCs w:val="24"/>
                <w:highlight w:val="none"/>
              </w:rPr>
              <w:t>1.3.3</w:t>
            </w:r>
          </w:p>
        </w:tc>
        <w:tc>
          <w:tcPr>
            <w:tcW w:w="1966" w:type="dxa"/>
            <w:vAlign w:val="center"/>
          </w:tcPr>
          <w:p w14:paraId="78061AB7">
            <w:pPr>
              <w:spacing w:line="360" w:lineRule="auto"/>
              <w:jc w:val="center"/>
              <w:rPr>
                <w:rFonts w:ascii="宋体" w:hAnsi="宋体" w:cs="宋体"/>
                <w:sz w:val="24"/>
                <w:szCs w:val="24"/>
                <w:highlight w:val="none"/>
              </w:rPr>
            </w:pPr>
            <w:r>
              <w:rPr>
                <w:rFonts w:hint="eastAsia" w:ascii="宋体" w:hAnsi="宋体" w:cs="宋体"/>
                <w:sz w:val="24"/>
                <w:szCs w:val="24"/>
                <w:highlight w:val="none"/>
              </w:rPr>
              <w:t>质量标准</w:t>
            </w:r>
          </w:p>
        </w:tc>
        <w:tc>
          <w:tcPr>
            <w:tcW w:w="6053" w:type="dxa"/>
            <w:vAlign w:val="center"/>
          </w:tcPr>
          <w:p w14:paraId="2DBE20BF">
            <w:pPr>
              <w:spacing w:line="360" w:lineRule="auto"/>
              <w:rPr>
                <w:rFonts w:ascii="宋体" w:hAnsi="宋体" w:cs="宋体"/>
                <w:sz w:val="24"/>
                <w:szCs w:val="24"/>
                <w:highlight w:val="none"/>
              </w:rPr>
            </w:pPr>
            <w:bookmarkStart w:id="10" w:name="OLE_LINK34"/>
            <w:bookmarkStart w:id="11" w:name="OLE_LINK18"/>
            <w:r>
              <w:rPr>
                <w:rFonts w:hint="eastAsia" w:ascii="宋体" w:hAnsi="宋体" w:cs="宋体"/>
                <w:kern w:val="0"/>
                <w:sz w:val="24"/>
                <w:szCs w:val="24"/>
                <w:highlight w:val="none"/>
              </w:rPr>
              <w:t>符合国家现行有关质量验收规范“合格”要求。</w:t>
            </w:r>
            <w:bookmarkEnd w:id="10"/>
            <w:bookmarkEnd w:id="11"/>
          </w:p>
        </w:tc>
      </w:tr>
      <w:tr w14:paraId="325AFB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5" w:type="dxa"/>
            <w:vAlign w:val="center"/>
          </w:tcPr>
          <w:p w14:paraId="263A888B">
            <w:pPr>
              <w:spacing w:line="360" w:lineRule="auto"/>
              <w:jc w:val="center"/>
              <w:rPr>
                <w:rFonts w:ascii="宋体" w:hAnsi="宋体" w:cs="宋体"/>
                <w:sz w:val="24"/>
                <w:szCs w:val="24"/>
                <w:highlight w:val="none"/>
              </w:rPr>
            </w:pPr>
            <w:r>
              <w:rPr>
                <w:rFonts w:hint="eastAsia" w:ascii="宋体" w:hAnsi="宋体" w:cs="宋体"/>
                <w:sz w:val="24"/>
                <w:szCs w:val="24"/>
                <w:highlight w:val="none"/>
              </w:rPr>
              <w:t>1.4.1</w:t>
            </w:r>
          </w:p>
        </w:tc>
        <w:tc>
          <w:tcPr>
            <w:tcW w:w="1966" w:type="dxa"/>
            <w:vAlign w:val="center"/>
          </w:tcPr>
          <w:p w14:paraId="4A62B77E">
            <w:pPr>
              <w:spacing w:line="360" w:lineRule="auto"/>
              <w:jc w:val="center"/>
              <w:rPr>
                <w:rFonts w:ascii="宋体" w:hAnsi="宋体" w:cs="宋体"/>
                <w:sz w:val="24"/>
                <w:szCs w:val="24"/>
                <w:highlight w:val="none"/>
              </w:rPr>
            </w:pPr>
            <w:r>
              <w:rPr>
                <w:rFonts w:hint="eastAsia" w:ascii="宋体" w:hAnsi="宋体" w:cs="宋体"/>
                <w:sz w:val="24"/>
                <w:szCs w:val="24"/>
                <w:highlight w:val="none"/>
              </w:rPr>
              <w:t>资格审查条件</w:t>
            </w:r>
          </w:p>
        </w:tc>
        <w:tc>
          <w:tcPr>
            <w:tcW w:w="6053" w:type="dxa"/>
            <w:vAlign w:val="center"/>
          </w:tcPr>
          <w:p w14:paraId="4DBF6910">
            <w:pPr>
              <w:spacing w:line="360" w:lineRule="auto"/>
              <w:rPr>
                <w:rFonts w:ascii="宋体" w:hAnsi="宋体" w:cs="宋体"/>
                <w:sz w:val="24"/>
                <w:szCs w:val="24"/>
                <w:highlight w:val="none"/>
              </w:rPr>
            </w:pPr>
            <w:r>
              <w:rPr>
                <w:rFonts w:hint="eastAsia" w:ascii="宋体" w:hAnsi="宋体" w:cs="宋体"/>
                <w:sz w:val="24"/>
                <w:szCs w:val="24"/>
                <w:highlight w:val="none"/>
              </w:rPr>
              <w:t>资格证明文件：（合同包1-</w:t>
            </w:r>
            <w:r>
              <w:rPr>
                <w:rFonts w:hint="eastAsia" w:ascii="宋体" w:hAnsi="宋体" w:cs="宋体"/>
                <w:sz w:val="24"/>
                <w:szCs w:val="24"/>
                <w:highlight w:val="none"/>
                <w:lang w:val="en-US" w:eastAsia="zh-CN"/>
              </w:rPr>
              <w:t>37</w:t>
            </w:r>
            <w:r>
              <w:rPr>
                <w:rFonts w:hint="eastAsia" w:ascii="宋体" w:hAnsi="宋体" w:cs="宋体"/>
                <w:sz w:val="24"/>
                <w:szCs w:val="24"/>
                <w:highlight w:val="none"/>
              </w:rPr>
              <w:t>）</w:t>
            </w:r>
          </w:p>
          <w:p w14:paraId="47FC3B8F">
            <w:pPr>
              <w:numPr>
                <w:ilvl w:val="0"/>
                <w:numId w:val="0"/>
              </w:numPr>
              <w:spacing w:line="360" w:lineRule="auto"/>
              <w:rPr>
                <w:rFonts w:hint="eastAsia" w:asciiTheme="minorEastAsia" w:hAnsiTheme="minorEastAsia" w:eastAsiaTheme="minorEastAsia" w:cstheme="minorEastAsia"/>
                <w:i w:val="0"/>
                <w:iCs w:val="0"/>
                <w:caps w:val="0"/>
                <w:color w:val="333333"/>
                <w:spacing w:val="0"/>
                <w:sz w:val="24"/>
                <w:szCs w:val="24"/>
                <w:highlight w:val="none"/>
                <w:shd w:val="clear" w:fill="FFFFFF"/>
              </w:rPr>
            </w:pPr>
            <w:r>
              <w:rPr>
                <w:rFonts w:hint="eastAsia" w:asciiTheme="minorEastAsia" w:hAnsiTheme="minorEastAsia" w:eastAsiaTheme="minorEastAsia" w:cstheme="minorEastAsia"/>
                <w:i w:val="0"/>
                <w:iCs w:val="0"/>
                <w:caps w:val="0"/>
                <w:color w:val="333333"/>
                <w:spacing w:val="0"/>
                <w:sz w:val="24"/>
                <w:szCs w:val="24"/>
                <w:highlight w:val="none"/>
                <w:shd w:val="clear" w:fill="FFFFFF"/>
                <w:lang w:eastAsia="zh-CN"/>
              </w:rPr>
              <w:t>（</w:t>
            </w:r>
            <w:r>
              <w:rPr>
                <w:rFonts w:hint="eastAsia" w:asciiTheme="minorEastAsia" w:hAnsiTheme="minorEastAsia" w:eastAsiaTheme="minorEastAsia" w:cstheme="minorEastAsia"/>
                <w:i w:val="0"/>
                <w:iCs w:val="0"/>
                <w:caps w:val="0"/>
                <w:color w:val="333333"/>
                <w:spacing w:val="0"/>
                <w:sz w:val="24"/>
                <w:szCs w:val="24"/>
                <w:highlight w:val="none"/>
                <w:shd w:val="clear" w:fill="FFFFFF"/>
                <w:lang w:val="en-US" w:eastAsia="zh-CN"/>
              </w:rPr>
              <w:t>1）</w:t>
            </w:r>
            <w:r>
              <w:rPr>
                <w:rFonts w:hint="eastAsia" w:asciiTheme="minorEastAsia" w:hAnsiTheme="minorEastAsia" w:eastAsiaTheme="minorEastAsia" w:cstheme="minorEastAsia"/>
                <w:i w:val="0"/>
                <w:iCs w:val="0"/>
                <w:caps w:val="0"/>
                <w:color w:val="333333"/>
                <w:spacing w:val="0"/>
                <w:sz w:val="24"/>
                <w:szCs w:val="24"/>
                <w:highlight w:val="none"/>
                <w:shd w:val="clear" w:fill="FFFFFF"/>
              </w:rPr>
              <w:t>提供合格有效的法人或者其他组织的营业执照等证明文件，自然人的身份证明；</w:t>
            </w:r>
          </w:p>
          <w:p w14:paraId="4F073602">
            <w:pPr>
              <w:numPr>
                <w:ilvl w:val="0"/>
                <w:numId w:val="0"/>
              </w:numPr>
              <w:spacing w:line="360" w:lineRule="auto"/>
              <w:rPr>
                <w:rFonts w:hint="eastAsia" w:asciiTheme="minorEastAsia" w:hAnsiTheme="minorEastAsia" w:eastAsiaTheme="minorEastAsia" w:cstheme="minorEastAsia"/>
                <w:i w:val="0"/>
                <w:iCs w:val="0"/>
                <w:caps w:val="0"/>
                <w:color w:val="333333"/>
                <w:spacing w:val="0"/>
                <w:sz w:val="24"/>
                <w:szCs w:val="24"/>
                <w:highlight w:val="none"/>
                <w:shd w:val="clear" w:fill="FFFFFF"/>
              </w:rPr>
            </w:pPr>
            <w:r>
              <w:rPr>
                <w:rFonts w:hint="eastAsia" w:asciiTheme="minorEastAsia" w:hAnsiTheme="minorEastAsia" w:eastAsiaTheme="minorEastAsia" w:cstheme="minorEastAsia"/>
                <w:i w:val="0"/>
                <w:iCs w:val="0"/>
                <w:caps w:val="0"/>
                <w:color w:val="333333"/>
                <w:spacing w:val="0"/>
                <w:sz w:val="24"/>
                <w:szCs w:val="24"/>
                <w:highlight w:val="none"/>
                <w:shd w:val="clear" w:fill="FFFFFF"/>
              </w:rPr>
              <w:t>（2）提供法定代表人授权书（附法定代表人、被授权人身份证复印件，法定代表人直接参加投标，须提供法定代表人身份证明及身份证复印件）；</w:t>
            </w:r>
            <w:r>
              <w:rPr>
                <w:rFonts w:hint="eastAsia" w:asciiTheme="minorEastAsia" w:hAnsiTheme="minorEastAsia" w:eastAsiaTheme="minorEastAsia" w:cstheme="minorEastAsia"/>
                <w:i w:val="0"/>
                <w:iCs w:val="0"/>
                <w:caps w:val="0"/>
                <w:color w:val="333333"/>
                <w:spacing w:val="0"/>
                <w:sz w:val="24"/>
                <w:szCs w:val="24"/>
                <w:highlight w:val="none"/>
                <w:shd w:val="clear" w:fill="FFFFFF"/>
              </w:rPr>
              <w:br w:type="textWrapping"/>
            </w:r>
            <w:r>
              <w:rPr>
                <w:rFonts w:hint="eastAsia" w:asciiTheme="minorEastAsia" w:hAnsiTheme="minorEastAsia" w:eastAsiaTheme="minorEastAsia" w:cstheme="minorEastAsia"/>
                <w:i w:val="0"/>
                <w:iCs w:val="0"/>
                <w:caps w:val="0"/>
                <w:color w:val="333333"/>
                <w:spacing w:val="0"/>
                <w:sz w:val="24"/>
                <w:szCs w:val="24"/>
                <w:highlight w:val="none"/>
                <w:shd w:val="clear" w:fill="FFFFFF"/>
              </w:rPr>
              <w:t>（3）提供2023年度的财务审计报告（成立时间至提交投标文件截止时间不足一年的可提供成立后任意时段的资产负债表）或开标时间前六个月内银行出具的资信证明；</w:t>
            </w:r>
            <w:r>
              <w:rPr>
                <w:rFonts w:hint="eastAsia" w:asciiTheme="minorEastAsia" w:hAnsiTheme="minorEastAsia" w:eastAsiaTheme="minorEastAsia" w:cstheme="minorEastAsia"/>
                <w:i w:val="0"/>
                <w:iCs w:val="0"/>
                <w:caps w:val="0"/>
                <w:color w:val="333333"/>
                <w:spacing w:val="0"/>
                <w:sz w:val="24"/>
                <w:szCs w:val="24"/>
                <w:highlight w:val="none"/>
                <w:shd w:val="clear" w:fill="FFFFFF"/>
              </w:rPr>
              <w:br w:type="textWrapping"/>
            </w:r>
            <w:r>
              <w:rPr>
                <w:rFonts w:hint="eastAsia" w:asciiTheme="minorEastAsia" w:hAnsiTheme="minorEastAsia" w:eastAsiaTheme="minorEastAsia" w:cstheme="minorEastAsia"/>
                <w:i w:val="0"/>
                <w:iCs w:val="0"/>
                <w:caps w:val="0"/>
                <w:color w:val="333333"/>
                <w:spacing w:val="0"/>
                <w:sz w:val="24"/>
                <w:szCs w:val="24"/>
                <w:highlight w:val="none"/>
                <w:shd w:val="clear" w:fill="FFFFFF"/>
              </w:rPr>
              <w:t>（4）税收缴纳证明：提供投标截止日前近一年内任意一个月的纳税证明或完税证明（任意税种），依法免税的单位应提供相关证明材料；</w:t>
            </w:r>
            <w:r>
              <w:rPr>
                <w:rFonts w:hint="eastAsia" w:asciiTheme="minorEastAsia" w:hAnsiTheme="minorEastAsia" w:eastAsiaTheme="minorEastAsia" w:cstheme="minorEastAsia"/>
                <w:i w:val="0"/>
                <w:iCs w:val="0"/>
                <w:caps w:val="0"/>
                <w:color w:val="333333"/>
                <w:spacing w:val="0"/>
                <w:sz w:val="24"/>
                <w:szCs w:val="24"/>
                <w:highlight w:val="none"/>
                <w:shd w:val="clear" w:fill="FFFFFF"/>
              </w:rPr>
              <w:br w:type="textWrapping"/>
            </w:r>
            <w:r>
              <w:rPr>
                <w:rFonts w:hint="eastAsia" w:asciiTheme="minorEastAsia" w:hAnsiTheme="minorEastAsia" w:eastAsiaTheme="minorEastAsia" w:cstheme="minorEastAsia"/>
                <w:i w:val="0"/>
                <w:iCs w:val="0"/>
                <w:caps w:val="0"/>
                <w:color w:val="333333"/>
                <w:spacing w:val="0"/>
                <w:sz w:val="24"/>
                <w:szCs w:val="24"/>
                <w:highlight w:val="none"/>
                <w:shd w:val="clear" w:fill="FFFFFF"/>
              </w:rPr>
              <w:t>（5）社会保障资金缴纳证明：提供投标截止日前近一年内任意一个月的社会保障资金缴存单据或社保机构开具的社会保险参保缴费情况证明，依法不需要缴纳社会保障资金的单位应提供相关证明材料；</w:t>
            </w:r>
            <w:r>
              <w:rPr>
                <w:rFonts w:hint="eastAsia" w:asciiTheme="minorEastAsia" w:hAnsiTheme="minorEastAsia" w:eastAsiaTheme="minorEastAsia" w:cstheme="minorEastAsia"/>
                <w:i w:val="0"/>
                <w:iCs w:val="0"/>
                <w:caps w:val="0"/>
                <w:color w:val="333333"/>
                <w:spacing w:val="0"/>
                <w:sz w:val="24"/>
                <w:szCs w:val="24"/>
                <w:highlight w:val="none"/>
                <w:shd w:val="clear" w:fill="FFFFFF"/>
              </w:rPr>
              <w:br w:type="textWrapping"/>
            </w:r>
            <w:r>
              <w:rPr>
                <w:rFonts w:hint="eastAsia" w:asciiTheme="minorEastAsia" w:hAnsiTheme="minorEastAsia" w:eastAsiaTheme="minorEastAsia" w:cstheme="minorEastAsia"/>
                <w:i w:val="0"/>
                <w:iCs w:val="0"/>
                <w:caps w:val="0"/>
                <w:color w:val="333333"/>
                <w:spacing w:val="0"/>
                <w:sz w:val="24"/>
                <w:szCs w:val="24"/>
                <w:highlight w:val="none"/>
                <w:shd w:val="clear" w:fill="FFFFFF"/>
              </w:rPr>
              <w:t>（6）提供具有履行本合同所必需的设备和专业技术能力的说明及承诺书；</w:t>
            </w:r>
          </w:p>
          <w:p w14:paraId="6112E817">
            <w:pPr>
              <w:numPr>
                <w:ilvl w:val="0"/>
                <w:numId w:val="0"/>
              </w:numPr>
              <w:spacing w:line="360" w:lineRule="auto"/>
              <w:rPr>
                <w:rFonts w:hint="eastAsia" w:asciiTheme="minorEastAsia" w:hAnsiTheme="minorEastAsia" w:eastAsiaTheme="minorEastAsia" w:cstheme="minorEastAsia"/>
                <w:i w:val="0"/>
                <w:iCs w:val="0"/>
                <w:caps w:val="0"/>
                <w:color w:val="333333"/>
                <w:spacing w:val="0"/>
                <w:sz w:val="24"/>
                <w:szCs w:val="24"/>
                <w:highlight w:val="none"/>
                <w:shd w:val="clear" w:fill="FFFFFF"/>
              </w:rPr>
            </w:pPr>
            <w:r>
              <w:rPr>
                <w:rFonts w:hint="eastAsia" w:asciiTheme="minorEastAsia" w:hAnsiTheme="minorEastAsia" w:eastAsiaTheme="minorEastAsia" w:cstheme="minorEastAsia"/>
                <w:i w:val="0"/>
                <w:iCs w:val="0"/>
                <w:caps w:val="0"/>
                <w:color w:val="333333"/>
                <w:spacing w:val="0"/>
                <w:sz w:val="24"/>
                <w:szCs w:val="24"/>
                <w:highlight w:val="none"/>
                <w:shd w:val="clear" w:fill="FFFFFF"/>
              </w:rPr>
              <w:t>（7）供应商通过“信用中国”网站(www.creditchina.gov.cn)、中国政府采购网(www.ccgp.gov.cn)等查询相关主体信用记录；</w:t>
            </w:r>
            <w:r>
              <w:rPr>
                <w:rFonts w:hint="eastAsia" w:asciiTheme="minorEastAsia" w:hAnsiTheme="minorEastAsia" w:eastAsiaTheme="minorEastAsia" w:cstheme="minorEastAsia"/>
                <w:i w:val="0"/>
                <w:iCs w:val="0"/>
                <w:caps w:val="0"/>
                <w:color w:val="333333"/>
                <w:spacing w:val="0"/>
                <w:sz w:val="24"/>
                <w:szCs w:val="24"/>
                <w:highlight w:val="none"/>
                <w:shd w:val="clear" w:fill="FFFFFF"/>
              </w:rPr>
              <w:br w:type="textWrapping"/>
            </w:r>
            <w:r>
              <w:rPr>
                <w:rFonts w:hint="eastAsia" w:asciiTheme="minorEastAsia" w:hAnsiTheme="minorEastAsia" w:eastAsiaTheme="minorEastAsia" w:cstheme="minorEastAsia"/>
                <w:i w:val="0"/>
                <w:iCs w:val="0"/>
                <w:caps w:val="0"/>
                <w:color w:val="333333"/>
                <w:spacing w:val="0"/>
                <w:sz w:val="24"/>
                <w:szCs w:val="24"/>
                <w:highlight w:val="none"/>
                <w:shd w:val="clear" w:fill="FFFFFF"/>
              </w:rPr>
              <w:t>（8）参加政府采购活动前3年内，在经营活动中没有重大违法记录的书面声明；</w:t>
            </w:r>
          </w:p>
          <w:p w14:paraId="0DE7793A">
            <w:pPr>
              <w:numPr>
                <w:ilvl w:val="0"/>
                <w:numId w:val="0"/>
              </w:numPr>
              <w:spacing w:line="360" w:lineRule="auto"/>
              <w:rPr>
                <w:rFonts w:hint="eastAsia" w:asciiTheme="minorEastAsia" w:hAnsiTheme="minorEastAsia" w:eastAsiaTheme="minorEastAsia" w:cstheme="minorEastAsia"/>
                <w:i w:val="0"/>
                <w:iCs w:val="0"/>
                <w:caps w:val="0"/>
                <w:color w:val="333333"/>
                <w:spacing w:val="0"/>
                <w:sz w:val="24"/>
                <w:szCs w:val="24"/>
                <w:highlight w:val="none"/>
                <w:shd w:val="clear" w:fill="FFFFFF"/>
              </w:rPr>
            </w:pPr>
            <w:r>
              <w:rPr>
                <w:rFonts w:hint="eastAsia" w:asciiTheme="minorEastAsia" w:hAnsiTheme="minorEastAsia" w:eastAsiaTheme="minorEastAsia" w:cstheme="minorEastAsia"/>
                <w:i w:val="0"/>
                <w:iCs w:val="0"/>
                <w:caps w:val="0"/>
                <w:color w:val="333333"/>
                <w:spacing w:val="0"/>
                <w:sz w:val="24"/>
                <w:szCs w:val="24"/>
                <w:highlight w:val="none"/>
                <w:shd w:val="clear" w:fill="FFFFFF"/>
              </w:rPr>
              <w:t>（</w:t>
            </w:r>
            <w:r>
              <w:rPr>
                <w:rFonts w:hint="eastAsia" w:asciiTheme="minorEastAsia" w:hAnsiTheme="minorEastAsia" w:eastAsiaTheme="minorEastAsia" w:cstheme="minorEastAsia"/>
                <w:i w:val="0"/>
                <w:iCs w:val="0"/>
                <w:caps w:val="0"/>
                <w:color w:val="333333"/>
                <w:spacing w:val="0"/>
                <w:sz w:val="24"/>
                <w:szCs w:val="24"/>
                <w:highlight w:val="none"/>
                <w:shd w:val="clear" w:fill="FFFFFF"/>
                <w:lang w:val="en-US" w:eastAsia="zh-CN"/>
              </w:rPr>
              <w:t>9</w:t>
            </w:r>
            <w:r>
              <w:rPr>
                <w:rFonts w:hint="eastAsia" w:asciiTheme="minorEastAsia" w:hAnsiTheme="minorEastAsia" w:eastAsiaTheme="minorEastAsia" w:cstheme="minorEastAsia"/>
                <w:i w:val="0"/>
                <w:iCs w:val="0"/>
                <w:caps w:val="0"/>
                <w:color w:val="333333"/>
                <w:spacing w:val="0"/>
                <w:sz w:val="24"/>
                <w:szCs w:val="24"/>
                <w:highlight w:val="none"/>
                <w:shd w:val="clear" w:fill="FFFFFF"/>
              </w:rPr>
              <w:t>）提供中小企业声明函；</w:t>
            </w:r>
          </w:p>
          <w:p w14:paraId="4CEB4BE8">
            <w:pPr>
              <w:spacing w:line="360" w:lineRule="auto"/>
              <w:rPr>
                <w:rFonts w:ascii="宋体" w:hAnsi="宋体" w:cs="宋体"/>
                <w:sz w:val="24"/>
                <w:szCs w:val="24"/>
                <w:highlight w:val="none"/>
              </w:rPr>
            </w:pPr>
            <w:r>
              <w:rPr>
                <w:rFonts w:hint="eastAsia" w:asciiTheme="minorEastAsia" w:hAnsiTheme="minorEastAsia" w:eastAsiaTheme="minorEastAsia" w:cstheme="minorEastAsia"/>
                <w:i w:val="0"/>
                <w:iCs w:val="0"/>
                <w:caps w:val="0"/>
                <w:color w:val="333333"/>
                <w:spacing w:val="0"/>
                <w:sz w:val="24"/>
                <w:szCs w:val="24"/>
                <w:highlight w:val="none"/>
                <w:shd w:val="clear" w:fill="FFFFFF"/>
              </w:rPr>
              <w:t>（</w:t>
            </w:r>
            <w:r>
              <w:rPr>
                <w:rFonts w:hint="eastAsia" w:asciiTheme="minorEastAsia" w:hAnsiTheme="minorEastAsia" w:eastAsiaTheme="minorEastAsia" w:cstheme="minorEastAsia"/>
                <w:i w:val="0"/>
                <w:iCs w:val="0"/>
                <w:caps w:val="0"/>
                <w:color w:val="333333"/>
                <w:spacing w:val="0"/>
                <w:sz w:val="24"/>
                <w:szCs w:val="24"/>
                <w:highlight w:val="none"/>
                <w:shd w:val="clear" w:fill="FFFFFF"/>
                <w:lang w:val="en-US" w:eastAsia="zh-CN"/>
              </w:rPr>
              <w:t>10</w:t>
            </w:r>
            <w:r>
              <w:rPr>
                <w:rFonts w:hint="eastAsia" w:asciiTheme="minorEastAsia" w:hAnsiTheme="minorEastAsia" w:eastAsiaTheme="minorEastAsia" w:cstheme="minorEastAsia"/>
                <w:i w:val="0"/>
                <w:iCs w:val="0"/>
                <w:caps w:val="0"/>
                <w:color w:val="333333"/>
                <w:spacing w:val="0"/>
                <w:sz w:val="24"/>
                <w:szCs w:val="24"/>
                <w:highlight w:val="none"/>
                <w:shd w:val="clear" w:fill="FFFFFF"/>
              </w:rPr>
              <w:t>）本项目不接受联合体投标（提供承诺书）。</w:t>
            </w:r>
          </w:p>
          <w:p w14:paraId="0259E4BF">
            <w:pPr>
              <w:spacing w:line="360" w:lineRule="auto"/>
              <w:rPr>
                <w:rFonts w:ascii="宋体" w:hAnsi="宋体" w:cs="宋体"/>
                <w:sz w:val="24"/>
                <w:szCs w:val="24"/>
                <w:highlight w:val="none"/>
              </w:rPr>
            </w:pPr>
            <w:r>
              <w:rPr>
                <w:rFonts w:hint="eastAsia" w:ascii="宋体" w:hAnsi="宋体" w:cs="宋体"/>
                <w:b/>
                <w:bCs/>
                <w:sz w:val="24"/>
                <w:szCs w:val="24"/>
                <w:highlight w:val="none"/>
              </w:rPr>
              <w:t>以上（1-10）为必备资质，缺一项或某项达不到要求，按无效投标处理。</w:t>
            </w:r>
          </w:p>
        </w:tc>
      </w:tr>
      <w:tr w14:paraId="3FCF2C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85" w:type="dxa"/>
            <w:vAlign w:val="center"/>
          </w:tcPr>
          <w:p w14:paraId="322414AE">
            <w:pPr>
              <w:spacing w:line="360" w:lineRule="auto"/>
              <w:jc w:val="center"/>
              <w:rPr>
                <w:rFonts w:ascii="宋体" w:hAnsi="宋体" w:cs="宋体"/>
                <w:sz w:val="24"/>
                <w:szCs w:val="24"/>
                <w:highlight w:val="none"/>
              </w:rPr>
            </w:pPr>
            <w:r>
              <w:rPr>
                <w:rFonts w:hint="eastAsia" w:ascii="宋体" w:hAnsi="宋体" w:cs="宋体"/>
                <w:sz w:val="24"/>
                <w:szCs w:val="24"/>
                <w:highlight w:val="none"/>
              </w:rPr>
              <w:t>1.4.2</w:t>
            </w:r>
          </w:p>
        </w:tc>
        <w:tc>
          <w:tcPr>
            <w:tcW w:w="1966" w:type="dxa"/>
            <w:vAlign w:val="center"/>
          </w:tcPr>
          <w:p w14:paraId="644AE156">
            <w:pPr>
              <w:spacing w:line="360" w:lineRule="auto"/>
              <w:jc w:val="center"/>
              <w:rPr>
                <w:rFonts w:ascii="宋体" w:hAnsi="宋体" w:cs="宋体"/>
                <w:sz w:val="24"/>
                <w:szCs w:val="24"/>
                <w:highlight w:val="none"/>
              </w:rPr>
            </w:pPr>
            <w:r>
              <w:rPr>
                <w:rFonts w:hint="eastAsia" w:ascii="宋体" w:hAnsi="宋体" w:cs="宋体"/>
                <w:sz w:val="24"/>
                <w:szCs w:val="24"/>
                <w:highlight w:val="none"/>
              </w:rPr>
              <w:t>招标文件发售时间</w:t>
            </w:r>
          </w:p>
        </w:tc>
        <w:tc>
          <w:tcPr>
            <w:tcW w:w="6053" w:type="dxa"/>
            <w:vAlign w:val="center"/>
          </w:tcPr>
          <w:p w14:paraId="0EE7A706">
            <w:pPr>
              <w:spacing w:line="420" w:lineRule="exact"/>
              <w:rPr>
                <w:rFonts w:ascii="宋体" w:hAnsi="宋体" w:cs="宋体"/>
                <w:sz w:val="24"/>
                <w:szCs w:val="24"/>
                <w:highlight w:val="none"/>
              </w:rPr>
            </w:pPr>
            <w:r>
              <w:rPr>
                <w:rFonts w:hint="eastAsia" w:ascii="宋体" w:hAnsi="宋体" w:cs="宋体"/>
                <w:sz w:val="24"/>
                <w:szCs w:val="24"/>
                <w:highlight w:val="none"/>
              </w:rPr>
              <w:t>详见招标公告</w:t>
            </w:r>
          </w:p>
        </w:tc>
      </w:tr>
      <w:tr w14:paraId="78D95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09" w:hRule="atLeast"/>
          <w:jc w:val="center"/>
        </w:trPr>
        <w:tc>
          <w:tcPr>
            <w:tcW w:w="985" w:type="dxa"/>
            <w:vAlign w:val="center"/>
          </w:tcPr>
          <w:p w14:paraId="2F6A417D">
            <w:pPr>
              <w:spacing w:line="360" w:lineRule="auto"/>
              <w:jc w:val="center"/>
              <w:rPr>
                <w:rFonts w:ascii="宋体" w:hAnsi="宋体" w:cs="宋体"/>
                <w:sz w:val="24"/>
                <w:szCs w:val="24"/>
                <w:highlight w:val="none"/>
              </w:rPr>
            </w:pPr>
            <w:r>
              <w:rPr>
                <w:rFonts w:hint="eastAsia" w:ascii="宋体" w:hAnsi="宋体" w:cs="宋体"/>
                <w:sz w:val="24"/>
                <w:szCs w:val="24"/>
                <w:highlight w:val="none"/>
              </w:rPr>
              <w:t>1.9</w:t>
            </w:r>
          </w:p>
        </w:tc>
        <w:tc>
          <w:tcPr>
            <w:tcW w:w="1966" w:type="dxa"/>
            <w:vAlign w:val="center"/>
          </w:tcPr>
          <w:p w14:paraId="09F024C8">
            <w:pPr>
              <w:spacing w:line="360" w:lineRule="auto"/>
              <w:jc w:val="center"/>
              <w:rPr>
                <w:rFonts w:ascii="宋体" w:hAnsi="宋体" w:cs="宋体"/>
                <w:sz w:val="24"/>
                <w:szCs w:val="24"/>
                <w:highlight w:val="none"/>
              </w:rPr>
            </w:pPr>
            <w:r>
              <w:rPr>
                <w:rFonts w:hint="eastAsia" w:ascii="宋体" w:hAnsi="宋体" w:cs="宋体"/>
                <w:sz w:val="24"/>
                <w:szCs w:val="24"/>
                <w:highlight w:val="none"/>
              </w:rPr>
              <w:t>踏勘现场</w:t>
            </w:r>
          </w:p>
        </w:tc>
        <w:tc>
          <w:tcPr>
            <w:tcW w:w="6053" w:type="dxa"/>
            <w:vAlign w:val="center"/>
          </w:tcPr>
          <w:p w14:paraId="4BA31F70">
            <w:pPr>
              <w:spacing w:line="420" w:lineRule="exact"/>
              <w:rPr>
                <w:rFonts w:ascii="宋体" w:hAnsi="宋体" w:cs="宋体"/>
                <w:kern w:val="0"/>
                <w:sz w:val="24"/>
                <w:szCs w:val="24"/>
                <w:highlight w:val="none"/>
              </w:rPr>
            </w:pPr>
            <w:r>
              <w:rPr>
                <w:rFonts w:hint="eastAsia" w:ascii="宋体" w:hAnsi="宋体" w:cs="宋体"/>
                <w:kern w:val="0"/>
                <w:sz w:val="24"/>
                <w:szCs w:val="24"/>
                <w:highlight w:val="none"/>
              </w:rPr>
              <w:t>1）招标代理机构不组织统一踏勘，各投标人自行踏勘，相关费用及安全由投标人自行承担，踏勘时遵守相关规定，不得扰民。</w:t>
            </w:r>
          </w:p>
          <w:p w14:paraId="4584E9FE">
            <w:pPr>
              <w:spacing w:line="420" w:lineRule="exact"/>
              <w:rPr>
                <w:rFonts w:ascii="宋体" w:hAnsi="宋体" w:cs="宋体"/>
                <w:kern w:val="0"/>
                <w:sz w:val="24"/>
                <w:szCs w:val="24"/>
                <w:highlight w:val="none"/>
              </w:rPr>
            </w:pPr>
            <w:r>
              <w:rPr>
                <w:rFonts w:hint="eastAsia" w:ascii="宋体" w:hAnsi="宋体" w:cs="宋体"/>
                <w:kern w:val="0"/>
                <w:sz w:val="24"/>
                <w:szCs w:val="24"/>
                <w:highlight w:val="none"/>
              </w:rPr>
              <w:t>2）踏勘内容包含：完成本次招标所需要的现场工况及周围环境等资料。</w:t>
            </w:r>
          </w:p>
          <w:p w14:paraId="79F1E2FA">
            <w:pPr>
              <w:spacing w:line="360" w:lineRule="auto"/>
              <w:jc w:val="left"/>
              <w:rPr>
                <w:rFonts w:hint="eastAsia" w:ascii="宋体" w:hAnsi="宋体" w:eastAsia="宋体" w:cs="宋体"/>
                <w:sz w:val="24"/>
                <w:szCs w:val="24"/>
                <w:highlight w:val="none"/>
                <w:lang w:eastAsia="zh-CN"/>
              </w:rPr>
            </w:pPr>
            <w:r>
              <w:rPr>
                <w:rFonts w:hint="eastAsia" w:ascii="宋体" w:hAnsi="宋体" w:cs="宋体"/>
                <w:sz w:val="24"/>
                <w:szCs w:val="24"/>
                <w:highlight w:val="none"/>
              </w:rPr>
              <w:t>联系人：</w:t>
            </w:r>
            <w:r>
              <w:rPr>
                <w:rFonts w:hint="eastAsia" w:ascii="宋体" w:hAnsi="宋体" w:cs="宋体"/>
                <w:sz w:val="24"/>
                <w:szCs w:val="24"/>
                <w:highlight w:val="none"/>
                <w:lang w:eastAsia="zh-CN"/>
              </w:rPr>
              <w:t>山阳县城区森林公园管理站</w:t>
            </w:r>
          </w:p>
          <w:p w14:paraId="58E2E175">
            <w:pPr>
              <w:spacing w:line="360" w:lineRule="auto"/>
              <w:jc w:val="left"/>
              <w:rPr>
                <w:rFonts w:hint="eastAsia" w:ascii="宋体" w:hAnsi="宋体" w:eastAsia="宋体" w:cs="宋体"/>
                <w:sz w:val="24"/>
                <w:szCs w:val="24"/>
                <w:highlight w:val="none"/>
                <w:lang w:eastAsia="zh-CN"/>
              </w:rPr>
            </w:pPr>
            <w:r>
              <w:rPr>
                <w:rFonts w:hint="eastAsia" w:ascii="宋体" w:hAnsi="宋体" w:cs="宋体"/>
                <w:sz w:val="24"/>
                <w:szCs w:val="24"/>
                <w:highlight w:val="none"/>
              </w:rPr>
              <w:t>联系电话：</w:t>
            </w:r>
            <w:r>
              <w:rPr>
                <w:rFonts w:hint="eastAsia" w:ascii="宋体" w:hAnsi="宋体" w:cs="宋体"/>
                <w:sz w:val="24"/>
                <w:szCs w:val="24"/>
                <w:highlight w:val="none"/>
                <w:lang w:eastAsia="zh-CN"/>
              </w:rPr>
              <w:t>18991455628</w:t>
            </w:r>
          </w:p>
        </w:tc>
      </w:tr>
      <w:tr w14:paraId="739FE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85" w:type="dxa"/>
            <w:vAlign w:val="center"/>
          </w:tcPr>
          <w:p w14:paraId="2B966AF2">
            <w:pPr>
              <w:spacing w:line="360" w:lineRule="auto"/>
              <w:jc w:val="center"/>
              <w:rPr>
                <w:rFonts w:ascii="宋体" w:hAnsi="宋体" w:cs="宋体"/>
                <w:sz w:val="24"/>
                <w:szCs w:val="24"/>
                <w:highlight w:val="none"/>
              </w:rPr>
            </w:pPr>
            <w:r>
              <w:rPr>
                <w:rFonts w:hint="eastAsia" w:ascii="宋体" w:hAnsi="宋体" w:cs="宋体"/>
                <w:sz w:val="24"/>
                <w:szCs w:val="24"/>
                <w:highlight w:val="none"/>
              </w:rPr>
              <w:t>1.10</w:t>
            </w:r>
          </w:p>
        </w:tc>
        <w:tc>
          <w:tcPr>
            <w:tcW w:w="1966" w:type="dxa"/>
            <w:vAlign w:val="center"/>
          </w:tcPr>
          <w:p w14:paraId="363B9A1D">
            <w:pPr>
              <w:spacing w:line="360" w:lineRule="auto"/>
              <w:jc w:val="center"/>
              <w:rPr>
                <w:rFonts w:ascii="宋体" w:hAnsi="宋体" w:cs="宋体"/>
                <w:sz w:val="24"/>
                <w:szCs w:val="24"/>
                <w:highlight w:val="none"/>
              </w:rPr>
            </w:pPr>
            <w:r>
              <w:rPr>
                <w:rFonts w:hint="eastAsia" w:ascii="宋体" w:hAnsi="宋体" w:cs="宋体"/>
                <w:sz w:val="24"/>
                <w:szCs w:val="24"/>
                <w:highlight w:val="none"/>
              </w:rPr>
              <w:t>投标答疑会</w:t>
            </w:r>
          </w:p>
        </w:tc>
        <w:tc>
          <w:tcPr>
            <w:tcW w:w="6053" w:type="dxa"/>
            <w:vAlign w:val="center"/>
          </w:tcPr>
          <w:p w14:paraId="50168E57">
            <w:pPr>
              <w:spacing w:line="360" w:lineRule="auto"/>
              <w:rPr>
                <w:rFonts w:ascii="宋体" w:hAnsi="宋体" w:cs="宋体"/>
                <w:sz w:val="24"/>
                <w:szCs w:val="24"/>
                <w:highlight w:val="none"/>
              </w:rPr>
            </w:pPr>
            <w:r>
              <w:rPr>
                <w:rFonts w:hint="eastAsia" w:ascii="宋体" w:hAnsi="宋体" w:cs="宋体"/>
                <w:sz w:val="24"/>
                <w:szCs w:val="24"/>
                <w:highlight w:val="none"/>
              </w:rPr>
              <w:t>不召开；若有疑问，均应在购买招标文件后7个工作日内以书面形式向采购代理机构提出。</w:t>
            </w:r>
          </w:p>
        </w:tc>
      </w:tr>
      <w:tr w14:paraId="0E8B23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5" w:hRule="atLeast"/>
          <w:jc w:val="center"/>
        </w:trPr>
        <w:tc>
          <w:tcPr>
            <w:tcW w:w="985" w:type="dxa"/>
            <w:vAlign w:val="center"/>
          </w:tcPr>
          <w:p w14:paraId="530B489A">
            <w:pPr>
              <w:spacing w:line="360" w:lineRule="auto"/>
              <w:jc w:val="center"/>
              <w:rPr>
                <w:rFonts w:ascii="宋体" w:hAnsi="宋体" w:cs="宋体"/>
                <w:sz w:val="24"/>
                <w:szCs w:val="24"/>
                <w:highlight w:val="none"/>
              </w:rPr>
            </w:pPr>
            <w:r>
              <w:rPr>
                <w:rFonts w:hint="eastAsia" w:ascii="宋体" w:hAnsi="宋体" w:cs="宋体"/>
                <w:sz w:val="24"/>
                <w:szCs w:val="24"/>
                <w:highlight w:val="none"/>
              </w:rPr>
              <w:t>1.11</w:t>
            </w:r>
          </w:p>
        </w:tc>
        <w:tc>
          <w:tcPr>
            <w:tcW w:w="1966" w:type="dxa"/>
            <w:vAlign w:val="center"/>
          </w:tcPr>
          <w:p w14:paraId="1A521087">
            <w:pPr>
              <w:spacing w:line="360" w:lineRule="auto"/>
              <w:jc w:val="center"/>
              <w:rPr>
                <w:rFonts w:ascii="宋体" w:hAnsi="宋体" w:cs="宋体"/>
                <w:sz w:val="24"/>
                <w:szCs w:val="24"/>
                <w:highlight w:val="none"/>
              </w:rPr>
            </w:pPr>
            <w:r>
              <w:rPr>
                <w:rFonts w:hint="eastAsia" w:ascii="宋体" w:hAnsi="宋体" w:cs="宋体"/>
                <w:sz w:val="24"/>
                <w:szCs w:val="24"/>
                <w:highlight w:val="none"/>
              </w:rPr>
              <w:t>分包</w:t>
            </w:r>
          </w:p>
        </w:tc>
        <w:tc>
          <w:tcPr>
            <w:tcW w:w="6053" w:type="dxa"/>
            <w:vAlign w:val="center"/>
          </w:tcPr>
          <w:p w14:paraId="21D56CA7">
            <w:pPr>
              <w:spacing w:line="360" w:lineRule="auto"/>
              <w:rPr>
                <w:rFonts w:ascii="宋体" w:hAnsi="宋体" w:cs="宋体"/>
                <w:sz w:val="24"/>
                <w:szCs w:val="24"/>
                <w:highlight w:val="none"/>
              </w:rPr>
            </w:pPr>
            <w:r>
              <w:rPr>
                <w:rFonts w:hint="eastAsia" w:ascii="宋体" w:hAnsi="宋体" w:cs="宋体"/>
                <w:sz w:val="24"/>
                <w:szCs w:val="24"/>
                <w:highlight w:val="none"/>
              </w:rPr>
              <w:t>不允许</w:t>
            </w:r>
          </w:p>
        </w:tc>
      </w:tr>
      <w:tr w14:paraId="1788C3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985" w:type="dxa"/>
            <w:vAlign w:val="center"/>
          </w:tcPr>
          <w:p w14:paraId="490003CF">
            <w:pPr>
              <w:spacing w:line="360" w:lineRule="auto"/>
              <w:jc w:val="center"/>
              <w:rPr>
                <w:rFonts w:ascii="宋体" w:hAnsi="宋体" w:cs="宋体"/>
                <w:sz w:val="24"/>
                <w:szCs w:val="24"/>
                <w:highlight w:val="none"/>
              </w:rPr>
            </w:pPr>
            <w:r>
              <w:rPr>
                <w:rFonts w:hint="eastAsia" w:ascii="宋体" w:hAnsi="宋体" w:cs="宋体"/>
                <w:sz w:val="24"/>
                <w:szCs w:val="24"/>
                <w:highlight w:val="none"/>
              </w:rPr>
              <w:t>3.1.1</w:t>
            </w:r>
          </w:p>
        </w:tc>
        <w:tc>
          <w:tcPr>
            <w:tcW w:w="1966" w:type="dxa"/>
            <w:vAlign w:val="center"/>
          </w:tcPr>
          <w:p w14:paraId="28B3633E">
            <w:pPr>
              <w:spacing w:line="360" w:lineRule="auto"/>
              <w:jc w:val="center"/>
              <w:rPr>
                <w:rFonts w:ascii="宋体" w:hAnsi="宋体" w:cs="宋体"/>
                <w:sz w:val="24"/>
                <w:szCs w:val="24"/>
                <w:highlight w:val="none"/>
              </w:rPr>
            </w:pPr>
            <w:r>
              <w:rPr>
                <w:rFonts w:hint="eastAsia" w:ascii="宋体" w:hAnsi="宋体" w:cs="宋体"/>
                <w:sz w:val="24"/>
                <w:szCs w:val="24"/>
                <w:highlight w:val="none"/>
              </w:rPr>
              <w:t>构成投标文件的其他材料</w:t>
            </w:r>
          </w:p>
        </w:tc>
        <w:tc>
          <w:tcPr>
            <w:tcW w:w="6053" w:type="dxa"/>
            <w:vAlign w:val="center"/>
          </w:tcPr>
          <w:p w14:paraId="77CE21F1">
            <w:pPr>
              <w:spacing w:line="360" w:lineRule="auto"/>
              <w:rPr>
                <w:rFonts w:ascii="宋体" w:hAnsi="宋体" w:cs="宋体"/>
                <w:sz w:val="24"/>
                <w:szCs w:val="24"/>
                <w:highlight w:val="none"/>
              </w:rPr>
            </w:pPr>
            <w:r>
              <w:rPr>
                <w:rFonts w:hint="eastAsia" w:ascii="宋体" w:hAnsi="宋体" w:cs="宋体"/>
                <w:sz w:val="24"/>
                <w:szCs w:val="24"/>
                <w:highlight w:val="none"/>
              </w:rPr>
              <w:t>投标人按照招标文件的要求认为有利于投标的材料。</w:t>
            </w:r>
          </w:p>
        </w:tc>
      </w:tr>
      <w:tr w14:paraId="4E0C96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85" w:type="dxa"/>
            <w:vAlign w:val="center"/>
          </w:tcPr>
          <w:p w14:paraId="2DB19A16">
            <w:pPr>
              <w:spacing w:line="360" w:lineRule="auto"/>
              <w:jc w:val="center"/>
              <w:rPr>
                <w:rFonts w:ascii="宋体" w:hAnsi="宋体" w:cs="宋体"/>
                <w:sz w:val="24"/>
                <w:szCs w:val="24"/>
                <w:highlight w:val="none"/>
              </w:rPr>
            </w:pPr>
            <w:r>
              <w:rPr>
                <w:rFonts w:hint="eastAsia" w:ascii="宋体" w:hAnsi="宋体" w:cs="宋体"/>
                <w:sz w:val="24"/>
                <w:szCs w:val="24"/>
                <w:highlight w:val="none"/>
              </w:rPr>
              <w:t>3.4.1</w:t>
            </w:r>
          </w:p>
        </w:tc>
        <w:tc>
          <w:tcPr>
            <w:tcW w:w="1966" w:type="dxa"/>
            <w:vAlign w:val="center"/>
          </w:tcPr>
          <w:p w14:paraId="1D26FFAE">
            <w:pPr>
              <w:spacing w:line="360" w:lineRule="auto"/>
              <w:jc w:val="center"/>
              <w:rPr>
                <w:rFonts w:ascii="宋体" w:hAnsi="宋体" w:cs="宋体"/>
                <w:sz w:val="24"/>
                <w:szCs w:val="24"/>
                <w:highlight w:val="none"/>
              </w:rPr>
            </w:pPr>
            <w:r>
              <w:rPr>
                <w:rFonts w:hint="eastAsia" w:ascii="宋体" w:hAnsi="宋体" w:cs="宋体"/>
                <w:sz w:val="24"/>
                <w:szCs w:val="24"/>
                <w:highlight w:val="none"/>
              </w:rPr>
              <w:t>投标报价</w:t>
            </w:r>
          </w:p>
        </w:tc>
        <w:tc>
          <w:tcPr>
            <w:tcW w:w="6053" w:type="dxa"/>
            <w:vAlign w:val="center"/>
          </w:tcPr>
          <w:p w14:paraId="66451CF8">
            <w:pPr>
              <w:spacing w:line="360" w:lineRule="auto"/>
              <w:rPr>
                <w:rFonts w:ascii="宋体" w:hAnsi="宋体" w:cs="宋体"/>
                <w:sz w:val="24"/>
                <w:szCs w:val="24"/>
                <w:highlight w:val="none"/>
              </w:rPr>
            </w:pPr>
            <w:r>
              <w:rPr>
                <w:rFonts w:hint="eastAsia" w:ascii="宋体" w:hAnsi="宋体" w:cs="宋体"/>
                <w:sz w:val="24"/>
                <w:szCs w:val="24"/>
                <w:highlight w:val="none"/>
              </w:rPr>
              <w:t>以中标价为依据签订总价合同。</w:t>
            </w:r>
          </w:p>
        </w:tc>
      </w:tr>
      <w:tr w14:paraId="46FFF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4" w:hRule="atLeast"/>
          <w:jc w:val="center"/>
        </w:trPr>
        <w:tc>
          <w:tcPr>
            <w:tcW w:w="985" w:type="dxa"/>
            <w:vAlign w:val="center"/>
          </w:tcPr>
          <w:p w14:paraId="3EA337D1">
            <w:pPr>
              <w:spacing w:line="360" w:lineRule="auto"/>
              <w:jc w:val="center"/>
              <w:rPr>
                <w:rFonts w:ascii="宋体" w:hAnsi="宋体" w:cs="宋体"/>
                <w:sz w:val="24"/>
                <w:szCs w:val="24"/>
                <w:highlight w:val="none"/>
              </w:rPr>
            </w:pPr>
            <w:r>
              <w:rPr>
                <w:rFonts w:hint="eastAsia" w:ascii="宋体" w:hAnsi="宋体" w:cs="宋体"/>
                <w:sz w:val="24"/>
                <w:szCs w:val="24"/>
                <w:highlight w:val="none"/>
              </w:rPr>
              <w:t>3.3.1</w:t>
            </w:r>
          </w:p>
        </w:tc>
        <w:tc>
          <w:tcPr>
            <w:tcW w:w="1966" w:type="dxa"/>
            <w:vAlign w:val="center"/>
          </w:tcPr>
          <w:p w14:paraId="6F6A6C47">
            <w:pPr>
              <w:spacing w:line="360" w:lineRule="auto"/>
              <w:jc w:val="center"/>
              <w:rPr>
                <w:rFonts w:ascii="宋体" w:hAnsi="宋体" w:cs="宋体"/>
                <w:sz w:val="24"/>
                <w:szCs w:val="24"/>
                <w:highlight w:val="none"/>
              </w:rPr>
            </w:pPr>
            <w:r>
              <w:rPr>
                <w:rFonts w:hint="eastAsia" w:ascii="宋体" w:hAnsi="宋体" w:cs="宋体"/>
                <w:sz w:val="24"/>
                <w:szCs w:val="24"/>
                <w:highlight w:val="none"/>
              </w:rPr>
              <w:t>投标有效期</w:t>
            </w:r>
          </w:p>
        </w:tc>
        <w:tc>
          <w:tcPr>
            <w:tcW w:w="6053" w:type="dxa"/>
            <w:vAlign w:val="center"/>
          </w:tcPr>
          <w:p w14:paraId="29BE1CB5">
            <w:pPr>
              <w:spacing w:line="360" w:lineRule="auto"/>
              <w:jc w:val="left"/>
              <w:rPr>
                <w:rFonts w:ascii="宋体" w:hAnsi="宋体" w:cs="宋体"/>
                <w:sz w:val="24"/>
                <w:szCs w:val="24"/>
                <w:highlight w:val="none"/>
              </w:rPr>
            </w:pPr>
            <w:r>
              <w:rPr>
                <w:rFonts w:hint="eastAsia" w:ascii="宋体" w:hAnsi="宋体" w:cs="宋体"/>
                <w:sz w:val="24"/>
                <w:szCs w:val="24"/>
                <w:highlight w:val="none"/>
              </w:rPr>
              <w:t>90日历天（从投标截止之日算起）</w:t>
            </w:r>
          </w:p>
        </w:tc>
      </w:tr>
      <w:tr w14:paraId="2FE9D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85" w:type="dxa"/>
            <w:vAlign w:val="center"/>
          </w:tcPr>
          <w:p w14:paraId="32ABD2E7">
            <w:pPr>
              <w:spacing w:line="360" w:lineRule="auto"/>
              <w:jc w:val="center"/>
              <w:rPr>
                <w:rFonts w:ascii="宋体" w:hAnsi="宋体" w:cs="宋体"/>
                <w:sz w:val="24"/>
                <w:szCs w:val="24"/>
                <w:highlight w:val="none"/>
              </w:rPr>
            </w:pPr>
            <w:r>
              <w:rPr>
                <w:rFonts w:hint="eastAsia" w:ascii="宋体" w:hAnsi="宋体" w:cs="宋体"/>
                <w:sz w:val="24"/>
                <w:szCs w:val="24"/>
                <w:highlight w:val="none"/>
              </w:rPr>
              <w:t>3.6</w:t>
            </w:r>
          </w:p>
        </w:tc>
        <w:tc>
          <w:tcPr>
            <w:tcW w:w="1966" w:type="dxa"/>
            <w:vAlign w:val="center"/>
          </w:tcPr>
          <w:p w14:paraId="4AA3F50B">
            <w:pPr>
              <w:spacing w:line="360" w:lineRule="auto"/>
              <w:jc w:val="center"/>
              <w:rPr>
                <w:rFonts w:ascii="宋体" w:hAnsi="宋体" w:cs="宋体"/>
                <w:sz w:val="24"/>
                <w:szCs w:val="24"/>
                <w:highlight w:val="none"/>
              </w:rPr>
            </w:pPr>
            <w:r>
              <w:rPr>
                <w:rFonts w:hint="eastAsia" w:ascii="宋体" w:hAnsi="宋体" w:cs="宋体"/>
                <w:sz w:val="24"/>
                <w:szCs w:val="24"/>
                <w:highlight w:val="none"/>
              </w:rPr>
              <w:t>投标保证金</w:t>
            </w:r>
          </w:p>
        </w:tc>
        <w:tc>
          <w:tcPr>
            <w:tcW w:w="6053" w:type="dxa"/>
            <w:vAlign w:val="center"/>
          </w:tcPr>
          <w:p w14:paraId="6140D727">
            <w:pPr>
              <w:spacing w:line="360" w:lineRule="auto"/>
              <w:rPr>
                <w:rFonts w:ascii="宋体" w:hAnsi="宋体" w:cs="宋体"/>
                <w:sz w:val="24"/>
                <w:szCs w:val="24"/>
                <w:highlight w:val="none"/>
              </w:rPr>
            </w:pPr>
            <w:r>
              <w:rPr>
                <w:rFonts w:hint="eastAsia" w:ascii="宋体" w:hAnsi="宋体" w:cs="宋体"/>
                <w:b/>
                <w:bCs/>
                <w:sz w:val="24"/>
                <w:szCs w:val="24"/>
                <w:highlight w:val="none"/>
              </w:rPr>
              <w:t>投标保证金：本项目不缴纳投标保证金（招标文件中关于投标保证金要求均不适用）</w:t>
            </w:r>
          </w:p>
        </w:tc>
      </w:tr>
      <w:tr w14:paraId="49C97A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2" w:hRule="atLeast"/>
          <w:jc w:val="center"/>
        </w:trPr>
        <w:tc>
          <w:tcPr>
            <w:tcW w:w="985" w:type="dxa"/>
            <w:vAlign w:val="center"/>
          </w:tcPr>
          <w:p w14:paraId="031ED2A3">
            <w:pPr>
              <w:spacing w:line="360" w:lineRule="auto"/>
              <w:jc w:val="center"/>
              <w:rPr>
                <w:rFonts w:ascii="宋体" w:hAnsi="宋体" w:cs="宋体"/>
                <w:sz w:val="24"/>
                <w:szCs w:val="24"/>
                <w:highlight w:val="none"/>
              </w:rPr>
            </w:pPr>
            <w:r>
              <w:rPr>
                <w:rFonts w:hint="eastAsia" w:ascii="宋体" w:hAnsi="宋体" w:cs="宋体"/>
                <w:sz w:val="24"/>
                <w:szCs w:val="24"/>
                <w:highlight w:val="none"/>
              </w:rPr>
              <w:t>3.4.2</w:t>
            </w:r>
          </w:p>
        </w:tc>
        <w:tc>
          <w:tcPr>
            <w:tcW w:w="1966" w:type="dxa"/>
            <w:vAlign w:val="center"/>
          </w:tcPr>
          <w:p w14:paraId="4D79B91D">
            <w:pPr>
              <w:spacing w:line="360" w:lineRule="auto"/>
              <w:jc w:val="center"/>
              <w:rPr>
                <w:rFonts w:ascii="宋体" w:hAnsi="宋体" w:cs="宋体"/>
                <w:sz w:val="24"/>
                <w:szCs w:val="24"/>
                <w:highlight w:val="none"/>
              </w:rPr>
            </w:pPr>
            <w:r>
              <w:rPr>
                <w:rFonts w:hint="eastAsia" w:ascii="宋体" w:hAnsi="宋体" w:cs="宋体"/>
                <w:sz w:val="24"/>
                <w:szCs w:val="24"/>
                <w:highlight w:val="none"/>
              </w:rPr>
              <w:t>代理服务费</w:t>
            </w:r>
          </w:p>
        </w:tc>
        <w:tc>
          <w:tcPr>
            <w:tcW w:w="6053" w:type="dxa"/>
            <w:vAlign w:val="center"/>
          </w:tcPr>
          <w:p w14:paraId="0A8A7001">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1.收费标准：按国家计委颁发的《招标代理服务收费管理暂行办法》（计价格[2002]1980号）和国家发展改革委员会办公厅颁发的《关于招标代理服务收费有关问题的通知》（发改办价格[2003]857号）的有关标准执行。</w:t>
            </w:r>
          </w:p>
          <w:p w14:paraId="1FB8BF94">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2.由中标单位向招标代理机构一次性缴付招标代理服务费。</w:t>
            </w:r>
          </w:p>
        </w:tc>
      </w:tr>
      <w:tr w14:paraId="1D8B4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7" w:hRule="atLeast"/>
          <w:jc w:val="center"/>
        </w:trPr>
        <w:tc>
          <w:tcPr>
            <w:tcW w:w="985" w:type="dxa"/>
            <w:vAlign w:val="center"/>
          </w:tcPr>
          <w:p w14:paraId="0D8CFD01">
            <w:pPr>
              <w:spacing w:line="360" w:lineRule="auto"/>
              <w:jc w:val="center"/>
              <w:rPr>
                <w:rFonts w:ascii="宋体" w:hAnsi="宋体" w:cs="宋体"/>
                <w:sz w:val="24"/>
                <w:szCs w:val="24"/>
                <w:highlight w:val="none"/>
              </w:rPr>
            </w:pPr>
            <w:r>
              <w:rPr>
                <w:rFonts w:hint="eastAsia" w:ascii="宋体" w:hAnsi="宋体" w:cs="宋体"/>
                <w:sz w:val="24"/>
                <w:szCs w:val="24"/>
                <w:highlight w:val="none"/>
              </w:rPr>
              <w:t>3.5</w:t>
            </w:r>
          </w:p>
        </w:tc>
        <w:tc>
          <w:tcPr>
            <w:tcW w:w="1966" w:type="dxa"/>
            <w:vAlign w:val="center"/>
          </w:tcPr>
          <w:p w14:paraId="01F229EA">
            <w:pPr>
              <w:spacing w:line="360" w:lineRule="auto"/>
              <w:jc w:val="center"/>
              <w:rPr>
                <w:rFonts w:ascii="宋体" w:hAnsi="宋体" w:cs="宋体"/>
                <w:sz w:val="24"/>
                <w:szCs w:val="24"/>
                <w:highlight w:val="none"/>
              </w:rPr>
            </w:pPr>
            <w:r>
              <w:rPr>
                <w:rFonts w:hint="eastAsia" w:ascii="宋体" w:hAnsi="宋体" w:cs="宋体"/>
                <w:sz w:val="24"/>
                <w:szCs w:val="24"/>
                <w:highlight w:val="none"/>
              </w:rPr>
              <w:t>是否允许递交</w:t>
            </w:r>
          </w:p>
          <w:p w14:paraId="2B9A47FB">
            <w:pPr>
              <w:spacing w:line="360" w:lineRule="auto"/>
              <w:jc w:val="center"/>
              <w:rPr>
                <w:rFonts w:ascii="宋体" w:hAnsi="宋体" w:cs="宋体"/>
                <w:sz w:val="24"/>
                <w:szCs w:val="24"/>
                <w:highlight w:val="none"/>
              </w:rPr>
            </w:pPr>
            <w:r>
              <w:rPr>
                <w:rFonts w:hint="eastAsia" w:ascii="宋体" w:hAnsi="宋体" w:cs="宋体"/>
                <w:sz w:val="24"/>
                <w:szCs w:val="24"/>
                <w:highlight w:val="none"/>
              </w:rPr>
              <w:t>备选投标方案</w:t>
            </w:r>
          </w:p>
        </w:tc>
        <w:tc>
          <w:tcPr>
            <w:tcW w:w="6053" w:type="dxa"/>
            <w:vAlign w:val="center"/>
          </w:tcPr>
          <w:p w14:paraId="2CCE8A56">
            <w:pPr>
              <w:spacing w:line="360" w:lineRule="auto"/>
              <w:rPr>
                <w:rFonts w:ascii="宋体" w:hAnsi="宋体" w:cs="宋体"/>
                <w:sz w:val="24"/>
                <w:szCs w:val="24"/>
                <w:highlight w:val="none"/>
              </w:rPr>
            </w:pPr>
            <w:r>
              <w:rPr>
                <w:rFonts w:hint="eastAsia" w:ascii="宋体" w:hAnsi="宋体" w:cs="宋体"/>
                <w:sz w:val="24"/>
                <w:szCs w:val="24"/>
                <w:highlight w:val="none"/>
              </w:rPr>
              <w:t>不允许</w:t>
            </w:r>
          </w:p>
        </w:tc>
      </w:tr>
      <w:tr w14:paraId="66DB0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85" w:type="dxa"/>
            <w:vAlign w:val="center"/>
          </w:tcPr>
          <w:p w14:paraId="137D86F7">
            <w:pPr>
              <w:spacing w:line="360" w:lineRule="auto"/>
              <w:jc w:val="center"/>
              <w:rPr>
                <w:rFonts w:ascii="宋体" w:hAnsi="宋体" w:cs="宋体"/>
                <w:sz w:val="24"/>
                <w:szCs w:val="24"/>
                <w:highlight w:val="none"/>
              </w:rPr>
            </w:pPr>
            <w:r>
              <w:rPr>
                <w:rFonts w:hint="eastAsia" w:ascii="宋体" w:hAnsi="宋体" w:cs="宋体"/>
                <w:sz w:val="24"/>
                <w:szCs w:val="24"/>
                <w:highlight w:val="none"/>
              </w:rPr>
              <w:t>3.6.3</w:t>
            </w:r>
          </w:p>
        </w:tc>
        <w:tc>
          <w:tcPr>
            <w:tcW w:w="1966" w:type="dxa"/>
            <w:vAlign w:val="center"/>
          </w:tcPr>
          <w:p w14:paraId="6A3FC59A">
            <w:pPr>
              <w:spacing w:line="360" w:lineRule="auto"/>
              <w:jc w:val="center"/>
              <w:rPr>
                <w:rFonts w:ascii="宋体" w:hAnsi="宋体" w:cs="宋体"/>
                <w:sz w:val="24"/>
                <w:szCs w:val="24"/>
                <w:highlight w:val="none"/>
              </w:rPr>
            </w:pPr>
            <w:r>
              <w:rPr>
                <w:rFonts w:hint="eastAsia" w:ascii="宋体" w:hAnsi="宋体" w:cs="宋体"/>
                <w:sz w:val="24"/>
                <w:szCs w:val="24"/>
                <w:highlight w:val="none"/>
              </w:rPr>
              <w:t>签字或盖章要求</w:t>
            </w:r>
          </w:p>
        </w:tc>
        <w:tc>
          <w:tcPr>
            <w:tcW w:w="6053" w:type="dxa"/>
            <w:vAlign w:val="center"/>
          </w:tcPr>
          <w:p w14:paraId="19B44EFF">
            <w:pPr>
              <w:spacing w:line="360" w:lineRule="auto"/>
              <w:rPr>
                <w:rFonts w:ascii="宋体" w:hAnsi="宋体" w:cs="宋体"/>
                <w:sz w:val="24"/>
                <w:szCs w:val="24"/>
                <w:highlight w:val="none"/>
              </w:rPr>
            </w:pPr>
            <w:r>
              <w:rPr>
                <w:rFonts w:hint="eastAsia" w:ascii="宋体" w:hAnsi="宋体" w:cs="宋体"/>
                <w:sz w:val="24"/>
                <w:szCs w:val="24"/>
                <w:highlight w:val="none"/>
              </w:rPr>
              <w:t>投标文件封面、投标函及其它有要求处必须加盖投标人公章并经法定代表人或其委托代理人签字或盖章。</w:t>
            </w:r>
            <w:bookmarkStart w:id="12" w:name="_Toc343511347"/>
          </w:p>
          <w:p w14:paraId="2B5BDF99">
            <w:pPr>
              <w:spacing w:line="360" w:lineRule="auto"/>
              <w:rPr>
                <w:rFonts w:ascii="宋体" w:hAnsi="宋体" w:cs="宋体"/>
                <w:sz w:val="24"/>
                <w:szCs w:val="24"/>
                <w:highlight w:val="none"/>
              </w:rPr>
            </w:pPr>
            <w:r>
              <w:rPr>
                <w:rFonts w:hint="eastAsia" w:ascii="宋体" w:hAnsi="宋体" w:cs="宋体"/>
                <w:sz w:val="24"/>
                <w:szCs w:val="24"/>
                <w:highlight w:val="none"/>
              </w:rPr>
              <w:t>投标文件应无涂改或行间插字和增删。如确需修改，修改处必须由投标人加盖投标人公章并经法定代表人或其委托代理人签字或盖章。</w:t>
            </w:r>
            <w:bookmarkEnd w:id="12"/>
          </w:p>
        </w:tc>
      </w:tr>
      <w:tr w14:paraId="346C76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7" w:hRule="atLeast"/>
          <w:jc w:val="center"/>
        </w:trPr>
        <w:tc>
          <w:tcPr>
            <w:tcW w:w="985" w:type="dxa"/>
            <w:vAlign w:val="center"/>
          </w:tcPr>
          <w:p w14:paraId="05B5A33F">
            <w:pPr>
              <w:spacing w:line="360" w:lineRule="auto"/>
              <w:jc w:val="center"/>
              <w:rPr>
                <w:rFonts w:ascii="宋体" w:hAnsi="宋体" w:cs="宋体"/>
                <w:sz w:val="24"/>
                <w:szCs w:val="24"/>
                <w:highlight w:val="none"/>
              </w:rPr>
            </w:pPr>
            <w:r>
              <w:rPr>
                <w:rFonts w:hint="eastAsia" w:ascii="宋体" w:hAnsi="宋体" w:cs="宋体"/>
                <w:sz w:val="24"/>
                <w:szCs w:val="24"/>
                <w:highlight w:val="none"/>
              </w:rPr>
              <w:t>3.6.4</w:t>
            </w:r>
          </w:p>
        </w:tc>
        <w:tc>
          <w:tcPr>
            <w:tcW w:w="1966" w:type="dxa"/>
            <w:vAlign w:val="center"/>
          </w:tcPr>
          <w:p w14:paraId="6805833E">
            <w:pPr>
              <w:spacing w:line="360" w:lineRule="auto"/>
              <w:jc w:val="center"/>
              <w:rPr>
                <w:rFonts w:ascii="宋体" w:hAnsi="宋体" w:cs="宋体"/>
                <w:sz w:val="24"/>
                <w:szCs w:val="24"/>
                <w:highlight w:val="none"/>
              </w:rPr>
            </w:pPr>
            <w:r>
              <w:rPr>
                <w:rFonts w:hint="eastAsia" w:ascii="宋体" w:hAnsi="宋体" w:cs="宋体"/>
                <w:sz w:val="24"/>
                <w:szCs w:val="24"/>
                <w:highlight w:val="none"/>
              </w:rPr>
              <w:t>投标文件份数</w:t>
            </w:r>
          </w:p>
        </w:tc>
        <w:tc>
          <w:tcPr>
            <w:tcW w:w="6053" w:type="dxa"/>
            <w:vAlign w:val="center"/>
          </w:tcPr>
          <w:p w14:paraId="330EE84A">
            <w:pPr>
              <w:spacing w:line="360" w:lineRule="auto"/>
              <w:rPr>
                <w:rFonts w:ascii="宋体" w:hAnsi="宋体" w:cs="宋体"/>
                <w:sz w:val="24"/>
                <w:szCs w:val="24"/>
                <w:highlight w:val="none"/>
              </w:rPr>
            </w:pPr>
            <w:r>
              <w:rPr>
                <w:rFonts w:hint="eastAsia" w:ascii="宋体" w:hAnsi="宋体" w:cs="宋体"/>
                <w:sz w:val="24"/>
                <w:szCs w:val="24"/>
                <w:highlight w:val="none"/>
              </w:rPr>
              <w:t>投标文件正本</w:t>
            </w:r>
            <w:r>
              <w:rPr>
                <w:rFonts w:hint="eastAsia" w:ascii="宋体" w:hAnsi="宋体" w:cs="宋体"/>
                <w:sz w:val="24"/>
                <w:szCs w:val="24"/>
                <w:highlight w:val="none"/>
                <w:u w:val="single"/>
              </w:rPr>
              <w:t>壹</w:t>
            </w:r>
            <w:r>
              <w:rPr>
                <w:rFonts w:hint="eastAsia" w:ascii="宋体" w:hAnsi="宋体" w:cs="宋体"/>
                <w:sz w:val="24"/>
                <w:szCs w:val="24"/>
                <w:highlight w:val="none"/>
              </w:rPr>
              <w:t>份,副本</w:t>
            </w:r>
            <w:r>
              <w:rPr>
                <w:rFonts w:hint="eastAsia" w:ascii="宋体" w:hAnsi="宋体" w:cs="宋体"/>
                <w:sz w:val="24"/>
                <w:szCs w:val="24"/>
                <w:highlight w:val="none"/>
                <w:u w:val="single"/>
              </w:rPr>
              <w:t>贰</w:t>
            </w:r>
            <w:r>
              <w:rPr>
                <w:rFonts w:hint="eastAsia" w:ascii="宋体" w:hAnsi="宋体" w:cs="宋体"/>
                <w:sz w:val="24"/>
                <w:szCs w:val="24"/>
                <w:highlight w:val="none"/>
              </w:rPr>
              <w:t>份,</w:t>
            </w:r>
            <w:r>
              <w:rPr>
                <w:rFonts w:hint="eastAsia" w:ascii="宋体" w:hAnsi="宋体" w:cs="宋体"/>
                <w:b/>
                <w:bCs/>
                <w:sz w:val="24"/>
                <w:szCs w:val="24"/>
                <w:highlight w:val="none"/>
              </w:rPr>
              <w:t>投标文件电子版</w:t>
            </w:r>
            <w:r>
              <w:rPr>
                <w:rFonts w:hint="eastAsia" w:ascii="宋体" w:hAnsi="宋体" w:cs="宋体"/>
                <w:b/>
                <w:bCs/>
                <w:sz w:val="24"/>
                <w:szCs w:val="24"/>
                <w:highlight w:val="none"/>
                <w:lang w:eastAsia="zh-CN"/>
              </w:rPr>
              <w:t>（</w:t>
            </w:r>
            <w:r>
              <w:rPr>
                <w:rFonts w:hint="eastAsia" w:ascii="宋体" w:hAnsi="宋体" w:cs="宋体"/>
                <w:b/>
                <w:bCs/>
                <w:sz w:val="24"/>
                <w:szCs w:val="24"/>
                <w:highlight w:val="none"/>
                <w:lang w:val="en-US" w:eastAsia="zh-CN"/>
              </w:rPr>
              <w:t>word及PDF)</w:t>
            </w:r>
            <w:r>
              <w:rPr>
                <w:rFonts w:hint="eastAsia" w:ascii="宋体" w:hAnsi="宋体" w:cs="宋体"/>
                <w:sz w:val="24"/>
                <w:szCs w:val="24"/>
                <w:highlight w:val="none"/>
                <w:u w:val="single"/>
              </w:rPr>
              <w:t>壹</w:t>
            </w:r>
            <w:r>
              <w:rPr>
                <w:rFonts w:hint="eastAsia" w:ascii="宋体" w:hAnsi="宋体" w:cs="宋体"/>
                <w:sz w:val="24"/>
                <w:szCs w:val="24"/>
                <w:highlight w:val="none"/>
              </w:rPr>
              <w:t>份（U盘），开标一览表</w:t>
            </w:r>
            <w:r>
              <w:rPr>
                <w:rFonts w:hint="eastAsia" w:ascii="宋体" w:hAnsi="宋体" w:cs="宋体"/>
                <w:sz w:val="24"/>
                <w:szCs w:val="24"/>
                <w:highlight w:val="none"/>
                <w:u w:val="single"/>
              </w:rPr>
              <w:t>壹</w:t>
            </w:r>
            <w:r>
              <w:rPr>
                <w:rFonts w:hint="eastAsia" w:ascii="宋体" w:hAnsi="宋体" w:cs="宋体"/>
                <w:sz w:val="24"/>
                <w:szCs w:val="24"/>
                <w:highlight w:val="none"/>
              </w:rPr>
              <w:t>份</w:t>
            </w:r>
          </w:p>
        </w:tc>
      </w:tr>
      <w:tr w14:paraId="7385B9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7" w:hRule="atLeast"/>
          <w:jc w:val="center"/>
        </w:trPr>
        <w:tc>
          <w:tcPr>
            <w:tcW w:w="985" w:type="dxa"/>
            <w:vAlign w:val="center"/>
          </w:tcPr>
          <w:p w14:paraId="27906EA8">
            <w:pPr>
              <w:spacing w:line="360" w:lineRule="auto"/>
              <w:jc w:val="center"/>
              <w:rPr>
                <w:rFonts w:ascii="宋体" w:hAnsi="宋体" w:cs="宋体"/>
                <w:sz w:val="24"/>
                <w:szCs w:val="24"/>
                <w:highlight w:val="none"/>
              </w:rPr>
            </w:pPr>
            <w:r>
              <w:rPr>
                <w:rFonts w:hint="eastAsia" w:ascii="宋体" w:hAnsi="宋体" w:cs="宋体"/>
                <w:sz w:val="24"/>
                <w:szCs w:val="24"/>
                <w:highlight w:val="none"/>
              </w:rPr>
              <w:t>4.1.2</w:t>
            </w:r>
          </w:p>
        </w:tc>
        <w:tc>
          <w:tcPr>
            <w:tcW w:w="1966" w:type="dxa"/>
            <w:vAlign w:val="center"/>
          </w:tcPr>
          <w:p w14:paraId="08D8D2E5">
            <w:pPr>
              <w:spacing w:line="360" w:lineRule="auto"/>
              <w:jc w:val="center"/>
              <w:rPr>
                <w:rFonts w:ascii="宋体" w:hAnsi="宋体" w:cs="宋体"/>
                <w:sz w:val="24"/>
                <w:szCs w:val="24"/>
                <w:highlight w:val="none"/>
              </w:rPr>
            </w:pPr>
            <w:r>
              <w:rPr>
                <w:rFonts w:hint="eastAsia" w:ascii="宋体" w:hAnsi="宋体" w:cs="宋体"/>
                <w:sz w:val="24"/>
                <w:szCs w:val="24"/>
                <w:highlight w:val="none"/>
              </w:rPr>
              <w:t>投标文件密封</w:t>
            </w:r>
          </w:p>
        </w:tc>
        <w:tc>
          <w:tcPr>
            <w:tcW w:w="6053" w:type="dxa"/>
            <w:vAlign w:val="center"/>
          </w:tcPr>
          <w:p w14:paraId="1AEFA86A">
            <w:pPr>
              <w:spacing w:line="360" w:lineRule="auto"/>
              <w:ind w:left="360" w:hanging="360" w:hangingChars="150"/>
              <w:rPr>
                <w:rFonts w:ascii="宋体" w:hAnsi="宋体" w:cs="宋体"/>
                <w:sz w:val="24"/>
                <w:szCs w:val="24"/>
                <w:highlight w:val="none"/>
              </w:rPr>
            </w:pPr>
            <w:r>
              <w:rPr>
                <w:rFonts w:hint="eastAsia" w:ascii="宋体" w:hAnsi="宋体" w:cs="宋体"/>
                <w:sz w:val="24"/>
                <w:szCs w:val="24"/>
                <w:highlight w:val="none"/>
              </w:rPr>
              <w:t>1、投标文件正、副本应分别装订成册，装订应牢固、不易拆散和换页，不得采用活页装订。封袋应加贴封条，并在封线处由法定代表人或委托代理人签字盖章后加盖投标人公章。</w:t>
            </w:r>
          </w:p>
          <w:p w14:paraId="62C5841A">
            <w:pPr>
              <w:spacing w:line="360" w:lineRule="auto"/>
              <w:rPr>
                <w:rFonts w:ascii="宋体" w:hAnsi="宋体" w:cs="宋体"/>
                <w:sz w:val="24"/>
                <w:szCs w:val="24"/>
                <w:highlight w:val="none"/>
              </w:rPr>
            </w:pPr>
            <w:r>
              <w:rPr>
                <w:rFonts w:hint="eastAsia" w:ascii="宋体" w:hAnsi="宋体" w:cs="宋体"/>
                <w:sz w:val="24"/>
                <w:szCs w:val="24"/>
                <w:highlight w:val="none"/>
              </w:rPr>
              <w:t>2、密封包装方式：</w:t>
            </w:r>
          </w:p>
          <w:p w14:paraId="4DE23D79">
            <w:pPr>
              <w:spacing w:line="360" w:lineRule="auto"/>
              <w:ind w:firstLine="240" w:firstLineChars="100"/>
              <w:rPr>
                <w:rFonts w:ascii="宋体" w:hAnsi="宋体" w:cs="宋体"/>
                <w:sz w:val="24"/>
                <w:szCs w:val="24"/>
                <w:highlight w:val="none"/>
              </w:rPr>
            </w:pPr>
            <w:r>
              <w:rPr>
                <w:rFonts w:hint="eastAsia" w:ascii="宋体" w:hAnsi="宋体" w:cs="宋体"/>
                <w:sz w:val="24"/>
                <w:szCs w:val="24"/>
                <w:highlight w:val="none"/>
              </w:rPr>
              <w:t>（1）投标文件正本、开标一览表、电子版一包密封。</w:t>
            </w:r>
          </w:p>
          <w:p w14:paraId="08A611AF">
            <w:pPr>
              <w:spacing w:line="360" w:lineRule="auto"/>
              <w:ind w:firstLine="240" w:firstLineChars="100"/>
              <w:rPr>
                <w:rFonts w:ascii="宋体" w:hAnsi="宋体" w:cs="宋体"/>
                <w:sz w:val="24"/>
                <w:szCs w:val="24"/>
                <w:highlight w:val="none"/>
              </w:rPr>
            </w:pPr>
            <w:r>
              <w:rPr>
                <w:rFonts w:hint="eastAsia" w:ascii="宋体" w:hAnsi="宋体" w:cs="宋体"/>
                <w:sz w:val="24"/>
                <w:szCs w:val="24"/>
                <w:highlight w:val="none"/>
              </w:rPr>
              <w:t>（2）投标文件所有副本一包密封。</w:t>
            </w:r>
          </w:p>
          <w:p w14:paraId="42CEEF8A">
            <w:pPr>
              <w:spacing w:line="360" w:lineRule="auto"/>
              <w:rPr>
                <w:rFonts w:ascii="宋体" w:hAnsi="宋体" w:cs="宋体"/>
                <w:sz w:val="24"/>
                <w:szCs w:val="24"/>
                <w:highlight w:val="none"/>
              </w:rPr>
            </w:pPr>
            <w:r>
              <w:rPr>
                <w:rFonts w:hint="eastAsia" w:ascii="宋体" w:hAnsi="宋体" w:cs="宋体"/>
                <w:sz w:val="24"/>
                <w:szCs w:val="24"/>
                <w:highlight w:val="none"/>
              </w:rPr>
              <w:t>3、外层包装请按以下要求标记：</w:t>
            </w:r>
          </w:p>
          <w:p w14:paraId="2C6868AA">
            <w:pPr>
              <w:spacing w:line="360" w:lineRule="auto"/>
              <w:ind w:firstLine="360" w:firstLineChars="150"/>
              <w:rPr>
                <w:rFonts w:ascii="宋体" w:hAnsi="宋体" w:cs="宋体"/>
                <w:sz w:val="24"/>
                <w:szCs w:val="24"/>
                <w:highlight w:val="none"/>
              </w:rPr>
            </w:pPr>
            <w:r>
              <w:rPr>
                <w:rFonts w:hint="eastAsia" w:ascii="宋体" w:hAnsi="宋体" w:cs="宋体"/>
                <w:sz w:val="24"/>
                <w:szCs w:val="24"/>
                <w:highlight w:val="none"/>
              </w:rPr>
              <w:t xml:space="preserve">项目名称： </w:t>
            </w:r>
          </w:p>
          <w:p w14:paraId="20227BF4">
            <w:pPr>
              <w:spacing w:line="360" w:lineRule="auto"/>
              <w:ind w:firstLine="360" w:firstLineChars="150"/>
              <w:rPr>
                <w:rFonts w:ascii="宋体" w:hAnsi="宋体" w:cs="宋体"/>
                <w:sz w:val="24"/>
                <w:szCs w:val="24"/>
                <w:highlight w:val="none"/>
              </w:rPr>
            </w:pPr>
            <w:r>
              <w:rPr>
                <w:rFonts w:hint="eastAsia" w:ascii="宋体" w:hAnsi="宋体" w:cs="宋体"/>
                <w:sz w:val="24"/>
                <w:szCs w:val="24"/>
                <w:highlight w:val="none"/>
              </w:rPr>
              <w:t>项目编号：</w:t>
            </w:r>
          </w:p>
          <w:p w14:paraId="0A8CF0F8">
            <w:pPr>
              <w:spacing w:line="360" w:lineRule="auto"/>
              <w:ind w:firstLine="360" w:firstLineChars="150"/>
              <w:rPr>
                <w:rFonts w:ascii="宋体" w:hAnsi="宋体" w:cs="宋体"/>
                <w:sz w:val="24"/>
                <w:szCs w:val="24"/>
                <w:highlight w:val="none"/>
              </w:rPr>
            </w:pPr>
            <w:r>
              <w:rPr>
                <w:rFonts w:hint="eastAsia" w:ascii="宋体" w:hAnsi="宋体" w:cs="宋体"/>
                <w:sz w:val="24"/>
                <w:szCs w:val="24"/>
                <w:highlight w:val="none"/>
              </w:rPr>
              <w:t>包号：第  包</w:t>
            </w:r>
          </w:p>
          <w:p w14:paraId="7170800D">
            <w:pPr>
              <w:spacing w:line="360" w:lineRule="auto"/>
              <w:ind w:firstLine="360" w:firstLineChars="150"/>
              <w:rPr>
                <w:rFonts w:ascii="宋体" w:hAnsi="宋体" w:cs="宋体"/>
                <w:sz w:val="24"/>
                <w:szCs w:val="24"/>
                <w:highlight w:val="none"/>
              </w:rPr>
            </w:pPr>
            <w:r>
              <w:rPr>
                <w:rFonts w:hint="eastAsia" w:ascii="宋体" w:hAnsi="宋体" w:cs="宋体"/>
                <w:sz w:val="24"/>
                <w:szCs w:val="24"/>
                <w:highlight w:val="none"/>
              </w:rPr>
              <w:t>投标人名称：</w:t>
            </w:r>
          </w:p>
          <w:p w14:paraId="520F0673">
            <w:pPr>
              <w:spacing w:line="360" w:lineRule="auto"/>
              <w:ind w:firstLine="360" w:firstLineChars="150"/>
              <w:rPr>
                <w:rFonts w:ascii="宋体" w:hAnsi="宋体" w:cs="宋体"/>
                <w:sz w:val="24"/>
                <w:szCs w:val="24"/>
                <w:highlight w:val="none"/>
              </w:rPr>
            </w:pPr>
            <w:r>
              <w:rPr>
                <w:rFonts w:hint="eastAsia" w:ascii="宋体" w:hAnsi="宋体" w:cs="宋体"/>
                <w:sz w:val="24"/>
                <w:szCs w:val="24"/>
                <w:highlight w:val="none"/>
              </w:rPr>
              <w:t>内容：“正本”或“副本”</w:t>
            </w:r>
          </w:p>
          <w:p w14:paraId="66DA7A26">
            <w:pPr>
              <w:spacing w:line="360" w:lineRule="auto"/>
              <w:rPr>
                <w:rFonts w:ascii="宋体" w:hAnsi="宋体" w:cs="宋体"/>
                <w:sz w:val="24"/>
                <w:szCs w:val="24"/>
                <w:highlight w:val="none"/>
              </w:rPr>
            </w:pPr>
            <w:r>
              <w:rPr>
                <w:rFonts w:hint="eastAsia" w:ascii="宋体" w:hAnsi="宋体" w:cs="宋体"/>
                <w:sz w:val="24"/>
                <w:szCs w:val="24"/>
                <w:highlight w:val="none"/>
              </w:rPr>
              <w:t>投标文件在</w:t>
            </w:r>
            <w:r>
              <w:rPr>
                <w:rFonts w:hint="eastAsia" w:ascii="宋体" w:hAnsi="宋体" w:cs="宋体"/>
                <w:sz w:val="24"/>
                <w:szCs w:val="24"/>
                <w:highlight w:val="none"/>
                <w:u w:val="single"/>
              </w:rPr>
              <w:t xml:space="preserve"> 202</w:t>
            </w:r>
            <w:r>
              <w:rPr>
                <w:rFonts w:hint="eastAsia" w:ascii="宋体" w:hAnsi="宋体" w:cs="宋体"/>
                <w:sz w:val="24"/>
                <w:szCs w:val="24"/>
                <w:highlight w:val="none"/>
                <w:u w:val="single"/>
                <w:lang w:val="en-US" w:eastAsia="zh-CN"/>
              </w:rPr>
              <w:t>4</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w:t>
            </w:r>
            <w:r>
              <w:rPr>
                <w:rFonts w:hint="eastAsia" w:ascii="宋体" w:hAnsi="宋体" w:cs="宋体"/>
                <w:sz w:val="24"/>
                <w:szCs w:val="24"/>
                <w:highlight w:val="none"/>
                <w:u w:val="single"/>
              </w:rPr>
              <w:t xml:space="preserve">   </w:t>
            </w:r>
            <w:r>
              <w:rPr>
                <w:rFonts w:hint="eastAsia" w:ascii="宋体" w:hAnsi="宋体" w:cs="宋体"/>
                <w:sz w:val="24"/>
                <w:szCs w:val="24"/>
                <w:highlight w:val="none"/>
              </w:rPr>
              <w:t>月</w:t>
            </w:r>
            <w:r>
              <w:rPr>
                <w:rFonts w:hint="eastAsia" w:ascii="宋体" w:hAnsi="宋体" w:cs="宋体"/>
                <w:sz w:val="24"/>
                <w:szCs w:val="24"/>
                <w:highlight w:val="none"/>
                <w:u w:val="single"/>
              </w:rPr>
              <w:t xml:space="preserve">   </w:t>
            </w:r>
            <w:r>
              <w:rPr>
                <w:rFonts w:hint="eastAsia" w:ascii="宋体" w:hAnsi="宋体" w:cs="宋体"/>
                <w:sz w:val="24"/>
                <w:szCs w:val="24"/>
                <w:highlight w:val="none"/>
              </w:rPr>
              <w:t>日</w:t>
            </w:r>
            <w:r>
              <w:rPr>
                <w:rFonts w:hint="eastAsia" w:ascii="宋体" w:hAnsi="宋体" w:cs="宋体"/>
                <w:sz w:val="24"/>
                <w:szCs w:val="24"/>
                <w:highlight w:val="none"/>
                <w:u w:val="single"/>
              </w:rPr>
              <w:t xml:space="preserve">    </w:t>
            </w:r>
            <w:r>
              <w:rPr>
                <w:rFonts w:hint="eastAsia" w:ascii="宋体" w:hAnsi="宋体" w:cs="宋体"/>
                <w:sz w:val="24"/>
                <w:szCs w:val="24"/>
                <w:highlight w:val="none"/>
              </w:rPr>
              <w:t>时</w:t>
            </w:r>
            <w:r>
              <w:rPr>
                <w:rFonts w:hint="eastAsia" w:ascii="宋体" w:hAnsi="宋体" w:cs="宋体"/>
                <w:sz w:val="24"/>
                <w:szCs w:val="24"/>
                <w:highlight w:val="none"/>
                <w:u w:val="single"/>
              </w:rPr>
              <w:t xml:space="preserve">   </w:t>
            </w:r>
            <w:r>
              <w:rPr>
                <w:rFonts w:hint="eastAsia" w:ascii="宋体" w:hAnsi="宋体" w:cs="宋体"/>
                <w:sz w:val="24"/>
                <w:szCs w:val="24"/>
                <w:highlight w:val="none"/>
              </w:rPr>
              <w:t>分前不得开启；</w:t>
            </w:r>
          </w:p>
        </w:tc>
      </w:tr>
      <w:tr w14:paraId="687129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3" w:hRule="atLeast"/>
          <w:jc w:val="center"/>
        </w:trPr>
        <w:tc>
          <w:tcPr>
            <w:tcW w:w="985" w:type="dxa"/>
            <w:vAlign w:val="center"/>
          </w:tcPr>
          <w:p w14:paraId="25CE0773">
            <w:pPr>
              <w:spacing w:line="360" w:lineRule="auto"/>
              <w:jc w:val="center"/>
              <w:rPr>
                <w:rFonts w:ascii="宋体" w:hAnsi="宋体" w:cs="宋体"/>
                <w:sz w:val="24"/>
                <w:szCs w:val="24"/>
                <w:highlight w:val="none"/>
              </w:rPr>
            </w:pPr>
            <w:r>
              <w:rPr>
                <w:rFonts w:hint="eastAsia" w:ascii="宋体" w:hAnsi="宋体" w:cs="宋体"/>
                <w:sz w:val="24"/>
                <w:szCs w:val="24"/>
                <w:highlight w:val="none"/>
              </w:rPr>
              <w:t>4.2.2</w:t>
            </w:r>
          </w:p>
        </w:tc>
        <w:tc>
          <w:tcPr>
            <w:tcW w:w="1966" w:type="dxa"/>
            <w:vAlign w:val="center"/>
          </w:tcPr>
          <w:p w14:paraId="19B80C3F">
            <w:pPr>
              <w:spacing w:line="360" w:lineRule="auto"/>
              <w:jc w:val="center"/>
              <w:rPr>
                <w:rFonts w:ascii="宋体" w:hAnsi="宋体" w:cs="宋体"/>
                <w:sz w:val="24"/>
                <w:szCs w:val="24"/>
                <w:highlight w:val="none"/>
              </w:rPr>
            </w:pPr>
            <w:r>
              <w:rPr>
                <w:rFonts w:hint="eastAsia" w:ascii="宋体" w:hAnsi="宋体" w:cs="宋体"/>
                <w:sz w:val="24"/>
                <w:szCs w:val="24"/>
                <w:highlight w:val="none"/>
              </w:rPr>
              <w:t>递交投标文件截止时间、地点</w:t>
            </w:r>
          </w:p>
        </w:tc>
        <w:tc>
          <w:tcPr>
            <w:tcW w:w="6053" w:type="dxa"/>
            <w:vAlign w:val="center"/>
          </w:tcPr>
          <w:p w14:paraId="59F6460D">
            <w:pPr>
              <w:spacing w:line="360" w:lineRule="auto"/>
              <w:rPr>
                <w:rFonts w:ascii="宋体" w:hAnsi="宋体" w:cs="宋体"/>
                <w:sz w:val="24"/>
                <w:szCs w:val="24"/>
                <w:highlight w:val="none"/>
              </w:rPr>
            </w:pPr>
            <w:r>
              <w:rPr>
                <w:rFonts w:hint="eastAsia" w:ascii="宋体" w:hAnsi="宋体" w:cs="宋体"/>
                <w:sz w:val="24"/>
                <w:szCs w:val="24"/>
                <w:highlight w:val="none"/>
              </w:rPr>
              <w:t xml:space="preserve">时间：2024年12月23日 09时00分00秒 </w:t>
            </w:r>
          </w:p>
          <w:p w14:paraId="56547C8F">
            <w:pPr>
              <w:spacing w:line="360" w:lineRule="auto"/>
              <w:rPr>
                <w:rFonts w:ascii="宋体" w:hAnsi="宋体" w:cs="宋体"/>
                <w:sz w:val="24"/>
                <w:szCs w:val="24"/>
                <w:highlight w:val="none"/>
              </w:rPr>
            </w:pPr>
            <w:r>
              <w:rPr>
                <w:rFonts w:hint="eastAsia" w:ascii="宋体" w:hAnsi="宋体" w:cs="宋体"/>
                <w:sz w:val="24"/>
                <w:szCs w:val="24"/>
                <w:highlight w:val="none"/>
              </w:rPr>
              <w:t>地点：陕西省西安市经济技术开发区未央路171-1号银池道拉斯财富中心21楼</w:t>
            </w:r>
          </w:p>
        </w:tc>
      </w:tr>
      <w:tr w14:paraId="7E7D28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3" w:hRule="atLeast"/>
          <w:jc w:val="center"/>
        </w:trPr>
        <w:tc>
          <w:tcPr>
            <w:tcW w:w="985" w:type="dxa"/>
            <w:vAlign w:val="center"/>
          </w:tcPr>
          <w:p w14:paraId="2A99CD25">
            <w:pPr>
              <w:spacing w:line="360" w:lineRule="auto"/>
              <w:jc w:val="center"/>
              <w:rPr>
                <w:rFonts w:ascii="宋体" w:hAnsi="宋体" w:cs="宋体"/>
                <w:sz w:val="24"/>
                <w:szCs w:val="24"/>
                <w:highlight w:val="none"/>
              </w:rPr>
            </w:pPr>
            <w:r>
              <w:rPr>
                <w:rFonts w:hint="eastAsia" w:ascii="宋体" w:hAnsi="宋体" w:cs="宋体"/>
                <w:sz w:val="24"/>
                <w:szCs w:val="24"/>
                <w:highlight w:val="none"/>
              </w:rPr>
              <w:t>4.2.3</w:t>
            </w:r>
          </w:p>
        </w:tc>
        <w:tc>
          <w:tcPr>
            <w:tcW w:w="1966" w:type="dxa"/>
            <w:vAlign w:val="center"/>
          </w:tcPr>
          <w:p w14:paraId="6C07A91D">
            <w:pPr>
              <w:spacing w:line="360" w:lineRule="auto"/>
              <w:jc w:val="center"/>
              <w:rPr>
                <w:rFonts w:ascii="宋体" w:hAnsi="宋体" w:cs="宋体"/>
                <w:sz w:val="24"/>
                <w:szCs w:val="24"/>
                <w:highlight w:val="none"/>
              </w:rPr>
            </w:pPr>
            <w:r>
              <w:rPr>
                <w:rFonts w:hint="eastAsia" w:ascii="宋体" w:hAnsi="宋体" w:cs="宋体"/>
                <w:sz w:val="24"/>
                <w:szCs w:val="24"/>
                <w:highlight w:val="none"/>
              </w:rPr>
              <w:t>是否退还投标文件</w:t>
            </w:r>
          </w:p>
        </w:tc>
        <w:tc>
          <w:tcPr>
            <w:tcW w:w="6053" w:type="dxa"/>
            <w:vAlign w:val="center"/>
          </w:tcPr>
          <w:p w14:paraId="3F99C425">
            <w:pPr>
              <w:spacing w:line="360" w:lineRule="auto"/>
              <w:rPr>
                <w:rFonts w:ascii="宋体" w:hAnsi="宋体" w:cs="宋体"/>
                <w:sz w:val="24"/>
                <w:szCs w:val="24"/>
                <w:highlight w:val="none"/>
              </w:rPr>
            </w:pPr>
            <w:r>
              <w:rPr>
                <w:rFonts w:hint="eastAsia" w:ascii="宋体" w:hAnsi="宋体" w:cs="宋体"/>
                <w:sz w:val="24"/>
                <w:szCs w:val="24"/>
                <w:highlight w:val="none"/>
              </w:rPr>
              <w:t>否</w:t>
            </w:r>
          </w:p>
        </w:tc>
      </w:tr>
      <w:tr w14:paraId="389715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985" w:type="dxa"/>
            <w:vAlign w:val="center"/>
          </w:tcPr>
          <w:p w14:paraId="1B015DFA">
            <w:pPr>
              <w:spacing w:line="360" w:lineRule="auto"/>
              <w:jc w:val="center"/>
              <w:rPr>
                <w:rFonts w:ascii="宋体" w:hAnsi="宋体" w:cs="宋体"/>
                <w:sz w:val="24"/>
                <w:szCs w:val="24"/>
                <w:highlight w:val="none"/>
              </w:rPr>
            </w:pPr>
            <w:r>
              <w:rPr>
                <w:rFonts w:hint="eastAsia" w:ascii="宋体" w:hAnsi="宋体" w:cs="宋体"/>
                <w:sz w:val="24"/>
                <w:szCs w:val="24"/>
                <w:highlight w:val="none"/>
              </w:rPr>
              <w:t>5.1</w:t>
            </w:r>
          </w:p>
        </w:tc>
        <w:tc>
          <w:tcPr>
            <w:tcW w:w="1966" w:type="dxa"/>
            <w:vAlign w:val="center"/>
          </w:tcPr>
          <w:p w14:paraId="6636F72B">
            <w:pPr>
              <w:spacing w:line="360" w:lineRule="auto"/>
              <w:jc w:val="center"/>
              <w:rPr>
                <w:rFonts w:ascii="宋体" w:hAnsi="宋体" w:cs="宋体"/>
                <w:sz w:val="24"/>
                <w:szCs w:val="24"/>
                <w:highlight w:val="none"/>
              </w:rPr>
            </w:pPr>
            <w:r>
              <w:rPr>
                <w:rFonts w:hint="eastAsia" w:ascii="宋体" w:hAnsi="宋体" w:cs="宋体"/>
                <w:sz w:val="24"/>
                <w:szCs w:val="24"/>
                <w:highlight w:val="none"/>
              </w:rPr>
              <w:t>开标时间和地点</w:t>
            </w:r>
          </w:p>
        </w:tc>
        <w:tc>
          <w:tcPr>
            <w:tcW w:w="6053" w:type="dxa"/>
            <w:vAlign w:val="center"/>
          </w:tcPr>
          <w:p w14:paraId="0C19C4D3">
            <w:pPr>
              <w:spacing w:line="360" w:lineRule="auto"/>
              <w:rPr>
                <w:rFonts w:ascii="宋体" w:hAnsi="宋体" w:cs="宋体"/>
                <w:sz w:val="24"/>
                <w:szCs w:val="24"/>
                <w:highlight w:val="none"/>
              </w:rPr>
            </w:pPr>
            <w:r>
              <w:rPr>
                <w:rFonts w:hint="eastAsia" w:ascii="宋体" w:hAnsi="宋体" w:cs="宋体"/>
                <w:sz w:val="24"/>
                <w:szCs w:val="24"/>
                <w:highlight w:val="none"/>
              </w:rPr>
              <w:t xml:space="preserve">开标时间：2024年12月23日 09时00分00秒 </w:t>
            </w:r>
          </w:p>
          <w:p w14:paraId="6FFD3D21">
            <w:pPr>
              <w:spacing w:line="360" w:lineRule="auto"/>
              <w:rPr>
                <w:rFonts w:ascii="宋体" w:hAnsi="宋体" w:cs="宋体"/>
                <w:sz w:val="24"/>
                <w:szCs w:val="24"/>
                <w:highlight w:val="none"/>
              </w:rPr>
            </w:pPr>
            <w:r>
              <w:rPr>
                <w:rFonts w:hint="eastAsia" w:ascii="宋体" w:hAnsi="宋体" w:cs="宋体"/>
                <w:sz w:val="24"/>
                <w:szCs w:val="24"/>
                <w:highlight w:val="none"/>
              </w:rPr>
              <w:t>开标地点: 陕西省西安市经济技术开发区未央路171-1号银池道拉斯财富中心21楼</w:t>
            </w:r>
          </w:p>
        </w:tc>
      </w:tr>
      <w:tr w14:paraId="5CD7F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3" w:hRule="atLeast"/>
          <w:jc w:val="center"/>
        </w:trPr>
        <w:tc>
          <w:tcPr>
            <w:tcW w:w="985" w:type="dxa"/>
            <w:vAlign w:val="center"/>
          </w:tcPr>
          <w:p w14:paraId="1DF7427A">
            <w:pPr>
              <w:spacing w:line="360" w:lineRule="auto"/>
              <w:jc w:val="center"/>
              <w:rPr>
                <w:rFonts w:ascii="宋体" w:hAnsi="宋体" w:cs="宋体"/>
                <w:sz w:val="24"/>
                <w:szCs w:val="24"/>
                <w:highlight w:val="none"/>
              </w:rPr>
            </w:pPr>
            <w:r>
              <w:rPr>
                <w:rFonts w:hint="eastAsia" w:ascii="宋体" w:hAnsi="宋体" w:cs="宋体"/>
                <w:sz w:val="24"/>
                <w:szCs w:val="24"/>
                <w:highlight w:val="none"/>
              </w:rPr>
              <w:t>7.1</w:t>
            </w:r>
          </w:p>
        </w:tc>
        <w:tc>
          <w:tcPr>
            <w:tcW w:w="1966" w:type="dxa"/>
            <w:vAlign w:val="center"/>
          </w:tcPr>
          <w:p w14:paraId="653AAE43">
            <w:pPr>
              <w:spacing w:line="360" w:lineRule="auto"/>
              <w:jc w:val="center"/>
              <w:rPr>
                <w:rFonts w:ascii="宋体" w:hAnsi="宋体" w:cs="宋体"/>
                <w:sz w:val="24"/>
                <w:szCs w:val="24"/>
                <w:highlight w:val="none"/>
              </w:rPr>
            </w:pPr>
            <w:r>
              <w:rPr>
                <w:rFonts w:hint="eastAsia" w:ascii="宋体" w:hAnsi="宋体" w:cs="宋体"/>
                <w:sz w:val="24"/>
                <w:szCs w:val="24"/>
                <w:highlight w:val="none"/>
              </w:rPr>
              <w:t>是否授权评标委员会确定中标人</w:t>
            </w:r>
          </w:p>
        </w:tc>
        <w:tc>
          <w:tcPr>
            <w:tcW w:w="6053" w:type="dxa"/>
            <w:vAlign w:val="center"/>
          </w:tcPr>
          <w:p w14:paraId="02335F44">
            <w:pPr>
              <w:spacing w:line="360" w:lineRule="auto"/>
              <w:rPr>
                <w:rFonts w:ascii="宋体" w:hAnsi="宋体" w:cs="宋体"/>
                <w:sz w:val="24"/>
                <w:szCs w:val="24"/>
                <w:highlight w:val="none"/>
              </w:rPr>
            </w:pPr>
            <w:r>
              <w:rPr>
                <w:rFonts w:hint="eastAsia" w:ascii="宋体" w:hAnsi="宋体" w:cs="宋体"/>
                <w:sz w:val="24"/>
                <w:szCs w:val="24"/>
                <w:highlight w:val="none"/>
              </w:rPr>
              <w:t>否,</w:t>
            </w:r>
            <w:bookmarkStart w:id="13" w:name="OLE_LINK6"/>
            <w:r>
              <w:rPr>
                <w:rFonts w:hint="eastAsia" w:ascii="宋体" w:hAnsi="宋体" w:cs="宋体"/>
                <w:sz w:val="24"/>
                <w:szCs w:val="24"/>
                <w:highlight w:val="none"/>
              </w:rPr>
              <w:t>推荐3名中标候选人</w:t>
            </w:r>
            <w:bookmarkEnd w:id="13"/>
          </w:p>
        </w:tc>
      </w:tr>
      <w:tr w14:paraId="16613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004" w:type="dxa"/>
            <w:gridSpan w:val="3"/>
            <w:vAlign w:val="center"/>
          </w:tcPr>
          <w:p w14:paraId="0AC1A009">
            <w:pPr>
              <w:spacing w:line="360" w:lineRule="auto"/>
              <w:rPr>
                <w:rFonts w:ascii="宋体" w:hAnsi="宋体" w:cs="宋体"/>
                <w:sz w:val="24"/>
                <w:szCs w:val="24"/>
                <w:highlight w:val="none"/>
              </w:rPr>
            </w:pPr>
            <w:r>
              <w:rPr>
                <w:rFonts w:hint="eastAsia" w:ascii="宋体" w:hAnsi="宋体" w:cs="宋体"/>
                <w:sz w:val="24"/>
                <w:szCs w:val="24"/>
                <w:highlight w:val="none"/>
              </w:rPr>
              <w:t>10.1计算机辅助评标</w:t>
            </w:r>
          </w:p>
        </w:tc>
      </w:tr>
      <w:tr w14:paraId="53BEA8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2951" w:type="dxa"/>
            <w:gridSpan w:val="2"/>
            <w:vAlign w:val="center"/>
          </w:tcPr>
          <w:p w14:paraId="6B3F2FD3">
            <w:pPr>
              <w:spacing w:line="360" w:lineRule="auto"/>
              <w:jc w:val="center"/>
              <w:rPr>
                <w:rFonts w:ascii="宋体" w:hAnsi="宋体" w:cs="宋体"/>
                <w:sz w:val="24"/>
                <w:szCs w:val="24"/>
                <w:highlight w:val="none"/>
              </w:rPr>
            </w:pPr>
            <w:r>
              <w:rPr>
                <w:rFonts w:hint="eastAsia" w:ascii="宋体" w:hAnsi="宋体" w:cs="宋体"/>
                <w:sz w:val="24"/>
                <w:szCs w:val="24"/>
                <w:highlight w:val="none"/>
              </w:rPr>
              <w:t>是否实行计算机辅助评标</w:t>
            </w:r>
          </w:p>
        </w:tc>
        <w:tc>
          <w:tcPr>
            <w:tcW w:w="6053" w:type="dxa"/>
            <w:vAlign w:val="center"/>
          </w:tcPr>
          <w:p w14:paraId="32EB4EF4">
            <w:pPr>
              <w:spacing w:line="360" w:lineRule="auto"/>
              <w:rPr>
                <w:rFonts w:ascii="宋体" w:hAnsi="宋体" w:cs="宋体"/>
                <w:sz w:val="24"/>
                <w:szCs w:val="24"/>
                <w:highlight w:val="none"/>
              </w:rPr>
            </w:pPr>
            <w:r>
              <w:rPr>
                <w:rFonts w:hint="eastAsia" w:ascii="宋体" w:hAnsi="宋体" w:cs="宋体"/>
                <w:sz w:val="24"/>
                <w:szCs w:val="24"/>
                <w:highlight w:val="none"/>
              </w:rPr>
              <w:t>否</w:t>
            </w:r>
          </w:p>
        </w:tc>
      </w:tr>
      <w:tr w14:paraId="5346E5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004" w:type="dxa"/>
            <w:gridSpan w:val="3"/>
            <w:vAlign w:val="center"/>
          </w:tcPr>
          <w:p w14:paraId="567C2A9E">
            <w:pPr>
              <w:spacing w:line="360" w:lineRule="auto"/>
              <w:ind w:left="110" w:leftChars="52" w:hanging="1"/>
              <w:rPr>
                <w:rFonts w:ascii="宋体" w:hAnsi="宋体" w:cs="宋体"/>
                <w:sz w:val="24"/>
                <w:szCs w:val="24"/>
                <w:highlight w:val="none"/>
              </w:rPr>
            </w:pPr>
            <w:r>
              <w:rPr>
                <w:rFonts w:hint="eastAsia" w:ascii="宋体" w:hAnsi="宋体" w:cs="宋体"/>
                <w:sz w:val="24"/>
                <w:szCs w:val="24"/>
                <w:highlight w:val="none"/>
              </w:rPr>
              <w:t>10.2 知识产权</w:t>
            </w:r>
          </w:p>
        </w:tc>
      </w:tr>
      <w:tr w14:paraId="101032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004" w:type="dxa"/>
            <w:gridSpan w:val="3"/>
            <w:vAlign w:val="center"/>
          </w:tcPr>
          <w:p w14:paraId="4123AFA3">
            <w:pPr>
              <w:spacing w:line="360" w:lineRule="auto"/>
              <w:ind w:left="110" w:leftChars="52" w:hanging="1"/>
              <w:rPr>
                <w:rFonts w:ascii="宋体" w:hAnsi="宋体" w:cs="宋体"/>
                <w:sz w:val="24"/>
                <w:szCs w:val="24"/>
                <w:highlight w:val="none"/>
              </w:rPr>
            </w:pPr>
            <w:r>
              <w:rPr>
                <w:rFonts w:hint="eastAsia" w:ascii="宋体" w:hAnsi="宋体" w:cs="宋体"/>
                <w:sz w:val="24"/>
                <w:szCs w:val="24"/>
                <w:highlight w:val="none"/>
              </w:rPr>
              <w:t>构成本招标文件各个组成部分的文件，未经招标人书面同意，投标人不得擅自复印和用于非本招标项目所需的其他目的。招标人全部或者部分使用未中标人投标文件中的技术成果或技术方案时，需征得其书面同意，并不得擅自复印或提供给第三人。</w:t>
            </w:r>
          </w:p>
        </w:tc>
      </w:tr>
      <w:tr w14:paraId="1B7276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004" w:type="dxa"/>
            <w:gridSpan w:val="3"/>
            <w:vAlign w:val="center"/>
          </w:tcPr>
          <w:p w14:paraId="5A339C4C">
            <w:pPr>
              <w:spacing w:line="360" w:lineRule="auto"/>
              <w:ind w:left="110" w:leftChars="52" w:hanging="1"/>
              <w:rPr>
                <w:rFonts w:ascii="宋体" w:hAnsi="宋体" w:cs="宋体"/>
                <w:sz w:val="24"/>
                <w:szCs w:val="24"/>
                <w:highlight w:val="none"/>
              </w:rPr>
            </w:pPr>
            <w:r>
              <w:rPr>
                <w:rFonts w:hint="eastAsia" w:ascii="宋体" w:hAnsi="宋体" w:cs="宋体"/>
                <w:sz w:val="24"/>
                <w:szCs w:val="24"/>
                <w:highlight w:val="none"/>
              </w:rPr>
              <w:t>10.3 重新招标的其他情形</w:t>
            </w:r>
          </w:p>
        </w:tc>
      </w:tr>
      <w:tr w14:paraId="678770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004" w:type="dxa"/>
            <w:gridSpan w:val="3"/>
            <w:vAlign w:val="center"/>
          </w:tcPr>
          <w:p w14:paraId="56C7F3D8">
            <w:pPr>
              <w:spacing w:line="360" w:lineRule="auto"/>
              <w:ind w:left="110" w:leftChars="52" w:hanging="1"/>
              <w:rPr>
                <w:rFonts w:ascii="宋体" w:hAnsi="宋体" w:cs="宋体"/>
                <w:sz w:val="24"/>
                <w:szCs w:val="24"/>
                <w:highlight w:val="none"/>
              </w:rPr>
            </w:pPr>
            <w:r>
              <w:rPr>
                <w:rFonts w:hint="eastAsia" w:ascii="宋体" w:hAnsi="宋体" w:cs="宋体"/>
                <w:sz w:val="24"/>
                <w:szCs w:val="24"/>
                <w:highlight w:val="none"/>
              </w:rPr>
              <w:t>除投标人须知正文第8条规定的情形外，除非已经产生中标候选人，在投标有效期内同意延长投标有效期的投标人少于三个的，招标人应当依法重新招标。</w:t>
            </w:r>
          </w:p>
        </w:tc>
      </w:tr>
      <w:tr w14:paraId="56580C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3" w:hRule="atLeast"/>
          <w:jc w:val="center"/>
        </w:trPr>
        <w:tc>
          <w:tcPr>
            <w:tcW w:w="9004" w:type="dxa"/>
            <w:gridSpan w:val="3"/>
            <w:vAlign w:val="center"/>
          </w:tcPr>
          <w:p w14:paraId="40F45469">
            <w:pPr>
              <w:spacing w:line="360" w:lineRule="auto"/>
              <w:ind w:left="110" w:leftChars="52" w:hanging="1"/>
              <w:rPr>
                <w:rFonts w:ascii="宋体" w:hAnsi="宋体" w:cs="宋体"/>
                <w:sz w:val="24"/>
                <w:szCs w:val="24"/>
                <w:highlight w:val="none"/>
              </w:rPr>
            </w:pPr>
            <w:r>
              <w:rPr>
                <w:rFonts w:hint="eastAsia" w:ascii="宋体" w:hAnsi="宋体" w:cs="宋体"/>
                <w:sz w:val="24"/>
                <w:szCs w:val="24"/>
                <w:highlight w:val="none"/>
              </w:rPr>
              <w:t>10.4  同义词语</w:t>
            </w:r>
          </w:p>
        </w:tc>
      </w:tr>
      <w:tr w14:paraId="24FF7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1" w:hRule="atLeast"/>
          <w:jc w:val="center"/>
        </w:trPr>
        <w:tc>
          <w:tcPr>
            <w:tcW w:w="9004" w:type="dxa"/>
            <w:gridSpan w:val="3"/>
            <w:vAlign w:val="center"/>
          </w:tcPr>
          <w:p w14:paraId="5C9786E6">
            <w:pPr>
              <w:spacing w:line="360" w:lineRule="auto"/>
              <w:ind w:left="110" w:leftChars="52" w:hanging="1"/>
              <w:rPr>
                <w:rFonts w:ascii="宋体" w:hAnsi="宋体" w:cs="宋体"/>
                <w:sz w:val="24"/>
                <w:szCs w:val="24"/>
                <w:highlight w:val="none"/>
              </w:rPr>
            </w:pPr>
            <w:r>
              <w:rPr>
                <w:rFonts w:hint="eastAsia" w:ascii="宋体" w:hAnsi="宋体" w:cs="宋体"/>
                <w:sz w:val="24"/>
                <w:szCs w:val="24"/>
                <w:highlight w:val="none"/>
              </w:rPr>
              <w:t>构成招标文件组成部分的“通用合同条款”、“专用合同条款”、“技术标准和要求”等章节中出现的措辞“发包人”和“承包人”，在招标投标阶段应当分别按“招标人”和“投标人”进行理解。</w:t>
            </w:r>
          </w:p>
        </w:tc>
      </w:tr>
      <w:tr w14:paraId="348ACB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7" w:hRule="exact"/>
          <w:jc w:val="center"/>
        </w:trPr>
        <w:tc>
          <w:tcPr>
            <w:tcW w:w="9004" w:type="dxa"/>
            <w:gridSpan w:val="3"/>
            <w:vAlign w:val="center"/>
          </w:tcPr>
          <w:p w14:paraId="5B812E52">
            <w:pPr>
              <w:spacing w:line="360" w:lineRule="auto"/>
              <w:ind w:left="68" w:leftChars="-2" w:hanging="72" w:hangingChars="30"/>
              <w:rPr>
                <w:rFonts w:ascii="宋体" w:hAnsi="宋体" w:cs="宋体"/>
                <w:sz w:val="24"/>
                <w:szCs w:val="24"/>
                <w:highlight w:val="none"/>
              </w:rPr>
            </w:pPr>
            <w:r>
              <w:rPr>
                <w:rFonts w:hint="eastAsia" w:ascii="宋体" w:hAnsi="宋体" w:cs="宋体"/>
                <w:sz w:val="24"/>
                <w:szCs w:val="24"/>
                <w:highlight w:val="none"/>
              </w:rPr>
              <w:t>10.5  解释权</w:t>
            </w:r>
          </w:p>
        </w:tc>
      </w:tr>
      <w:tr w14:paraId="01F06B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6" w:hRule="exact"/>
          <w:jc w:val="center"/>
        </w:trPr>
        <w:tc>
          <w:tcPr>
            <w:tcW w:w="9004" w:type="dxa"/>
            <w:gridSpan w:val="3"/>
            <w:vAlign w:val="center"/>
          </w:tcPr>
          <w:p w14:paraId="1E2DF27F">
            <w:pPr>
              <w:spacing w:line="360" w:lineRule="auto"/>
              <w:ind w:left="68" w:leftChars="-2" w:hanging="72" w:hangingChars="30"/>
              <w:rPr>
                <w:rFonts w:ascii="宋体" w:hAnsi="宋体" w:cs="宋体"/>
                <w:sz w:val="24"/>
                <w:szCs w:val="24"/>
                <w:highlight w:val="none"/>
              </w:rPr>
            </w:pPr>
            <w:r>
              <w:rPr>
                <w:rFonts w:hint="eastAsia" w:ascii="宋体" w:hAnsi="宋体" w:cs="宋体"/>
                <w:sz w:val="24"/>
                <w:szCs w:val="24"/>
                <w:highlight w:val="none"/>
              </w:rPr>
              <w:t>本招标文件由招标人和招标代理机构负责解释。</w:t>
            </w:r>
          </w:p>
        </w:tc>
      </w:tr>
      <w:tr w14:paraId="40DE9E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6" w:hRule="exact"/>
          <w:jc w:val="center"/>
        </w:trPr>
        <w:tc>
          <w:tcPr>
            <w:tcW w:w="9004" w:type="dxa"/>
            <w:gridSpan w:val="3"/>
            <w:vAlign w:val="center"/>
          </w:tcPr>
          <w:p w14:paraId="56D379A6">
            <w:pPr>
              <w:spacing w:line="360" w:lineRule="auto"/>
              <w:ind w:left="68" w:leftChars="-2" w:hanging="72" w:hangingChars="30"/>
              <w:jc w:val="center"/>
              <w:rPr>
                <w:rFonts w:ascii="宋体" w:hAnsi="宋体" w:cs="宋体"/>
                <w:sz w:val="24"/>
                <w:szCs w:val="24"/>
                <w:highlight w:val="none"/>
              </w:rPr>
            </w:pPr>
            <w:r>
              <w:rPr>
                <w:rFonts w:hint="eastAsia" w:ascii="宋体" w:hAnsi="宋体" w:cs="宋体"/>
                <w:b/>
                <w:bCs/>
                <w:sz w:val="24"/>
                <w:szCs w:val="24"/>
                <w:highlight w:val="none"/>
              </w:rPr>
              <w:t>其他</w:t>
            </w:r>
          </w:p>
        </w:tc>
      </w:tr>
      <w:tr w14:paraId="1E44B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5" w:hRule="exact"/>
          <w:jc w:val="center"/>
        </w:trPr>
        <w:tc>
          <w:tcPr>
            <w:tcW w:w="9004" w:type="dxa"/>
            <w:gridSpan w:val="3"/>
            <w:vAlign w:val="center"/>
          </w:tcPr>
          <w:p w14:paraId="3E7B4A63">
            <w:pPr>
              <w:spacing w:line="360" w:lineRule="auto"/>
              <w:ind w:left="68" w:leftChars="-2" w:hanging="72" w:hangingChars="30"/>
              <w:rPr>
                <w:rFonts w:ascii="宋体" w:hAnsi="宋体" w:cs="宋体"/>
                <w:sz w:val="24"/>
                <w:szCs w:val="24"/>
                <w:highlight w:val="none"/>
              </w:rPr>
            </w:pPr>
            <w:r>
              <w:rPr>
                <w:rFonts w:hint="eastAsia" w:ascii="宋体" w:hAnsi="宋体" w:cs="宋体"/>
                <w:sz w:val="24"/>
                <w:szCs w:val="24"/>
                <w:highlight w:val="none"/>
              </w:rPr>
              <w:t>采购文件所属行业：农、林、牧、渔业</w:t>
            </w:r>
          </w:p>
        </w:tc>
      </w:tr>
      <w:tr w14:paraId="76584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31" w:hRule="exact"/>
          <w:jc w:val="center"/>
        </w:trPr>
        <w:tc>
          <w:tcPr>
            <w:tcW w:w="9004" w:type="dxa"/>
            <w:gridSpan w:val="3"/>
            <w:vAlign w:val="center"/>
          </w:tcPr>
          <w:p w14:paraId="461249EF">
            <w:pPr>
              <w:spacing w:line="360" w:lineRule="auto"/>
              <w:ind w:left="68" w:leftChars="-2" w:hanging="72" w:hangingChars="30"/>
              <w:rPr>
                <w:rFonts w:ascii="宋体" w:hAnsi="宋体" w:cs="宋体"/>
                <w:sz w:val="24"/>
                <w:szCs w:val="24"/>
                <w:highlight w:val="none"/>
              </w:rPr>
            </w:pPr>
            <w:r>
              <w:rPr>
                <w:rFonts w:hint="eastAsia" w:ascii="宋体" w:hAnsi="宋体" w:cs="宋体"/>
                <w:b/>
                <w:bCs/>
                <w:sz w:val="24"/>
                <w:szCs w:val="24"/>
                <w:highlight w:val="none"/>
              </w:rPr>
              <w:t>项目性质：本项目专门面向</w:t>
            </w:r>
            <w:r>
              <w:rPr>
                <w:rFonts w:hint="eastAsia" w:ascii="宋体" w:hAnsi="宋体" w:cs="宋体"/>
                <w:b/>
                <w:bCs/>
                <w:sz w:val="24"/>
                <w:szCs w:val="24"/>
                <w:highlight w:val="none"/>
                <w:lang w:val="en-US" w:eastAsia="zh-CN"/>
              </w:rPr>
              <w:t>中小</w:t>
            </w:r>
            <w:r>
              <w:rPr>
                <w:rFonts w:hint="eastAsia" w:ascii="宋体" w:hAnsi="宋体" w:cs="宋体"/>
                <w:b/>
                <w:bCs/>
                <w:sz w:val="24"/>
                <w:szCs w:val="24"/>
                <w:highlight w:val="none"/>
              </w:rPr>
              <w:t>企业</w:t>
            </w:r>
          </w:p>
        </w:tc>
      </w:tr>
      <w:tr w14:paraId="15EDA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5" w:hRule="exact"/>
          <w:jc w:val="center"/>
        </w:trPr>
        <w:tc>
          <w:tcPr>
            <w:tcW w:w="9004" w:type="dxa"/>
            <w:gridSpan w:val="3"/>
            <w:vAlign w:val="center"/>
          </w:tcPr>
          <w:p w14:paraId="38963819">
            <w:pPr>
              <w:spacing w:line="360" w:lineRule="auto"/>
              <w:ind w:left="68" w:leftChars="-2" w:hanging="72" w:hangingChars="30"/>
              <w:rPr>
                <w:rFonts w:ascii="宋体" w:hAnsi="宋体" w:cs="宋体"/>
                <w:sz w:val="24"/>
                <w:szCs w:val="24"/>
                <w:highlight w:val="none"/>
              </w:rPr>
            </w:pPr>
            <w:r>
              <w:rPr>
                <w:rFonts w:hint="eastAsia" w:ascii="宋体" w:hAnsi="宋体" w:cs="宋体"/>
                <w:sz w:val="24"/>
                <w:szCs w:val="24"/>
                <w:highlight w:val="none"/>
              </w:rPr>
              <w:t>中小企业政策性扣减：对符合《政府采购促进中小企业发展管理办法》(财库(2020)46号)规定的小微企业(监狱企业视同小型、微型企业)的报价给予10%(10%-20%)的扣除,用扣除后的价格参加评审。本项目为专门面向</w:t>
            </w:r>
            <w:r>
              <w:rPr>
                <w:rFonts w:hint="eastAsia" w:ascii="宋体" w:hAnsi="宋体" w:cs="宋体"/>
                <w:sz w:val="24"/>
                <w:szCs w:val="24"/>
                <w:highlight w:val="none"/>
                <w:lang w:val="en-US" w:eastAsia="zh-CN"/>
              </w:rPr>
              <w:t>中小</w:t>
            </w:r>
            <w:r>
              <w:rPr>
                <w:rFonts w:hint="eastAsia" w:ascii="宋体" w:hAnsi="宋体" w:cs="宋体"/>
                <w:sz w:val="24"/>
                <w:szCs w:val="24"/>
                <w:highlight w:val="none"/>
              </w:rPr>
              <w:t>企业，不在进行价格扣</w:t>
            </w:r>
            <w:r>
              <w:rPr>
                <w:rFonts w:hint="eastAsia" w:hAnsi="宋体" w:cs="宋体"/>
                <w:sz w:val="24"/>
                <w:szCs w:val="24"/>
                <w:highlight w:val="none"/>
              </w:rPr>
              <w:t>减。</w:t>
            </w:r>
          </w:p>
        </w:tc>
      </w:tr>
      <w:tr w14:paraId="37D278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5" w:hRule="exact"/>
          <w:jc w:val="center"/>
        </w:trPr>
        <w:tc>
          <w:tcPr>
            <w:tcW w:w="9004" w:type="dxa"/>
            <w:gridSpan w:val="3"/>
            <w:vAlign w:val="center"/>
          </w:tcPr>
          <w:p w14:paraId="02F4F676">
            <w:pPr>
              <w:spacing w:line="360" w:lineRule="auto"/>
              <w:ind w:left="68" w:leftChars="-2" w:hanging="72" w:hangingChars="30"/>
              <w:rPr>
                <w:rFonts w:ascii="宋体" w:hAnsi="宋体" w:cs="宋体"/>
                <w:b/>
                <w:bCs/>
                <w:sz w:val="24"/>
                <w:szCs w:val="24"/>
                <w:highlight w:val="none"/>
              </w:rPr>
            </w:pPr>
            <w:r>
              <w:rPr>
                <w:rFonts w:ascii="宋体" w:hAnsi="宋体" w:cs="宋体"/>
                <w:b/>
                <w:bCs/>
                <w:sz w:val="24"/>
                <w:szCs w:val="24"/>
                <w:highlight w:val="none"/>
              </w:rPr>
              <w:t>本项目允许多个标段投标，但只允许中一个标段。</w:t>
            </w:r>
          </w:p>
          <w:p w14:paraId="6596C5BA">
            <w:pPr>
              <w:spacing w:line="360" w:lineRule="auto"/>
              <w:ind w:left="68" w:leftChars="-2" w:hanging="72" w:hangingChars="30"/>
              <w:rPr>
                <w:rFonts w:ascii="宋体" w:hAnsi="宋体" w:cs="宋体"/>
                <w:sz w:val="24"/>
                <w:szCs w:val="24"/>
                <w:highlight w:val="none"/>
              </w:rPr>
            </w:pPr>
          </w:p>
        </w:tc>
      </w:tr>
      <w:tr w14:paraId="6C4996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4" w:hRule="exact"/>
          <w:jc w:val="center"/>
        </w:trPr>
        <w:tc>
          <w:tcPr>
            <w:tcW w:w="9004" w:type="dxa"/>
            <w:gridSpan w:val="3"/>
            <w:vAlign w:val="center"/>
          </w:tcPr>
          <w:p w14:paraId="4D4B3C82">
            <w:pPr>
              <w:spacing w:line="500" w:lineRule="exact"/>
              <w:rPr>
                <w:rFonts w:ascii="宋体" w:hAnsi="宋体" w:cs="宋体"/>
                <w:b/>
                <w:bCs/>
                <w:sz w:val="24"/>
                <w:szCs w:val="24"/>
                <w:highlight w:val="none"/>
              </w:rPr>
            </w:pPr>
            <w:r>
              <w:rPr>
                <w:rFonts w:hint="eastAsia" w:ascii="宋体" w:hAnsi="宋体" w:cs="宋体"/>
                <w:b/>
                <w:bCs/>
                <w:sz w:val="24"/>
                <w:szCs w:val="24"/>
                <w:highlight w:val="none"/>
              </w:rPr>
              <w:t>备注：供应商注册登记提醒：</w:t>
            </w:r>
          </w:p>
          <w:p w14:paraId="447AD6EA">
            <w:pPr>
              <w:spacing w:line="360" w:lineRule="auto"/>
              <w:ind w:left="68" w:leftChars="-2" w:hanging="72" w:hangingChars="30"/>
              <w:jc w:val="left"/>
              <w:rPr>
                <w:rFonts w:ascii="宋体" w:hAnsi="宋体" w:cs="宋体"/>
                <w:sz w:val="24"/>
                <w:szCs w:val="24"/>
                <w:highlight w:val="none"/>
              </w:rPr>
            </w:pPr>
            <w:r>
              <w:rPr>
                <w:rFonts w:hint="eastAsia" w:ascii="宋体" w:hAnsi="宋体" w:cs="宋体"/>
                <w:b/>
                <w:bCs/>
                <w:sz w:val="24"/>
                <w:szCs w:val="24"/>
                <w:highlight w:val="none"/>
              </w:rPr>
              <w:t>根据陕西省财政厅关于政府采购供应商注册登记有关事项的通知，如所投本项目的供应商未在陕西省政府采购网（</w:t>
            </w:r>
            <w:r>
              <w:rPr>
                <w:highlight w:val="none"/>
              </w:rPr>
              <w:fldChar w:fldCharType="begin"/>
            </w:r>
            <w:r>
              <w:rPr>
                <w:highlight w:val="none"/>
              </w:rPr>
              <w:instrText xml:space="preserve"> HYPERLINK "http://www.ccgp-shaanxi.gov.cn/information/informationDetail.do?informationguid=8a85be3567ed23460167ed36804d0009" </w:instrText>
            </w:r>
            <w:r>
              <w:rPr>
                <w:highlight w:val="none"/>
              </w:rPr>
              <w:fldChar w:fldCharType="separate"/>
            </w:r>
            <w:r>
              <w:rPr>
                <w:rFonts w:hint="eastAsia" w:ascii="宋体" w:hAnsi="宋体" w:cs="宋体"/>
                <w:b/>
                <w:bCs/>
                <w:sz w:val="24"/>
                <w:szCs w:val="24"/>
                <w:highlight w:val="none"/>
              </w:rPr>
              <w:t>http://www.ccgp-shaanxi.gov.cn/information/informationDetail.do?informationguid=8a85be3567ed23460167ed36804d0009</w:t>
            </w:r>
            <w:r>
              <w:rPr>
                <w:rFonts w:hint="eastAsia" w:ascii="宋体" w:hAnsi="宋体" w:cs="宋体"/>
                <w:b/>
                <w:bCs/>
                <w:sz w:val="24"/>
                <w:szCs w:val="24"/>
                <w:highlight w:val="none"/>
              </w:rPr>
              <w:fldChar w:fldCharType="end"/>
            </w:r>
            <w:r>
              <w:rPr>
                <w:rFonts w:hint="eastAsia" w:ascii="宋体" w:hAnsi="宋体" w:cs="宋体"/>
                <w:b/>
                <w:bCs/>
                <w:sz w:val="24"/>
                <w:szCs w:val="24"/>
                <w:highlight w:val="none"/>
              </w:rPr>
              <w:t>）注册登记加入陕西省政府采购供应商库的，应按要求及时办理注册登记，并接受财政部门监督管理。</w:t>
            </w:r>
          </w:p>
        </w:tc>
      </w:tr>
      <w:tr w14:paraId="0AFCE2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49" w:hRule="exact"/>
          <w:jc w:val="center"/>
        </w:trPr>
        <w:tc>
          <w:tcPr>
            <w:tcW w:w="9004" w:type="dxa"/>
            <w:gridSpan w:val="3"/>
            <w:vAlign w:val="center"/>
          </w:tcPr>
          <w:p w14:paraId="623C2944">
            <w:pPr>
              <w:spacing w:line="360" w:lineRule="auto"/>
              <w:ind w:left="68" w:leftChars="-2" w:hanging="72" w:hangingChars="30"/>
              <w:rPr>
                <w:rFonts w:ascii="宋体" w:hAnsi="宋体" w:cs="宋体"/>
                <w:sz w:val="24"/>
                <w:szCs w:val="24"/>
                <w:highlight w:val="none"/>
              </w:rPr>
            </w:pPr>
            <w:bookmarkStart w:id="14" w:name="_Toc363473972"/>
            <w:bookmarkStart w:id="15" w:name="_Toc403077639"/>
            <w:bookmarkStart w:id="16" w:name="_Toc363474017"/>
            <w:bookmarkStart w:id="17" w:name="_Toc8072"/>
            <w:bookmarkStart w:id="18" w:name="_Toc29568"/>
            <w:r>
              <w:rPr>
                <w:rFonts w:hint="eastAsia" w:ascii="宋体" w:hAnsi="宋体" w:cs="宋体"/>
                <w:sz w:val="24"/>
                <w:szCs w:val="24"/>
                <w:highlight w:val="none"/>
              </w:rPr>
              <w:t>为了进一步推动金融支持政策更好适应市场主体的需要，扎实落实国务院关于支持中小企业发展的政策措施，积极发挥政府采购政策功能，有效缓解中小企业融资难、融资贵问题，根据中办、国办《关于促进中小企业健康发展的指导意见》、财政部、工信部《政府采购促进中小企业发展管理办法》（财库〔2020〕46 号）、《陕西省中小企业政府采购信用融资办法》（陕财办采【2018】23 号）、《陕西省财政厅关于加快推进我省中小企业政府采购信用融资工作的通知》陕财办采 【2020】15 号）等有关规定，按照市场主导、财政引导、银企自愿、风险自担的原则，中标（成交）供应商可根据自身资金需求，登录陕西省政府采购信用融资平台</w:t>
            </w:r>
          </w:p>
          <w:p w14:paraId="285135B6">
            <w:pPr>
              <w:spacing w:line="360" w:lineRule="auto"/>
              <w:ind w:left="68" w:leftChars="-2" w:hanging="72" w:hangingChars="30"/>
              <w:rPr>
                <w:rFonts w:ascii="宋体" w:hAnsi="宋体" w:cs="宋体"/>
                <w:sz w:val="24"/>
                <w:szCs w:val="24"/>
                <w:highlight w:val="none"/>
              </w:rPr>
            </w:pPr>
            <w:r>
              <w:rPr>
                <w:rFonts w:hint="eastAsia" w:ascii="宋体" w:hAnsi="宋体" w:cs="宋体"/>
                <w:sz w:val="24"/>
                <w:szCs w:val="24"/>
                <w:highlight w:val="none"/>
              </w:rPr>
              <w:t>(http://www.ccgp-shaanxi.gov.cn/zcdservice/zcd/shan xi/）在线申请，依法参加政府采购信用融资活动。</w:t>
            </w:r>
          </w:p>
          <w:p w14:paraId="79B861D6">
            <w:pPr>
              <w:spacing w:line="360" w:lineRule="auto"/>
              <w:ind w:left="68" w:leftChars="-2" w:hanging="72" w:hangingChars="30"/>
              <w:jc w:val="left"/>
              <w:rPr>
                <w:rFonts w:ascii="宋体" w:hAnsi="宋体" w:cs="宋体"/>
                <w:b/>
                <w:bCs/>
                <w:sz w:val="24"/>
                <w:szCs w:val="24"/>
                <w:highlight w:val="none"/>
              </w:rPr>
            </w:pPr>
            <w:r>
              <w:rPr>
                <w:rFonts w:hint="eastAsia" w:ascii="宋体" w:hAnsi="宋体" w:cs="宋体"/>
                <w:sz w:val="24"/>
                <w:szCs w:val="24"/>
                <w:highlight w:val="none"/>
              </w:rPr>
              <w:t>目前的合作银行有∶北京银行、中国建设银行、中信银行、中国平安银行、中国光大银行、浦发银行、兴业银行、中国工商银行、秦农银行、浙商银行、中国银行、西安银行、中国农业银行、中国邮政储蓄银行（排名不分先后）。</w:t>
            </w:r>
          </w:p>
        </w:tc>
      </w:tr>
    </w:tbl>
    <w:p w14:paraId="5DFBA24A">
      <w:pPr>
        <w:rPr>
          <w:rFonts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sz w:val="30"/>
          <w:szCs w:val="30"/>
          <w:highlight w:val="none"/>
        </w:rPr>
        <w:br w:type="page"/>
      </w:r>
    </w:p>
    <w:bookmarkEnd w:id="14"/>
    <w:bookmarkEnd w:id="15"/>
    <w:bookmarkEnd w:id="16"/>
    <w:p w14:paraId="1A3356AB">
      <w:pPr>
        <w:jc w:val="center"/>
        <w:rPr>
          <w:rFonts w:asciiTheme="minorEastAsia" w:hAnsiTheme="minorEastAsia" w:eastAsiaTheme="minorEastAsia" w:cstheme="minorEastAsia"/>
          <w:highlight w:val="none"/>
        </w:rPr>
      </w:pPr>
      <w:r>
        <w:rPr>
          <w:rFonts w:hint="eastAsia"/>
          <w:b/>
          <w:bCs/>
          <w:sz w:val="28"/>
          <w:szCs w:val="28"/>
          <w:highlight w:val="none"/>
        </w:rPr>
        <w:t>投标人须知</w:t>
      </w:r>
      <w:bookmarkEnd w:id="17"/>
      <w:bookmarkEnd w:id="18"/>
    </w:p>
    <w:p w14:paraId="3B5396BC">
      <w:pPr>
        <w:spacing w:beforeLines="50" w:afterLines="50" w:line="360" w:lineRule="auto"/>
        <w:rPr>
          <w:rFonts w:asciiTheme="minorEastAsia" w:hAnsiTheme="minorEastAsia" w:eastAsiaTheme="minorEastAsia" w:cstheme="minorEastAsia"/>
          <w:b/>
          <w:bCs/>
          <w:sz w:val="24"/>
          <w:szCs w:val="24"/>
          <w:highlight w:val="none"/>
        </w:rPr>
      </w:pPr>
      <w:bookmarkStart w:id="19" w:name="_Toc420591643"/>
      <w:bookmarkStart w:id="20" w:name="_Toc421778365"/>
      <w:bookmarkStart w:id="21" w:name="_Toc425240464"/>
      <w:r>
        <w:rPr>
          <w:rFonts w:hint="eastAsia" w:asciiTheme="minorEastAsia" w:hAnsiTheme="minorEastAsia" w:eastAsiaTheme="minorEastAsia" w:cstheme="minorEastAsia"/>
          <w:b/>
          <w:bCs/>
          <w:sz w:val="24"/>
          <w:szCs w:val="24"/>
          <w:highlight w:val="none"/>
        </w:rPr>
        <w:t>1</w:t>
      </w:r>
      <w:bookmarkEnd w:id="19"/>
      <w:bookmarkEnd w:id="20"/>
      <w:bookmarkEnd w:id="21"/>
      <w:r>
        <w:rPr>
          <w:rFonts w:hint="eastAsia" w:asciiTheme="minorEastAsia" w:hAnsiTheme="minorEastAsia" w:eastAsiaTheme="minorEastAsia" w:cstheme="minorEastAsia"/>
          <w:b/>
          <w:bCs/>
          <w:sz w:val="24"/>
          <w:szCs w:val="24"/>
          <w:highlight w:val="none"/>
        </w:rPr>
        <w:t>．总则</w:t>
      </w:r>
    </w:p>
    <w:p w14:paraId="774FF0C2">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1.1 项目概况</w:t>
      </w:r>
    </w:p>
    <w:p w14:paraId="0508284C">
      <w:pPr>
        <w:pStyle w:val="10"/>
        <w:spacing w:line="360" w:lineRule="auto"/>
        <w:ind w:left="420" w:left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1.1.1 根据《中华人民共和国政府采购法》、《中华人民共和国招标投标法》等有关法律、法规和规章的规定，本招标项目己具备招标条件，现对本招标项目施工进行招标。</w:t>
      </w:r>
    </w:p>
    <w:p w14:paraId="68EB56C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1.1.2 本招标项目招标人：见投标人须知前附表。</w:t>
      </w:r>
    </w:p>
    <w:p w14:paraId="034EEBA9">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1.1.3 本招标项目招标代理机构：见投标人须知前附表。</w:t>
      </w:r>
    </w:p>
    <w:p w14:paraId="40C8729E">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1.1.4本招标项目名称：见投标人须知前附表。</w:t>
      </w:r>
    </w:p>
    <w:p w14:paraId="0C765C5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1.1.5本招标项目建设地点：见投标人须知前附表。</w:t>
      </w:r>
    </w:p>
    <w:p w14:paraId="5FD5C3C4">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1.2 资金来源和落实情况</w:t>
      </w:r>
    </w:p>
    <w:p w14:paraId="150D751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1.2.1 本招标项目的资金来源：见投标人须知前附表。</w:t>
      </w:r>
    </w:p>
    <w:p w14:paraId="193D0BC1">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1.2.2 本招标项目的资金落实情况：见投标人须知前附表。</w:t>
      </w:r>
    </w:p>
    <w:p w14:paraId="422A0CBE">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1.3 招标范围、计划工期和质量要求</w:t>
      </w:r>
    </w:p>
    <w:p w14:paraId="43598E7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1.3.1 本次招标范围：见投标人须知前附表。</w:t>
      </w:r>
    </w:p>
    <w:p w14:paraId="1A0311D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1.3.2 本招标项目的计划工期：</w:t>
      </w:r>
      <w:bookmarkStart w:id="22" w:name="OLE_LINK8"/>
      <w:r>
        <w:rPr>
          <w:rFonts w:hint="eastAsia" w:asciiTheme="minorEastAsia" w:hAnsiTheme="minorEastAsia" w:eastAsiaTheme="minorEastAsia" w:cstheme="minorEastAsia"/>
          <w:sz w:val="24"/>
          <w:szCs w:val="24"/>
          <w:highlight w:val="none"/>
        </w:rPr>
        <w:t>见投标人须知前附表。</w:t>
      </w:r>
      <w:bookmarkEnd w:id="22"/>
    </w:p>
    <w:p w14:paraId="6429B3C8">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1.3.4 本招标项目的质量要求：见投标人须知前附表。</w:t>
      </w:r>
    </w:p>
    <w:p w14:paraId="48B7A52F">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1.4 投标人资格要求及招标文件发售时间</w:t>
      </w:r>
    </w:p>
    <w:p w14:paraId="017D328A">
      <w:pPr>
        <w:pStyle w:val="1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    1.4.1资格审查条件：见投标人须知前附表。</w:t>
      </w:r>
    </w:p>
    <w:p w14:paraId="4BC6420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1.4.2招标文件发售时间：见投标人须知前附表。</w:t>
      </w:r>
    </w:p>
    <w:p w14:paraId="7E9E9659">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1.5 费用承担</w:t>
      </w:r>
    </w:p>
    <w:p w14:paraId="30039994">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投标人准备和参加投标活动发生的费用自理。</w:t>
      </w:r>
    </w:p>
    <w:p w14:paraId="49EAB4D0">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1.6 保密</w:t>
      </w:r>
    </w:p>
    <w:p w14:paraId="3178C2B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参与招标投标活动的各方应对招标文件和投标文件中的商业和技术等秘密保密，违者应对由此造成的后果承担法律责任。</w:t>
      </w:r>
    </w:p>
    <w:p w14:paraId="60EF299F">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1.7 语言文字</w:t>
      </w:r>
    </w:p>
    <w:p w14:paraId="55E7BE04">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除专用术语外，与招标投标有关的语言均使用中文。必要时专用术语应附有中文注释。</w:t>
      </w:r>
    </w:p>
    <w:p w14:paraId="1A05CD90">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1.8 计量单位</w:t>
      </w:r>
    </w:p>
    <w:p w14:paraId="58938681">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所有计量均采用中华人民共和国法定计量单位。</w:t>
      </w:r>
    </w:p>
    <w:p w14:paraId="35F94497">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1.9 踏勘现场</w:t>
      </w:r>
    </w:p>
    <w:p w14:paraId="51BCA30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1.9.1见投标人须知前附表。</w:t>
      </w:r>
    </w:p>
    <w:p w14:paraId="4432A698">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1.9.2 投标人踏勘现场发生的费用自理，并自行负责在踏勘现场中所发生的人员伤亡和财产损失。</w:t>
      </w:r>
    </w:p>
    <w:p w14:paraId="7779387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1.9.3 投标人应对工程现场及周围环境进行踏勘，充分了解现场环境、总体布置情况、地形地貌、现场道路、储存空间、运输、装卸等限制条件及其它任何足以影响投标报价的情况，以便各投标人获取须自主考虑的有关投标文件编制和合同签署所需的相关资料和数据，任何因忽视或误解工地情况而导致的索赔或工期延长申请将不获批准。</w:t>
      </w:r>
    </w:p>
    <w:p w14:paraId="68E6FD53">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1.9.4 招标人在踏勘现场中介绍的工程场地和相关的周边环境情况，供投标人在编制投标文件时参考，招标人不对投标人据此作出的判断和决策负责。</w:t>
      </w:r>
    </w:p>
    <w:p w14:paraId="40373BD5">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1.10 投标答疑会</w:t>
      </w:r>
    </w:p>
    <w:p w14:paraId="637E7C2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不召开；若有疑问，均应在购买招标文件后7个工作日内以书面形式向采购代理机构提出。</w:t>
      </w:r>
    </w:p>
    <w:p w14:paraId="1C4840BE">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1.11 分包</w:t>
      </w:r>
    </w:p>
    <w:p w14:paraId="0877BDB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不允许。</w:t>
      </w:r>
    </w:p>
    <w:p w14:paraId="56E11E56">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1.12 偏离</w:t>
      </w:r>
    </w:p>
    <w:p w14:paraId="2A644D5D">
      <w:pPr>
        <w:spacing w:beforeLines="50" w:afterLines="50" w:line="360" w:lineRule="auto"/>
        <w:ind w:firstLine="480" w:firstLineChars="200"/>
        <w:rPr>
          <w:rFonts w:asciiTheme="minorEastAsia" w:hAnsiTheme="minorEastAsia" w:eastAsiaTheme="minorEastAsia" w:cstheme="minorEastAsia"/>
          <w:sz w:val="24"/>
          <w:szCs w:val="24"/>
          <w:highlight w:val="none"/>
        </w:rPr>
      </w:pPr>
      <w:bookmarkStart w:id="23" w:name="_Toc420591644"/>
      <w:bookmarkStart w:id="24" w:name="_Toc421778366"/>
      <w:bookmarkStart w:id="25" w:name="_Toc425240465"/>
      <w:r>
        <w:rPr>
          <w:rFonts w:hint="eastAsia" w:asciiTheme="minorEastAsia" w:hAnsiTheme="minorEastAsia" w:eastAsiaTheme="minorEastAsia" w:cstheme="minorEastAsia"/>
          <w:sz w:val="24"/>
          <w:szCs w:val="24"/>
          <w:highlight w:val="none"/>
        </w:rPr>
        <w:t>不满足评标办法中初步评审标准的，视为发生重大偏离，其投标被否决。其余偏离视为细微偏离，评标委员会将通过澄清方式对细微偏离进行澄清或修改。</w:t>
      </w:r>
    </w:p>
    <w:p w14:paraId="21E073A8">
      <w:pPr>
        <w:spacing w:beforeLines="50" w:afterLines="50" w:line="360" w:lineRule="auto"/>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2．招标文件</w:t>
      </w:r>
      <w:bookmarkEnd w:id="23"/>
      <w:bookmarkEnd w:id="24"/>
      <w:bookmarkEnd w:id="25"/>
    </w:p>
    <w:p w14:paraId="1A9ECA23">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2.1 招标文件的组成</w:t>
      </w:r>
    </w:p>
    <w:p w14:paraId="5E93F6C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本招标文件包括：</w:t>
      </w:r>
    </w:p>
    <w:p w14:paraId="19F93C61">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(1）招标公告；</w:t>
      </w:r>
    </w:p>
    <w:p w14:paraId="6CC4C6C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(2）投标人须知前附表及投标人须知；</w:t>
      </w:r>
    </w:p>
    <w:p w14:paraId="4C72807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(3）评标办法；</w:t>
      </w:r>
    </w:p>
    <w:p w14:paraId="61291787">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(4）合同条款及格式；</w:t>
      </w:r>
    </w:p>
    <w:p w14:paraId="381649B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(5）项目概况及技术要求;</w:t>
      </w:r>
    </w:p>
    <w:p w14:paraId="1C7550D4">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(6）投标文件格式。</w:t>
      </w:r>
    </w:p>
    <w:p w14:paraId="1FBB36F3">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根据本章第1.10 款、第2.2 款和第2.3 款对招标文件所作的澄清、修改，构成招标文件的组成部分。</w:t>
      </w:r>
    </w:p>
    <w:p w14:paraId="466F9A41">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2.2 招标文件的澄清及修改</w:t>
      </w:r>
    </w:p>
    <w:p w14:paraId="5973EE85">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2.2.1在投标文件递交截止时间三个工作日前，采购代理机构可以视采购具体情况，延长投标截止时间和开标时间并在财政部门指定的媒体上发布变更公告，同时将变更时间书面通知所有招标文件收受人。</w:t>
      </w:r>
    </w:p>
    <w:p w14:paraId="67BF62A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2.2.2采购代理机构如果对已发出的招标文件进行修改，将在招标文件要求提交投标文件截止时间十五日前，在发布招标公告的财政部门指定媒体上发布更正公告，并以书面形式通知所有招标文件收受人。该澄清或者修改的内容为招标文件的组成部分。 </w:t>
      </w:r>
    </w:p>
    <w:p w14:paraId="52EF4443">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2.2.3已经购买招标文件的投标人对招标文件有疑问的，均应在购买招标文件后7个工作日内以书面形式向采购代理机构提出。采购代理机构视情况必要时将书面答复传送给所有招标文件收受人。</w:t>
      </w:r>
    </w:p>
    <w:p w14:paraId="10ECBA69">
      <w:pPr>
        <w:spacing w:line="360" w:lineRule="auto"/>
        <w:ind w:firstLine="480"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sz w:val="24"/>
          <w:szCs w:val="24"/>
          <w:highlight w:val="none"/>
        </w:rPr>
        <w:t>2.2.4投标人在收到上述通知后，应立即向采购代理机构回函确认。</w:t>
      </w:r>
    </w:p>
    <w:p w14:paraId="7EF3C405">
      <w:pPr>
        <w:spacing w:beforeLines="50" w:afterLines="50" w:line="360" w:lineRule="auto"/>
        <w:rPr>
          <w:rFonts w:asciiTheme="minorEastAsia" w:hAnsiTheme="minorEastAsia" w:eastAsiaTheme="minorEastAsia" w:cstheme="minorEastAsia"/>
          <w:b/>
          <w:bCs/>
          <w:sz w:val="24"/>
          <w:szCs w:val="24"/>
          <w:highlight w:val="none"/>
        </w:rPr>
      </w:pPr>
      <w:bookmarkStart w:id="26" w:name="_Toc420591645"/>
      <w:bookmarkStart w:id="27" w:name="_Toc425240466"/>
      <w:bookmarkStart w:id="28" w:name="_Toc421778367"/>
      <w:r>
        <w:rPr>
          <w:rFonts w:hint="eastAsia" w:asciiTheme="minorEastAsia" w:hAnsiTheme="minorEastAsia" w:eastAsiaTheme="minorEastAsia" w:cstheme="minorEastAsia"/>
          <w:b/>
          <w:bCs/>
          <w:sz w:val="24"/>
          <w:szCs w:val="24"/>
          <w:highlight w:val="none"/>
        </w:rPr>
        <w:t>3．投标文件</w:t>
      </w:r>
      <w:bookmarkEnd w:id="26"/>
      <w:bookmarkEnd w:id="27"/>
      <w:bookmarkEnd w:id="28"/>
    </w:p>
    <w:p w14:paraId="2B27CF81">
      <w:pPr>
        <w:spacing w:line="360" w:lineRule="auto"/>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3.1.投标语言和投标货币</w:t>
      </w:r>
    </w:p>
    <w:p w14:paraId="48B82D0A">
      <w:pPr>
        <w:spacing w:line="360" w:lineRule="auto"/>
        <w:ind w:firstLine="480" w:firstLineChars="200"/>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sz w:val="24"/>
          <w:szCs w:val="24"/>
          <w:highlight w:val="none"/>
        </w:rPr>
        <w:t>3.1.1投标人提交的投标文件以及投标人与采购代理机构就有关投标的所有来往函电均应使用中文。</w:t>
      </w:r>
    </w:p>
    <w:p w14:paraId="4DE238F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3.1.2投标应以人民币报价。任何包含非人民币报价的投标将按无效投标处理。</w:t>
      </w:r>
    </w:p>
    <w:p w14:paraId="01F3C02E">
      <w:pPr>
        <w:spacing w:line="360" w:lineRule="auto"/>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3.2.投标文件的构成</w:t>
      </w:r>
    </w:p>
    <w:p w14:paraId="4D0EFF5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3.2.1 投标人提交的投标文件应包含下列部分的内容：</w:t>
      </w:r>
    </w:p>
    <w:p w14:paraId="30A92266">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 按照投标人须知的要求和招标文件规定格式填写的招标函、开标一览表、法定代表人授权委托书。</w:t>
      </w:r>
    </w:p>
    <w:p w14:paraId="297EB05F">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2）按照招标文件的要求编制的投标方案说明书。</w:t>
      </w:r>
    </w:p>
    <w:p w14:paraId="67655C05">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3）按照招标文件投标人须知前附表的要求提交的资格证明文件；</w:t>
      </w:r>
    </w:p>
    <w:p w14:paraId="252BA717">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4）按照本须知第14条要求提交的投标保证金。</w:t>
      </w:r>
    </w:p>
    <w:p w14:paraId="5F60E909">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5）招标文件中要求的其他证明文件。</w:t>
      </w:r>
    </w:p>
    <w:p w14:paraId="3B27DE2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3.2.2 如果在招标文件中没有允许提供备选方案，则每个投标人只允许提交一个投标方案，否则，其投标将被作无效响应处理。</w:t>
      </w:r>
    </w:p>
    <w:p w14:paraId="11F52DD8">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3.2.3 本次投标的最小单元为“标段”</w:t>
      </w:r>
      <w:r>
        <w:rPr>
          <w:rFonts w:hint="eastAsia" w:asciiTheme="minorEastAsia" w:hAnsiTheme="minorEastAsia" w:eastAsiaTheme="minorEastAsia" w:cstheme="minorEastAsia"/>
          <w:b/>
          <w:bCs/>
          <w:sz w:val="24"/>
          <w:szCs w:val="24"/>
          <w:highlight w:val="none"/>
        </w:rPr>
        <w:t>。</w:t>
      </w:r>
      <w:r>
        <w:rPr>
          <w:rFonts w:hint="eastAsia" w:asciiTheme="minorEastAsia" w:hAnsiTheme="minorEastAsia" w:eastAsiaTheme="minorEastAsia" w:cstheme="minorEastAsia"/>
          <w:sz w:val="24"/>
          <w:szCs w:val="24"/>
          <w:highlight w:val="none"/>
        </w:rPr>
        <w:t>投标人</w:t>
      </w:r>
      <w:r>
        <w:rPr>
          <w:rFonts w:hint="eastAsia" w:asciiTheme="minorEastAsia" w:hAnsiTheme="minorEastAsia" w:eastAsiaTheme="minorEastAsia" w:cstheme="minorEastAsia"/>
          <w:kern w:val="0"/>
          <w:sz w:val="24"/>
          <w:szCs w:val="24"/>
          <w:highlight w:val="none"/>
        </w:rPr>
        <w:t>可根据自身的资质情况和经营范围对本次项目进行投标，不得将其子目再行分解或只对本次项目中的品目进行不完全投标，任何不完全的响应将会被拒绝。</w:t>
      </w:r>
    </w:p>
    <w:p w14:paraId="6E1D6516">
      <w:pPr>
        <w:spacing w:line="360" w:lineRule="auto"/>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 xml:space="preserve">3.3.投标文件格式 </w:t>
      </w:r>
    </w:p>
    <w:p w14:paraId="283B487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3.3.1 投标人应按照招标文件中第六章“投标文件格式及构成”所提供的格式和要求制作投标文件，明确表达投标意愿，详细说明投标方案、承诺及价格。</w:t>
      </w:r>
    </w:p>
    <w:p w14:paraId="08E8E33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3.3.2按招标文件第六章提供的格式和要求编写其投标文件，投标人不得缺少或留空任何招标文件要求填写的表格或提交的资料。</w:t>
      </w:r>
    </w:p>
    <w:p w14:paraId="554F3D8F">
      <w:pPr>
        <w:spacing w:line="360" w:lineRule="auto"/>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3.4 投标报价</w:t>
      </w:r>
    </w:p>
    <w:p w14:paraId="31E0F10B">
      <w:pPr>
        <w:spacing w:line="560" w:lineRule="exact"/>
        <w:ind w:firstLine="496" w:firstLineChars="207"/>
        <w:rPr>
          <w:rFonts w:ascii="宋体" w:hAnsi="宋体" w:cs="宋体"/>
          <w:sz w:val="24"/>
          <w:szCs w:val="24"/>
          <w:highlight w:val="none"/>
        </w:rPr>
      </w:pPr>
      <w:r>
        <w:rPr>
          <w:rFonts w:hint="eastAsia" w:ascii="宋体" w:hAnsi="宋体" w:cs="宋体"/>
          <w:sz w:val="24"/>
          <w:szCs w:val="24"/>
          <w:highlight w:val="none"/>
        </w:rPr>
        <w:t>3.4.1以中标固定总价为依据签订合同。</w:t>
      </w:r>
    </w:p>
    <w:p w14:paraId="6E213A65">
      <w:pPr>
        <w:spacing w:line="360" w:lineRule="auto"/>
        <w:ind w:firstLine="480" w:firstLineChars="200"/>
        <w:rPr>
          <w:rFonts w:ascii="宋体"/>
          <w:sz w:val="24"/>
          <w:szCs w:val="24"/>
          <w:highlight w:val="none"/>
        </w:rPr>
      </w:pPr>
      <w:r>
        <w:rPr>
          <w:rFonts w:ascii="宋体" w:hAnsi="宋体" w:cs="宋体"/>
          <w:sz w:val="24"/>
          <w:szCs w:val="24"/>
          <w:highlight w:val="none"/>
        </w:rPr>
        <w:t>3.</w:t>
      </w:r>
      <w:r>
        <w:rPr>
          <w:rFonts w:hint="eastAsia" w:ascii="宋体" w:hAnsi="宋体" w:cs="宋体"/>
          <w:sz w:val="24"/>
          <w:szCs w:val="24"/>
          <w:highlight w:val="none"/>
        </w:rPr>
        <w:t>4</w:t>
      </w:r>
      <w:r>
        <w:rPr>
          <w:rFonts w:ascii="宋体" w:hAnsi="宋体" w:cs="宋体"/>
          <w:sz w:val="24"/>
          <w:szCs w:val="24"/>
          <w:highlight w:val="none"/>
        </w:rPr>
        <w:t>.</w:t>
      </w:r>
      <w:r>
        <w:rPr>
          <w:rFonts w:hint="eastAsia" w:ascii="宋体" w:hAnsi="宋体" w:cs="宋体"/>
          <w:sz w:val="24"/>
          <w:szCs w:val="24"/>
          <w:highlight w:val="none"/>
        </w:rPr>
        <w:t>2本项目投标总价包含：</w:t>
      </w:r>
      <w:r>
        <w:rPr>
          <w:rFonts w:hint="eastAsia" w:ascii="宋体" w:hAnsi="宋体" w:cs="宋体"/>
          <w:color w:val="000000" w:themeColor="text1"/>
          <w:sz w:val="24"/>
          <w:szCs w:val="24"/>
          <w:highlight w:val="none"/>
        </w:rPr>
        <w:t>苗</w:t>
      </w:r>
      <w:r>
        <w:rPr>
          <w:rFonts w:hint="eastAsia" w:ascii="宋体" w:hAnsi="宋体" w:cs="宋体"/>
          <w:color w:val="auto"/>
          <w:sz w:val="24"/>
          <w:szCs w:val="24"/>
          <w:highlight w:val="none"/>
        </w:rPr>
        <w:t>木费、</w:t>
      </w:r>
      <w:r>
        <w:rPr>
          <w:rFonts w:hint="eastAsia" w:ascii="宋体" w:hAnsi="宋体" w:cs="宋体"/>
          <w:color w:val="000000" w:themeColor="text1"/>
          <w:sz w:val="24"/>
          <w:szCs w:val="24"/>
          <w:highlight w:val="none"/>
        </w:rPr>
        <w:t>人</w:t>
      </w:r>
      <w:r>
        <w:rPr>
          <w:rFonts w:hint="eastAsia" w:ascii="宋体" w:hAnsi="宋体" w:cs="宋体"/>
          <w:sz w:val="24"/>
          <w:szCs w:val="24"/>
          <w:highlight w:val="none"/>
        </w:rPr>
        <w:t>工（劳务）费、机械设备费、物料、其他、运输费、应缴税费等，完成项目所需的其他全部费用；</w:t>
      </w:r>
    </w:p>
    <w:p w14:paraId="51F3A76A">
      <w:pPr>
        <w:spacing w:line="360" w:lineRule="auto"/>
        <w:ind w:firstLine="480" w:firstLineChars="200"/>
        <w:rPr>
          <w:rFonts w:ascii="宋体"/>
          <w:sz w:val="24"/>
          <w:szCs w:val="24"/>
          <w:highlight w:val="none"/>
        </w:rPr>
      </w:pPr>
      <w:r>
        <w:rPr>
          <w:rFonts w:ascii="宋体" w:hAnsi="宋体" w:cs="宋体"/>
          <w:sz w:val="24"/>
          <w:szCs w:val="24"/>
          <w:highlight w:val="none"/>
        </w:rPr>
        <w:t>3.</w:t>
      </w:r>
      <w:r>
        <w:rPr>
          <w:rFonts w:hint="eastAsia" w:ascii="宋体" w:hAnsi="宋体" w:cs="宋体"/>
          <w:sz w:val="24"/>
          <w:szCs w:val="24"/>
          <w:highlight w:val="none"/>
        </w:rPr>
        <w:t>4</w:t>
      </w:r>
      <w:r>
        <w:rPr>
          <w:rFonts w:ascii="宋体" w:hAnsi="宋体" w:cs="宋体"/>
          <w:sz w:val="24"/>
          <w:szCs w:val="24"/>
          <w:highlight w:val="none"/>
        </w:rPr>
        <w:t>.</w:t>
      </w:r>
      <w:bookmarkStart w:id="29" w:name="OLE_LINK44"/>
      <w:r>
        <w:rPr>
          <w:rFonts w:hint="eastAsia" w:ascii="宋体" w:hAnsi="宋体" w:cs="宋体"/>
          <w:sz w:val="24"/>
          <w:szCs w:val="24"/>
          <w:highlight w:val="none"/>
        </w:rPr>
        <w:t>3本工程投标组价时应妥善考虑，正式施工时固定总价不因国家法律、行政法规和国家政策变化及原材料市场价发生变化等进行调整。</w:t>
      </w:r>
    </w:p>
    <w:bookmarkEnd w:id="29"/>
    <w:p w14:paraId="07548D1F">
      <w:pPr>
        <w:spacing w:line="360" w:lineRule="auto"/>
        <w:ind w:firstLine="480" w:firstLineChars="200"/>
        <w:rPr>
          <w:rFonts w:ascii="宋体"/>
          <w:sz w:val="24"/>
          <w:szCs w:val="24"/>
          <w:highlight w:val="none"/>
        </w:rPr>
      </w:pPr>
      <w:r>
        <w:rPr>
          <w:rFonts w:ascii="宋体" w:hAnsi="宋体" w:cs="宋体"/>
          <w:sz w:val="24"/>
          <w:szCs w:val="24"/>
          <w:highlight w:val="none"/>
        </w:rPr>
        <w:t>3.</w:t>
      </w:r>
      <w:r>
        <w:rPr>
          <w:rFonts w:hint="eastAsia" w:ascii="宋体" w:hAnsi="宋体" w:cs="宋体"/>
          <w:sz w:val="24"/>
          <w:szCs w:val="24"/>
          <w:highlight w:val="none"/>
        </w:rPr>
        <w:t>4</w:t>
      </w:r>
      <w:r>
        <w:rPr>
          <w:rFonts w:ascii="宋体" w:hAnsi="宋体" w:cs="宋体"/>
          <w:sz w:val="24"/>
          <w:szCs w:val="24"/>
          <w:highlight w:val="none"/>
        </w:rPr>
        <w:t>.</w:t>
      </w:r>
      <w:r>
        <w:rPr>
          <w:rFonts w:hint="eastAsia" w:ascii="宋体" w:hAnsi="宋体" w:cs="宋体"/>
          <w:sz w:val="24"/>
          <w:szCs w:val="24"/>
          <w:highlight w:val="none"/>
        </w:rPr>
        <w:t>4投标人应先到工地踏勘以充分了解工地位置、情况、道路、储存空间、装卸限制及任何其他足以影响投标价的情况，任何因投标人忽视或误解工地情况而导致的其提出的任何索赔或工期延长申请将不被批准。凡因投标人对招标文件阅读疏忽或误解，或因对施工现场、施工环境、市场行情等了解不清而造成的后果和风险，均由投标人负责。</w:t>
      </w:r>
    </w:p>
    <w:p w14:paraId="21658DB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3.4.5编制投标报价的其他约定</w:t>
      </w:r>
    </w:p>
    <w:p w14:paraId="4488592D">
      <w:pPr>
        <w:spacing w:line="360" w:lineRule="auto"/>
        <w:ind w:firstLine="480" w:firstLineChars="200"/>
        <w:rPr>
          <w:rFonts w:asciiTheme="minorEastAsia" w:hAnsiTheme="minorEastAsia" w:eastAsiaTheme="minorEastAsia" w:cstheme="minorEastAsia"/>
          <w:sz w:val="24"/>
          <w:szCs w:val="24"/>
          <w:highlight w:val="none"/>
        </w:rPr>
      </w:pPr>
      <w:bookmarkStart w:id="30" w:name="OLE_LINK21"/>
      <w:r>
        <w:rPr>
          <w:rFonts w:hint="eastAsia" w:asciiTheme="minorEastAsia" w:hAnsiTheme="minorEastAsia" w:eastAsiaTheme="minorEastAsia" w:cstheme="minorEastAsia"/>
          <w:sz w:val="24"/>
          <w:szCs w:val="24"/>
          <w:highlight w:val="none"/>
        </w:rPr>
        <w:t>3.4.6.</w:t>
      </w:r>
      <w:bookmarkEnd w:id="30"/>
      <w:r>
        <w:rPr>
          <w:rFonts w:hint="eastAsia" w:asciiTheme="minorEastAsia" w:hAnsiTheme="minorEastAsia" w:eastAsiaTheme="minorEastAsia" w:cstheme="minorEastAsia"/>
          <w:sz w:val="24"/>
          <w:szCs w:val="24"/>
          <w:highlight w:val="none"/>
        </w:rPr>
        <w:t>1投标人根据自行确定的施工组织设计或施工方案进行自主报价。</w:t>
      </w:r>
    </w:p>
    <w:p w14:paraId="260BC55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3.4.6.2投标人应针对拟建工程编制保证安全施工、文明施工和环境保护的技术措施方案。</w:t>
      </w:r>
    </w:p>
    <w:p w14:paraId="09B29919">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3.4.6.3投标人因承包本合同工程需缴纳的一切税费均由投标人承担，并包含在所报的单价或总额价内。</w:t>
      </w:r>
    </w:p>
    <w:p w14:paraId="65326409">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3.4.6.4投标人应为建设工程和施工场地内自有人员及第三方人员生命财产及运至施工场地内用于工程的材料办理保险，投标人的投标价中应含的保险费，承包人装备险和承包人职工的（人身）事故险由投标人在其他项目清单保险费栏内自主列报，中标后包干使用。施工期间在施工区域内因非招标人原因发生的设备、材料、人员等的损害、伤害，招标人不再承担任何责任和费用。</w:t>
      </w:r>
    </w:p>
    <w:p w14:paraId="6E01FDE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3.4.6.5投标报价中的总价要与综合单价相对应。</w:t>
      </w:r>
    </w:p>
    <w:p w14:paraId="570B89F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3.4.6.6投标函中的投标报价应与“投标总价”表中的投标总价数字相符，不允许在投标文件中出现两个报价。任何有选择的报价将不予接受，如“若我方中标，愿在中标价基础上再优惠或下浮多少”等类似报价方法,否则按无效投标处理。</w:t>
      </w:r>
      <w:bookmarkStart w:id="31" w:name="OLE_LINK74"/>
      <w:bookmarkStart w:id="32" w:name="OLE_LINK63"/>
      <w:bookmarkStart w:id="33" w:name="OLE_LINK113"/>
      <w:bookmarkStart w:id="34" w:name="OLE_LINK114"/>
      <w:bookmarkStart w:id="35" w:name="OLE_LINK20"/>
      <w:bookmarkStart w:id="36" w:name="OLE_LINK64"/>
    </w:p>
    <w:bookmarkEnd w:id="31"/>
    <w:bookmarkEnd w:id="32"/>
    <w:bookmarkEnd w:id="33"/>
    <w:bookmarkEnd w:id="34"/>
    <w:bookmarkEnd w:id="35"/>
    <w:bookmarkEnd w:id="36"/>
    <w:p w14:paraId="1FF46A2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3.4.7服务费收费标准：按国家计委颁发的《招标代理服务收费管理暂行办法》（计价格[2002]1980号）和国家发展改革委员会办公厅颁发的《关于招标代理服务收费有关问题的通知》（发改办价格[2003]857号）的有关标准执行。</w:t>
      </w:r>
    </w:p>
    <w:p w14:paraId="74661838">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服务费收取方式：中标人承担招标代理服务费，中标人在领取中标通知书前，须向采购代理机构一次性支付招标代理服务费。</w:t>
      </w:r>
    </w:p>
    <w:p w14:paraId="447D539C">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3.5 投标有效期</w:t>
      </w:r>
    </w:p>
    <w:p w14:paraId="3D99C24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3.5.1 在投标人须知前附表规定的投标有效期内，投标人不得要求撤销或修改其投标文件。</w:t>
      </w:r>
    </w:p>
    <w:p w14:paraId="47CA054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3.5.2 出现特殊情况需要延长投标有效期的，招标人以书面形式通知所有投标人延长投标有效期。投标人同意延长的，应相应延长其投标保证金的有效期，但不得要求或被允许修改或撤销其投标文件；投标人拒绝延长的，其投标失效，但投标人有权收回其投标保证金。</w:t>
      </w:r>
    </w:p>
    <w:p w14:paraId="5129C2E4">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3.6 投标保证金（本项目不缴纳投标保证金）</w:t>
      </w:r>
    </w:p>
    <w:p w14:paraId="09699AD0">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3.7备选投标方案</w:t>
      </w:r>
    </w:p>
    <w:p w14:paraId="0BDDFF3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除投标人须知前附表另有规定外，投标人不得递交备选投标方案。</w:t>
      </w:r>
    </w:p>
    <w:p w14:paraId="1CA061A7">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3.8投标文件的编制</w:t>
      </w:r>
    </w:p>
    <w:p w14:paraId="477A677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3.8.1 投标文件应按“投标文件格式”进行编写，如有必要，可以增加附页，作为投标文件的组成部分。</w:t>
      </w:r>
    </w:p>
    <w:p w14:paraId="02EAB08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3.8.2 投标文件应当对招标文件有关工期、投标有效期、质量要求、技术标准和要求、招标范围等实质性内容作出响应。</w:t>
      </w:r>
    </w:p>
    <w:p w14:paraId="045E03D6">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3.8.3 投标文件需打印或用不褪色的蓝(黑)色墨水(汁)书写,并由投标人法定代表人或经法定代表人正式授权的代表签字。投标文件若由授权代表签署，须按招标文件规定的格式出具的“法定代表人授权委托书”原件附在投标文件中。所有要求签字（名）处，均须由签字（名）者本人用不褪色的蓝(黑)色墨水(汁)书写，不得用任何形式的图章代替。所有投标文件按第六章规定的顺序编排、并应编制目录、逐页标注连续页码，每一页的正下方清楚标明第几页、共几页等字样，并统一装订（胶装）成册。</w:t>
      </w:r>
    </w:p>
    <w:p w14:paraId="0A6472E4">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3.8.4 投标文件正本、副本份数见投标人须知前附表。正本和副本的封面上应清楚地标记“正本”或“副本”、“包号：第  包”的字样。当副本和正本不一致时，以正本为准。电子版投标文件内容包括投标文件的所有内容。</w:t>
      </w:r>
    </w:p>
    <w:p w14:paraId="778EADB2">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3.8.5 所有投标文件正本和副本须按第八章规定的顺序编排、编制目录、</w:t>
      </w:r>
      <w:r>
        <w:rPr>
          <w:rFonts w:hint="eastAsia" w:asciiTheme="minorEastAsia" w:hAnsiTheme="minorEastAsia" w:eastAsiaTheme="minorEastAsia" w:cstheme="minorEastAsia"/>
          <w:b/>
          <w:bCs/>
          <w:sz w:val="24"/>
          <w:szCs w:val="24"/>
          <w:highlight w:val="none"/>
        </w:rPr>
        <w:t>投标文件正本需逐页加盖投标人公章</w:t>
      </w:r>
      <w:r>
        <w:rPr>
          <w:rFonts w:hint="eastAsia" w:asciiTheme="minorEastAsia" w:hAnsiTheme="minorEastAsia" w:eastAsiaTheme="minorEastAsia" w:cstheme="minorEastAsia"/>
          <w:sz w:val="24"/>
          <w:szCs w:val="24"/>
          <w:highlight w:val="none"/>
        </w:rPr>
        <w:t>。每一页的正下方清楚标第几页、共几页等字样，并分别胶装成册。</w:t>
      </w:r>
    </w:p>
    <w:p w14:paraId="7DC5E547">
      <w:pPr>
        <w:spacing w:beforeLines="50" w:afterLines="50" w:line="360" w:lineRule="auto"/>
        <w:rPr>
          <w:rFonts w:asciiTheme="minorEastAsia" w:hAnsiTheme="minorEastAsia" w:eastAsiaTheme="minorEastAsia" w:cstheme="minorEastAsia"/>
          <w:b/>
          <w:bCs/>
          <w:sz w:val="24"/>
          <w:szCs w:val="24"/>
          <w:highlight w:val="none"/>
        </w:rPr>
      </w:pPr>
      <w:bookmarkStart w:id="37" w:name="_Toc425240467"/>
      <w:bookmarkStart w:id="38" w:name="_Toc421778368"/>
      <w:bookmarkStart w:id="39" w:name="_Toc420591646"/>
      <w:r>
        <w:rPr>
          <w:rFonts w:hint="eastAsia" w:asciiTheme="minorEastAsia" w:hAnsiTheme="minorEastAsia" w:eastAsiaTheme="minorEastAsia" w:cstheme="minorEastAsia"/>
          <w:b/>
          <w:bCs/>
          <w:sz w:val="24"/>
          <w:szCs w:val="24"/>
          <w:highlight w:val="none"/>
        </w:rPr>
        <w:t>4．投标</w:t>
      </w:r>
      <w:bookmarkEnd w:id="37"/>
      <w:bookmarkEnd w:id="38"/>
      <w:bookmarkEnd w:id="39"/>
    </w:p>
    <w:p w14:paraId="356B3DFF">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4.1 投标文件的密封和标记</w:t>
      </w:r>
    </w:p>
    <w:p w14:paraId="55A794A9">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4.1.1投标文件的密封：投标文件须胶装成套且须用密封袋密封，包括投标文件正本、副本、投标文件电子版，开标一览表（投标人需另外单独准备一份与正本内容一致的开标一览表），若与正本内容不一致，则按单独的开标一览表为准。</w:t>
      </w:r>
    </w:p>
    <w:p w14:paraId="4203A2F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4.1.2投标文件的封套上应清楚地标记“正本”、“副本”“第</w:t>
      </w:r>
      <w:r>
        <w:rPr>
          <w:rFonts w:hint="eastAsia" w:asciiTheme="minorEastAsia" w:hAnsiTheme="minorEastAsia" w:eastAsiaTheme="minorEastAsia" w:cstheme="minorEastAsia"/>
          <w:sz w:val="24"/>
          <w:szCs w:val="24"/>
          <w:highlight w:val="none"/>
          <w:u w:val="single"/>
        </w:rPr>
        <w:t xml:space="preserve">   </w:t>
      </w:r>
      <w:r>
        <w:rPr>
          <w:rFonts w:hint="eastAsia" w:asciiTheme="minorEastAsia" w:hAnsiTheme="minorEastAsia" w:eastAsiaTheme="minorEastAsia" w:cstheme="minorEastAsia"/>
          <w:sz w:val="24"/>
          <w:szCs w:val="24"/>
          <w:highlight w:val="none"/>
        </w:rPr>
        <w:t>包”字样，封套上应写明的其他内容见投标人须知前附表。</w:t>
      </w:r>
    </w:p>
    <w:p w14:paraId="6DCFEF5E">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4.1.3未按本章第3.6.3、第3.6.4项和第4.1.2项要求密封和加写标记的投标文件，招标代理机构不予受理。</w:t>
      </w:r>
    </w:p>
    <w:p w14:paraId="4A2B8DAC">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4.2 投标文件的递交</w:t>
      </w:r>
    </w:p>
    <w:p w14:paraId="6CF31EC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4.2.1 投标人应在投标人须知前附表第4.2.2 项规定的投标截止时间前递交投标文件。</w:t>
      </w:r>
    </w:p>
    <w:p w14:paraId="2FC23EF8">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4.2.2 投标人递交投标文件的地点：见投标人须知前附表。</w:t>
      </w:r>
    </w:p>
    <w:p w14:paraId="2716092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4.2.3 投标人所递交的投标文件不予退还。</w:t>
      </w:r>
    </w:p>
    <w:p w14:paraId="0F43B6C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4.2.4逾期送达的或者未送达指定地点的投标文件，</w:t>
      </w:r>
      <w:bookmarkStart w:id="40" w:name="OLE_LINK50"/>
      <w:r>
        <w:rPr>
          <w:rFonts w:hint="eastAsia" w:asciiTheme="minorEastAsia" w:hAnsiTheme="minorEastAsia" w:eastAsiaTheme="minorEastAsia" w:cstheme="minorEastAsia"/>
          <w:sz w:val="24"/>
          <w:szCs w:val="24"/>
          <w:highlight w:val="none"/>
        </w:rPr>
        <w:t>招标代理机构</w:t>
      </w:r>
      <w:bookmarkEnd w:id="40"/>
      <w:r>
        <w:rPr>
          <w:rFonts w:hint="eastAsia" w:asciiTheme="minorEastAsia" w:hAnsiTheme="minorEastAsia" w:eastAsiaTheme="minorEastAsia" w:cstheme="minorEastAsia"/>
          <w:sz w:val="24"/>
          <w:szCs w:val="24"/>
          <w:highlight w:val="none"/>
        </w:rPr>
        <w:t>不予受理。</w:t>
      </w:r>
    </w:p>
    <w:p w14:paraId="0FE59653">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4.3 投标文件的修改与撤回</w:t>
      </w:r>
    </w:p>
    <w:p w14:paraId="7B75BBDE">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4.3.1 在投标人须知前附表第4.2.2 项规定的投标截止时间前，投标人可以修改或撤回已递交的投标文件，但应以书面形式通知招标人。</w:t>
      </w:r>
    </w:p>
    <w:p w14:paraId="324187D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4.3.2 投标人修改或撤回已递交投标文件的书面通知应按照本章第3.6.5项的要求签字和盖章。</w:t>
      </w:r>
    </w:p>
    <w:p w14:paraId="33A54297">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4.3.3 修改的内容为投标文件的组成部分。修改的投标文件应按照本章第3条、第4条规定进行编制、密封、标记和递交，并标明“修改”字样。</w:t>
      </w:r>
    </w:p>
    <w:p w14:paraId="38312096">
      <w:pPr>
        <w:spacing w:beforeLines="50" w:afterLines="50" w:line="360" w:lineRule="auto"/>
        <w:rPr>
          <w:rFonts w:asciiTheme="minorEastAsia" w:hAnsiTheme="minorEastAsia" w:eastAsiaTheme="minorEastAsia" w:cstheme="minorEastAsia"/>
          <w:b/>
          <w:bCs/>
          <w:sz w:val="24"/>
          <w:szCs w:val="24"/>
          <w:highlight w:val="none"/>
        </w:rPr>
      </w:pPr>
      <w:bookmarkStart w:id="41" w:name="_Toc425240468"/>
      <w:bookmarkStart w:id="42" w:name="_Toc421778369"/>
      <w:bookmarkStart w:id="43" w:name="_Toc420591647"/>
      <w:r>
        <w:rPr>
          <w:rFonts w:hint="eastAsia" w:asciiTheme="minorEastAsia" w:hAnsiTheme="minorEastAsia" w:eastAsiaTheme="minorEastAsia" w:cstheme="minorEastAsia"/>
          <w:b/>
          <w:bCs/>
          <w:sz w:val="24"/>
          <w:szCs w:val="24"/>
          <w:highlight w:val="none"/>
        </w:rPr>
        <w:t>5．开标</w:t>
      </w:r>
      <w:bookmarkEnd w:id="41"/>
      <w:bookmarkEnd w:id="42"/>
      <w:bookmarkEnd w:id="43"/>
    </w:p>
    <w:p w14:paraId="04D6CBDC">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5.1 开标时间和地点</w:t>
      </w:r>
    </w:p>
    <w:p w14:paraId="4BBF9189">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见投标人须知前附表。</w:t>
      </w:r>
    </w:p>
    <w:p w14:paraId="66DAEEDF">
      <w:pPr>
        <w:spacing w:beforeLines="50" w:afterLines="50" w:line="360" w:lineRule="auto"/>
        <w:rPr>
          <w:rFonts w:asciiTheme="minorEastAsia" w:hAnsiTheme="minorEastAsia" w:eastAsiaTheme="minorEastAsia" w:cstheme="minorEastAsia"/>
          <w:b/>
          <w:bCs/>
          <w:sz w:val="24"/>
          <w:szCs w:val="24"/>
          <w:highlight w:val="none"/>
        </w:rPr>
      </w:pPr>
      <w:bookmarkStart w:id="44" w:name="_Toc420591648"/>
      <w:bookmarkStart w:id="45" w:name="_Toc421778370"/>
      <w:bookmarkStart w:id="46" w:name="_Toc425240469"/>
      <w:r>
        <w:rPr>
          <w:rFonts w:hint="eastAsia" w:asciiTheme="minorEastAsia" w:hAnsiTheme="minorEastAsia" w:eastAsiaTheme="minorEastAsia" w:cstheme="minorEastAsia"/>
          <w:b/>
          <w:bCs/>
          <w:sz w:val="24"/>
          <w:szCs w:val="24"/>
          <w:highlight w:val="none"/>
        </w:rPr>
        <w:t>6．评标</w:t>
      </w:r>
      <w:bookmarkEnd w:id="44"/>
      <w:bookmarkEnd w:id="45"/>
      <w:bookmarkEnd w:id="46"/>
    </w:p>
    <w:p w14:paraId="4C8221A8">
      <w:pPr>
        <w:spacing w:line="360" w:lineRule="auto"/>
        <w:ind w:firstLine="482"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b/>
          <w:bCs/>
          <w:sz w:val="24"/>
          <w:szCs w:val="24"/>
          <w:highlight w:val="none"/>
        </w:rPr>
        <w:t>6.1 评标委员会</w:t>
      </w:r>
    </w:p>
    <w:p w14:paraId="1F031573">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6.1.1 评标由招标人依法组建的评标委员会负责。评标委员会由招标人代表和具备相关专业的专家等7人以上单数组成评标委员会；</w:t>
      </w:r>
    </w:p>
    <w:p w14:paraId="3916D71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6.1.2 评标委员会成员有下列情形之一的，应当回避：</w:t>
      </w:r>
    </w:p>
    <w:p w14:paraId="689DA64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(1）投标人或投标人的主要负责人的近亲属；</w:t>
      </w:r>
    </w:p>
    <w:p w14:paraId="264CBC94">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(2）与投标人有经济利益关系，可能影响对投标公正评审的；</w:t>
      </w:r>
    </w:p>
    <w:p w14:paraId="32B176D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(3）曾因在招标、评标以及其他与招标投标有关活动中从事违法行为而受过行政处罚或刑事处罚的。</w:t>
      </w:r>
    </w:p>
    <w:p w14:paraId="1165FD21">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6.2 评标原则</w:t>
      </w:r>
    </w:p>
    <w:p w14:paraId="0CB18EA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评标活动遵循公平、公正、科学和择优的原则。</w:t>
      </w:r>
    </w:p>
    <w:p w14:paraId="5DC3194F">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6.3 评标</w:t>
      </w:r>
    </w:p>
    <w:p w14:paraId="5A4F48A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6.3.1评标委员会按照第三章“评标办法”规定的方法、评审因素、标准和程序对投标文件进行评审。第三章“评标办法”没有规定的方法、评审因素和标准，不作为评标依据。</w:t>
      </w:r>
    </w:p>
    <w:p w14:paraId="2B5238D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6.3.2评标过程的保密</w:t>
      </w:r>
    </w:p>
    <w:p w14:paraId="48A5065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（1）开标后，直至授予中标人合同为止，凡属于对投标文件的审查、补遗、评价和比较的有关资料以及中标候选人的推荐情况等均严格保密。</w:t>
      </w:r>
    </w:p>
    <w:p w14:paraId="0438E72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（2）在投标文件的评审、中标候选人推荐以及授予合同的过程中，投标人向招标人和评标委员会施加影响的任何行为，都将会导致其投标被拒绝直至取消其中标资格。</w:t>
      </w:r>
    </w:p>
    <w:p w14:paraId="10108BA3">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（3）中标人确定后，招标人不对未中标人就评标过程以及未能中标原因作出任何解释。未中标人不得向评标委员会组成人员或其他有关人员索问评标过程的情况和材料。</w:t>
      </w:r>
    </w:p>
    <w:p w14:paraId="368F3F2F">
      <w:pPr>
        <w:spacing w:beforeLines="50" w:afterLines="50" w:line="360" w:lineRule="auto"/>
        <w:rPr>
          <w:rFonts w:asciiTheme="minorEastAsia" w:hAnsiTheme="minorEastAsia" w:eastAsiaTheme="minorEastAsia" w:cstheme="minorEastAsia"/>
          <w:b/>
          <w:bCs/>
          <w:sz w:val="24"/>
          <w:szCs w:val="24"/>
          <w:highlight w:val="none"/>
        </w:rPr>
      </w:pPr>
      <w:bookmarkStart w:id="47" w:name="_Toc425240470"/>
      <w:bookmarkStart w:id="48" w:name="_Toc420591649"/>
      <w:bookmarkStart w:id="49" w:name="_Toc421778371"/>
      <w:r>
        <w:rPr>
          <w:rFonts w:hint="eastAsia" w:asciiTheme="minorEastAsia" w:hAnsiTheme="minorEastAsia" w:eastAsiaTheme="minorEastAsia" w:cstheme="minorEastAsia"/>
          <w:b/>
          <w:bCs/>
          <w:sz w:val="24"/>
          <w:szCs w:val="24"/>
          <w:highlight w:val="none"/>
        </w:rPr>
        <w:t>7．合同授予</w:t>
      </w:r>
      <w:bookmarkEnd w:id="47"/>
      <w:bookmarkEnd w:id="48"/>
      <w:bookmarkEnd w:id="49"/>
    </w:p>
    <w:p w14:paraId="3884363B">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7.1 定标方式</w:t>
      </w:r>
    </w:p>
    <w:p w14:paraId="4FE5B26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评标委员会推荐3名中标候选人，并标明推荐顺序，招标人依据评标委员会推荐的中标候选人确定中标人。</w:t>
      </w:r>
    </w:p>
    <w:p w14:paraId="7786F83D">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7.2 中标通知</w:t>
      </w:r>
    </w:p>
    <w:p w14:paraId="34BEE76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在本章第3.3 款规定的投标有效期内，经招标人同意由招标代理机构以书面形式向中标人发出中标通知书。</w:t>
      </w:r>
    </w:p>
    <w:p w14:paraId="68785FCF">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7.3 签订合同</w:t>
      </w:r>
    </w:p>
    <w:p w14:paraId="0A94230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7.3.1 招标人和中标人应当自中标通知书发出之日起30天内，根据招标文件和中标人的投标文件订立书面合同；中标人无正当理由拒签合同的，招标人取消其中标资格，其投标保证金不予退还；给招标人和招标代理机构造成的损失超过投标保证金数额的，中标人还应当对超过部分予以赔偿。</w:t>
      </w:r>
    </w:p>
    <w:p w14:paraId="1313E469">
      <w:pPr>
        <w:spacing w:beforeLines="50" w:afterLines="50" w:line="360" w:lineRule="auto"/>
        <w:rPr>
          <w:rFonts w:asciiTheme="minorEastAsia" w:hAnsiTheme="minorEastAsia" w:eastAsiaTheme="minorEastAsia" w:cstheme="minorEastAsia"/>
          <w:b/>
          <w:bCs/>
          <w:sz w:val="24"/>
          <w:szCs w:val="24"/>
          <w:highlight w:val="none"/>
        </w:rPr>
      </w:pPr>
      <w:bookmarkStart w:id="50" w:name="_Toc425240471"/>
      <w:bookmarkStart w:id="51" w:name="_Toc421778372"/>
      <w:bookmarkStart w:id="52" w:name="_Toc420591650"/>
      <w:r>
        <w:rPr>
          <w:rFonts w:hint="eastAsia" w:asciiTheme="minorEastAsia" w:hAnsiTheme="minorEastAsia" w:eastAsiaTheme="minorEastAsia" w:cstheme="minorEastAsia"/>
          <w:b/>
          <w:bCs/>
          <w:sz w:val="24"/>
          <w:szCs w:val="24"/>
          <w:highlight w:val="none"/>
        </w:rPr>
        <w:t>8．重新招标和不再招标</w:t>
      </w:r>
      <w:bookmarkEnd w:id="50"/>
      <w:bookmarkEnd w:id="51"/>
      <w:bookmarkEnd w:id="52"/>
    </w:p>
    <w:p w14:paraId="1644062C">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8.1 重新招标</w:t>
      </w:r>
    </w:p>
    <w:p w14:paraId="11C69181">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有下列情形之一的，招标人将重新招标：</w:t>
      </w:r>
    </w:p>
    <w:p w14:paraId="6F9D329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（l）投标截止时间止，投标人少于3个的；</w:t>
      </w:r>
    </w:p>
    <w:p w14:paraId="731F21D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（2）经评标委员会评审后否决所有投标的。</w:t>
      </w:r>
    </w:p>
    <w:p w14:paraId="19EE7D4F">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8.2 不再招标</w:t>
      </w:r>
    </w:p>
    <w:p w14:paraId="5BF7D0D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重新招标后投标人仍少于3个或者所有投标被否决的，属于必须审批或核准的工程建设项目，经原审批或核准部门批准后不再进行招标。</w:t>
      </w:r>
    </w:p>
    <w:p w14:paraId="334D8B30">
      <w:pPr>
        <w:spacing w:beforeLines="50" w:afterLines="50" w:line="360" w:lineRule="auto"/>
        <w:rPr>
          <w:rFonts w:asciiTheme="minorEastAsia" w:hAnsiTheme="minorEastAsia" w:eastAsiaTheme="minorEastAsia" w:cstheme="minorEastAsia"/>
          <w:b/>
          <w:bCs/>
          <w:sz w:val="24"/>
          <w:szCs w:val="24"/>
          <w:highlight w:val="none"/>
        </w:rPr>
      </w:pPr>
      <w:bookmarkStart w:id="53" w:name="_Toc421778373"/>
      <w:bookmarkStart w:id="54" w:name="_Toc420591651"/>
      <w:bookmarkStart w:id="55" w:name="_Toc425240472"/>
      <w:r>
        <w:rPr>
          <w:rFonts w:hint="eastAsia" w:asciiTheme="minorEastAsia" w:hAnsiTheme="minorEastAsia" w:eastAsiaTheme="minorEastAsia" w:cstheme="minorEastAsia"/>
          <w:b/>
          <w:bCs/>
          <w:sz w:val="24"/>
          <w:szCs w:val="24"/>
          <w:highlight w:val="none"/>
        </w:rPr>
        <w:t>9．纪律和监督</w:t>
      </w:r>
      <w:bookmarkEnd w:id="53"/>
      <w:bookmarkEnd w:id="54"/>
      <w:bookmarkEnd w:id="55"/>
    </w:p>
    <w:p w14:paraId="454CC2F3">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9.1 对招标人的纪律要求</w:t>
      </w:r>
    </w:p>
    <w:p w14:paraId="58DC359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招标人不得泄漏招标投标活动中应当保密的情况和资料，不得与投标人串通损害国家利益、社会公共利益或者他人合法权益。</w:t>
      </w:r>
    </w:p>
    <w:p w14:paraId="7BD9DDB2">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9.2 对投标人的纪律要求</w:t>
      </w:r>
    </w:p>
    <w:p w14:paraId="695E7C5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投标人不得相互串通投标或者与招标人串通投标，不得向招标人或者评标委员会成员行贿谋取中标，不得以他人名义投标或者以其他方式弄虚作假骗取中标；投标人不得以任何方式干扰、影响评标工作。</w:t>
      </w:r>
    </w:p>
    <w:p w14:paraId="490944BB">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9.3 对评标委员会成员的纪律要求</w:t>
      </w:r>
    </w:p>
    <w:p w14:paraId="288929D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标委员会成员不得收受他人的财物或者其他好处，不得向他人透漏对投标文件的评审和比较、中标候选人的推荐情况以及评标有关的其他情况。在评标活动中，评标委员会成员不得擅离职守，影响评标程序正常进行，不得使用第三章“评标办法”没有规定的评审因素和标准进行评标。</w:t>
      </w:r>
    </w:p>
    <w:p w14:paraId="57A70A1D">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9.4 对与评标活动有关的工作人员的纪律要求</w:t>
      </w:r>
    </w:p>
    <w:p w14:paraId="1CB6121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与评标活动有关的工作人员不得收受他人的财物或者其他好处，不得向他人透漏对投标文件的评审和比较、中标候选人的推荐情况以及评标有关的其他情况。在评标活动中，与评标活动有关的工作人员不得擅离职守，影响评标程序正常进行。</w:t>
      </w:r>
    </w:p>
    <w:p w14:paraId="4BAA9BB0">
      <w:pPr>
        <w:spacing w:line="360" w:lineRule="auto"/>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9.5 投诉</w:t>
      </w:r>
    </w:p>
    <w:p w14:paraId="459660E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投标人和其他利害关系人认为本次招标活动违反法律、法规和规章规定的，有权向有关行政监督部门投诉。</w:t>
      </w:r>
    </w:p>
    <w:p w14:paraId="7332623B">
      <w:pPr>
        <w:spacing w:beforeLines="50" w:afterLines="50" w:line="360" w:lineRule="auto"/>
        <w:rPr>
          <w:rFonts w:asciiTheme="minorEastAsia" w:hAnsiTheme="minorEastAsia" w:eastAsiaTheme="minorEastAsia" w:cstheme="minorEastAsia"/>
          <w:b/>
          <w:bCs/>
          <w:sz w:val="24"/>
          <w:szCs w:val="24"/>
          <w:highlight w:val="none"/>
        </w:rPr>
      </w:pPr>
      <w:bookmarkStart w:id="56" w:name="_Toc421778374"/>
      <w:bookmarkStart w:id="57" w:name="_Toc420591652"/>
      <w:bookmarkStart w:id="58" w:name="_Toc425240473"/>
      <w:r>
        <w:rPr>
          <w:rFonts w:hint="eastAsia" w:asciiTheme="minorEastAsia" w:hAnsiTheme="minorEastAsia" w:eastAsiaTheme="minorEastAsia" w:cstheme="minorEastAsia"/>
          <w:b/>
          <w:bCs/>
          <w:sz w:val="24"/>
          <w:szCs w:val="24"/>
          <w:highlight w:val="none"/>
        </w:rPr>
        <w:t>10、需要补充的其他内容：</w:t>
      </w:r>
      <w:bookmarkStart w:id="59" w:name="_Toc356305901"/>
      <w:r>
        <w:rPr>
          <w:rFonts w:hint="eastAsia" w:asciiTheme="minorEastAsia" w:hAnsiTheme="minorEastAsia" w:eastAsiaTheme="minorEastAsia" w:cstheme="minorEastAsia"/>
          <w:b/>
          <w:bCs/>
          <w:sz w:val="24"/>
          <w:szCs w:val="24"/>
          <w:highlight w:val="none"/>
        </w:rPr>
        <w:t>详见投标人须知前附表</w:t>
      </w:r>
      <w:bookmarkEnd w:id="59"/>
      <w:r>
        <w:rPr>
          <w:rFonts w:hint="eastAsia" w:asciiTheme="minorEastAsia" w:hAnsiTheme="minorEastAsia" w:eastAsiaTheme="minorEastAsia" w:cstheme="minorEastAsia"/>
          <w:b/>
          <w:bCs/>
          <w:sz w:val="24"/>
          <w:szCs w:val="24"/>
          <w:highlight w:val="none"/>
        </w:rPr>
        <w:t>。</w:t>
      </w:r>
      <w:bookmarkEnd w:id="56"/>
      <w:bookmarkEnd w:id="57"/>
      <w:bookmarkEnd w:id="58"/>
    </w:p>
    <w:p w14:paraId="5C86E9E1">
      <w:pPr>
        <w:spacing w:beforeLines="50" w:afterLines="50" w:line="360" w:lineRule="auto"/>
        <w:rPr>
          <w:rFonts w:asciiTheme="minorEastAsia" w:hAnsiTheme="minorEastAsia" w:eastAsiaTheme="minorEastAsia" w:cstheme="minorEastAsia"/>
          <w:b/>
          <w:bCs/>
          <w:sz w:val="24"/>
          <w:szCs w:val="24"/>
          <w:highlight w:val="none"/>
        </w:rPr>
      </w:pPr>
      <w:bookmarkStart w:id="60" w:name="_Toc421778375"/>
      <w:bookmarkStart w:id="61" w:name="_Toc425240474"/>
      <w:bookmarkStart w:id="62" w:name="_Toc420591653"/>
      <w:r>
        <w:rPr>
          <w:rFonts w:hint="eastAsia" w:asciiTheme="minorEastAsia" w:hAnsiTheme="minorEastAsia" w:eastAsiaTheme="minorEastAsia" w:cstheme="minorEastAsia"/>
          <w:b/>
          <w:bCs/>
          <w:sz w:val="24"/>
          <w:szCs w:val="24"/>
          <w:highlight w:val="none"/>
        </w:rPr>
        <w:t>11、招标代理服务费</w:t>
      </w:r>
      <w:bookmarkEnd w:id="60"/>
      <w:bookmarkEnd w:id="61"/>
      <w:bookmarkEnd w:id="62"/>
    </w:p>
    <w:p w14:paraId="43F84D1F">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11.1由中标单位向招标代理机构一次性缴付招标代理服务费。</w:t>
      </w:r>
    </w:p>
    <w:p w14:paraId="0970B26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11.2收费标准：按国家计委颁发的《招标代理服务收费管理暂行办法》（计价格[2002]1980号）和国家发展改革委员会办公厅颁发的《关于招标代理服务收费有关问题的通知》（发改办价格[2003]857号）的有关标准执行。</w:t>
      </w:r>
    </w:p>
    <w:p w14:paraId="23F4BC39">
      <w:pPr>
        <w:spacing w:line="500" w:lineRule="exact"/>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12.质疑</w:t>
      </w:r>
    </w:p>
    <w:p w14:paraId="4BA7D01C">
      <w:pPr>
        <w:spacing w:line="500" w:lineRule="exact"/>
        <w:ind w:right="12" w:firstLine="48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12.1投标人认为招标文件、招标过程、中标结果使自己的权益受到损害的，可以在知道或者应知其权益受到损害之日起7个工作日内，以书面形式向采购人、采购代理机构提出质疑。</w:t>
      </w:r>
    </w:p>
    <w:p w14:paraId="76FB0DF8">
      <w:pPr>
        <w:spacing w:line="500" w:lineRule="exact"/>
        <w:ind w:right="12" w:firstLine="480"/>
        <w:rPr>
          <w:rStyle w:val="30"/>
          <w:rFonts w:asciiTheme="minorEastAsia" w:hAnsiTheme="minorEastAsia" w:eastAsiaTheme="minorEastAsia" w:cstheme="minorEastAsia"/>
          <w:bCs w:val="0"/>
          <w:sz w:val="24"/>
          <w:szCs w:val="24"/>
          <w:highlight w:val="none"/>
          <w:shd w:val="clear" w:color="auto" w:fill="FFFFFF"/>
        </w:rPr>
      </w:pPr>
      <w:r>
        <w:rPr>
          <w:rFonts w:hint="eastAsia" w:asciiTheme="minorEastAsia" w:hAnsiTheme="minorEastAsia" w:eastAsiaTheme="minorEastAsia" w:cstheme="minorEastAsia"/>
          <w:sz w:val="24"/>
          <w:szCs w:val="24"/>
          <w:highlight w:val="none"/>
        </w:rPr>
        <w:t>12.2投标人必须在法定质疑期内一次性提出针对同一采购程序环节的质疑。</w:t>
      </w:r>
    </w:p>
    <w:p w14:paraId="26BA589A">
      <w:pPr>
        <w:spacing w:line="500" w:lineRule="exact"/>
        <w:ind w:left="3" w:firstLine="518" w:firstLineChars="216"/>
        <w:rPr>
          <w:rStyle w:val="30"/>
          <w:rFonts w:asciiTheme="minorEastAsia" w:hAnsiTheme="minorEastAsia" w:eastAsiaTheme="minorEastAsia" w:cstheme="minorEastAsia"/>
          <w:sz w:val="24"/>
          <w:szCs w:val="24"/>
          <w:highlight w:val="none"/>
          <w:shd w:val="clear" w:color="auto" w:fill="FFFFFF"/>
        </w:rPr>
      </w:pPr>
      <w:r>
        <w:rPr>
          <w:rStyle w:val="30"/>
          <w:rFonts w:hint="eastAsia" w:asciiTheme="minorEastAsia" w:hAnsiTheme="minorEastAsia" w:eastAsiaTheme="minorEastAsia" w:cstheme="minorEastAsia"/>
          <w:sz w:val="24"/>
          <w:szCs w:val="24"/>
          <w:highlight w:val="none"/>
          <w:shd w:val="clear" w:color="auto" w:fill="FFFFFF"/>
        </w:rPr>
        <w:t>12.3投标人可以委托代理人进行质疑。代理人提出质疑的，应当提交授权委托书。授权委托书应当载明代理人的姓名或者名称、代理事项、具体权限、期限和相关事项。投标人为自然人的，应当由本人签字；投标人为法人或者其他组织的，应当由法定代表人、主要负责人签字或者盖章，并加盖公章。</w:t>
      </w:r>
    </w:p>
    <w:p w14:paraId="3847983D">
      <w:pPr>
        <w:spacing w:line="500" w:lineRule="exact"/>
        <w:ind w:left="3" w:firstLine="518" w:firstLineChars="216"/>
        <w:rPr>
          <w:rStyle w:val="30"/>
          <w:rFonts w:asciiTheme="minorEastAsia" w:hAnsiTheme="minorEastAsia" w:eastAsiaTheme="minorEastAsia" w:cstheme="minorEastAsia"/>
          <w:sz w:val="24"/>
          <w:szCs w:val="24"/>
          <w:highlight w:val="none"/>
          <w:shd w:val="clear" w:color="auto" w:fill="FFFFFF"/>
        </w:rPr>
      </w:pPr>
      <w:r>
        <w:rPr>
          <w:rStyle w:val="30"/>
          <w:rFonts w:hint="eastAsia" w:asciiTheme="minorEastAsia" w:hAnsiTheme="minorEastAsia" w:eastAsiaTheme="minorEastAsia" w:cstheme="minorEastAsia"/>
          <w:sz w:val="24"/>
          <w:szCs w:val="24"/>
          <w:highlight w:val="none"/>
          <w:shd w:val="clear" w:color="auto" w:fill="FFFFFF"/>
        </w:rPr>
        <w:t>12.4以联合体形式参加政府采购活动的，其质疑应当由组成联合体的所有投标人共同提出。</w:t>
      </w:r>
    </w:p>
    <w:p w14:paraId="2727C685">
      <w:pPr>
        <w:spacing w:line="500" w:lineRule="exact"/>
        <w:ind w:right="12" w:firstLine="480" w:firstLineChars="200"/>
        <w:rPr>
          <w:rFonts w:asciiTheme="minorEastAsia" w:hAnsiTheme="minorEastAsia" w:eastAsiaTheme="minorEastAsia" w:cstheme="minorEastAsia"/>
          <w:sz w:val="24"/>
          <w:szCs w:val="24"/>
          <w:highlight w:val="none"/>
        </w:rPr>
      </w:pPr>
      <w:r>
        <w:rPr>
          <w:rStyle w:val="30"/>
          <w:rFonts w:hint="eastAsia" w:asciiTheme="minorEastAsia" w:hAnsiTheme="minorEastAsia" w:eastAsiaTheme="minorEastAsia" w:cstheme="minorEastAsia"/>
          <w:sz w:val="24"/>
          <w:szCs w:val="24"/>
          <w:highlight w:val="none"/>
          <w:shd w:val="clear" w:color="auto" w:fill="FFFFFF"/>
        </w:rPr>
        <w:t>12</w:t>
      </w:r>
      <w:r>
        <w:rPr>
          <w:rFonts w:hint="eastAsia" w:asciiTheme="minorEastAsia" w:hAnsiTheme="minorEastAsia" w:eastAsiaTheme="minorEastAsia" w:cstheme="minorEastAsia"/>
          <w:sz w:val="24"/>
          <w:szCs w:val="24"/>
          <w:highlight w:val="none"/>
        </w:rPr>
        <w:t>.5投标人提出质疑应当提交质疑函和必要的证明材料。质疑函应当包括下列内容：</w:t>
      </w:r>
    </w:p>
    <w:p w14:paraId="20C94FDA">
      <w:pPr>
        <w:spacing w:line="500" w:lineRule="exact"/>
        <w:ind w:right="12"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12.5.1投标人的姓名或者名称、地址、邮编、联系人及联系电话；</w:t>
      </w:r>
    </w:p>
    <w:p w14:paraId="7B2DCE3B">
      <w:pPr>
        <w:spacing w:line="500" w:lineRule="exact"/>
        <w:ind w:right="12"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12.5.2质疑项目的名称、编号；</w:t>
      </w:r>
    </w:p>
    <w:p w14:paraId="33A1C91F">
      <w:pPr>
        <w:spacing w:line="500" w:lineRule="exact"/>
        <w:ind w:right="12"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12.5.3具体、明确的质疑事项和与质疑事项相关的请求；</w:t>
      </w:r>
    </w:p>
    <w:p w14:paraId="2AF6C875">
      <w:pPr>
        <w:spacing w:line="500" w:lineRule="exact"/>
        <w:ind w:right="12"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12.5.4事实依据；</w:t>
      </w:r>
    </w:p>
    <w:p w14:paraId="76069F79">
      <w:pPr>
        <w:spacing w:line="500" w:lineRule="exact"/>
        <w:ind w:right="12"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12.5.5必要的法律依据；</w:t>
      </w:r>
    </w:p>
    <w:p w14:paraId="6346A4ED">
      <w:pPr>
        <w:spacing w:line="500" w:lineRule="exact"/>
        <w:ind w:right="12" w:firstLine="480" w:firstLineChars="200"/>
        <w:rPr>
          <w:rStyle w:val="30"/>
          <w:rFonts w:asciiTheme="minorEastAsia" w:hAnsiTheme="minorEastAsia" w:eastAsiaTheme="minorEastAsia" w:cstheme="minorEastAsia"/>
          <w:sz w:val="24"/>
          <w:szCs w:val="24"/>
          <w:highlight w:val="none"/>
          <w:shd w:val="clear" w:color="auto" w:fill="FFFFFF"/>
        </w:rPr>
      </w:pPr>
      <w:r>
        <w:rPr>
          <w:rFonts w:hint="eastAsia" w:asciiTheme="minorEastAsia" w:hAnsiTheme="minorEastAsia" w:eastAsiaTheme="minorEastAsia" w:cstheme="minorEastAsia"/>
          <w:sz w:val="24"/>
          <w:szCs w:val="24"/>
          <w:highlight w:val="none"/>
        </w:rPr>
        <w:t>12.5.6提出质疑的日期。</w:t>
      </w:r>
    </w:p>
    <w:p w14:paraId="6E6D1E97">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12.6有下列情形之一的，属于无效质疑，采购代理机构和采购人不予受理：</w:t>
      </w:r>
    </w:p>
    <w:p w14:paraId="59F5D0D9">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12.6.1质疑投标人不是参与本次政府采购项目的投标人；</w:t>
      </w:r>
    </w:p>
    <w:p w14:paraId="5B527391">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12.6.2质疑投标人与质疑事项不存在利害关系的；</w:t>
      </w:r>
    </w:p>
    <w:p w14:paraId="4EA9E412">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12.6.3未在法定期限内提出质疑的；</w:t>
      </w:r>
    </w:p>
    <w:p w14:paraId="79F90CBE">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12.6.4质疑未以书面形式提出，或质疑函主要内容构成不完整的；</w:t>
      </w:r>
    </w:p>
    <w:p w14:paraId="22867A75">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12.6.5应当提交授权书而未提交的；</w:t>
      </w:r>
    </w:p>
    <w:p w14:paraId="507F1C31">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12.6.6以非法手段取得证据、材料的；</w:t>
      </w:r>
    </w:p>
    <w:p w14:paraId="3AB152D2">
      <w:pPr>
        <w:widowControl/>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12.6.7质疑答复后，同一质疑人就同一事项或同一采购程序环节再次提出质疑的；</w:t>
      </w:r>
    </w:p>
    <w:p w14:paraId="4C75761C">
      <w:pPr>
        <w:widowControl/>
        <w:spacing w:line="500" w:lineRule="exact"/>
        <w:ind w:firstLine="480" w:firstLineChars="200"/>
        <w:rPr>
          <w:rStyle w:val="30"/>
          <w:rFonts w:asciiTheme="minorEastAsia" w:hAnsiTheme="minorEastAsia" w:eastAsiaTheme="minorEastAsia" w:cstheme="minorEastAsia"/>
          <w:sz w:val="24"/>
          <w:szCs w:val="24"/>
          <w:highlight w:val="none"/>
          <w:shd w:val="clear" w:color="auto" w:fill="FFFFFF"/>
        </w:rPr>
      </w:pPr>
      <w:r>
        <w:rPr>
          <w:rFonts w:hint="eastAsia" w:asciiTheme="minorEastAsia" w:hAnsiTheme="minorEastAsia" w:eastAsiaTheme="minorEastAsia" w:cstheme="minorEastAsia"/>
          <w:sz w:val="24"/>
          <w:szCs w:val="24"/>
          <w:highlight w:val="none"/>
        </w:rPr>
        <w:t>12.6.8不符合法律、法规、规章和政府采购监管机构规定的其他条件的。</w:t>
      </w:r>
    </w:p>
    <w:p w14:paraId="1434F8AB">
      <w:pPr>
        <w:spacing w:line="500" w:lineRule="exact"/>
        <w:ind w:right="12"/>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    12.7质疑答复</w:t>
      </w:r>
    </w:p>
    <w:p w14:paraId="0449F602">
      <w:pPr>
        <w:pStyle w:val="40"/>
        <w:spacing w:line="500" w:lineRule="exact"/>
        <w:ind w:firstLine="48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12.7.1采购人或采购代理机构在收到质疑函后7个工作日内作出答复，并以书面形式通知质疑投标人和其他有关投标人。</w:t>
      </w:r>
    </w:p>
    <w:p w14:paraId="34E663CF">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12.7.2质疑投标人对采购人、采购代理机构的答复不满意，或者采购人、采购代理机构未在规定时间内作出答复的，可以在答复期满后15个工作日内向项目主管财政部门提起投诉。</w:t>
      </w:r>
    </w:p>
    <w:p w14:paraId="1EFD75C0">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12.8.1质疑函须按财政部《质疑函范本》给定的格式进行填写，范本下载详见【财政部国库司（gks.mof.gov.cn）】网站〖首页·政府采购管理〗栏目中的《政府采购供应商质疑函范本》。《政府采购供应商质疑函范本》链接地址：</w:t>
      </w:r>
    </w:p>
    <w:p w14:paraId="627F2301">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http://gks.mof.gov.cn/zhengfucaigouguanli/201802/t20180201_2804589.html</w:t>
      </w:r>
    </w:p>
    <w:p w14:paraId="13FC192F">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12.8.2接收质疑函的方式：书面形式</w:t>
      </w:r>
    </w:p>
    <w:p w14:paraId="19FF9801">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12.8.3联系部门：陕西至诚项目管理集团有限公司前台</w:t>
      </w:r>
    </w:p>
    <w:p w14:paraId="260869E7">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12.8.4联系电话：029-88219779</w:t>
      </w:r>
    </w:p>
    <w:p w14:paraId="00A9DCE6">
      <w:pPr>
        <w:pStyle w:val="40"/>
        <w:spacing w:line="500" w:lineRule="exact"/>
        <w:ind w:firstLine="480" w:firstLineChars="0"/>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31.8.5通讯地址：陕西省西安市经济技术开发区未央路171-1号银池道拉斯财富中心21楼</w:t>
      </w:r>
    </w:p>
    <w:p w14:paraId="6EE6C021">
      <w:pPr>
        <w:spacing w:line="500" w:lineRule="exac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b/>
          <w:bCs/>
          <w:sz w:val="24"/>
          <w:szCs w:val="24"/>
          <w:highlight w:val="none"/>
        </w:rPr>
        <w:t>13.其他</w:t>
      </w:r>
    </w:p>
    <w:p w14:paraId="5B5FDECA">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13.1 废标的情形</w:t>
      </w:r>
    </w:p>
    <w:p w14:paraId="60410529">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13.1.1招标采购中，出现下列情形之一的，应予以废标：</w:t>
      </w:r>
    </w:p>
    <w:p w14:paraId="55E09842">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（1）符合专业条件的投标人或者对招标文件作实质响应的投标人不足3家的；</w:t>
      </w:r>
    </w:p>
    <w:p w14:paraId="2E406DDC">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（2）出现影响采购公正的违法、违规行为的；</w:t>
      </w:r>
    </w:p>
    <w:p w14:paraId="466BE334">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（3）投标人的报价均超过了采购预算，采购人不能支付的；</w:t>
      </w:r>
    </w:p>
    <w:p w14:paraId="349FE27D">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（4）因重大变故，采购任务取消的。</w:t>
      </w:r>
    </w:p>
    <w:p w14:paraId="050D371B">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13.1.2废标后，采购代理机构应在财政部门指定采购网上公告，并公告废标的详细理由。</w:t>
      </w:r>
    </w:p>
    <w:p w14:paraId="13C47EC9">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13.2变更采购方式</w:t>
      </w:r>
    </w:p>
    <w:p w14:paraId="247441CF">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13.2.1存在下列情形之一的，除采购任务取消情形外，采购人经同级财政部门同意后，可按《政府采购货物和服务招标投标管理办法》（财政部87号令）第四十三条规定的方式处理：</w:t>
      </w:r>
    </w:p>
    <w:p w14:paraId="47AA6131">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（1）投标截止后参加投标的人不足3家的；</w:t>
      </w:r>
    </w:p>
    <w:p w14:paraId="57A65C48">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（2）通过资格审查的投标人不足3家的；</w:t>
      </w:r>
    </w:p>
    <w:p w14:paraId="48AD5C33">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（3）通过符合性审查的投标人不足3家的。</w:t>
      </w:r>
    </w:p>
    <w:p w14:paraId="70027232">
      <w:pPr>
        <w:spacing w:line="50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13.2.2通过符合性审查的投标人只有2家时，采购人经同级财政部门同意后，可以按《政府采购非招标采购方式管理办法》（财政部第74号令）的规定与该2家投标人进行竞争性谈判采购。</w:t>
      </w:r>
    </w:p>
    <w:p w14:paraId="61245666">
      <w:pPr>
        <w:spacing w:line="360" w:lineRule="auto"/>
        <w:ind w:firstLine="480" w:firstLineChars="200"/>
        <w:rPr>
          <w:rFonts w:asciiTheme="minorEastAsia" w:hAnsiTheme="minorEastAsia" w:eastAsiaTheme="minorEastAsia" w:cstheme="minorEastAsia"/>
          <w:sz w:val="24"/>
          <w:szCs w:val="24"/>
          <w:highlight w:val="none"/>
        </w:rPr>
      </w:pPr>
    </w:p>
    <w:p w14:paraId="2C520BC8">
      <w:pPr>
        <w:spacing w:line="360" w:lineRule="auto"/>
        <w:ind w:firstLine="420" w:firstLineChars="200"/>
        <w:rPr>
          <w:rFonts w:asciiTheme="minorEastAsia" w:hAnsiTheme="minorEastAsia" w:eastAsiaTheme="minorEastAsia" w:cstheme="minorEastAsia"/>
          <w:highlight w:val="none"/>
        </w:rPr>
        <w:sectPr>
          <w:footerReference r:id="rId8" w:type="default"/>
          <w:pgSz w:w="11906" w:h="16838"/>
          <w:pgMar w:top="1304" w:right="1361" w:bottom="1304" w:left="1361" w:header="851" w:footer="992" w:gutter="0"/>
          <w:pgNumType w:start="1"/>
          <w:cols w:space="0" w:num="1"/>
          <w:docGrid w:type="lines" w:linePitch="312" w:charSpace="0"/>
        </w:sectPr>
      </w:pPr>
    </w:p>
    <w:p w14:paraId="6CD565D2">
      <w:pPr>
        <w:pStyle w:val="4"/>
        <w:keepNext w:val="0"/>
        <w:pageBreakBefore/>
        <w:jc w:val="center"/>
        <w:rPr>
          <w:rFonts w:asciiTheme="minorEastAsia" w:hAnsiTheme="minorEastAsia" w:eastAsiaTheme="minorEastAsia" w:cstheme="minorEastAsia"/>
          <w:bCs/>
          <w:sz w:val="36"/>
          <w:szCs w:val="36"/>
          <w:highlight w:val="none"/>
        </w:rPr>
      </w:pPr>
      <w:bookmarkStart w:id="63" w:name="_Toc30469"/>
      <w:bookmarkStart w:id="64" w:name="_Toc13146"/>
      <w:bookmarkStart w:id="65" w:name="_Toc21993"/>
      <w:bookmarkStart w:id="66" w:name="_Toc8864"/>
      <w:bookmarkStart w:id="67" w:name="_Toc20481"/>
      <w:bookmarkStart w:id="68" w:name="_Toc1025"/>
      <w:bookmarkStart w:id="69" w:name="_Toc23856"/>
      <w:bookmarkStart w:id="70" w:name="_Toc4053"/>
      <w:bookmarkStart w:id="71" w:name="_Toc2711"/>
      <w:bookmarkStart w:id="72" w:name="_Toc389582038"/>
      <w:bookmarkStart w:id="73" w:name="_Toc11450"/>
      <w:bookmarkStart w:id="74" w:name="_Toc351989128"/>
      <w:bookmarkStart w:id="75" w:name="_Toc221523521"/>
      <w:bookmarkStart w:id="76" w:name="_Toc19346"/>
      <w:bookmarkStart w:id="77" w:name="_Toc421778377"/>
      <w:bookmarkStart w:id="78" w:name="_Toc9479"/>
      <w:r>
        <w:rPr>
          <w:rFonts w:hint="eastAsia" w:asciiTheme="minorEastAsia" w:hAnsiTheme="minorEastAsia" w:eastAsiaTheme="minorEastAsia" w:cstheme="minorEastAsia"/>
          <w:bCs/>
          <w:sz w:val="36"/>
          <w:szCs w:val="36"/>
          <w:highlight w:val="none"/>
        </w:rPr>
        <w:t>第三章  评审方法</w:t>
      </w:r>
      <w:bookmarkEnd w:id="63"/>
      <w:bookmarkEnd w:id="64"/>
      <w:bookmarkEnd w:id="65"/>
      <w:bookmarkEnd w:id="66"/>
    </w:p>
    <w:bookmarkEnd w:id="67"/>
    <w:bookmarkEnd w:id="68"/>
    <w:bookmarkEnd w:id="69"/>
    <w:bookmarkEnd w:id="70"/>
    <w:bookmarkEnd w:id="71"/>
    <w:bookmarkEnd w:id="72"/>
    <w:bookmarkEnd w:id="73"/>
    <w:p w14:paraId="7E268F11">
      <w:pPr>
        <w:spacing w:beforeLines="50" w:line="360" w:lineRule="auto"/>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一．评标方法</w:t>
      </w:r>
    </w:p>
    <w:p w14:paraId="3E42DE57">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按照《中华人民共和国政府采购法》及实施条例和《中华人民共和国招标投标法》及其实施条例的规定，本次评标采用综合评分法，即在最大限度地满足招标文件实质性要求前提下，按照招标文件中规定的各项因素和相应的权重分值进行综合评审后，以总得分最高的投标人作为中标候选人并依次排序（最低报价不是中标的唯一标准）。</w:t>
      </w:r>
    </w:p>
    <w:p w14:paraId="31A0193E">
      <w:pPr>
        <w:spacing w:beforeLines="50" w:line="360" w:lineRule="auto"/>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二．评标委员会负责具体评标事务，并独立履行下列职责：</w:t>
      </w:r>
    </w:p>
    <w:p w14:paraId="46248C7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（一）审查、评价投标文件是否符合招标文件的商务、技术等实质性要求；</w:t>
      </w:r>
    </w:p>
    <w:p w14:paraId="04D3BA0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（二）要求投标人对投标文件有关事项作出澄清或者说明；</w:t>
      </w:r>
    </w:p>
    <w:p w14:paraId="0A1433D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（三）对投标文件进行比较和评价；</w:t>
      </w:r>
    </w:p>
    <w:p w14:paraId="265AFE8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（四）确定中标候选人名单，以及根据采购人委托直接确定中标人；</w:t>
      </w:r>
    </w:p>
    <w:p w14:paraId="0B74CDBE">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（五）向采购人、采购代理机构或者有关部门报告评标中发现的违法行为。</w:t>
      </w:r>
    </w:p>
    <w:p w14:paraId="59F8FE82">
      <w:pPr>
        <w:spacing w:beforeLines="50" w:line="360" w:lineRule="auto"/>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三.投标人存在下列情况之一的，投标无效：</w:t>
      </w:r>
    </w:p>
    <w:p w14:paraId="2DE24824">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1）没有按照招标文件要求提供的投标文件或投标文件构成有重大缺项；</w:t>
      </w:r>
    </w:p>
    <w:p w14:paraId="5B73F2E7">
      <w:pPr>
        <w:kinsoku w:val="0"/>
        <w:spacing w:line="500" w:lineRule="exact"/>
        <w:ind w:firstLine="482" w:firstLineChars="200"/>
        <w:rPr>
          <w:rFonts w:asciiTheme="minorEastAsia" w:hAnsiTheme="minorEastAsia" w:eastAsiaTheme="minorEastAsia" w:cstheme="minorEastAsia"/>
          <w:b/>
          <w:bCs/>
          <w:spacing w:val="-6"/>
          <w:sz w:val="24"/>
          <w:szCs w:val="24"/>
          <w:highlight w:val="none"/>
        </w:rPr>
      </w:pPr>
      <w:r>
        <w:rPr>
          <w:rFonts w:hint="eastAsia" w:asciiTheme="minorEastAsia" w:hAnsiTheme="minorEastAsia" w:eastAsiaTheme="minorEastAsia" w:cstheme="minorEastAsia"/>
          <w:b/>
          <w:bCs/>
          <w:sz w:val="24"/>
          <w:szCs w:val="24"/>
          <w:highlight w:val="none"/>
        </w:rPr>
        <w:t>2）投标</w:t>
      </w:r>
      <w:r>
        <w:rPr>
          <w:rFonts w:hint="eastAsia" w:asciiTheme="minorEastAsia" w:hAnsiTheme="minorEastAsia" w:eastAsiaTheme="minorEastAsia" w:cstheme="minorEastAsia"/>
          <w:b/>
          <w:bCs/>
          <w:spacing w:val="-6"/>
          <w:sz w:val="24"/>
          <w:szCs w:val="24"/>
          <w:highlight w:val="none"/>
        </w:rPr>
        <w:t>文件</w:t>
      </w:r>
      <w:r>
        <w:rPr>
          <w:rFonts w:hint="eastAsia" w:asciiTheme="minorEastAsia" w:hAnsiTheme="minorEastAsia" w:eastAsiaTheme="minorEastAsia" w:cstheme="minorEastAsia"/>
          <w:b/>
          <w:bCs/>
          <w:sz w:val="24"/>
          <w:szCs w:val="24"/>
          <w:highlight w:val="none"/>
        </w:rPr>
        <w:t>未按招标文件要求密封、签署、盖章的；</w:t>
      </w:r>
    </w:p>
    <w:p w14:paraId="5DF8BCBB">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3）投标人未提交有效的投标保证金或金额不足的、投标保证金形式不符合招标文件要求的；</w:t>
      </w:r>
    </w:p>
    <w:p w14:paraId="21FD876B">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4）资格证明文件不全的或无效的，或不符合国家规定的；</w:t>
      </w:r>
    </w:p>
    <w:p w14:paraId="505A28D9">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5）投标文件无投标人公章、无法定代表人或授权人签章或签章人无法定代表人有效委托书的；</w:t>
      </w:r>
    </w:p>
    <w:p w14:paraId="0214295D">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6）</w:t>
      </w:r>
      <w:r>
        <w:rPr>
          <w:rFonts w:hint="eastAsia" w:asciiTheme="minorEastAsia" w:hAnsiTheme="minorEastAsia" w:eastAsiaTheme="minorEastAsia" w:cstheme="minorEastAsia"/>
          <w:b/>
          <w:bCs/>
          <w:spacing w:val="-6"/>
          <w:sz w:val="24"/>
          <w:szCs w:val="24"/>
          <w:highlight w:val="none"/>
        </w:rPr>
        <w:t>无投标有效期或有效期达不到招标文件要求的</w:t>
      </w:r>
      <w:r>
        <w:rPr>
          <w:rFonts w:hint="eastAsia" w:asciiTheme="minorEastAsia" w:hAnsiTheme="minorEastAsia" w:eastAsiaTheme="minorEastAsia" w:cstheme="minorEastAsia"/>
          <w:b/>
          <w:bCs/>
          <w:sz w:val="24"/>
          <w:szCs w:val="24"/>
          <w:highlight w:val="none"/>
        </w:rPr>
        <w:t>；</w:t>
      </w:r>
    </w:p>
    <w:p w14:paraId="7B2A5F5B">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7）投标人在同一份投标文件中，对同一招标产品报有两个或多个报价的；</w:t>
      </w:r>
    </w:p>
    <w:p w14:paraId="3A65E86A">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8）存在有重大缺漏项和重大技术偏离的投标产品；</w:t>
      </w:r>
    </w:p>
    <w:p w14:paraId="7B676CD2">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9）投标人有串通投标、以他人名义投标、弄虚作假、行贿等违法行为的；</w:t>
      </w:r>
    </w:p>
    <w:p w14:paraId="176ABCEF">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10）投标总报价低于成本或者高于招标文件公布的采购预算的。</w:t>
      </w:r>
    </w:p>
    <w:p w14:paraId="20383B4A">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11）提供虚假投标文件和资料的。</w:t>
      </w:r>
    </w:p>
    <w:p w14:paraId="1BBDBEE7">
      <w:pPr>
        <w:tabs>
          <w:tab w:val="left" w:pos="1260"/>
        </w:tabs>
        <w:spacing w:line="500" w:lineRule="exact"/>
        <w:ind w:firstLine="482" w:firstLineChars="200"/>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12）法律、法规和招标文件规定的其他无效情形；</w:t>
      </w:r>
    </w:p>
    <w:p w14:paraId="2DF72256">
      <w:pPr>
        <w:spacing w:beforeLines="50" w:line="360" w:lineRule="auto"/>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四.投标人有下列情形之一的，视为投标人串通投标，其投标无效：</w:t>
      </w:r>
    </w:p>
    <w:p w14:paraId="5FF6E18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（一）不同投标人的投标文件由同一单位或者个人编制；</w:t>
      </w:r>
    </w:p>
    <w:p w14:paraId="13453CEB">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（二）不同投标人委托同一单位或者个人办理投标事宜；</w:t>
      </w:r>
    </w:p>
    <w:p w14:paraId="6DF186E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（三）不同投标人的投标文件载明的项目管理成员或者联系人员为同一人；</w:t>
      </w:r>
    </w:p>
    <w:p w14:paraId="595F78A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（四）不同投标人的投标文件异常一致或者投标报价呈规律性差异；</w:t>
      </w:r>
    </w:p>
    <w:p w14:paraId="69406ED9">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（五）不同投标人的投标文件相互混装；</w:t>
      </w:r>
    </w:p>
    <w:p w14:paraId="75177E73">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（六）不同投标人的投标保证金从同一单位或者个人的账户转出。</w:t>
      </w:r>
    </w:p>
    <w:p w14:paraId="2FFC72AC">
      <w:pPr>
        <w:spacing w:beforeLines="50" w:line="360" w:lineRule="auto"/>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五.评标程序</w:t>
      </w:r>
    </w:p>
    <w:p w14:paraId="701F7202">
      <w:pPr>
        <w:spacing w:line="360" w:lineRule="auto"/>
        <w:ind w:firstLine="482" w:firstLineChars="200"/>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1、投标文件的资格性审查：</w:t>
      </w:r>
    </w:p>
    <w:p w14:paraId="70D25E1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采购人及代理机构对投标人的投标文件进行资格性审查，以确定其是否满足招标文件的资格要求。</w:t>
      </w:r>
    </w:p>
    <w:p w14:paraId="3EDE37B7">
      <w:pPr>
        <w:spacing w:line="360" w:lineRule="auto"/>
        <w:ind w:firstLine="482" w:firstLineChars="200"/>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2、投标文件的符合性审查：</w:t>
      </w:r>
    </w:p>
    <w:p w14:paraId="0428BE9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评标委员会对符合资格的投标人的投标文件进行符合性审查，以确定其是否满足招标文件的商务、技术等实质性要求。</w:t>
      </w:r>
    </w:p>
    <w:p w14:paraId="06993F3D">
      <w:pPr>
        <w:spacing w:line="360" w:lineRule="auto"/>
        <w:ind w:firstLine="482" w:firstLineChars="200"/>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3、评委会对报价明显偏低的审查：</w:t>
      </w:r>
    </w:p>
    <w:p w14:paraId="1695C540">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评标委员会认为投标人的报价明显低于其他通过符合性审查投标人的报价，有可能影响服务质量或者不能诚信履约的，应当要求其在评标现场合理的时间内提供书面说明，必要时提交相关证明材料；投标人不能证明其报价合理性的，评标委员会应当将其作为无效投标处理。</w:t>
      </w:r>
    </w:p>
    <w:p w14:paraId="223130AC">
      <w:pPr>
        <w:spacing w:line="360" w:lineRule="auto"/>
        <w:ind w:firstLine="482" w:firstLineChars="200"/>
        <w:rPr>
          <w:rFonts w:asciiTheme="minorEastAsia" w:hAnsiTheme="minorEastAsia" w:eastAsiaTheme="minorEastAsia" w:cstheme="minorEastAsia"/>
          <w:b/>
          <w:sz w:val="24"/>
          <w:szCs w:val="24"/>
          <w:highlight w:val="none"/>
        </w:rPr>
      </w:pPr>
      <w:r>
        <w:rPr>
          <w:rFonts w:hint="eastAsia" w:asciiTheme="minorEastAsia" w:hAnsiTheme="minorEastAsia" w:eastAsiaTheme="minorEastAsia" w:cstheme="minorEastAsia"/>
          <w:b/>
          <w:sz w:val="24"/>
          <w:szCs w:val="24"/>
          <w:highlight w:val="none"/>
        </w:rPr>
        <w:t>4、澄清有关问题：</w:t>
      </w:r>
    </w:p>
    <w:p w14:paraId="6A842C41">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4.1对于投标文件中含义不明确、同类问题表述不一致或者有明显文字和计算错误的内容，评标委员会以书面形式要求投标人做出必要的澄清、说明或者补正。投标人的澄清、说明或者补正应当采用书面形式，由法定代表人或其授权的代表签署全名。投标人的澄清、说明或者补正不得超出投标文件的范围或者改变投标文件的实质性内容。</w:t>
      </w:r>
    </w:p>
    <w:p w14:paraId="6040F85E">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4.2投标文件报价出现前后不一致的，按照下列规定修正：</w:t>
      </w:r>
    </w:p>
    <w:p w14:paraId="66012E8C">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（一）大写金额和小写金额不一致的，以大写金额为准；</w:t>
      </w:r>
    </w:p>
    <w:p w14:paraId="28344886">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（二）单价金额小数点或者百分比有明显错位的，以开标一览表的总价为准，并修改单价；</w:t>
      </w:r>
    </w:p>
    <w:p w14:paraId="3F327CD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（三）总价金额与按单价汇总金额不一致的，以单价金额计算结果为准。</w:t>
      </w:r>
    </w:p>
    <w:p w14:paraId="71DBCC42">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同时出现两种以上不一致的，按照前款规定的顺序修正。修正后的报价经投标人书面确认后产生约束力，投标人不确认的，其投标无效。</w:t>
      </w:r>
    </w:p>
    <w:p w14:paraId="3033DF5A">
      <w:pPr>
        <w:spacing w:beforeLines="50" w:line="360" w:lineRule="auto"/>
        <w:ind w:firstLine="498" w:firstLineChars="200"/>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5、比较与评价：</w:t>
      </w:r>
    </w:p>
    <w:p w14:paraId="454D618E">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 xml:space="preserve">评委会各成员按照《评审因素量化赋分表》规定的内容，独立进行综合比较、评价打分。 </w:t>
      </w:r>
    </w:p>
    <w:p w14:paraId="1A2BF38D">
      <w:pPr>
        <w:spacing w:beforeLines="50" w:line="360" w:lineRule="auto"/>
        <w:ind w:firstLine="498" w:firstLineChars="200"/>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6、推荐中标候选人名单：</w:t>
      </w:r>
    </w:p>
    <w:p w14:paraId="55235F5D">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6.1汇总全体评委对每个投标人的赋分，计算出每个投标人的综合得分，按标段得分从高到低顺序排列，推荐前1～3名为中标候选人。</w:t>
      </w:r>
    </w:p>
    <w:p w14:paraId="24DC7F4A">
      <w:pPr>
        <w:spacing w:line="360" w:lineRule="auto"/>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6.2得分相同的，按投标报价由低到高顺序排列。得分且投标报价相同的并列。</w:t>
      </w:r>
    </w:p>
    <w:p w14:paraId="14DF9BCE">
      <w:pPr>
        <w:spacing w:line="360" w:lineRule="auto"/>
        <w:ind w:right="40" w:rightChars="19" w:firstLine="422"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b/>
          <w:szCs w:val="28"/>
          <w:highlight w:val="none"/>
        </w:rPr>
        <w:br w:type="page"/>
      </w:r>
    </w:p>
    <w:p w14:paraId="72EB9D4B">
      <w:pPr>
        <w:pStyle w:val="2"/>
        <w:rPr>
          <w:rFonts w:asciiTheme="minorEastAsia" w:hAnsiTheme="minorEastAsia" w:eastAsiaTheme="minorEastAsia" w:cstheme="minorEastAsia"/>
          <w:szCs w:val="24"/>
          <w:highlight w:val="none"/>
        </w:rPr>
      </w:pPr>
      <w:r>
        <w:rPr>
          <w:rFonts w:hint="eastAsia" w:asciiTheme="minorEastAsia" w:hAnsiTheme="minorEastAsia" w:eastAsiaTheme="minorEastAsia" w:cstheme="minorEastAsia"/>
          <w:b/>
          <w:bCs/>
          <w:szCs w:val="28"/>
          <w:highlight w:val="none"/>
        </w:rPr>
        <w:t>附件1：</w:t>
      </w:r>
    </w:p>
    <w:p w14:paraId="0709ECD7">
      <w:pPr>
        <w:pStyle w:val="2"/>
        <w:jc w:val="center"/>
        <w:rPr>
          <w:rFonts w:asciiTheme="minorEastAsia" w:hAnsiTheme="minorEastAsia" w:eastAsiaTheme="minorEastAsia" w:cstheme="minorEastAsia"/>
          <w:b/>
          <w:bCs/>
          <w:sz w:val="24"/>
          <w:szCs w:val="24"/>
          <w:highlight w:val="none"/>
        </w:rPr>
      </w:pPr>
      <w:r>
        <w:rPr>
          <w:rFonts w:hint="eastAsia" w:asciiTheme="minorEastAsia" w:hAnsiTheme="minorEastAsia" w:eastAsiaTheme="minorEastAsia" w:cstheme="minorEastAsia"/>
          <w:b/>
          <w:bCs/>
          <w:sz w:val="24"/>
          <w:szCs w:val="24"/>
          <w:highlight w:val="none"/>
        </w:rPr>
        <w:t>初步审查要素表</w:t>
      </w:r>
    </w:p>
    <w:tbl>
      <w:tblPr>
        <w:tblStyle w:val="27"/>
        <w:tblW w:w="939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1"/>
        <w:gridCol w:w="576"/>
        <w:gridCol w:w="541"/>
        <w:gridCol w:w="2223"/>
        <w:gridCol w:w="5236"/>
      </w:tblGrid>
      <w:tr w14:paraId="2C5A3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blHeader/>
        </w:trPr>
        <w:tc>
          <w:tcPr>
            <w:tcW w:w="1397" w:type="dxa"/>
            <w:gridSpan w:val="2"/>
            <w:vAlign w:val="center"/>
          </w:tcPr>
          <w:p w14:paraId="77B1152B">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条款号</w:t>
            </w:r>
          </w:p>
        </w:tc>
        <w:tc>
          <w:tcPr>
            <w:tcW w:w="2764" w:type="dxa"/>
            <w:gridSpan w:val="2"/>
            <w:vAlign w:val="center"/>
          </w:tcPr>
          <w:p w14:paraId="18F17561">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评审因素</w:t>
            </w:r>
          </w:p>
        </w:tc>
        <w:tc>
          <w:tcPr>
            <w:tcW w:w="5236" w:type="dxa"/>
            <w:vAlign w:val="center"/>
          </w:tcPr>
          <w:p w14:paraId="4A463EB5">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评审标准</w:t>
            </w:r>
          </w:p>
        </w:tc>
      </w:tr>
      <w:tr w14:paraId="486485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restart"/>
            <w:vAlign w:val="center"/>
          </w:tcPr>
          <w:p w14:paraId="1DDBD7EC">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2.1.1</w:t>
            </w:r>
          </w:p>
        </w:tc>
        <w:tc>
          <w:tcPr>
            <w:tcW w:w="576" w:type="dxa"/>
            <w:vMerge w:val="restart"/>
            <w:vAlign w:val="center"/>
          </w:tcPr>
          <w:p w14:paraId="62823050">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资格评审</w:t>
            </w:r>
          </w:p>
          <w:p w14:paraId="0E84017E">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标准</w:t>
            </w:r>
          </w:p>
        </w:tc>
        <w:tc>
          <w:tcPr>
            <w:tcW w:w="2764" w:type="dxa"/>
            <w:gridSpan w:val="2"/>
            <w:vAlign w:val="center"/>
          </w:tcPr>
          <w:p w14:paraId="0E068BA0">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营业执照等主体资格证明文件</w:t>
            </w:r>
          </w:p>
        </w:tc>
        <w:tc>
          <w:tcPr>
            <w:tcW w:w="5236" w:type="dxa"/>
            <w:vAlign w:val="center"/>
          </w:tcPr>
          <w:p w14:paraId="1631CDDA">
            <w:pPr>
              <w:tabs>
                <w:tab w:val="left" w:pos="0"/>
              </w:tabs>
              <w:adjustRightInd w:val="0"/>
              <w:snapToGrid w:val="0"/>
              <w:jc w:val="center"/>
              <w:rPr>
                <w:rFonts w:hint="eastAsia" w:ascii="宋体" w:hAnsi="宋体" w:cs="宋体" w:eastAsiaTheme="minorEastAsia"/>
                <w:sz w:val="24"/>
                <w:szCs w:val="24"/>
                <w:highlight w:val="none"/>
                <w:lang w:eastAsia="zh-CN"/>
              </w:rPr>
            </w:pPr>
            <w:r>
              <w:rPr>
                <w:rFonts w:hint="eastAsia" w:ascii="宋体" w:hAnsi="宋体" w:cs="宋体"/>
                <w:sz w:val="24"/>
                <w:szCs w:val="24"/>
                <w:highlight w:val="none"/>
              </w:rPr>
              <w:t>提供合格有效的法人或者其他组织的营业执照等证明文件，自然人的身份证明</w:t>
            </w:r>
            <w:r>
              <w:rPr>
                <w:rFonts w:hint="eastAsia" w:ascii="宋体" w:hAnsi="宋体" w:cs="宋体"/>
                <w:sz w:val="24"/>
                <w:szCs w:val="24"/>
                <w:highlight w:val="none"/>
                <w:lang w:eastAsia="zh-CN"/>
              </w:rPr>
              <w:t>；</w:t>
            </w:r>
          </w:p>
        </w:tc>
      </w:tr>
      <w:tr w14:paraId="22934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trPr>
        <w:tc>
          <w:tcPr>
            <w:tcW w:w="821" w:type="dxa"/>
            <w:vMerge w:val="continue"/>
            <w:vAlign w:val="center"/>
          </w:tcPr>
          <w:p w14:paraId="7ABC34A6">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0852CE73">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789A30B9">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法定代表人授权书/法定</w:t>
            </w:r>
          </w:p>
          <w:p w14:paraId="77CB6B9D">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代表人身份证明</w:t>
            </w:r>
          </w:p>
        </w:tc>
        <w:tc>
          <w:tcPr>
            <w:tcW w:w="5236" w:type="dxa"/>
            <w:vAlign w:val="center"/>
          </w:tcPr>
          <w:p w14:paraId="48E00219">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提供法定代表人授权书（附法定代表人、被授权人身份证复印件，法定代表人直接参加投标，须提供法定代表人身份证明及身份证复印件）；</w:t>
            </w:r>
          </w:p>
        </w:tc>
      </w:tr>
      <w:tr w14:paraId="075BC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39" w:hRule="atLeast"/>
        </w:trPr>
        <w:tc>
          <w:tcPr>
            <w:tcW w:w="821" w:type="dxa"/>
            <w:vMerge w:val="continue"/>
            <w:vAlign w:val="center"/>
          </w:tcPr>
          <w:p w14:paraId="72B67DFD">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3DEB8452">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0652F230">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财务状况</w:t>
            </w:r>
          </w:p>
        </w:tc>
        <w:tc>
          <w:tcPr>
            <w:tcW w:w="5236" w:type="dxa"/>
            <w:vAlign w:val="center"/>
          </w:tcPr>
          <w:p w14:paraId="52706587">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提供2023年度的财务审计报告（成立时间至提交投标文件截止时间不足一年的可提供成立后任意时段的资产负债表）或开标时间前六个月内银行出具的资信证明；</w:t>
            </w:r>
          </w:p>
        </w:tc>
      </w:tr>
      <w:tr w14:paraId="52349A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27" w:hRule="atLeast"/>
        </w:trPr>
        <w:tc>
          <w:tcPr>
            <w:tcW w:w="821" w:type="dxa"/>
            <w:vMerge w:val="continue"/>
            <w:vAlign w:val="center"/>
          </w:tcPr>
          <w:p w14:paraId="7FA28DBD">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6806AE41">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1BDEF125">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税收缴纳证明</w:t>
            </w:r>
          </w:p>
        </w:tc>
        <w:tc>
          <w:tcPr>
            <w:tcW w:w="5236" w:type="dxa"/>
            <w:vAlign w:val="center"/>
          </w:tcPr>
          <w:p w14:paraId="5319B6F7">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提供投标截止日前近一年内任意一个月的纳税证明或完税证明（任意税种），依法免税的单位应提供相关证明材料；</w:t>
            </w:r>
          </w:p>
        </w:tc>
      </w:tr>
      <w:tr w14:paraId="2FAA3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trPr>
        <w:tc>
          <w:tcPr>
            <w:tcW w:w="821" w:type="dxa"/>
            <w:vMerge w:val="continue"/>
            <w:vAlign w:val="center"/>
          </w:tcPr>
          <w:p w14:paraId="6852FBDA">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31462A45">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6DCF1384">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社会保障资金缴纳证明</w:t>
            </w:r>
          </w:p>
        </w:tc>
        <w:tc>
          <w:tcPr>
            <w:tcW w:w="5236" w:type="dxa"/>
            <w:vAlign w:val="center"/>
          </w:tcPr>
          <w:p w14:paraId="1B0AEF8D">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社会保障资金缴纳证明：提供投标截止日前近一年内任意一个月的社会保障资金缴存单据或社保机构开具的社会保险参保缴费情况证明，依法不需要缴纳社会保障资金的单位应提供相关证明材料；</w:t>
            </w:r>
          </w:p>
        </w:tc>
      </w:tr>
      <w:tr w14:paraId="370AE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821" w:type="dxa"/>
            <w:vMerge w:val="continue"/>
            <w:vAlign w:val="center"/>
          </w:tcPr>
          <w:p w14:paraId="156782EA">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38CC5374">
            <w:pPr>
              <w:tabs>
                <w:tab w:val="left" w:pos="0"/>
              </w:tabs>
              <w:adjustRightInd w:val="0"/>
              <w:snapToGrid w:val="0"/>
              <w:jc w:val="center"/>
              <w:rPr>
                <w:rFonts w:ascii="宋体" w:hAnsi="宋体" w:cs="宋体"/>
                <w:b/>
                <w:sz w:val="24"/>
                <w:szCs w:val="24"/>
                <w:highlight w:val="none"/>
              </w:rPr>
            </w:pPr>
          </w:p>
        </w:tc>
        <w:tc>
          <w:tcPr>
            <w:tcW w:w="2764" w:type="dxa"/>
            <w:gridSpan w:val="2"/>
            <w:shd w:val="clear" w:color="auto" w:fill="auto"/>
            <w:vAlign w:val="center"/>
          </w:tcPr>
          <w:p w14:paraId="44A5DFFA">
            <w:pPr>
              <w:tabs>
                <w:tab w:val="left" w:pos="0"/>
              </w:tabs>
              <w:adjustRightInd w:val="0"/>
              <w:snapToGrid w:val="0"/>
              <w:jc w:val="center"/>
              <w:rPr>
                <w:rFonts w:hint="eastAsia" w:ascii="宋体" w:hAnsi="宋体" w:eastAsia="宋体" w:cs="宋体"/>
                <w:b/>
                <w:kern w:val="2"/>
                <w:sz w:val="24"/>
                <w:szCs w:val="24"/>
                <w:highlight w:val="none"/>
                <w:lang w:val="en-US" w:eastAsia="zh-CN" w:bidi="ar-SA"/>
              </w:rPr>
            </w:pPr>
            <w:r>
              <w:rPr>
                <w:rFonts w:hint="eastAsia" w:ascii="宋体" w:hAnsi="宋体" w:cs="宋体"/>
                <w:b/>
                <w:sz w:val="24"/>
                <w:szCs w:val="24"/>
                <w:highlight w:val="none"/>
              </w:rPr>
              <w:t>书面承诺书</w:t>
            </w:r>
          </w:p>
        </w:tc>
        <w:tc>
          <w:tcPr>
            <w:tcW w:w="5236" w:type="dxa"/>
            <w:shd w:val="clear" w:color="auto" w:fill="auto"/>
            <w:vAlign w:val="center"/>
          </w:tcPr>
          <w:p w14:paraId="27790D10">
            <w:pPr>
              <w:tabs>
                <w:tab w:val="left" w:pos="0"/>
              </w:tabs>
              <w:adjustRightInd w:val="0"/>
              <w:snapToGrid w:val="0"/>
              <w:jc w:val="center"/>
              <w:rPr>
                <w:rFonts w:hint="eastAsia" w:ascii="宋体" w:hAnsi="宋体" w:eastAsia="宋体" w:cs="宋体"/>
                <w:kern w:val="2"/>
                <w:sz w:val="24"/>
                <w:szCs w:val="24"/>
                <w:highlight w:val="none"/>
                <w:lang w:val="en-US" w:eastAsia="zh-CN" w:bidi="ar-SA"/>
              </w:rPr>
            </w:pPr>
            <w:r>
              <w:rPr>
                <w:rFonts w:hint="eastAsia" w:ascii="宋体" w:hAnsi="宋体" w:cs="宋体"/>
                <w:sz w:val="24"/>
                <w:szCs w:val="24"/>
                <w:highlight w:val="none"/>
              </w:rPr>
              <w:t>提供具有履行合同所必需的设备和专业技术能力的书面承诺；</w:t>
            </w:r>
          </w:p>
        </w:tc>
      </w:tr>
      <w:tr w14:paraId="512DA9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33" w:hRule="atLeast"/>
        </w:trPr>
        <w:tc>
          <w:tcPr>
            <w:tcW w:w="821" w:type="dxa"/>
            <w:vMerge w:val="continue"/>
            <w:vAlign w:val="center"/>
          </w:tcPr>
          <w:p w14:paraId="730215FC">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59C840E9">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6725B171">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信用记录</w:t>
            </w:r>
          </w:p>
        </w:tc>
        <w:tc>
          <w:tcPr>
            <w:tcW w:w="5236" w:type="dxa"/>
            <w:vAlign w:val="center"/>
          </w:tcPr>
          <w:p w14:paraId="5AB176B2">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供应商通过“信用中国”网站(www.creditchina.gov.cn)、中国政府采购网(www.ccgp.gov.cn)等查询相关主体信用记录；；</w:t>
            </w:r>
          </w:p>
        </w:tc>
      </w:tr>
      <w:tr w14:paraId="376FE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continue"/>
            <w:vAlign w:val="center"/>
          </w:tcPr>
          <w:p w14:paraId="4DC624A9">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19C94D15">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275991E5">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书面声明</w:t>
            </w:r>
          </w:p>
        </w:tc>
        <w:tc>
          <w:tcPr>
            <w:tcW w:w="5236" w:type="dxa"/>
            <w:vAlign w:val="center"/>
          </w:tcPr>
          <w:p w14:paraId="41596E67">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参加政府采购活动前3年内，在经营活动中没有重大违法记录的书面声明；</w:t>
            </w:r>
          </w:p>
        </w:tc>
      </w:tr>
      <w:tr w14:paraId="2AE203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continue"/>
            <w:vAlign w:val="center"/>
          </w:tcPr>
          <w:p w14:paraId="707DACE1">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53DE15E2">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6F71D938">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中小企业声明函</w:t>
            </w:r>
          </w:p>
        </w:tc>
        <w:tc>
          <w:tcPr>
            <w:tcW w:w="5236" w:type="dxa"/>
            <w:vAlign w:val="center"/>
          </w:tcPr>
          <w:p w14:paraId="3AD32AC4">
            <w:pPr>
              <w:tabs>
                <w:tab w:val="left" w:pos="0"/>
              </w:tabs>
              <w:adjustRightInd w:val="0"/>
              <w:snapToGrid w:val="0"/>
              <w:jc w:val="center"/>
              <w:rPr>
                <w:rFonts w:ascii="宋体" w:hAnsi="宋体" w:cs="宋体"/>
                <w:sz w:val="24"/>
                <w:szCs w:val="24"/>
                <w:highlight w:val="none"/>
              </w:rPr>
            </w:pPr>
            <w:r>
              <w:rPr>
                <w:rFonts w:hint="eastAsia" w:ascii="宋体" w:hAnsi="宋体" w:cs="宋体"/>
                <w:sz w:val="24"/>
                <w:szCs w:val="24"/>
                <w:highlight w:val="none"/>
              </w:rPr>
              <w:t>投标人须提供中小企业声明函；</w:t>
            </w:r>
          </w:p>
        </w:tc>
      </w:tr>
      <w:tr w14:paraId="029AAA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21" w:type="dxa"/>
            <w:vMerge w:val="continue"/>
            <w:vAlign w:val="center"/>
          </w:tcPr>
          <w:p w14:paraId="1BEC08B8">
            <w:pPr>
              <w:tabs>
                <w:tab w:val="left" w:pos="0"/>
              </w:tabs>
              <w:adjustRightInd w:val="0"/>
              <w:snapToGrid w:val="0"/>
              <w:jc w:val="center"/>
              <w:rPr>
                <w:rFonts w:ascii="宋体" w:hAnsi="宋体" w:cs="宋体"/>
                <w:b/>
                <w:sz w:val="24"/>
                <w:szCs w:val="24"/>
                <w:highlight w:val="none"/>
              </w:rPr>
            </w:pPr>
          </w:p>
        </w:tc>
        <w:tc>
          <w:tcPr>
            <w:tcW w:w="576" w:type="dxa"/>
            <w:vMerge w:val="continue"/>
            <w:vAlign w:val="center"/>
          </w:tcPr>
          <w:p w14:paraId="33BE5331">
            <w:pPr>
              <w:tabs>
                <w:tab w:val="left" w:pos="0"/>
              </w:tabs>
              <w:adjustRightInd w:val="0"/>
              <w:snapToGrid w:val="0"/>
              <w:jc w:val="center"/>
              <w:rPr>
                <w:rFonts w:ascii="宋体" w:hAnsi="宋体" w:cs="宋体"/>
                <w:b/>
                <w:sz w:val="24"/>
                <w:szCs w:val="24"/>
                <w:highlight w:val="none"/>
              </w:rPr>
            </w:pPr>
          </w:p>
        </w:tc>
        <w:tc>
          <w:tcPr>
            <w:tcW w:w="2764" w:type="dxa"/>
            <w:gridSpan w:val="2"/>
            <w:vAlign w:val="center"/>
          </w:tcPr>
          <w:p w14:paraId="6FF011B0">
            <w:pPr>
              <w:tabs>
                <w:tab w:val="left" w:pos="0"/>
              </w:tabs>
              <w:adjustRightInd w:val="0"/>
              <w:snapToGrid w:val="0"/>
              <w:jc w:val="center"/>
              <w:rPr>
                <w:rFonts w:ascii="宋体" w:hAnsi="宋体" w:cs="宋体"/>
                <w:b/>
                <w:sz w:val="24"/>
                <w:szCs w:val="24"/>
                <w:highlight w:val="none"/>
              </w:rPr>
            </w:pPr>
            <w:r>
              <w:rPr>
                <w:rFonts w:hint="eastAsia" w:ascii="宋体" w:hAnsi="宋体" w:cs="宋体"/>
                <w:b/>
                <w:sz w:val="24"/>
                <w:szCs w:val="24"/>
                <w:highlight w:val="none"/>
              </w:rPr>
              <w:t>非联合体</w:t>
            </w:r>
          </w:p>
        </w:tc>
        <w:tc>
          <w:tcPr>
            <w:tcW w:w="5236" w:type="dxa"/>
            <w:vAlign w:val="center"/>
          </w:tcPr>
          <w:p w14:paraId="4B5F4A53">
            <w:pPr>
              <w:tabs>
                <w:tab w:val="left" w:pos="0"/>
              </w:tabs>
              <w:adjustRightInd w:val="0"/>
              <w:snapToGrid w:val="0"/>
              <w:jc w:val="center"/>
              <w:rPr>
                <w:rFonts w:ascii="宋体" w:hAnsi="宋体" w:cs="宋体"/>
                <w:bCs/>
                <w:sz w:val="24"/>
                <w:szCs w:val="24"/>
                <w:highlight w:val="none"/>
              </w:rPr>
            </w:pPr>
            <w:r>
              <w:rPr>
                <w:rFonts w:hint="eastAsia" w:ascii="宋体" w:hAnsi="宋体" w:cs="宋体"/>
                <w:sz w:val="24"/>
                <w:szCs w:val="24"/>
                <w:highlight w:val="none"/>
              </w:rPr>
              <w:t>投标人须</w:t>
            </w:r>
            <w:r>
              <w:rPr>
                <w:rFonts w:hint="eastAsia" w:ascii="宋体" w:hAnsi="宋体" w:cs="宋体"/>
                <w:bCs/>
                <w:sz w:val="24"/>
                <w:szCs w:val="24"/>
                <w:highlight w:val="none"/>
              </w:rPr>
              <w:t>提供非联合体投标声明；</w:t>
            </w:r>
          </w:p>
        </w:tc>
      </w:tr>
      <w:tr w14:paraId="0B3E2E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81" w:hRule="atLeast"/>
        </w:trPr>
        <w:tc>
          <w:tcPr>
            <w:tcW w:w="9397" w:type="dxa"/>
            <w:gridSpan w:val="5"/>
            <w:vAlign w:val="center"/>
          </w:tcPr>
          <w:p w14:paraId="481CA799">
            <w:pPr>
              <w:tabs>
                <w:tab w:val="left" w:pos="0"/>
              </w:tabs>
              <w:adjustRightInd w:val="0"/>
              <w:snapToGrid w:val="0"/>
              <w:jc w:val="left"/>
              <w:rPr>
                <w:rFonts w:ascii="宋体" w:hAnsi="宋体" w:cs="宋体"/>
                <w:b/>
                <w:sz w:val="24"/>
                <w:szCs w:val="24"/>
                <w:highlight w:val="none"/>
              </w:rPr>
            </w:pPr>
            <w:r>
              <w:rPr>
                <w:rFonts w:hint="eastAsia" w:ascii="宋体" w:hAnsi="宋体" w:cs="宋体"/>
                <w:b/>
                <w:sz w:val="24"/>
                <w:szCs w:val="24"/>
                <w:highlight w:val="none"/>
              </w:rPr>
              <w:t>注：以上为必备资质，缺一项或某项达不到要求，按无效投标处理。资格审查时以投标文件中所附证明材料为准，原件备查。</w:t>
            </w:r>
          </w:p>
        </w:tc>
      </w:tr>
      <w:tr w14:paraId="53F5B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restart"/>
            <w:vAlign w:val="center"/>
          </w:tcPr>
          <w:p w14:paraId="72A96C4F">
            <w:pPr>
              <w:tabs>
                <w:tab w:val="left" w:pos="0"/>
              </w:tabs>
              <w:adjustRightInd w:val="0"/>
              <w:snapToGrid w:val="0"/>
              <w:spacing w:line="360" w:lineRule="auto"/>
              <w:jc w:val="center"/>
              <w:rPr>
                <w:rFonts w:ascii="宋体" w:hAnsi="宋体" w:cs="宋体"/>
                <w:sz w:val="24"/>
                <w:szCs w:val="24"/>
                <w:highlight w:val="none"/>
              </w:rPr>
            </w:pPr>
            <w:r>
              <w:rPr>
                <w:rFonts w:hint="eastAsia" w:ascii="宋体" w:hAnsi="宋体" w:cs="宋体"/>
                <w:sz w:val="24"/>
                <w:szCs w:val="24"/>
                <w:highlight w:val="none"/>
              </w:rPr>
              <w:t>2.1.2</w:t>
            </w:r>
          </w:p>
        </w:tc>
        <w:tc>
          <w:tcPr>
            <w:tcW w:w="576" w:type="dxa"/>
            <w:vMerge w:val="restart"/>
            <w:vAlign w:val="center"/>
          </w:tcPr>
          <w:p w14:paraId="23568887">
            <w:pPr>
              <w:tabs>
                <w:tab w:val="left" w:pos="0"/>
              </w:tabs>
              <w:adjustRightInd w:val="0"/>
              <w:snapToGrid w:val="0"/>
              <w:jc w:val="center"/>
              <w:rPr>
                <w:rFonts w:ascii="宋体" w:hAnsi="宋体" w:cs="宋体"/>
                <w:b/>
                <w:bCs/>
                <w:sz w:val="24"/>
                <w:szCs w:val="24"/>
                <w:highlight w:val="none"/>
              </w:rPr>
            </w:pPr>
            <w:r>
              <w:rPr>
                <w:rFonts w:hint="eastAsia" w:ascii="宋体" w:hAnsi="宋体" w:cs="宋体"/>
                <w:b/>
                <w:bCs/>
                <w:sz w:val="24"/>
                <w:szCs w:val="24"/>
                <w:highlight w:val="none"/>
              </w:rPr>
              <w:t>符合性评审标准</w:t>
            </w:r>
          </w:p>
        </w:tc>
        <w:tc>
          <w:tcPr>
            <w:tcW w:w="541" w:type="dxa"/>
            <w:vMerge w:val="restart"/>
            <w:vAlign w:val="center"/>
          </w:tcPr>
          <w:p w14:paraId="722C07AE">
            <w:pPr>
              <w:tabs>
                <w:tab w:val="left" w:pos="0"/>
              </w:tabs>
              <w:adjustRightInd w:val="0"/>
              <w:snapToGrid w:val="0"/>
              <w:jc w:val="center"/>
              <w:rPr>
                <w:rFonts w:ascii="宋体" w:hAnsi="宋体" w:cs="宋体"/>
                <w:b/>
                <w:bCs/>
                <w:sz w:val="24"/>
                <w:szCs w:val="24"/>
                <w:highlight w:val="none"/>
              </w:rPr>
            </w:pPr>
            <w:r>
              <w:rPr>
                <w:rFonts w:hint="eastAsia" w:ascii="宋体" w:hAnsi="宋体" w:cs="宋体"/>
                <w:b/>
                <w:bCs/>
                <w:sz w:val="24"/>
                <w:szCs w:val="24"/>
                <w:highlight w:val="none"/>
              </w:rPr>
              <w:t>有效性审查</w:t>
            </w:r>
          </w:p>
        </w:tc>
        <w:tc>
          <w:tcPr>
            <w:tcW w:w="2223" w:type="dxa"/>
            <w:vAlign w:val="center"/>
          </w:tcPr>
          <w:p w14:paraId="1677FD44">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投标文件的签署盖章</w:t>
            </w:r>
          </w:p>
        </w:tc>
        <w:tc>
          <w:tcPr>
            <w:tcW w:w="5236" w:type="dxa"/>
            <w:vAlign w:val="center"/>
          </w:tcPr>
          <w:p w14:paraId="122F3B1C">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投标文件上法定代表人或其授权代表人的签字齐全并加盖公章</w:t>
            </w:r>
          </w:p>
        </w:tc>
      </w:tr>
      <w:tr w14:paraId="511DC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21" w:type="dxa"/>
            <w:vMerge w:val="continue"/>
          </w:tcPr>
          <w:p w14:paraId="505A592E">
            <w:pPr>
              <w:tabs>
                <w:tab w:val="left" w:pos="0"/>
              </w:tabs>
              <w:adjustRightInd w:val="0"/>
              <w:snapToGrid w:val="0"/>
              <w:spacing w:line="360" w:lineRule="auto"/>
              <w:rPr>
                <w:rFonts w:ascii="宋体" w:hAnsi="宋体" w:cs="宋体"/>
                <w:sz w:val="24"/>
                <w:szCs w:val="24"/>
                <w:highlight w:val="none"/>
              </w:rPr>
            </w:pPr>
          </w:p>
        </w:tc>
        <w:tc>
          <w:tcPr>
            <w:tcW w:w="576" w:type="dxa"/>
            <w:vMerge w:val="continue"/>
          </w:tcPr>
          <w:p w14:paraId="3F767978">
            <w:pPr>
              <w:tabs>
                <w:tab w:val="left" w:pos="0"/>
              </w:tabs>
              <w:adjustRightInd w:val="0"/>
              <w:snapToGrid w:val="0"/>
              <w:spacing w:line="360" w:lineRule="auto"/>
              <w:rPr>
                <w:rFonts w:ascii="宋体" w:hAnsi="宋体" w:cs="宋体"/>
                <w:b/>
                <w:bCs/>
                <w:sz w:val="24"/>
                <w:szCs w:val="24"/>
                <w:highlight w:val="none"/>
              </w:rPr>
            </w:pPr>
          </w:p>
        </w:tc>
        <w:tc>
          <w:tcPr>
            <w:tcW w:w="541" w:type="dxa"/>
            <w:vMerge w:val="continue"/>
          </w:tcPr>
          <w:p w14:paraId="7CADBA69">
            <w:pPr>
              <w:tabs>
                <w:tab w:val="left" w:pos="0"/>
              </w:tabs>
              <w:adjustRightInd w:val="0"/>
              <w:snapToGrid w:val="0"/>
              <w:spacing w:line="360" w:lineRule="auto"/>
              <w:rPr>
                <w:rFonts w:ascii="宋体" w:hAnsi="宋体" w:cs="宋体"/>
                <w:b/>
                <w:bCs/>
                <w:sz w:val="24"/>
                <w:szCs w:val="24"/>
                <w:highlight w:val="none"/>
              </w:rPr>
            </w:pPr>
          </w:p>
        </w:tc>
        <w:tc>
          <w:tcPr>
            <w:tcW w:w="2223" w:type="dxa"/>
            <w:vAlign w:val="center"/>
          </w:tcPr>
          <w:p w14:paraId="46C5F344">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投标文件格式</w:t>
            </w:r>
          </w:p>
        </w:tc>
        <w:tc>
          <w:tcPr>
            <w:tcW w:w="5236" w:type="dxa"/>
            <w:vAlign w:val="center"/>
          </w:tcPr>
          <w:p w14:paraId="272A4EAA">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应符合“投标文件格式”要求</w:t>
            </w:r>
          </w:p>
        </w:tc>
      </w:tr>
      <w:tr w14:paraId="622D1F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continue"/>
          </w:tcPr>
          <w:p w14:paraId="6F0F2E54">
            <w:pPr>
              <w:tabs>
                <w:tab w:val="left" w:pos="0"/>
              </w:tabs>
              <w:adjustRightInd w:val="0"/>
              <w:snapToGrid w:val="0"/>
              <w:spacing w:line="360" w:lineRule="auto"/>
              <w:rPr>
                <w:rFonts w:ascii="宋体" w:hAnsi="宋体" w:cs="宋体"/>
                <w:sz w:val="24"/>
                <w:szCs w:val="24"/>
                <w:highlight w:val="none"/>
              </w:rPr>
            </w:pPr>
          </w:p>
        </w:tc>
        <w:tc>
          <w:tcPr>
            <w:tcW w:w="576" w:type="dxa"/>
            <w:vMerge w:val="continue"/>
          </w:tcPr>
          <w:p w14:paraId="4AF22276">
            <w:pPr>
              <w:tabs>
                <w:tab w:val="left" w:pos="0"/>
              </w:tabs>
              <w:adjustRightInd w:val="0"/>
              <w:snapToGrid w:val="0"/>
              <w:spacing w:line="360" w:lineRule="auto"/>
              <w:rPr>
                <w:rFonts w:ascii="宋体" w:hAnsi="宋体" w:cs="宋体"/>
                <w:b/>
                <w:bCs/>
                <w:sz w:val="24"/>
                <w:szCs w:val="24"/>
                <w:highlight w:val="none"/>
              </w:rPr>
            </w:pPr>
          </w:p>
        </w:tc>
        <w:tc>
          <w:tcPr>
            <w:tcW w:w="541" w:type="dxa"/>
            <w:vMerge w:val="continue"/>
          </w:tcPr>
          <w:p w14:paraId="05449745">
            <w:pPr>
              <w:tabs>
                <w:tab w:val="left" w:pos="0"/>
              </w:tabs>
              <w:adjustRightInd w:val="0"/>
              <w:snapToGrid w:val="0"/>
              <w:spacing w:line="360" w:lineRule="auto"/>
              <w:rPr>
                <w:rFonts w:ascii="宋体" w:hAnsi="宋体" w:cs="宋体"/>
                <w:b/>
                <w:bCs/>
                <w:sz w:val="24"/>
                <w:szCs w:val="24"/>
                <w:highlight w:val="none"/>
              </w:rPr>
            </w:pPr>
          </w:p>
        </w:tc>
        <w:tc>
          <w:tcPr>
            <w:tcW w:w="2223" w:type="dxa"/>
            <w:vAlign w:val="center"/>
          </w:tcPr>
          <w:p w14:paraId="47CF6655">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报价唯一</w:t>
            </w:r>
          </w:p>
        </w:tc>
        <w:tc>
          <w:tcPr>
            <w:tcW w:w="5236" w:type="dxa"/>
            <w:vAlign w:val="center"/>
          </w:tcPr>
          <w:p w14:paraId="321409A6">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只能有一个有效报价，不得提交选择性报价，且报价不超过采购预算金额或最高限价。</w:t>
            </w:r>
          </w:p>
        </w:tc>
      </w:tr>
      <w:tr w14:paraId="24633B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continue"/>
            <w:vAlign w:val="center"/>
          </w:tcPr>
          <w:p w14:paraId="039D694C">
            <w:pPr>
              <w:tabs>
                <w:tab w:val="left" w:pos="0"/>
              </w:tabs>
              <w:adjustRightInd w:val="0"/>
              <w:snapToGrid w:val="0"/>
              <w:spacing w:line="360" w:lineRule="auto"/>
              <w:jc w:val="center"/>
              <w:rPr>
                <w:rFonts w:ascii="宋体" w:hAnsi="宋体" w:cs="宋体"/>
                <w:sz w:val="24"/>
                <w:szCs w:val="24"/>
                <w:highlight w:val="none"/>
              </w:rPr>
            </w:pPr>
          </w:p>
        </w:tc>
        <w:tc>
          <w:tcPr>
            <w:tcW w:w="576" w:type="dxa"/>
            <w:vMerge w:val="continue"/>
            <w:vAlign w:val="center"/>
          </w:tcPr>
          <w:p w14:paraId="56E6918B">
            <w:pPr>
              <w:tabs>
                <w:tab w:val="left" w:pos="0"/>
              </w:tabs>
              <w:adjustRightInd w:val="0"/>
              <w:snapToGrid w:val="0"/>
              <w:jc w:val="center"/>
              <w:rPr>
                <w:rFonts w:ascii="宋体" w:hAnsi="宋体" w:cs="宋体"/>
                <w:b/>
                <w:bCs/>
                <w:sz w:val="24"/>
                <w:szCs w:val="24"/>
                <w:highlight w:val="none"/>
              </w:rPr>
            </w:pPr>
          </w:p>
        </w:tc>
        <w:tc>
          <w:tcPr>
            <w:tcW w:w="541" w:type="dxa"/>
            <w:vMerge w:val="restart"/>
            <w:vAlign w:val="center"/>
          </w:tcPr>
          <w:p w14:paraId="36AE2311">
            <w:pPr>
              <w:tabs>
                <w:tab w:val="left" w:pos="0"/>
              </w:tabs>
              <w:adjustRightInd w:val="0"/>
              <w:snapToGrid w:val="0"/>
              <w:jc w:val="center"/>
              <w:rPr>
                <w:rFonts w:ascii="宋体" w:hAnsi="宋体" w:cs="宋体"/>
                <w:b/>
                <w:bCs/>
                <w:sz w:val="24"/>
                <w:szCs w:val="24"/>
                <w:highlight w:val="none"/>
              </w:rPr>
            </w:pPr>
            <w:r>
              <w:rPr>
                <w:rFonts w:hint="eastAsia" w:ascii="宋体" w:hAnsi="宋体" w:cs="宋体"/>
                <w:b/>
                <w:bCs/>
                <w:sz w:val="24"/>
                <w:szCs w:val="24"/>
                <w:highlight w:val="none"/>
              </w:rPr>
              <w:t>完整性审查</w:t>
            </w:r>
          </w:p>
        </w:tc>
        <w:tc>
          <w:tcPr>
            <w:tcW w:w="2223" w:type="dxa"/>
            <w:vAlign w:val="center"/>
          </w:tcPr>
          <w:p w14:paraId="4B5B6BCF">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投标文件份数</w:t>
            </w:r>
          </w:p>
        </w:tc>
        <w:tc>
          <w:tcPr>
            <w:tcW w:w="5236" w:type="dxa"/>
            <w:vAlign w:val="center"/>
          </w:tcPr>
          <w:p w14:paraId="320F8D3A">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应符合“投标人须知前附表”规定的正本、副本、电子文件数量</w:t>
            </w:r>
          </w:p>
        </w:tc>
      </w:tr>
      <w:tr w14:paraId="4C0FBB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trPr>
        <w:tc>
          <w:tcPr>
            <w:tcW w:w="821" w:type="dxa"/>
            <w:vMerge w:val="continue"/>
          </w:tcPr>
          <w:p w14:paraId="79FB6D53">
            <w:pPr>
              <w:tabs>
                <w:tab w:val="left" w:pos="0"/>
              </w:tabs>
              <w:adjustRightInd w:val="0"/>
              <w:snapToGrid w:val="0"/>
              <w:spacing w:line="360" w:lineRule="auto"/>
              <w:rPr>
                <w:rFonts w:ascii="宋体" w:hAnsi="宋体" w:cs="宋体"/>
                <w:sz w:val="24"/>
                <w:szCs w:val="24"/>
                <w:highlight w:val="none"/>
              </w:rPr>
            </w:pPr>
          </w:p>
        </w:tc>
        <w:tc>
          <w:tcPr>
            <w:tcW w:w="576" w:type="dxa"/>
            <w:vMerge w:val="continue"/>
          </w:tcPr>
          <w:p w14:paraId="501321D6">
            <w:pPr>
              <w:tabs>
                <w:tab w:val="left" w:pos="0"/>
              </w:tabs>
              <w:adjustRightInd w:val="0"/>
              <w:snapToGrid w:val="0"/>
              <w:spacing w:line="360" w:lineRule="auto"/>
              <w:rPr>
                <w:rFonts w:ascii="宋体" w:hAnsi="宋体" w:cs="宋体"/>
                <w:b/>
                <w:bCs/>
                <w:sz w:val="24"/>
                <w:szCs w:val="24"/>
                <w:highlight w:val="none"/>
              </w:rPr>
            </w:pPr>
          </w:p>
        </w:tc>
        <w:tc>
          <w:tcPr>
            <w:tcW w:w="541" w:type="dxa"/>
            <w:vMerge w:val="continue"/>
          </w:tcPr>
          <w:p w14:paraId="00494E7A">
            <w:pPr>
              <w:tabs>
                <w:tab w:val="left" w:pos="0"/>
              </w:tabs>
              <w:adjustRightInd w:val="0"/>
              <w:snapToGrid w:val="0"/>
              <w:spacing w:line="360" w:lineRule="auto"/>
              <w:rPr>
                <w:rFonts w:ascii="宋体" w:hAnsi="宋体" w:cs="宋体"/>
                <w:b/>
                <w:bCs/>
                <w:sz w:val="24"/>
                <w:szCs w:val="24"/>
                <w:highlight w:val="none"/>
              </w:rPr>
            </w:pPr>
          </w:p>
        </w:tc>
        <w:tc>
          <w:tcPr>
            <w:tcW w:w="2223" w:type="dxa"/>
            <w:vAlign w:val="center"/>
          </w:tcPr>
          <w:p w14:paraId="1E8C0D07">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投标文件内容</w:t>
            </w:r>
          </w:p>
        </w:tc>
        <w:tc>
          <w:tcPr>
            <w:tcW w:w="5236" w:type="dxa"/>
            <w:vAlign w:val="center"/>
          </w:tcPr>
          <w:p w14:paraId="1290DA76">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投标文件内容齐全、无遗漏</w:t>
            </w:r>
          </w:p>
        </w:tc>
      </w:tr>
      <w:tr w14:paraId="4F1FEB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1" w:hRule="atLeast"/>
        </w:trPr>
        <w:tc>
          <w:tcPr>
            <w:tcW w:w="821" w:type="dxa"/>
            <w:vMerge w:val="continue"/>
            <w:vAlign w:val="center"/>
          </w:tcPr>
          <w:p w14:paraId="36454A98">
            <w:pPr>
              <w:tabs>
                <w:tab w:val="left" w:pos="0"/>
              </w:tabs>
              <w:adjustRightInd w:val="0"/>
              <w:snapToGrid w:val="0"/>
              <w:spacing w:line="360" w:lineRule="auto"/>
              <w:jc w:val="center"/>
              <w:rPr>
                <w:rFonts w:ascii="宋体" w:hAnsi="宋体" w:cs="宋体"/>
                <w:sz w:val="24"/>
                <w:szCs w:val="24"/>
                <w:highlight w:val="none"/>
              </w:rPr>
            </w:pPr>
          </w:p>
        </w:tc>
        <w:tc>
          <w:tcPr>
            <w:tcW w:w="576" w:type="dxa"/>
            <w:vMerge w:val="continue"/>
            <w:vAlign w:val="center"/>
          </w:tcPr>
          <w:p w14:paraId="2DFE904B">
            <w:pPr>
              <w:tabs>
                <w:tab w:val="left" w:pos="0"/>
              </w:tabs>
              <w:adjustRightInd w:val="0"/>
              <w:snapToGrid w:val="0"/>
              <w:jc w:val="center"/>
              <w:rPr>
                <w:rFonts w:ascii="宋体" w:hAnsi="宋体" w:cs="宋体"/>
                <w:b/>
                <w:bCs/>
                <w:sz w:val="24"/>
                <w:szCs w:val="24"/>
                <w:highlight w:val="none"/>
              </w:rPr>
            </w:pPr>
          </w:p>
        </w:tc>
        <w:tc>
          <w:tcPr>
            <w:tcW w:w="541" w:type="dxa"/>
            <w:vMerge w:val="restart"/>
            <w:vAlign w:val="center"/>
          </w:tcPr>
          <w:p w14:paraId="31D507C7">
            <w:pPr>
              <w:tabs>
                <w:tab w:val="left" w:pos="0"/>
              </w:tabs>
              <w:adjustRightInd w:val="0"/>
              <w:snapToGrid w:val="0"/>
              <w:jc w:val="center"/>
              <w:rPr>
                <w:rFonts w:ascii="宋体" w:hAnsi="宋体" w:cs="宋体"/>
                <w:b/>
                <w:bCs/>
                <w:sz w:val="24"/>
                <w:szCs w:val="24"/>
                <w:highlight w:val="none"/>
              </w:rPr>
            </w:pPr>
            <w:r>
              <w:rPr>
                <w:rFonts w:hint="eastAsia" w:ascii="宋体" w:hAnsi="宋体" w:cs="宋体"/>
                <w:b/>
                <w:bCs/>
                <w:sz w:val="24"/>
                <w:szCs w:val="24"/>
                <w:highlight w:val="none"/>
              </w:rPr>
              <w:t>响应性审查</w:t>
            </w:r>
          </w:p>
        </w:tc>
        <w:tc>
          <w:tcPr>
            <w:tcW w:w="2223" w:type="dxa"/>
            <w:vAlign w:val="center"/>
          </w:tcPr>
          <w:p w14:paraId="2C5A36E2">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对招标文件响应程度</w:t>
            </w:r>
          </w:p>
        </w:tc>
        <w:tc>
          <w:tcPr>
            <w:tcW w:w="5236" w:type="dxa"/>
            <w:vAlign w:val="center"/>
          </w:tcPr>
          <w:p w14:paraId="04CDAA28">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要求全面响应，不能有任何采购人不能接受的附加条件</w:t>
            </w:r>
          </w:p>
        </w:tc>
      </w:tr>
      <w:tr w14:paraId="5F2C4B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21" w:type="dxa"/>
            <w:vMerge w:val="continue"/>
          </w:tcPr>
          <w:p w14:paraId="4648B1FF">
            <w:pPr>
              <w:tabs>
                <w:tab w:val="left" w:pos="0"/>
              </w:tabs>
              <w:adjustRightInd w:val="0"/>
              <w:snapToGrid w:val="0"/>
              <w:spacing w:line="360" w:lineRule="auto"/>
              <w:rPr>
                <w:rFonts w:ascii="宋体" w:hAnsi="宋体" w:cs="宋体"/>
                <w:sz w:val="24"/>
                <w:szCs w:val="24"/>
                <w:highlight w:val="none"/>
              </w:rPr>
            </w:pPr>
          </w:p>
        </w:tc>
        <w:tc>
          <w:tcPr>
            <w:tcW w:w="576" w:type="dxa"/>
            <w:vMerge w:val="continue"/>
          </w:tcPr>
          <w:p w14:paraId="44C24782">
            <w:pPr>
              <w:tabs>
                <w:tab w:val="left" w:pos="0"/>
              </w:tabs>
              <w:adjustRightInd w:val="0"/>
              <w:snapToGrid w:val="0"/>
              <w:spacing w:line="360" w:lineRule="auto"/>
              <w:rPr>
                <w:rFonts w:ascii="宋体" w:hAnsi="宋体" w:cs="宋体"/>
                <w:b/>
                <w:bCs/>
                <w:sz w:val="24"/>
                <w:szCs w:val="24"/>
                <w:highlight w:val="none"/>
              </w:rPr>
            </w:pPr>
          </w:p>
        </w:tc>
        <w:tc>
          <w:tcPr>
            <w:tcW w:w="541" w:type="dxa"/>
            <w:vMerge w:val="continue"/>
          </w:tcPr>
          <w:p w14:paraId="4C261FFE">
            <w:pPr>
              <w:tabs>
                <w:tab w:val="left" w:pos="0"/>
              </w:tabs>
              <w:adjustRightInd w:val="0"/>
              <w:snapToGrid w:val="0"/>
              <w:spacing w:line="360" w:lineRule="auto"/>
              <w:rPr>
                <w:rFonts w:ascii="宋体" w:hAnsi="宋体" w:cs="宋体"/>
                <w:b/>
                <w:bCs/>
                <w:sz w:val="24"/>
                <w:szCs w:val="24"/>
                <w:highlight w:val="none"/>
              </w:rPr>
            </w:pPr>
          </w:p>
        </w:tc>
        <w:tc>
          <w:tcPr>
            <w:tcW w:w="2223" w:type="dxa"/>
            <w:vAlign w:val="center"/>
          </w:tcPr>
          <w:p w14:paraId="40CD1212">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工期</w:t>
            </w:r>
          </w:p>
        </w:tc>
        <w:tc>
          <w:tcPr>
            <w:tcW w:w="5236" w:type="dxa"/>
            <w:vAlign w:val="center"/>
          </w:tcPr>
          <w:p w14:paraId="1BB00B2C">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应满足招标文件中要求的工期</w:t>
            </w:r>
          </w:p>
        </w:tc>
      </w:tr>
      <w:tr w14:paraId="0B2BB7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821" w:type="dxa"/>
            <w:vMerge w:val="continue"/>
          </w:tcPr>
          <w:p w14:paraId="5D709535">
            <w:pPr>
              <w:tabs>
                <w:tab w:val="left" w:pos="0"/>
              </w:tabs>
              <w:adjustRightInd w:val="0"/>
              <w:snapToGrid w:val="0"/>
              <w:spacing w:line="360" w:lineRule="auto"/>
              <w:rPr>
                <w:rFonts w:ascii="宋体" w:hAnsi="宋体" w:cs="宋体"/>
                <w:sz w:val="24"/>
                <w:szCs w:val="24"/>
                <w:highlight w:val="none"/>
              </w:rPr>
            </w:pPr>
          </w:p>
        </w:tc>
        <w:tc>
          <w:tcPr>
            <w:tcW w:w="576" w:type="dxa"/>
            <w:vMerge w:val="continue"/>
          </w:tcPr>
          <w:p w14:paraId="03A2E035">
            <w:pPr>
              <w:tabs>
                <w:tab w:val="left" w:pos="0"/>
              </w:tabs>
              <w:adjustRightInd w:val="0"/>
              <w:snapToGrid w:val="0"/>
              <w:spacing w:line="360" w:lineRule="auto"/>
              <w:rPr>
                <w:rFonts w:ascii="宋体" w:hAnsi="宋体" w:cs="宋体"/>
                <w:b/>
                <w:bCs/>
                <w:sz w:val="24"/>
                <w:szCs w:val="24"/>
                <w:highlight w:val="none"/>
              </w:rPr>
            </w:pPr>
          </w:p>
        </w:tc>
        <w:tc>
          <w:tcPr>
            <w:tcW w:w="541" w:type="dxa"/>
            <w:vMerge w:val="continue"/>
          </w:tcPr>
          <w:p w14:paraId="3F7675CF">
            <w:pPr>
              <w:tabs>
                <w:tab w:val="left" w:pos="0"/>
              </w:tabs>
              <w:adjustRightInd w:val="0"/>
              <w:snapToGrid w:val="0"/>
              <w:spacing w:line="360" w:lineRule="auto"/>
              <w:rPr>
                <w:rFonts w:ascii="宋体" w:hAnsi="宋体" w:cs="宋体"/>
                <w:b/>
                <w:bCs/>
                <w:sz w:val="24"/>
                <w:szCs w:val="24"/>
                <w:highlight w:val="none"/>
              </w:rPr>
            </w:pPr>
          </w:p>
        </w:tc>
        <w:tc>
          <w:tcPr>
            <w:tcW w:w="2223" w:type="dxa"/>
            <w:vAlign w:val="center"/>
          </w:tcPr>
          <w:p w14:paraId="04F83543">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施工地点</w:t>
            </w:r>
          </w:p>
        </w:tc>
        <w:tc>
          <w:tcPr>
            <w:tcW w:w="5236" w:type="dxa"/>
            <w:vAlign w:val="center"/>
          </w:tcPr>
          <w:p w14:paraId="30F7A6C9">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应满足招标文件中要求的施工地点</w:t>
            </w:r>
          </w:p>
        </w:tc>
      </w:tr>
      <w:tr w14:paraId="5BBAC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821" w:type="dxa"/>
            <w:vMerge w:val="continue"/>
          </w:tcPr>
          <w:p w14:paraId="0C89892C">
            <w:pPr>
              <w:tabs>
                <w:tab w:val="left" w:pos="0"/>
              </w:tabs>
              <w:adjustRightInd w:val="0"/>
              <w:snapToGrid w:val="0"/>
              <w:spacing w:line="360" w:lineRule="auto"/>
              <w:rPr>
                <w:rFonts w:ascii="宋体" w:hAnsi="宋体" w:cs="宋体"/>
                <w:sz w:val="24"/>
                <w:szCs w:val="24"/>
                <w:highlight w:val="none"/>
              </w:rPr>
            </w:pPr>
          </w:p>
        </w:tc>
        <w:tc>
          <w:tcPr>
            <w:tcW w:w="576" w:type="dxa"/>
            <w:vMerge w:val="continue"/>
          </w:tcPr>
          <w:p w14:paraId="31404248">
            <w:pPr>
              <w:tabs>
                <w:tab w:val="left" w:pos="0"/>
              </w:tabs>
              <w:adjustRightInd w:val="0"/>
              <w:snapToGrid w:val="0"/>
              <w:spacing w:line="360" w:lineRule="auto"/>
              <w:rPr>
                <w:rFonts w:ascii="宋体" w:hAnsi="宋体" w:cs="宋体"/>
                <w:b/>
                <w:bCs/>
                <w:sz w:val="24"/>
                <w:szCs w:val="24"/>
                <w:highlight w:val="none"/>
              </w:rPr>
            </w:pPr>
          </w:p>
        </w:tc>
        <w:tc>
          <w:tcPr>
            <w:tcW w:w="541" w:type="dxa"/>
            <w:vMerge w:val="continue"/>
          </w:tcPr>
          <w:p w14:paraId="6FC8623A">
            <w:pPr>
              <w:tabs>
                <w:tab w:val="left" w:pos="0"/>
              </w:tabs>
              <w:adjustRightInd w:val="0"/>
              <w:snapToGrid w:val="0"/>
              <w:spacing w:line="360" w:lineRule="auto"/>
              <w:rPr>
                <w:rFonts w:ascii="宋体" w:hAnsi="宋体" w:cs="宋体"/>
                <w:b/>
                <w:bCs/>
                <w:sz w:val="24"/>
                <w:szCs w:val="24"/>
                <w:highlight w:val="none"/>
              </w:rPr>
            </w:pPr>
          </w:p>
        </w:tc>
        <w:tc>
          <w:tcPr>
            <w:tcW w:w="2223" w:type="dxa"/>
            <w:vAlign w:val="center"/>
          </w:tcPr>
          <w:p w14:paraId="7951C275">
            <w:pPr>
              <w:tabs>
                <w:tab w:val="left" w:pos="0"/>
              </w:tabs>
              <w:adjustRightInd w:val="0"/>
              <w:snapToGrid w:val="0"/>
              <w:rPr>
                <w:rFonts w:ascii="宋体" w:hAnsi="宋体" w:cs="宋体"/>
                <w:b/>
                <w:bCs/>
                <w:sz w:val="24"/>
                <w:szCs w:val="24"/>
                <w:highlight w:val="none"/>
              </w:rPr>
            </w:pPr>
            <w:r>
              <w:rPr>
                <w:rFonts w:hint="eastAsia" w:ascii="宋体" w:hAnsi="宋体" w:cs="宋体"/>
                <w:b/>
                <w:bCs/>
                <w:sz w:val="24"/>
                <w:szCs w:val="24"/>
                <w:highlight w:val="none"/>
              </w:rPr>
              <w:t>投标有效期</w:t>
            </w:r>
          </w:p>
        </w:tc>
        <w:tc>
          <w:tcPr>
            <w:tcW w:w="5236" w:type="dxa"/>
            <w:vAlign w:val="center"/>
          </w:tcPr>
          <w:p w14:paraId="0B7DF4C2">
            <w:pPr>
              <w:tabs>
                <w:tab w:val="left" w:pos="0"/>
              </w:tabs>
              <w:adjustRightInd w:val="0"/>
              <w:snapToGrid w:val="0"/>
              <w:rPr>
                <w:rFonts w:ascii="宋体" w:hAnsi="宋体" w:cs="宋体"/>
                <w:sz w:val="24"/>
                <w:szCs w:val="24"/>
                <w:highlight w:val="none"/>
              </w:rPr>
            </w:pPr>
            <w:r>
              <w:rPr>
                <w:rFonts w:hint="eastAsia" w:ascii="宋体" w:hAnsi="宋体" w:cs="宋体"/>
                <w:sz w:val="24"/>
                <w:szCs w:val="24"/>
                <w:highlight w:val="none"/>
              </w:rPr>
              <w:t>应满足招标文件中的规定</w:t>
            </w:r>
          </w:p>
        </w:tc>
      </w:tr>
    </w:tbl>
    <w:p w14:paraId="35A3E5DA">
      <w:pPr>
        <w:spacing w:line="600" w:lineRule="exact"/>
        <w:jc w:val="left"/>
        <w:rPr>
          <w:rFonts w:asciiTheme="minorEastAsia" w:hAnsiTheme="minorEastAsia" w:eastAsiaTheme="minorEastAsia" w:cstheme="minorEastAsia"/>
          <w:b/>
          <w:sz w:val="28"/>
          <w:szCs w:val="28"/>
          <w:highlight w:val="none"/>
        </w:rPr>
      </w:pPr>
      <w:r>
        <w:rPr>
          <w:rFonts w:hint="eastAsia" w:asciiTheme="minorEastAsia" w:hAnsiTheme="minorEastAsia" w:eastAsiaTheme="minorEastAsia" w:cstheme="minorEastAsia"/>
          <w:b/>
          <w:sz w:val="28"/>
          <w:szCs w:val="28"/>
          <w:highlight w:val="none"/>
        </w:rPr>
        <w:t>附件2分值构成与评分标准</w:t>
      </w:r>
    </w:p>
    <w:p w14:paraId="5CBFB668">
      <w:pPr>
        <w:pStyle w:val="26"/>
        <w:rPr>
          <w:highlight w:val="none"/>
        </w:rPr>
      </w:pPr>
    </w:p>
    <w:tbl>
      <w:tblPr>
        <w:tblStyle w:val="27"/>
        <w:tblW w:w="93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6"/>
        <w:gridCol w:w="1276"/>
        <w:gridCol w:w="1435"/>
        <w:gridCol w:w="5824"/>
      </w:tblGrid>
      <w:tr w14:paraId="0D0D3D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836" w:type="dxa"/>
            <w:vAlign w:val="center"/>
          </w:tcPr>
          <w:p w14:paraId="7ABEA701">
            <w:pPr>
              <w:spacing w:line="480" w:lineRule="exact"/>
              <w:jc w:val="center"/>
              <w:rPr>
                <w:rFonts w:ascii="宋体" w:hAnsi="宋体" w:cs="宋体"/>
                <w:b/>
                <w:sz w:val="24"/>
                <w:szCs w:val="24"/>
                <w:highlight w:val="none"/>
              </w:rPr>
            </w:pPr>
            <w:r>
              <w:rPr>
                <w:rFonts w:hint="eastAsia" w:ascii="宋体" w:hAnsi="宋体" w:cs="宋体"/>
                <w:b/>
                <w:sz w:val="24"/>
                <w:szCs w:val="24"/>
                <w:highlight w:val="none"/>
              </w:rPr>
              <w:t>评分因素</w:t>
            </w:r>
          </w:p>
        </w:tc>
        <w:tc>
          <w:tcPr>
            <w:tcW w:w="1276" w:type="dxa"/>
            <w:vAlign w:val="center"/>
          </w:tcPr>
          <w:p w14:paraId="5B1FF6D2">
            <w:pPr>
              <w:spacing w:line="480" w:lineRule="exact"/>
              <w:jc w:val="center"/>
              <w:rPr>
                <w:rFonts w:ascii="宋体" w:hAnsi="宋体" w:cs="宋体"/>
                <w:b/>
                <w:sz w:val="24"/>
                <w:szCs w:val="24"/>
                <w:highlight w:val="none"/>
              </w:rPr>
            </w:pPr>
            <w:r>
              <w:rPr>
                <w:rFonts w:hint="eastAsia" w:ascii="宋体" w:hAnsi="宋体" w:cs="宋体"/>
                <w:b/>
                <w:sz w:val="24"/>
                <w:szCs w:val="24"/>
                <w:highlight w:val="none"/>
              </w:rPr>
              <w:t>总分</w:t>
            </w:r>
          </w:p>
          <w:p w14:paraId="64AE059D">
            <w:pPr>
              <w:spacing w:line="480" w:lineRule="exact"/>
              <w:jc w:val="center"/>
              <w:rPr>
                <w:rFonts w:ascii="宋体" w:hAnsi="宋体" w:cs="宋体"/>
                <w:b/>
                <w:sz w:val="24"/>
                <w:szCs w:val="24"/>
                <w:highlight w:val="none"/>
              </w:rPr>
            </w:pPr>
            <w:r>
              <w:rPr>
                <w:rFonts w:hint="eastAsia" w:ascii="宋体" w:hAnsi="宋体" w:cs="宋体"/>
                <w:b/>
                <w:sz w:val="24"/>
                <w:szCs w:val="24"/>
                <w:highlight w:val="none"/>
              </w:rPr>
              <w:t>（100分）</w:t>
            </w:r>
          </w:p>
        </w:tc>
        <w:tc>
          <w:tcPr>
            <w:tcW w:w="1435" w:type="dxa"/>
            <w:vAlign w:val="center"/>
          </w:tcPr>
          <w:p w14:paraId="3120F989">
            <w:pPr>
              <w:spacing w:line="480" w:lineRule="exact"/>
              <w:jc w:val="center"/>
              <w:rPr>
                <w:rFonts w:ascii="宋体" w:hAnsi="宋体" w:cs="宋体"/>
                <w:b/>
                <w:sz w:val="24"/>
                <w:szCs w:val="24"/>
                <w:highlight w:val="none"/>
              </w:rPr>
            </w:pPr>
            <w:r>
              <w:rPr>
                <w:rFonts w:hint="eastAsia" w:ascii="宋体" w:hAnsi="宋体" w:cs="宋体"/>
                <w:b/>
                <w:sz w:val="24"/>
                <w:szCs w:val="24"/>
                <w:highlight w:val="none"/>
              </w:rPr>
              <w:t>评审要素</w:t>
            </w:r>
          </w:p>
        </w:tc>
        <w:tc>
          <w:tcPr>
            <w:tcW w:w="5824" w:type="dxa"/>
            <w:vAlign w:val="center"/>
          </w:tcPr>
          <w:p w14:paraId="11AB5ECE">
            <w:pPr>
              <w:spacing w:line="480" w:lineRule="exact"/>
              <w:jc w:val="center"/>
              <w:rPr>
                <w:rFonts w:ascii="宋体" w:hAnsi="宋体" w:cs="宋体"/>
                <w:b/>
                <w:sz w:val="24"/>
                <w:szCs w:val="24"/>
                <w:highlight w:val="none"/>
              </w:rPr>
            </w:pPr>
            <w:r>
              <w:rPr>
                <w:rFonts w:hint="eastAsia" w:ascii="宋体" w:hAnsi="宋体" w:cs="宋体"/>
                <w:b/>
                <w:sz w:val="24"/>
                <w:szCs w:val="24"/>
                <w:highlight w:val="none"/>
              </w:rPr>
              <w:t>评分标准</w:t>
            </w:r>
          </w:p>
        </w:tc>
      </w:tr>
      <w:tr w14:paraId="557D50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Merge w:val="restart"/>
            <w:vAlign w:val="center"/>
          </w:tcPr>
          <w:p w14:paraId="2E0636F9">
            <w:pPr>
              <w:spacing w:line="480" w:lineRule="exact"/>
              <w:jc w:val="center"/>
              <w:rPr>
                <w:rFonts w:ascii="宋体" w:hAnsi="宋体" w:cs="宋体"/>
                <w:sz w:val="24"/>
                <w:szCs w:val="24"/>
                <w:highlight w:val="none"/>
              </w:rPr>
            </w:pPr>
            <w:r>
              <w:rPr>
                <w:rFonts w:hint="eastAsia" w:ascii="宋体" w:hAnsi="宋体" w:cs="宋体"/>
                <w:sz w:val="24"/>
                <w:szCs w:val="24"/>
                <w:highlight w:val="none"/>
              </w:rPr>
              <w:t>技术评分部分</w:t>
            </w:r>
          </w:p>
        </w:tc>
        <w:tc>
          <w:tcPr>
            <w:tcW w:w="1276" w:type="dxa"/>
            <w:vMerge w:val="restart"/>
            <w:vAlign w:val="center"/>
          </w:tcPr>
          <w:p w14:paraId="6BD12E19">
            <w:pPr>
              <w:spacing w:line="480" w:lineRule="exact"/>
              <w:jc w:val="center"/>
              <w:rPr>
                <w:rFonts w:ascii="宋体" w:hAnsi="宋体" w:cs="宋体"/>
                <w:sz w:val="24"/>
                <w:szCs w:val="24"/>
                <w:highlight w:val="none"/>
              </w:rPr>
            </w:pPr>
            <w:r>
              <w:rPr>
                <w:rFonts w:hint="eastAsia" w:ascii="宋体" w:hAnsi="宋体" w:cs="宋体"/>
                <w:sz w:val="24"/>
                <w:szCs w:val="24"/>
                <w:highlight w:val="none"/>
              </w:rPr>
              <w:t>（70分）</w:t>
            </w:r>
          </w:p>
        </w:tc>
        <w:tc>
          <w:tcPr>
            <w:tcW w:w="1435" w:type="dxa"/>
            <w:vAlign w:val="center"/>
          </w:tcPr>
          <w:p w14:paraId="6077EAD9">
            <w:pPr>
              <w:spacing w:line="480" w:lineRule="exact"/>
              <w:jc w:val="center"/>
              <w:rPr>
                <w:rFonts w:ascii="宋体" w:hAnsi="宋体" w:cs="宋体"/>
                <w:sz w:val="24"/>
                <w:szCs w:val="24"/>
                <w:highlight w:val="none"/>
              </w:rPr>
            </w:pPr>
            <w:r>
              <w:rPr>
                <w:rFonts w:hint="eastAsia" w:ascii="宋体" w:hAnsi="宋体" w:cs="宋体"/>
                <w:sz w:val="24"/>
                <w:szCs w:val="24"/>
                <w:highlight w:val="none"/>
              </w:rPr>
              <w:t>①项目管理部门及人员配备（5分）</w:t>
            </w:r>
          </w:p>
        </w:tc>
        <w:tc>
          <w:tcPr>
            <w:tcW w:w="5824" w:type="dxa"/>
            <w:vAlign w:val="center"/>
          </w:tcPr>
          <w:p w14:paraId="770AE6B3">
            <w:pPr>
              <w:spacing w:line="480" w:lineRule="exact"/>
              <w:rPr>
                <w:rFonts w:ascii="宋体" w:hAnsi="宋体" w:cs="宋体"/>
                <w:sz w:val="24"/>
                <w:szCs w:val="24"/>
                <w:highlight w:val="none"/>
              </w:rPr>
            </w:pPr>
            <w:r>
              <w:rPr>
                <w:rFonts w:hint="eastAsia" w:ascii="宋体" w:hAnsi="宋体" w:cs="宋体"/>
                <w:sz w:val="24"/>
                <w:szCs w:val="24"/>
                <w:highlight w:val="none"/>
              </w:rPr>
              <w:t>依据本项目成立项目管理部，项目部门技术人员配备合理，岗位职责清晰明确，满足本项目需求得</w:t>
            </w:r>
            <w:r>
              <w:rPr>
                <w:rFonts w:hint="eastAsia" w:ascii="宋体" w:hAnsi="宋体" w:cs="宋体"/>
                <w:sz w:val="24"/>
                <w:szCs w:val="24"/>
                <w:highlight w:val="none"/>
                <w:lang w:val="en-US" w:eastAsia="zh-CN"/>
              </w:rPr>
              <w:t>3-5</w:t>
            </w:r>
            <w:r>
              <w:rPr>
                <w:rFonts w:hint="eastAsia" w:ascii="宋体" w:hAnsi="宋体" w:cs="宋体"/>
                <w:sz w:val="24"/>
                <w:szCs w:val="24"/>
                <w:highlight w:val="none"/>
              </w:rPr>
              <w:t>（含3）分；项目部门技术人员配备较合理，岗位职责较为清晰明确，基本满足本项目需求得1-2（含2）分；项目部门技术人员配备不合理，岗位职责较不清晰明确，不能满足本项目需求得0分。</w:t>
            </w:r>
          </w:p>
        </w:tc>
      </w:tr>
      <w:tr w14:paraId="53C501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836" w:type="dxa"/>
            <w:vMerge w:val="continue"/>
            <w:vAlign w:val="center"/>
          </w:tcPr>
          <w:p w14:paraId="5DC73CE9">
            <w:pPr>
              <w:spacing w:line="480" w:lineRule="exact"/>
              <w:jc w:val="center"/>
              <w:rPr>
                <w:rFonts w:ascii="宋体" w:hAnsi="宋体" w:cs="宋体"/>
                <w:sz w:val="24"/>
                <w:szCs w:val="24"/>
                <w:highlight w:val="none"/>
              </w:rPr>
            </w:pPr>
          </w:p>
        </w:tc>
        <w:tc>
          <w:tcPr>
            <w:tcW w:w="1276" w:type="dxa"/>
            <w:vMerge w:val="continue"/>
            <w:vAlign w:val="center"/>
          </w:tcPr>
          <w:p w14:paraId="2E2B4001">
            <w:pPr>
              <w:spacing w:line="480" w:lineRule="exact"/>
              <w:jc w:val="center"/>
              <w:rPr>
                <w:rFonts w:ascii="宋体" w:hAnsi="宋体" w:cs="宋体"/>
                <w:sz w:val="24"/>
                <w:szCs w:val="24"/>
                <w:highlight w:val="none"/>
              </w:rPr>
            </w:pPr>
          </w:p>
        </w:tc>
        <w:tc>
          <w:tcPr>
            <w:tcW w:w="1435" w:type="dxa"/>
            <w:vAlign w:val="center"/>
          </w:tcPr>
          <w:p w14:paraId="1E5B5979">
            <w:pPr>
              <w:spacing w:line="480" w:lineRule="exact"/>
              <w:jc w:val="center"/>
              <w:rPr>
                <w:rFonts w:ascii="宋体" w:hAnsi="宋体" w:cs="宋体"/>
                <w:sz w:val="24"/>
                <w:szCs w:val="24"/>
                <w:highlight w:val="none"/>
              </w:rPr>
            </w:pPr>
            <w:r>
              <w:rPr>
                <w:rFonts w:hint="eastAsia" w:ascii="宋体" w:hAnsi="宋体" w:cs="宋体"/>
                <w:sz w:val="24"/>
                <w:szCs w:val="24"/>
                <w:highlight w:val="none"/>
              </w:rPr>
              <w:t>②项目实施方案</w:t>
            </w:r>
          </w:p>
          <w:p w14:paraId="0B2547E9">
            <w:pPr>
              <w:spacing w:line="480" w:lineRule="exact"/>
              <w:jc w:val="center"/>
              <w:rPr>
                <w:rFonts w:ascii="宋体" w:hAnsi="宋体" w:cs="宋体"/>
                <w:sz w:val="24"/>
                <w:szCs w:val="24"/>
                <w:highlight w:val="none"/>
              </w:rPr>
            </w:pPr>
            <w:r>
              <w:rPr>
                <w:rFonts w:hint="eastAsia" w:ascii="宋体" w:hAnsi="宋体" w:cs="宋体"/>
                <w:sz w:val="24"/>
                <w:szCs w:val="24"/>
                <w:highlight w:val="none"/>
              </w:rPr>
              <w:t>（15分）</w:t>
            </w:r>
          </w:p>
        </w:tc>
        <w:tc>
          <w:tcPr>
            <w:tcW w:w="5824" w:type="dxa"/>
            <w:vAlign w:val="center"/>
          </w:tcPr>
          <w:p w14:paraId="2B862F42">
            <w:pPr>
              <w:spacing w:line="480" w:lineRule="exact"/>
              <w:rPr>
                <w:rFonts w:ascii="宋体" w:hAnsi="宋体" w:cs="宋体"/>
                <w:sz w:val="24"/>
                <w:szCs w:val="24"/>
                <w:highlight w:val="none"/>
              </w:rPr>
            </w:pPr>
            <w:r>
              <w:rPr>
                <w:rFonts w:hint="eastAsia" w:ascii="宋体" w:hAnsi="宋体" w:cs="宋体"/>
                <w:sz w:val="24"/>
                <w:szCs w:val="24"/>
                <w:highlight w:val="none"/>
              </w:rPr>
              <w:t>针对本项目实际情况就工程内容编写施工方案：</w:t>
            </w:r>
          </w:p>
          <w:p w14:paraId="1425E0A3">
            <w:pPr>
              <w:spacing w:line="480" w:lineRule="exact"/>
              <w:rPr>
                <w:rFonts w:ascii="宋体" w:hAnsi="宋体" w:cs="宋体"/>
                <w:sz w:val="24"/>
                <w:szCs w:val="24"/>
                <w:highlight w:val="none"/>
              </w:rPr>
            </w:pPr>
            <w:r>
              <w:rPr>
                <w:rFonts w:hint="eastAsia" w:ascii="宋体" w:hAnsi="宋体" w:cs="宋体"/>
                <w:sz w:val="24"/>
                <w:szCs w:val="24"/>
                <w:highlight w:val="none"/>
              </w:rPr>
              <w:t>①方案切合实际、因地制宜、科学合理完全满足本项目要求10（含10）-15分；</w:t>
            </w:r>
          </w:p>
          <w:p w14:paraId="43B00151">
            <w:pPr>
              <w:spacing w:line="480" w:lineRule="exact"/>
              <w:rPr>
                <w:rFonts w:ascii="宋体" w:hAnsi="宋体" w:cs="宋体"/>
                <w:sz w:val="24"/>
                <w:szCs w:val="24"/>
                <w:highlight w:val="none"/>
              </w:rPr>
            </w:pPr>
            <w:r>
              <w:rPr>
                <w:rFonts w:hint="eastAsia" w:ascii="宋体" w:hAnsi="宋体" w:cs="宋体"/>
                <w:sz w:val="24"/>
                <w:szCs w:val="24"/>
                <w:highlight w:val="none"/>
              </w:rPr>
              <w:t>②方案较为切合实际、因地制宜性一般、较为满足本项目要求5（含5）-10分；</w:t>
            </w:r>
          </w:p>
          <w:p w14:paraId="28385084">
            <w:pPr>
              <w:spacing w:line="480" w:lineRule="exact"/>
              <w:rPr>
                <w:rFonts w:ascii="宋体" w:hAnsi="宋体" w:cs="宋体"/>
                <w:sz w:val="24"/>
                <w:szCs w:val="24"/>
                <w:highlight w:val="none"/>
              </w:rPr>
            </w:pPr>
            <w:r>
              <w:rPr>
                <w:rFonts w:hint="eastAsia" w:ascii="宋体" w:hAnsi="宋体" w:cs="宋体"/>
                <w:sz w:val="24"/>
                <w:szCs w:val="24"/>
                <w:highlight w:val="none"/>
              </w:rPr>
              <w:t>③方案不切合实际情况、因地制宜性差，不能满足本项目实际要求0-5分。</w:t>
            </w:r>
          </w:p>
        </w:tc>
      </w:tr>
      <w:tr w14:paraId="16A67B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20" w:hRule="atLeast"/>
          <w:jc w:val="center"/>
        </w:trPr>
        <w:tc>
          <w:tcPr>
            <w:tcW w:w="836" w:type="dxa"/>
            <w:vMerge w:val="continue"/>
            <w:vAlign w:val="center"/>
          </w:tcPr>
          <w:p w14:paraId="0802ED3F">
            <w:pPr>
              <w:spacing w:line="480" w:lineRule="exact"/>
              <w:jc w:val="center"/>
              <w:rPr>
                <w:rFonts w:ascii="宋体" w:hAnsi="宋体" w:cs="宋体"/>
                <w:sz w:val="24"/>
                <w:szCs w:val="24"/>
                <w:highlight w:val="none"/>
              </w:rPr>
            </w:pPr>
          </w:p>
        </w:tc>
        <w:tc>
          <w:tcPr>
            <w:tcW w:w="1276" w:type="dxa"/>
            <w:vMerge w:val="continue"/>
            <w:vAlign w:val="center"/>
          </w:tcPr>
          <w:p w14:paraId="578A19C1">
            <w:pPr>
              <w:spacing w:line="480" w:lineRule="exact"/>
              <w:jc w:val="center"/>
              <w:rPr>
                <w:rFonts w:ascii="宋体" w:hAnsi="宋体" w:cs="宋体"/>
                <w:sz w:val="24"/>
                <w:szCs w:val="24"/>
                <w:highlight w:val="none"/>
              </w:rPr>
            </w:pPr>
          </w:p>
        </w:tc>
        <w:tc>
          <w:tcPr>
            <w:tcW w:w="1435" w:type="dxa"/>
            <w:vAlign w:val="center"/>
          </w:tcPr>
          <w:p w14:paraId="61375460">
            <w:pPr>
              <w:spacing w:line="480" w:lineRule="exact"/>
              <w:jc w:val="center"/>
              <w:rPr>
                <w:rFonts w:ascii="宋体" w:hAnsi="宋体" w:cs="宋体"/>
                <w:sz w:val="24"/>
                <w:szCs w:val="24"/>
                <w:highlight w:val="none"/>
              </w:rPr>
            </w:pPr>
            <w:r>
              <w:rPr>
                <w:rFonts w:hint="eastAsia" w:ascii="宋体" w:hAnsi="宋体" w:cs="宋体"/>
                <w:sz w:val="24"/>
                <w:szCs w:val="24"/>
                <w:highlight w:val="none"/>
              </w:rPr>
              <w:t>③工程进度计划与保障措施（7分）</w:t>
            </w:r>
          </w:p>
        </w:tc>
        <w:tc>
          <w:tcPr>
            <w:tcW w:w="5824" w:type="dxa"/>
            <w:vAlign w:val="center"/>
          </w:tcPr>
          <w:p w14:paraId="2E19E7C2">
            <w:pPr>
              <w:spacing w:line="480" w:lineRule="exact"/>
              <w:rPr>
                <w:rFonts w:ascii="宋体" w:hAnsi="宋体" w:cs="宋体"/>
                <w:sz w:val="24"/>
                <w:szCs w:val="24"/>
                <w:highlight w:val="none"/>
              </w:rPr>
            </w:pPr>
            <w:r>
              <w:rPr>
                <w:rFonts w:hint="eastAsia" w:ascii="宋体" w:hAnsi="宋体" w:cs="宋体"/>
                <w:sz w:val="24"/>
                <w:szCs w:val="24"/>
                <w:highlight w:val="none"/>
              </w:rPr>
              <w:t>进度计划及保障措施合理、完善，4～7分</w:t>
            </w:r>
          </w:p>
          <w:p w14:paraId="7C88E3C5">
            <w:pPr>
              <w:spacing w:line="480" w:lineRule="exact"/>
              <w:rPr>
                <w:rFonts w:ascii="宋体" w:hAnsi="宋体" w:cs="宋体"/>
                <w:sz w:val="24"/>
                <w:szCs w:val="24"/>
                <w:highlight w:val="none"/>
              </w:rPr>
            </w:pPr>
            <w:r>
              <w:rPr>
                <w:rFonts w:hint="eastAsia" w:ascii="宋体" w:hAnsi="宋体" w:cs="宋体"/>
                <w:sz w:val="24"/>
                <w:szCs w:val="24"/>
                <w:highlight w:val="none"/>
              </w:rPr>
              <w:t>进度计划及保障措施基本合理、比较完善，2～4分</w:t>
            </w:r>
          </w:p>
          <w:p w14:paraId="6FAF646E">
            <w:pPr>
              <w:spacing w:line="480" w:lineRule="exact"/>
              <w:rPr>
                <w:rFonts w:ascii="宋体" w:hAnsi="宋体" w:cs="宋体"/>
                <w:sz w:val="24"/>
                <w:szCs w:val="24"/>
                <w:highlight w:val="none"/>
              </w:rPr>
            </w:pPr>
            <w:r>
              <w:rPr>
                <w:rFonts w:hint="eastAsia" w:ascii="宋体" w:hAnsi="宋体" w:cs="宋体"/>
                <w:sz w:val="24"/>
                <w:szCs w:val="24"/>
                <w:highlight w:val="none"/>
              </w:rPr>
              <w:t>进度计划及保障措施一般，0～2分；</w:t>
            </w:r>
          </w:p>
        </w:tc>
      </w:tr>
      <w:tr w14:paraId="7EB69E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atLeast"/>
          <w:jc w:val="center"/>
        </w:trPr>
        <w:tc>
          <w:tcPr>
            <w:tcW w:w="836" w:type="dxa"/>
            <w:vMerge w:val="continue"/>
            <w:vAlign w:val="center"/>
          </w:tcPr>
          <w:p w14:paraId="4AAE3ADF">
            <w:pPr>
              <w:spacing w:line="480" w:lineRule="exact"/>
              <w:jc w:val="center"/>
              <w:rPr>
                <w:rFonts w:ascii="宋体" w:hAnsi="宋体" w:cs="宋体"/>
                <w:sz w:val="24"/>
                <w:szCs w:val="24"/>
                <w:highlight w:val="none"/>
              </w:rPr>
            </w:pPr>
          </w:p>
        </w:tc>
        <w:tc>
          <w:tcPr>
            <w:tcW w:w="1276" w:type="dxa"/>
            <w:vMerge w:val="continue"/>
            <w:vAlign w:val="center"/>
          </w:tcPr>
          <w:p w14:paraId="4E13D34A">
            <w:pPr>
              <w:spacing w:line="480" w:lineRule="exact"/>
              <w:jc w:val="center"/>
              <w:rPr>
                <w:rFonts w:ascii="宋体" w:hAnsi="宋体" w:cs="宋体"/>
                <w:sz w:val="24"/>
                <w:szCs w:val="24"/>
                <w:highlight w:val="none"/>
              </w:rPr>
            </w:pPr>
          </w:p>
        </w:tc>
        <w:tc>
          <w:tcPr>
            <w:tcW w:w="1435" w:type="dxa"/>
            <w:vAlign w:val="center"/>
          </w:tcPr>
          <w:p w14:paraId="4CC2C620">
            <w:pPr>
              <w:spacing w:line="480" w:lineRule="exact"/>
              <w:jc w:val="center"/>
              <w:rPr>
                <w:rFonts w:ascii="宋体" w:hAnsi="宋体" w:cs="宋体"/>
                <w:sz w:val="24"/>
                <w:szCs w:val="24"/>
                <w:highlight w:val="none"/>
              </w:rPr>
            </w:pPr>
            <w:r>
              <w:rPr>
                <w:rFonts w:hint="eastAsia" w:ascii="宋体" w:hAnsi="宋体" w:cs="宋体"/>
                <w:sz w:val="24"/>
                <w:szCs w:val="24"/>
                <w:highlight w:val="none"/>
              </w:rPr>
              <w:t>④确保工程质量的组织措施（6分）</w:t>
            </w:r>
          </w:p>
        </w:tc>
        <w:tc>
          <w:tcPr>
            <w:tcW w:w="5824" w:type="dxa"/>
            <w:vAlign w:val="center"/>
          </w:tcPr>
          <w:p w14:paraId="2B866CF8">
            <w:pPr>
              <w:spacing w:line="480" w:lineRule="exact"/>
              <w:rPr>
                <w:rFonts w:ascii="宋体" w:hAnsi="宋体" w:cs="宋体"/>
                <w:sz w:val="24"/>
                <w:szCs w:val="24"/>
                <w:highlight w:val="none"/>
              </w:rPr>
            </w:pPr>
            <w:r>
              <w:rPr>
                <w:rFonts w:hint="eastAsia" w:ascii="宋体" w:hAnsi="宋体" w:cs="宋体"/>
                <w:sz w:val="24"/>
                <w:szCs w:val="24"/>
                <w:highlight w:val="none"/>
              </w:rPr>
              <w:t>所述内容切合工程实际，质量措施切实可行，根据响应的不同程度赋分4～6分；</w:t>
            </w:r>
          </w:p>
          <w:p w14:paraId="7EAF299D">
            <w:pPr>
              <w:spacing w:line="480" w:lineRule="exact"/>
              <w:rPr>
                <w:rFonts w:ascii="宋体" w:hAnsi="宋体" w:cs="宋体"/>
                <w:sz w:val="24"/>
                <w:szCs w:val="24"/>
                <w:highlight w:val="none"/>
              </w:rPr>
            </w:pPr>
            <w:r>
              <w:rPr>
                <w:rFonts w:hint="eastAsia" w:ascii="宋体" w:hAnsi="宋体" w:cs="宋体"/>
                <w:sz w:val="24"/>
                <w:szCs w:val="24"/>
                <w:highlight w:val="none"/>
              </w:rPr>
              <w:t>质量措施基本合理、比较完善2～4分；质量措施一般，0～2分</w:t>
            </w:r>
          </w:p>
        </w:tc>
      </w:tr>
      <w:tr w14:paraId="4F0BBB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jc w:val="center"/>
        </w:trPr>
        <w:tc>
          <w:tcPr>
            <w:tcW w:w="836" w:type="dxa"/>
            <w:vMerge w:val="continue"/>
            <w:vAlign w:val="center"/>
          </w:tcPr>
          <w:p w14:paraId="690429B8">
            <w:pPr>
              <w:spacing w:line="480" w:lineRule="exact"/>
              <w:jc w:val="center"/>
              <w:rPr>
                <w:rFonts w:ascii="宋体" w:hAnsi="宋体" w:cs="宋体"/>
                <w:sz w:val="24"/>
                <w:szCs w:val="24"/>
                <w:highlight w:val="none"/>
              </w:rPr>
            </w:pPr>
          </w:p>
        </w:tc>
        <w:tc>
          <w:tcPr>
            <w:tcW w:w="1276" w:type="dxa"/>
            <w:vMerge w:val="continue"/>
            <w:vAlign w:val="center"/>
          </w:tcPr>
          <w:p w14:paraId="0ABB3E95">
            <w:pPr>
              <w:spacing w:line="480" w:lineRule="exact"/>
              <w:jc w:val="center"/>
              <w:rPr>
                <w:rFonts w:ascii="宋体" w:hAnsi="宋体" w:cs="宋体"/>
                <w:sz w:val="24"/>
                <w:szCs w:val="24"/>
                <w:highlight w:val="none"/>
              </w:rPr>
            </w:pPr>
          </w:p>
        </w:tc>
        <w:tc>
          <w:tcPr>
            <w:tcW w:w="1435" w:type="dxa"/>
            <w:vAlign w:val="center"/>
          </w:tcPr>
          <w:p w14:paraId="326C2D22">
            <w:pPr>
              <w:spacing w:line="480" w:lineRule="exact"/>
              <w:jc w:val="center"/>
              <w:rPr>
                <w:rFonts w:ascii="宋体" w:hAnsi="宋体" w:cs="宋体"/>
                <w:sz w:val="24"/>
                <w:szCs w:val="24"/>
                <w:highlight w:val="none"/>
              </w:rPr>
            </w:pPr>
            <w:r>
              <w:rPr>
                <w:rFonts w:hint="eastAsia" w:ascii="宋体" w:hAnsi="宋体" w:cs="宋体"/>
                <w:sz w:val="24"/>
                <w:szCs w:val="24"/>
                <w:highlight w:val="none"/>
              </w:rPr>
              <w:t>⑤文明施工、环境保护管理体系与措施</w:t>
            </w:r>
          </w:p>
          <w:p w14:paraId="4A1061D5">
            <w:pPr>
              <w:spacing w:line="480" w:lineRule="exact"/>
              <w:jc w:val="center"/>
              <w:rPr>
                <w:rFonts w:ascii="宋体" w:hAnsi="宋体" w:cs="宋体"/>
                <w:sz w:val="24"/>
                <w:szCs w:val="24"/>
                <w:highlight w:val="none"/>
              </w:rPr>
            </w:pPr>
            <w:r>
              <w:rPr>
                <w:rFonts w:hint="eastAsia" w:ascii="宋体" w:hAnsi="宋体" w:cs="宋体"/>
                <w:sz w:val="24"/>
                <w:szCs w:val="24"/>
                <w:highlight w:val="none"/>
              </w:rPr>
              <w:t>（6分）</w:t>
            </w:r>
          </w:p>
        </w:tc>
        <w:tc>
          <w:tcPr>
            <w:tcW w:w="5824" w:type="dxa"/>
            <w:vAlign w:val="center"/>
          </w:tcPr>
          <w:p w14:paraId="768D4BA4">
            <w:pPr>
              <w:spacing w:line="480" w:lineRule="exact"/>
              <w:rPr>
                <w:rFonts w:ascii="宋体" w:hAnsi="宋体" w:cs="宋体"/>
                <w:sz w:val="24"/>
                <w:szCs w:val="24"/>
                <w:highlight w:val="none"/>
              </w:rPr>
            </w:pPr>
            <w:r>
              <w:rPr>
                <w:rFonts w:hint="eastAsia" w:ascii="宋体" w:hAnsi="宋体" w:cs="宋体"/>
                <w:sz w:val="24"/>
                <w:szCs w:val="24"/>
                <w:highlight w:val="none"/>
              </w:rPr>
              <w:t>文明施工、环境保障措施合理、完善，4～6分</w:t>
            </w:r>
          </w:p>
          <w:p w14:paraId="4DBF26B2">
            <w:pPr>
              <w:spacing w:line="480" w:lineRule="exact"/>
              <w:rPr>
                <w:rFonts w:ascii="宋体" w:hAnsi="宋体" w:cs="宋体"/>
                <w:sz w:val="24"/>
                <w:szCs w:val="24"/>
                <w:highlight w:val="none"/>
              </w:rPr>
            </w:pPr>
            <w:r>
              <w:rPr>
                <w:rFonts w:hint="eastAsia" w:ascii="宋体" w:hAnsi="宋体" w:cs="宋体"/>
                <w:sz w:val="24"/>
                <w:szCs w:val="24"/>
                <w:highlight w:val="none"/>
              </w:rPr>
              <w:t>文明施工、环境保障措施基本合理、比较完善，2～4分；</w:t>
            </w:r>
          </w:p>
          <w:p w14:paraId="4FF86EAD">
            <w:pPr>
              <w:spacing w:line="480" w:lineRule="exact"/>
              <w:rPr>
                <w:rFonts w:ascii="宋体" w:hAnsi="宋体" w:cs="宋体"/>
                <w:sz w:val="24"/>
                <w:szCs w:val="24"/>
                <w:highlight w:val="none"/>
              </w:rPr>
            </w:pPr>
            <w:r>
              <w:rPr>
                <w:rFonts w:hint="eastAsia" w:ascii="宋体" w:hAnsi="宋体" w:cs="宋体"/>
                <w:sz w:val="24"/>
                <w:szCs w:val="24"/>
                <w:highlight w:val="none"/>
              </w:rPr>
              <w:t>文明施工、环境保障措施一般，0～2分</w:t>
            </w:r>
          </w:p>
        </w:tc>
      </w:tr>
      <w:tr w14:paraId="3B93A7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Merge w:val="continue"/>
            <w:vAlign w:val="center"/>
          </w:tcPr>
          <w:p w14:paraId="20EF39BA">
            <w:pPr>
              <w:spacing w:line="480" w:lineRule="exact"/>
              <w:jc w:val="center"/>
              <w:rPr>
                <w:rFonts w:ascii="宋体" w:hAnsi="宋体" w:cs="宋体"/>
                <w:sz w:val="24"/>
                <w:szCs w:val="24"/>
                <w:highlight w:val="none"/>
              </w:rPr>
            </w:pPr>
          </w:p>
        </w:tc>
        <w:tc>
          <w:tcPr>
            <w:tcW w:w="1276" w:type="dxa"/>
            <w:vMerge w:val="continue"/>
            <w:vAlign w:val="center"/>
          </w:tcPr>
          <w:p w14:paraId="7BC7AE81">
            <w:pPr>
              <w:spacing w:line="480" w:lineRule="exact"/>
              <w:jc w:val="center"/>
              <w:rPr>
                <w:rFonts w:ascii="宋体" w:hAnsi="宋体" w:cs="宋体"/>
                <w:sz w:val="24"/>
                <w:szCs w:val="24"/>
                <w:highlight w:val="none"/>
              </w:rPr>
            </w:pPr>
          </w:p>
        </w:tc>
        <w:tc>
          <w:tcPr>
            <w:tcW w:w="1435" w:type="dxa"/>
            <w:vAlign w:val="center"/>
          </w:tcPr>
          <w:p w14:paraId="064A88A4">
            <w:pPr>
              <w:spacing w:line="480" w:lineRule="exact"/>
              <w:jc w:val="center"/>
              <w:rPr>
                <w:rFonts w:ascii="宋体" w:hAnsi="宋体" w:cs="宋体"/>
                <w:sz w:val="24"/>
                <w:szCs w:val="24"/>
                <w:highlight w:val="none"/>
              </w:rPr>
            </w:pPr>
            <w:r>
              <w:rPr>
                <w:rFonts w:hint="eastAsia" w:ascii="宋体" w:hAnsi="宋体" w:cs="宋体"/>
                <w:sz w:val="24"/>
                <w:szCs w:val="24"/>
                <w:highlight w:val="none"/>
              </w:rPr>
              <w:t>⑥主要机具、设备和劳动力配备情况（6分）</w:t>
            </w:r>
          </w:p>
        </w:tc>
        <w:tc>
          <w:tcPr>
            <w:tcW w:w="5824" w:type="dxa"/>
            <w:vAlign w:val="center"/>
          </w:tcPr>
          <w:p w14:paraId="7B9A11BE">
            <w:pPr>
              <w:spacing w:line="480" w:lineRule="exact"/>
              <w:rPr>
                <w:rFonts w:ascii="宋体" w:hAnsi="宋体" w:cs="宋体"/>
                <w:sz w:val="24"/>
                <w:szCs w:val="24"/>
                <w:highlight w:val="none"/>
              </w:rPr>
            </w:pPr>
            <w:r>
              <w:rPr>
                <w:rFonts w:hint="eastAsia" w:ascii="宋体" w:hAnsi="宋体" w:cs="宋体"/>
                <w:sz w:val="24"/>
                <w:szCs w:val="24"/>
                <w:highlight w:val="none"/>
              </w:rPr>
              <w:t>投入的主要机具、设备先进，劳动力配备情况充分、合理、完善计4（含4）～6分</w:t>
            </w:r>
          </w:p>
          <w:p w14:paraId="54B2D7D9">
            <w:pPr>
              <w:spacing w:line="480" w:lineRule="exact"/>
              <w:rPr>
                <w:rFonts w:ascii="宋体" w:hAnsi="宋体" w:cs="宋体"/>
                <w:sz w:val="24"/>
                <w:szCs w:val="24"/>
                <w:highlight w:val="none"/>
              </w:rPr>
            </w:pPr>
            <w:r>
              <w:rPr>
                <w:rFonts w:hint="eastAsia" w:ascii="宋体" w:hAnsi="宋体" w:cs="宋体"/>
                <w:sz w:val="24"/>
                <w:szCs w:val="24"/>
                <w:highlight w:val="none"/>
              </w:rPr>
              <w:t>配备情况基本合理、基本能够满足施工需求计2（含2）～4分</w:t>
            </w:r>
          </w:p>
          <w:p w14:paraId="29EFB028">
            <w:pPr>
              <w:spacing w:line="480" w:lineRule="exact"/>
              <w:rPr>
                <w:rFonts w:ascii="宋体" w:hAnsi="宋体" w:cs="宋体"/>
                <w:sz w:val="24"/>
                <w:szCs w:val="24"/>
                <w:highlight w:val="none"/>
              </w:rPr>
            </w:pPr>
            <w:r>
              <w:rPr>
                <w:rFonts w:hint="eastAsia" w:ascii="宋体" w:hAnsi="宋体" w:cs="宋体"/>
                <w:sz w:val="24"/>
                <w:szCs w:val="24"/>
                <w:highlight w:val="none"/>
              </w:rPr>
              <w:t>施工器具不够合理完善不能满足项目需求计0～2分；</w:t>
            </w:r>
          </w:p>
        </w:tc>
      </w:tr>
      <w:tr w14:paraId="38D5DF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Merge w:val="continue"/>
            <w:vAlign w:val="center"/>
          </w:tcPr>
          <w:p w14:paraId="7389A38C">
            <w:pPr>
              <w:spacing w:line="480" w:lineRule="exact"/>
              <w:jc w:val="center"/>
              <w:rPr>
                <w:rFonts w:ascii="宋体" w:hAnsi="宋体" w:cs="宋体"/>
                <w:sz w:val="24"/>
                <w:szCs w:val="24"/>
                <w:highlight w:val="none"/>
              </w:rPr>
            </w:pPr>
          </w:p>
        </w:tc>
        <w:tc>
          <w:tcPr>
            <w:tcW w:w="1276" w:type="dxa"/>
            <w:vMerge w:val="continue"/>
            <w:vAlign w:val="center"/>
          </w:tcPr>
          <w:p w14:paraId="213B797E">
            <w:pPr>
              <w:spacing w:line="480" w:lineRule="exact"/>
              <w:jc w:val="center"/>
              <w:rPr>
                <w:rFonts w:ascii="宋体" w:hAnsi="宋体" w:cs="宋体"/>
                <w:sz w:val="24"/>
                <w:szCs w:val="24"/>
                <w:highlight w:val="none"/>
              </w:rPr>
            </w:pPr>
          </w:p>
        </w:tc>
        <w:tc>
          <w:tcPr>
            <w:tcW w:w="1435" w:type="dxa"/>
            <w:vAlign w:val="center"/>
          </w:tcPr>
          <w:p w14:paraId="02BC3B43">
            <w:pPr>
              <w:spacing w:line="480" w:lineRule="exact"/>
              <w:jc w:val="center"/>
              <w:rPr>
                <w:rFonts w:ascii="宋体" w:hAnsi="宋体" w:cs="宋体"/>
                <w:sz w:val="24"/>
                <w:szCs w:val="24"/>
                <w:highlight w:val="none"/>
              </w:rPr>
            </w:pPr>
            <w:r>
              <w:rPr>
                <w:rFonts w:hint="eastAsia" w:ascii="宋体" w:hAnsi="宋体" w:cs="宋体"/>
                <w:sz w:val="24"/>
                <w:szCs w:val="24"/>
                <w:highlight w:val="none"/>
              </w:rPr>
              <w:t>⑦安全保障方案及应急措施</w:t>
            </w:r>
          </w:p>
          <w:p w14:paraId="008370CF">
            <w:pPr>
              <w:spacing w:line="480" w:lineRule="exact"/>
              <w:jc w:val="center"/>
              <w:rPr>
                <w:highlight w:val="none"/>
              </w:rPr>
            </w:pPr>
            <w:r>
              <w:rPr>
                <w:rFonts w:hint="eastAsia" w:ascii="宋体" w:hAnsi="宋体" w:cs="宋体"/>
                <w:sz w:val="24"/>
                <w:szCs w:val="24"/>
                <w:highlight w:val="none"/>
              </w:rPr>
              <w:t>（10分）</w:t>
            </w:r>
          </w:p>
        </w:tc>
        <w:tc>
          <w:tcPr>
            <w:tcW w:w="5824" w:type="dxa"/>
            <w:vAlign w:val="center"/>
          </w:tcPr>
          <w:p w14:paraId="08879879">
            <w:pPr>
              <w:spacing w:line="480" w:lineRule="exact"/>
              <w:rPr>
                <w:rFonts w:ascii="宋体" w:hAnsi="宋体" w:cs="宋体"/>
                <w:sz w:val="24"/>
                <w:szCs w:val="24"/>
                <w:highlight w:val="none"/>
              </w:rPr>
            </w:pPr>
            <w:r>
              <w:rPr>
                <w:rFonts w:hint="eastAsia" w:ascii="宋体" w:hAnsi="宋体" w:cs="宋体"/>
                <w:sz w:val="24"/>
                <w:szCs w:val="24"/>
                <w:highlight w:val="none"/>
              </w:rPr>
              <w:t>保障方案、措施合理、完善，7～10分</w:t>
            </w:r>
          </w:p>
          <w:p w14:paraId="26D9F98A">
            <w:pPr>
              <w:spacing w:line="480" w:lineRule="exact"/>
              <w:rPr>
                <w:rFonts w:ascii="宋体" w:hAnsi="宋体" w:cs="宋体"/>
                <w:sz w:val="24"/>
                <w:szCs w:val="24"/>
                <w:highlight w:val="none"/>
              </w:rPr>
            </w:pPr>
            <w:r>
              <w:rPr>
                <w:rFonts w:hint="eastAsia" w:ascii="宋体" w:hAnsi="宋体" w:cs="宋体"/>
                <w:sz w:val="24"/>
                <w:szCs w:val="24"/>
                <w:highlight w:val="none"/>
              </w:rPr>
              <w:t>保障方案、措施基本合理、比较完善，4～7分</w:t>
            </w:r>
          </w:p>
          <w:p w14:paraId="5727C576">
            <w:pPr>
              <w:spacing w:line="480" w:lineRule="exact"/>
              <w:rPr>
                <w:rFonts w:ascii="宋体" w:hAnsi="宋体" w:cs="宋体"/>
                <w:sz w:val="24"/>
                <w:szCs w:val="24"/>
                <w:highlight w:val="none"/>
              </w:rPr>
            </w:pPr>
            <w:r>
              <w:rPr>
                <w:rFonts w:hint="eastAsia" w:ascii="宋体" w:hAnsi="宋体" w:cs="宋体"/>
                <w:sz w:val="24"/>
                <w:szCs w:val="24"/>
                <w:highlight w:val="none"/>
              </w:rPr>
              <w:t>保障方案、措施一般，0～4分；</w:t>
            </w:r>
          </w:p>
        </w:tc>
      </w:tr>
      <w:tr w14:paraId="538314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Merge w:val="continue"/>
            <w:vAlign w:val="center"/>
          </w:tcPr>
          <w:p w14:paraId="21B6E744">
            <w:pPr>
              <w:spacing w:line="480" w:lineRule="exact"/>
              <w:jc w:val="center"/>
              <w:rPr>
                <w:rFonts w:ascii="宋体" w:hAnsi="宋体" w:cs="宋体"/>
                <w:sz w:val="24"/>
                <w:szCs w:val="24"/>
                <w:highlight w:val="none"/>
              </w:rPr>
            </w:pPr>
          </w:p>
        </w:tc>
        <w:tc>
          <w:tcPr>
            <w:tcW w:w="1276" w:type="dxa"/>
            <w:vMerge w:val="continue"/>
            <w:vAlign w:val="center"/>
          </w:tcPr>
          <w:p w14:paraId="1DC9F31A">
            <w:pPr>
              <w:spacing w:line="480" w:lineRule="exact"/>
              <w:jc w:val="center"/>
              <w:rPr>
                <w:rFonts w:ascii="宋体" w:hAnsi="宋体" w:cs="宋体"/>
                <w:sz w:val="24"/>
                <w:szCs w:val="24"/>
                <w:highlight w:val="none"/>
              </w:rPr>
            </w:pPr>
          </w:p>
        </w:tc>
        <w:tc>
          <w:tcPr>
            <w:tcW w:w="1435" w:type="dxa"/>
            <w:vAlign w:val="center"/>
          </w:tcPr>
          <w:p w14:paraId="1C77A5F8">
            <w:pPr>
              <w:spacing w:line="480" w:lineRule="exact"/>
              <w:jc w:val="center"/>
              <w:rPr>
                <w:rFonts w:ascii="宋体" w:hAnsi="宋体" w:cs="宋体"/>
                <w:sz w:val="24"/>
                <w:szCs w:val="24"/>
                <w:highlight w:val="none"/>
              </w:rPr>
            </w:pPr>
            <w:r>
              <w:rPr>
                <w:rFonts w:hint="eastAsia" w:ascii="宋体" w:hAnsi="宋体" w:cs="宋体"/>
                <w:sz w:val="24"/>
                <w:szCs w:val="24"/>
                <w:highlight w:val="none"/>
              </w:rPr>
              <w:t>⑧质量承诺</w:t>
            </w:r>
          </w:p>
          <w:p w14:paraId="5A313ADE">
            <w:pPr>
              <w:spacing w:line="480" w:lineRule="exact"/>
              <w:jc w:val="center"/>
              <w:rPr>
                <w:highlight w:val="none"/>
              </w:rPr>
            </w:pPr>
            <w:r>
              <w:rPr>
                <w:rFonts w:hint="eastAsia" w:ascii="宋体" w:hAnsi="宋体" w:cs="宋体"/>
                <w:sz w:val="24"/>
                <w:szCs w:val="24"/>
                <w:highlight w:val="none"/>
              </w:rPr>
              <w:t>（5分）</w:t>
            </w:r>
          </w:p>
        </w:tc>
        <w:tc>
          <w:tcPr>
            <w:tcW w:w="5824" w:type="dxa"/>
            <w:vAlign w:val="center"/>
          </w:tcPr>
          <w:p w14:paraId="798F8C28">
            <w:pPr>
              <w:spacing w:line="480" w:lineRule="exact"/>
              <w:rPr>
                <w:rFonts w:ascii="宋体" w:hAnsi="宋体" w:cs="宋体"/>
                <w:b/>
                <w:bCs/>
                <w:sz w:val="24"/>
                <w:szCs w:val="24"/>
                <w:highlight w:val="none"/>
              </w:rPr>
            </w:pPr>
            <w:r>
              <w:rPr>
                <w:rFonts w:hint="eastAsia" w:ascii="宋体" w:hAnsi="宋体" w:cs="宋体"/>
                <w:sz w:val="24"/>
                <w:szCs w:val="24"/>
                <w:highlight w:val="none"/>
              </w:rPr>
              <w:t>施工承诺：提供本项目的相关质量承诺，依据响应情况综合赋分。（0-5分）</w:t>
            </w:r>
          </w:p>
        </w:tc>
      </w:tr>
      <w:tr w14:paraId="780DD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80" w:hRule="atLeast"/>
          <w:jc w:val="center"/>
        </w:trPr>
        <w:tc>
          <w:tcPr>
            <w:tcW w:w="836" w:type="dxa"/>
            <w:vMerge w:val="continue"/>
            <w:vAlign w:val="center"/>
          </w:tcPr>
          <w:p w14:paraId="2C97BD7B">
            <w:pPr>
              <w:spacing w:line="480" w:lineRule="exact"/>
              <w:jc w:val="center"/>
              <w:rPr>
                <w:rFonts w:ascii="宋体" w:hAnsi="宋体" w:cs="宋体"/>
                <w:sz w:val="24"/>
                <w:szCs w:val="24"/>
                <w:highlight w:val="none"/>
              </w:rPr>
            </w:pPr>
          </w:p>
        </w:tc>
        <w:tc>
          <w:tcPr>
            <w:tcW w:w="1276" w:type="dxa"/>
            <w:vMerge w:val="continue"/>
            <w:vAlign w:val="center"/>
          </w:tcPr>
          <w:p w14:paraId="7AEEBF36">
            <w:pPr>
              <w:spacing w:line="480" w:lineRule="exact"/>
              <w:jc w:val="center"/>
              <w:rPr>
                <w:rFonts w:ascii="宋体" w:hAnsi="宋体" w:cs="宋体"/>
                <w:sz w:val="24"/>
                <w:szCs w:val="24"/>
                <w:highlight w:val="none"/>
              </w:rPr>
            </w:pPr>
          </w:p>
        </w:tc>
        <w:tc>
          <w:tcPr>
            <w:tcW w:w="1435" w:type="dxa"/>
            <w:vAlign w:val="center"/>
          </w:tcPr>
          <w:p w14:paraId="17ABE673">
            <w:pPr>
              <w:spacing w:line="480" w:lineRule="exact"/>
              <w:jc w:val="center"/>
              <w:rPr>
                <w:rFonts w:ascii="宋体" w:hAnsi="宋体" w:cs="宋体"/>
                <w:sz w:val="24"/>
                <w:szCs w:val="24"/>
                <w:highlight w:val="none"/>
              </w:rPr>
            </w:pPr>
            <w:r>
              <w:rPr>
                <w:rFonts w:hint="eastAsia" w:ascii="宋体" w:hAnsi="宋体" w:cs="宋体"/>
                <w:sz w:val="24"/>
                <w:szCs w:val="24"/>
                <w:highlight w:val="none"/>
              </w:rPr>
              <w:t>⑨业绩</w:t>
            </w:r>
          </w:p>
          <w:p w14:paraId="5893F0FE">
            <w:pPr>
              <w:spacing w:line="480" w:lineRule="exact"/>
              <w:jc w:val="center"/>
              <w:rPr>
                <w:rFonts w:ascii="宋体" w:hAnsi="宋体" w:cs="宋体"/>
                <w:sz w:val="24"/>
                <w:szCs w:val="24"/>
                <w:highlight w:val="none"/>
              </w:rPr>
            </w:pPr>
            <w:r>
              <w:rPr>
                <w:rFonts w:hint="eastAsia" w:ascii="宋体" w:hAnsi="宋体" w:cs="宋体"/>
                <w:sz w:val="24"/>
                <w:szCs w:val="24"/>
                <w:highlight w:val="none"/>
              </w:rPr>
              <w:t>（10分）</w:t>
            </w:r>
          </w:p>
        </w:tc>
        <w:tc>
          <w:tcPr>
            <w:tcW w:w="5824" w:type="dxa"/>
            <w:vAlign w:val="center"/>
          </w:tcPr>
          <w:p w14:paraId="6DD6483B">
            <w:pPr>
              <w:spacing w:line="480" w:lineRule="exact"/>
              <w:rPr>
                <w:rFonts w:ascii="宋体" w:hAnsi="宋体" w:cs="宋体"/>
                <w:sz w:val="24"/>
                <w:szCs w:val="24"/>
                <w:highlight w:val="none"/>
              </w:rPr>
            </w:pPr>
            <w:r>
              <w:rPr>
                <w:rFonts w:hint="eastAsia" w:ascii="宋体" w:hAnsi="宋体" w:cs="宋体"/>
                <w:sz w:val="24"/>
                <w:szCs w:val="24"/>
                <w:highlight w:val="none"/>
              </w:rPr>
              <w:t>提供202</w:t>
            </w:r>
            <w:r>
              <w:rPr>
                <w:rFonts w:hint="eastAsia" w:ascii="宋体" w:hAnsi="宋体" w:cs="宋体"/>
                <w:sz w:val="24"/>
                <w:szCs w:val="24"/>
                <w:highlight w:val="none"/>
                <w:lang w:val="en-US" w:eastAsia="zh-CN"/>
              </w:rPr>
              <w:t>1</w:t>
            </w:r>
            <w:r>
              <w:rPr>
                <w:rFonts w:hint="eastAsia" w:ascii="宋体" w:hAnsi="宋体" w:cs="宋体"/>
                <w:sz w:val="24"/>
                <w:szCs w:val="24"/>
                <w:highlight w:val="none"/>
              </w:rPr>
              <w:t>年以后得类似工程施工业绩（业绩以合同复印件或中标通知书为依据）。每个业绩计2分，共10分。</w:t>
            </w:r>
          </w:p>
        </w:tc>
      </w:tr>
      <w:tr w14:paraId="6B98B6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36" w:type="dxa"/>
            <w:vAlign w:val="center"/>
          </w:tcPr>
          <w:p w14:paraId="64BF0596">
            <w:pPr>
              <w:spacing w:line="480" w:lineRule="exact"/>
              <w:jc w:val="center"/>
              <w:rPr>
                <w:rFonts w:ascii="宋体" w:hAnsi="宋体" w:cs="宋体"/>
                <w:sz w:val="24"/>
                <w:szCs w:val="24"/>
                <w:highlight w:val="none"/>
              </w:rPr>
            </w:pPr>
            <w:r>
              <w:rPr>
                <w:rFonts w:hint="eastAsia" w:ascii="宋体" w:hAnsi="宋体" w:cs="宋体"/>
                <w:sz w:val="24"/>
                <w:szCs w:val="24"/>
                <w:highlight w:val="none"/>
              </w:rPr>
              <w:t>报价评分标准</w:t>
            </w:r>
          </w:p>
          <w:p w14:paraId="696CB3CE">
            <w:pPr>
              <w:spacing w:line="480" w:lineRule="exact"/>
              <w:jc w:val="center"/>
              <w:rPr>
                <w:rFonts w:ascii="宋体" w:hAnsi="宋体" w:cs="宋体"/>
                <w:sz w:val="24"/>
                <w:szCs w:val="24"/>
                <w:highlight w:val="none"/>
              </w:rPr>
            </w:pPr>
          </w:p>
        </w:tc>
        <w:tc>
          <w:tcPr>
            <w:tcW w:w="1276" w:type="dxa"/>
            <w:vAlign w:val="center"/>
          </w:tcPr>
          <w:p w14:paraId="1B98365E">
            <w:pPr>
              <w:spacing w:line="480" w:lineRule="exact"/>
              <w:jc w:val="center"/>
              <w:rPr>
                <w:rFonts w:ascii="宋体" w:hAnsi="宋体" w:cs="宋体"/>
                <w:sz w:val="24"/>
                <w:szCs w:val="24"/>
                <w:highlight w:val="none"/>
              </w:rPr>
            </w:pPr>
            <w:r>
              <w:rPr>
                <w:rFonts w:hint="eastAsia" w:ascii="宋体" w:hAnsi="宋体" w:cs="宋体"/>
                <w:sz w:val="24"/>
                <w:szCs w:val="24"/>
                <w:highlight w:val="none"/>
              </w:rPr>
              <w:t>（30分）</w:t>
            </w:r>
          </w:p>
        </w:tc>
        <w:tc>
          <w:tcPr>
            <w:tcW w:w="1435" w:type="dxa"/>
            <w:vAlign w:val="center"/>
          </w:tcPr>
          <w:p w14:paraId="2EE0AB76">
            <w:pPr>
              <w:spacing w:line="480" w:lineRule="exact"/>
              <w:jc w:val="center"/>
              <w:rPr>
                <w:rFonts w:ascii="宋体" w:hAnsi="宋体" w:cs="宋体"/>
                <w:sz w:val="24"/>
                <w:szCs w:val="24"/>
                <w:highlight w:val="none"/>
              </w:rPr>
            </w:pPr>
            <w:r>
              <w:rPr>
                <w:rFonts w:hint="eastAsia" w:ascii="宋体" w:hAnsi="宋体" w:cs="宋体"/>
                <w:sz w:val="24"/>
                <w:szCs w:val="24"/>
                <w:highlight w:val="none"/>
              </w:rPr>
              <w:t>投标报价评分标准</w:t>
            </w:r>
          </w:p>
          <w:p w14:paraId="4789D7F8">
            <w:pPr>
              <w:spacing w:line="480" w:lineRule="exact"/>
              <w:jc w:val="center"/>
              <w:rPr>
                <w:rFonts w:ascii="宋体" w:hAnsi="宋体" w:cs="宋体"/>
                <w:sz w:val="24"/>
                <w:szCs w:val="24"/>
                <w:highlight w:val="none"/>
              </w:rPr>
            </w:pPr>
            <w:r>
              <w:rPr>
                <w:rFonts w:hint="eastAsia" w:ascii="宋体" w:hAnsi="宋体" w:cs="宋体"/>
                <w:sz w:val="24"/>
                <w:szCs w:val="24"/>
                <w:highlight w:val="none"/>
              </w:rPr>
              <w:t>（30分）</w:t>
            </w:r>
          </w:p>
        </w:tc>
        <w:tc>
          <w:tcPr>
            <w:tcW w:w="5824" w:type="dxa"/>
            <w:vAlign w:val="center"/>
          </w:tcPr>
          <w:p w14:paraId="2E83A00F">
            <w:pPr>
              <w:spacing w:line="480" w:lineRule="exact"/>
              <w:rPr>
                <w:rFonts w:ascii="宋体" w:hAnsi="宋体" w:cs="宋体"/>
                <w:sz w:val="24"/>
                <w:szCs w:val="24"/>
                <w:highlight w:val="none"/>
              </w:rPr>
            </w:pPr>
            <w:r>
              <w:rPr>
                <w:rFonts w:hint="eastAsia" w:ascii="宋体" w:hAnsi="宋体" w:cs="宋体"/>
                <w:sz w:val="24"/>
                <w:szCs w:val="24"/>
                <w:highlight w:val="none"/>
              </w:rPr>
              <w:t>1.经初审合格的投标文件，其投标报价为有效投标价。</w:t>
            </w:r>
          </w:p>
          <w:p w14:paraId="0E9AAE5C">
            <w:pPr>
              <w:spacing w:line="480" w:lineRule="exact"/>
              <w:rPr>
                <w:rFonts w:ascii="宋体" w:hAnsi="宋体" w:cs="宋体"/>
                <w:sz w:val="24"/>
                <w:szCs w:val="24"/>
                <w:highlight w:val="none"/>
              </w:rPr>
            </w:pPr>
            <w:r>
              <w:rPr>
                <w:rFonts w:hint="eastAsia" w:ascii="宋体" w:hAnsi="宋体" w:cs="宋体"/>
                <w:sz w:val="24"/>
                <w:szCs w:val="24"/>
                <w:highlight w:val="none"/>
              </w:rPr>
              <w:t>2.有效最低报价为基准价得30分。</w:t>
            </w:r>
          </w:p>
          <w:p w14:paraId="7D551C31">
            <w:pPr>
              <w:spacing w:line="480" w:lineRule="exact"/>
              <w:rPr>
                <w:rFonts w:ascii="宋体" w:hAnsi="宋体" w:cs="宋体"/>
                <w:sz w:val="24"/>
                <w:szCs w:val="24"/>
                <w:highlight w:val="none"/>
              </w:rPr>
            </w:pPr>
            <w:r>
              <w:rPr>
                <w:rFonts w:hint="eastAsia" w:ascii="宋体" w:hAnsi="宋体" w:cs="宋体"/>
                <w:sz w:val="24"/>
                <w:szCs w:val="24"/>
                <w:highlight w:val="none"/>
              </w:rPr>
              <w:t>3.按（有效最低报价/有效投标报价）×30的公式计算其得分。</w:t>
            </w:r>
          </w:p>
          <w:p w14:paraId="5C0503E4">
            <w:pPr>
              <w:spacing w:line="480" w:lineRule="exact"/>
              <w:rPr>
                <w:rFonts w:hint="eastAsia" w:ascii="宋体" w:hAnsi="宋体" w:cs="宋体"/>
                <w:sz w:val="24"/>
                <w:szCs w:val="24"/>
                <w:highlight w:val="none"/>
              </w:rPr>
            </w:pPr>
            <w:r>
              <w:rPr>
                <w:rFonts w:hint="eastAsia" w:ascii="宋体" w:hAnsi="宋体" w:cs="宋体"/>
                <w:sz w:val="24"/>
                <w:szCs w:val="24"/>
                <w:highlight w:val="none"/>
              </w:rPr>
              <w:t>4.经评委一致认定，投标人的投标总报价低于公认市场成本，或超过采购预算,其投标将被拒绝。</w:t>
            </w:r>
          </w:p>
          <w:p w14:paraId="64156848">
            <w:pPr>
              <w:pStyle w:val="2"/>
              <w:rPr>
                <w:rFonts w:hint="default" w:eastAsia="仿宋_GB2312"/>
                <w:highlight w:val="none"/>
                <w:lang w:val="en-US" w:eastAsia="zh-CN"/>
              </w:rPr>
            </w:pPr>
            <w:r>
              <w:rPr>
                <w:rFonts w:hint="eastAsia" w:ascii="宋体" w:hAnsi="宋体" w:eastAsia="宋体" w:cs="宋体"/>
                <w:b/>
                <w:bCs/>
                <w:highlight w:val="none"/>
                <w:lang w:val="en-US" w:eastAsia="zh-CN"/>
              </w:rPr>
              <w:t>本项目专门面向中小企业，价格不做扣除。</w:t>
            </w:r>
          </w:p>
        </w:tc>
      </w:tr>
      <w:tr w14:paraId="5A9AB5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5" w:hRule="atLeast"/>
          <w:jc w:val="center"/>
        </w:trPr>
        <w:tc>
          <w:tcPr>
            <w:tcW w:w="2112" w:type="dxa"/>
            <w:gridSpan w:val="2"/>
            <w:vAlign w:val="center"/>
          </w:tcPr>
          <w:p w14:paraId="05BAAAC1">
            <w:pPr>
              <w:spacing w:line="480" w:lineRule="exact"/>
              <w:jc w:val="center"/>
              <w:rPr>
                <w:rFonts w:ascii="宋体" w:hAnsi="宋体" w:cs="宋体"/>
                <w:sz w:val="24"/>
                <w:szCs w:val="24"/>
                <w:highlight w:val="none"/>
              </w:rPr>
            </w:pPr>
            <w:r>
              <w:rPr>
                <w:rFonts w:hint="eastAsia" w:ascii="宋体" w:hAnsi="宋体" w:cs="宋体"/>
                <w:sz w:val="24"/>
                <w:szCs w:val="24"/>
                <w:highlight w:val="none"/>
              </w:rPr>
              <w:t>备注</w:t>
            </w:r>
          </w:p>
        </w:tc>
        <w:tc>
          <w:tcPr>
            <w:tcW w:w="7259" w:type="dxa"/>
            <w:gridSpan w:val="2"/>
            <w:vAlign w:val="center"/>
          </w:tcPr>
          <w:p w14:paraId="7F011BAA">
            <w:pPr>
              <w:spacing w:line="360" w:lineRule="auto"/>
              <w:jc w:val="left"/>
              <w:rPr>
                <w:rFonts w:ascii="宋体" w:hAnsi="宋体" w:cs="宋体"/>
                <w:sz w:val="24"/>
                <w:szCs w:val="24"/>
                <w:highlight w:val="none"/>
              </w:rPr>
            </w:pPr>
            <w:r>
              <w:rPr>
                <w:rFonts w:hint="eastAsia" w:ascii="宋体" w:hAnsi="宋体" w:cs="宋体"/>
                <w:sz w:val="24"/>
                <w:szCs w:val="24"/>
                <w:highlight w:val="none"/>
              </w:rPr>
              <w:t>1）各评标委员会独立打分。</w:t>
            </w:r>
          </w:p>
          <w:p w14:paraId="5B1B791D">
            <w:pPr>
              <w:spacing w:line="360" w:lineRule="auto"/>
              <w:jc w:val="left"/>
              <w:rPr>
                <w:rFonts w:ascii="宋体" w:hAnsi="宋体" w:cs="宋体"/>
                <w:sz w:val="24"/>
                <w:szCs w:val="24"/>
                <w:highlight w:val="none"/>
              </w:rPr>
            </w:pPr>
            <w:r>
              <w:rPr>
                <w:rFonts w:hint="eastAsia" w:ascii="宋体" w:hAnsi="宋体" w:cs="宋体"/>
                <w:sz w:val="24"/>
                <w:szCs w:val="24"/>
                <w:highlight w:val="none"/>
              </w:rPr>
              <w:t>2）评标委员会成员打分超过得分界限或未按本表规定赋分时，该成员的打分作废，不计入汇总分。</w:t>
            </w:r>
          </w:p>
          <w:p w14:paraId="343D52AB">
            <w:pPr>
              <w:spacing w:line="360" w:lineRule="auto"/>
              <w:jc w:val="left"/>
              <w:rPr>
                <w:rFonts w:ascii="宋体" w:hAnsi="宋体" w:cs="宋体"/>
                <w:sz w:val="24"/>
                <w:szCs w:val="24"/>
                <w:highlight w:val="none"/>
              </w:rPr>
            </w:pPr>
            <w:r>
              <w:rPr>
                <w:rFonts w:hint="eastAsia" w:ascii="宋体" w:hAnsi="宋体" w:cs="宋体"/>
                <w:sz w:val="24"/>
                <w:szCs w:val="24"/>
                <w:highlight w:val="none"/>
              </w:rPr>
              <w:t>3）若出现综合得分并列时，比较价格得分，此分项得分高者排序在前；若价格得分仍相同，比较技术得分，此分项得分高者排序在前；若技术得分仍相同，则由全体评标委员会成员无记名投票，得票高者排序在前。</w:t>
            </w:r>
          </w:p>
          <w:p w14:paraId="530D46B6">
            <w:pPr>
              <w:spacing w:line="360" w:lineRule="auto"/>
              <w:jc w:val="left"/>
              <w:rPr>
                <w:rFonts w:ascii="宋体" w:hAnsi="宋体" w:cs="宋体"/>
                <w:sz w:val="24"/>
                <w:szCs w:val="24"/>
                <w:highlight w:val="none"/>
              </w:rPr>
            </w:pPr>
            <w:r>
              <w:rPr>
                <w:rFonts w:hint="eastAsia" w:ascii="宋体" w:hAnsi="宋体" w:cs="宋体"/>
                <w:sz w:val="24"/>
                <w:szCs w:val="24"/>
                <w:highlight w:val="none"/>
              </w:rPr>
              <w:t>4）各种计算采用插入法，数字均保留一位小数，第二位“四舍五入”。</w:t>
            </w:r>
          </w:p>
          <w:p w14:paraId="36D367AB">
            <w:pPr>
              <w:tabs>
                <w:tab w:val="left" w:pos="1599"/>
              </w:tabs>
              <w:jc w:val="left"/>
              <w:rPr>
                <w:rFonts w:ascii="宋体" w:hAnsi="宋体" w:cs="宋体"/>
                <w:b/>
                <w:bCs/>
                <w:sz w:val="24"/>
                <w:szCs w:val="24"/>
                <w:highlight w:val="none"/>
              </w:rPr>
            </w:pPr>
            <w:r>
              <w:rPr>
                <w:rFonts w:hint="eastAsia" w:ascii="宋体" w:hAnsi="宋体" w:cs="宋体"/>
                <w:sz w:val="24"/>
                <w:szCs w:val="24"/>
                <w:highlight w:val="none"/>
              </w:rPr>
              <w:t>5）评审过程中，若出现特殊情况时，由评审委员会决定暂停评审，并提出具体处理意见。</w:t>
            </w:r>
          </w:p>
        </w:tc>
      </w:tr>
    </w:tbl>
    <w:p w14:paraId="7595AD67">
      <w:pPr>
        <w:rPr>
          <w:rFonts w:asciiTheme="minorEastAsia" w:hAnsiTheme="minorEastAsia" w:eastAsiaTheme="minorEastAsia" w:cstheme="minorEastAsia"/>
          <w:b/>
          <w:spacing w:val="4"/>
          <w:sz w:val="24"/>
          <w:szCs w:val="24"/>
          <w:highlight w:val="none"/>
        </w:rPr>
      </w:pPr>
    </w:p>
    <w:p w14:paraId="7106852A">
      <w:pPr>
        <w:spacing w:line="360" w:lineRule="auto"/>
        <w:rPr>
          <w:rFonts w:asciiTheme="minorEastAsia" w:hAnsiTheme="minorEastAsia" w:eastAsiaTheme="minorEastAsia" w:cstheme="minorEastAsia"/>
          <w:b/>
          <w:spacing w:val="4"/>
          <w:sz w:val="24"/>
          <w:szCs w:val="24"/>
          <w:highlight w:val="none"/>
        </w:rPr>
      </w:pPr>
      <w:r>
        <w:rPr>
          <w:rFonts w:hint="eastAsia" w:asciiTheme="minorEastAsia" w:hAnsiTheme="minorEastAsia" w:eastAsiaTheme="minorEastAsia" w:cstheme="minorEastAsia"/>
          <w:b/>
          <w:spacing w:val="4"/>
          <w:sz w:val="24"/>
          <w:szCs w:val="24"/>
          <w:highlight w:val="none"/>
        </w:rPr>
        <w:t>五、定标：</w:t>
      </w:r>
    </w:p>
    <w:p w14:paraId="53272D76">
      <w:pPr>
        <w:spacing w:line="360" w:lineRule="auto"/>
        <w:ind w:firstLine="496" w:firstLineChars="200"/>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1、评标结果由全体</w:t>
      </w:r>
      <w:r>
        <w:rPr>
          <w:rFonts w:hint="eastAsia" w:asciiTheme="minorEastAsia" w:hAnsiTheme="minorEastAsia" w:eastAsiaTheme="minorEastAsia" w:cstheme="minorEastAsia"/>
          <w:sz w:val="24"/>
          <w:szCs w:val="24"/>
          <w:highlight w:val="none"/>
        </w:rPr>
        <w:t>评标委员会成员</w:t>
      </w:r>
      <w:r>
        <w:rPr>
          <w:rFonts w:hint="eastAsia" w:asciiTheme="minorEastAsia" w:hAnsiTheme="minorEastAsia" w:eastAsiaTheme="minorEastAsia" w:cstheme="minorEastAsia"/>
          <w:spacing w:val="4"/>
          <w:sz w:val="24"/>
          <w:szCs w:val="24"/>
          <w:highlight w:val="none"/>
        </w:rPr>
        <w:t>签字确认。</w:t>
      </w:r>
    </w:p>
    <w:p w14:paraId="2BF0BB7A">
      <w:pPr>
        <w:spacing w:line="360" w:lineRule="auto"/>
        <w:ind w:firstLine="496" w:firstLineChars="200"/>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2、采购人根据评标报告中推荐的中标候选人排列顺序确定供应商，以复函通知招标代理机构。</w:t>
      </w:r>
    </w:p>
    <w:p w14:paraId="5678A032">
      <w:pPr>
        <w:spacing w:line="360" w:lineRule="auto"/>
        <w:rPr>
          <w:rFonts w:asciiTheme="minorEastAsia" w:hAnsiTheme="minorEastAsia" w:eastAsiaTheme="minorEastAsia" w:cstheme="minorEastAsia"/>
          <w:sz w:val="36"/>
          <w:szCs w:val="36"/>
          <w:highlight w:val="none"/>
        </w:rPr>
      </w:pPr>
      <w:r>
        <w:rPr>
          <w:rFonts w:hint="eastAsia" w:asciiTheme="minorEastAsia" w:hAnsiTheme="minorEastAsia" w:eastAsiaTheme="minorEastAsia" w:cstheme="minorEastAsia"/>
          <w:sz w:val="36"/>
          <w:szCs w:val="36"/>
          <w:highlight w:val="none"/>
        </w:rPr>
        <w:br w:type="page"/>
      </w:r>
    </w:p>
    <w:p w14:paraId="2564CFB0">
      <w:pPr>
        <w:pStyle w:val="4"/>
        <w:jc w:val="center"/>
        <w:rPr>
          <w:rFonts w:asciiTheme="minorEastAsia" w:hAnsiTheme="minorEastAsia" w:eastAsiaTheme="minorEastAsia" w:cstheme="minorEastAsia"/>
          <w:bCs/>
          <w:sz w:val="36"/>
          <w:szCs w:val="36"/>
          <w:highlight w:val="none"/>
        </w:rPr>
      </w:pPr>
      <w:bookmarkStart w:id="79" w:name="_Toc26850"/>
      <w:r>
        <w:rPr>
          <w:rFonts w:hint="eastAsia" w:asciiTheme="minorEastAsia" w:hAnsiTheme="minorEastAsia" w:eastAsiaTheme="minorEastAsia" w:cstheme="minorEastAsia"/>
          <w:sz w:val="36"/>
          <w:szCs w:val="36"/>
          <w:highlight w:val="none"/>
        </w:rPr>
        <w:t xml:space="preserve">第四章 </w:t>
      </w:r>
      <w:bookmarkEnd w:id="74"/>
      <w:bookmarkEnd w:id="75"/>
      <w:bookmarkEnd w:id="76"/>
      <w:bookmarkEnd w:id="77"/>
      <w:bookmarkStart w:id="80" w:name="_Toc2068"/>
      <w:r>
        <w:rPr>
          <w:rFonts w:hint="eastAsia" w:asciiTheme="minorEastAsia" w:hAnsiTheme="minorEastAsia" w:eastAsiaTheme="minorEastAsia" w:cstheme="minorEastAsia"/>
          <w:sz w:val="36"/>
          <w:szCs w:val="36"/>
          <w:highlight w:val="none"/>
        </w:rPr>
        <w:t xml:space="preserve"> </w:t>
      </w:r>
      <w:r>
        <w:rPr>
          <w:rFonts w:hint="eastAsia" w:asciiTheme="minorEastAsia" w:hAnsiTheme="minorEastAsia" w:eastAsiaTheme="minorEastAsia" w:cstheme="minorEastAsia"/>
          <w:bCs/>
          <w:sz w:val="36"/>
          <w:szCs w:val="36"/>
          <w:highlight w:val="none"/>
        </w:rPr>
        <w:t>合同条款及格式</w:t>
      </w:r>
      <w:bookmarkEnd w:id="78"/>
      <w:bookmarkEnd w:id="79"/>
      <w:bookmarkEnd w:id="80"/>
    </w:p>
    <w:p w14:paraId="6DED5AE2">
      <w:pPr>
        <w:pStyle w:val="5"/>
        <w:jc w:val="center"/>
        <w:rPr>
          <w:rFonts w:asciiTheme="minorEastAsia" w:hAnsiTheme="minorEastAsia" w:eastAsiaTheme="minorEastAsia" w:cstheme="minorEastAsia"/>
          <w:highlight w:val="none"/>
        </w:rPr>
      </w:pPr>
      <w:bookmarkStart w:id="81" w:name="_Toc6496"/>
      <w:bookmarkStart w:id="82" w:name="_Toc6935"/>
      <w:bookmarkStart w:id="83" w:name="_Toc30560"/>
      <w:r>
        <w:rPr>
          <w:rFonts w:hint="eastAsia" w:asciiTheme="minorEastAsia" w:hAnsiTheme="minorEastAsia" w:eastAsiaTheme="minorEastAsia" w:cstheme="minorEastAsia"/>
          <w:highlight w:val="none"/>
        </w:rPr>
        <w:t>合同条款及格式前附表</w:t>
      </w:r>
      <w:bookmarkEnd w:id="81"/>
      <w:bookmarkEnd w:id="82"/>
      <w:bookmarkEnd w:id="83"/>
    </w:p>
    <w:p w14:paraId="3F361F1C">
      <w:pPr>
        <w:ind w:firstLine="480" w:firstLineChars="200"/>
        <w:rPr>
          <w:rFonts w:asciiTheme="minorEastAsia" w:hAnsiTheme="minorEastAsia" w:eastAsiaTheme="minorEastAsia" w:cstheme="minorEastAsia"/>
          <w:bCs/>
          <w:sz w:val="36"/>
          <w:szCs w:val="36"/>
          <w:highlight w:val="none"/>
        </w:rPr>
      </w:pPr>
      <w:r>
        <w:rPr>
          <w:rFonts w:hint="eastAsia" w:asciiTheme="minorEastAsia" w:hAnsiTheme="minorEastAsia" w:eastAsiaTheme="minorEastAsia" w:cstheme="minorEastAsia"/>
          <w:sz w:val="24"/>
          <w:szCs w:val="24"/>
          <w:highlight w:val="none"/>
        </w:rPr>
        <w:t>本表是对合同条款的具体补充和修改，如有矛盾，应以本资料表为准。</w:t>
      </w:r>
    </w:p>
    <w:tbl>
      <w:tblPr>
        <w:tblStyle w:val="27"/>
        <w:tblW w:w="4999"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28" w:type="dxa"/>
          <w:bottom w:w="0" w:type="dxa"/>
          <w:right w:w="28" w:type="dxa"/>
        </w:tblCellMar>
      </w:tblPr>
      <w:tblGrid>
        <w:gridCol w:w="1088"/>
        <w:gridCol w:w="8151"/>
      </w:tblGrid>
      <w:tr w14:paraId="45327D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301" w:hRule="atLeast"/>
        </w:trPr>
        <w:tc>
          <w:tcPr>
            <w:tcW w:w="589" w:type="pct"/>
            <w:vAlign w:val="center"/>
          </w:tcPr>
          <w:p w14:paraId="3E9BF210">
            <w:pPr>
              <w:spacing w:line="360" w:lineRule="auto"/>
              <w:jc w:val="center"/>
              <w:rPr>
                <w:rFonts w:ascii="宋体" w:hAnsi="宋体" w:cs="宋体"/>
                <w:b/>
                <w:sz w:val="24"/>
                <w:szCs w:val="24"/>
                <w:highlight w:val="none"/>
              </w:rPr>
            </w:pPr>
            <w:bookmarkStart w:id="84" w:name="_Toc19246"/>
            <w:bookmarkStart w:id="85" w:name="_Toc31520"/>
            <w:bookmarkStart w:id="86" w:name="_Toc26595"/>
            <w:bookmarkStart w:id="87" w:name="_Toc389582037"/>
            <w:bookmarkStart w:id="88" w:name="_Toc4679"/>
            <w:bookmarkStart w:id="89" w:name="_Toc8333"/>
            <w:bookmarkStart w:id="90" w:name="_Toc29888"/>
            <w:bookmarkStart w:id="91" w:name="_Toc19199"/>
            <w:r>
              <w:rPr>
                <w:rFonts w:hint="eastAsia" w:ascii="宋体" w:hAnsi="宋体" w:cs="宋体"/>
                <w:b/>
                <w:sz w:val="24"/>
                <w:szCs w:val="24"/>
                <w:highlight w:val="none"/>
              </w:rPr>
              <w:t>序号</w:t>
            </w:r>
          </w:p>
        </w:tc>
        <w:tc>
          <w:tcPr>
            <w:tcW w:w="4410" w:type="pct"/>
            <w:vAlign w:val="center"/>
          </w:tcPr>
          <w:p w14:paraId="36D8BD68">
            <w:pPr>
              <w:spacing w:line="360" w:lineRule="auto"/>
              <w:jc w:val="center"/>
              <w:rPr>
                <w:rFonts w:ascii="宋体" w:hAnsi="宋体" w:cs="宋体"/>
                <w:b/>
                <w:sz w:val="24"/>
                <w:szCs w:val="24"/>
                <w:highlight w:val="none"/>
              </w:rPr>
            </w:pPr>
            <w:r>
              <w:rPr>
                <w:rFonts w:hint="eastAsia" w:ascii="宋体" w:hAnsi="宋体" w:cs="宋体"/>
                <w:b/>
                <w:sz w:val="24"/>
                <w:szCs w:val="24"/>
                <w:highlight w:val="none"/>
              </w:rPr>
              <w:t>内      容</w:t>
            </w:r>
          </w:p>
        </w:tc>
      </w:tr>
      <w:tr w14:paraId="2128E3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589" w:type="pct"/>
            <w:vAlign w:val="center"/>
          </w:tcPr>
          <w:p w14:paraId="112F6779">
            <w:pPr>
              <w:jc w:val="center"/>
              <w:rPr>
                <w:rFonts w:ascii="宋体" w:hAnsi="宋体" w:cs="宋体"/>
                <w:sz w:val="24"/>
                <w:szCs w:val="24"/>
                <w:highlight w:val="none"/>
              </w:rPr>
            </w:pPr>
            <w:r>
              <w:rPr>
                <w:rFonts w:hint="eastAsia" w:ascii="宋体" w:hAnsi="宋体" w:cs="宋体"/>
                <w:sz w:val="24"/>
                <w:szCs w:val="24"/>
                <w:highlight w:val="none"/>
              </w:rPr>
              <w:t>1</w:t>
            </w:r>
          </w:p>
        </w:tc>
        <w:tc>
          <w:tcPr>
            <w:tcW w:w="4410" w:type="pct"/>
            <w:vAlign w:val="center"/>
          </w:tcPr>
          <w:p w14:paraId="01EA7F7E">
            <w:pPr>
              <w:spacing w:line="336" w:lineRule="auto"/>
              <w:jc w:val="left"/>
              <w:rPr>
                <w:rFonts w:hint="eastAsia" w:ascii="宋体" w:hAnsi="宋体" w:eastAsia="宋体" w:cs="宋体"/>
                <w:sz w:val="24"/>
                <w:szCs w:val="24"/>
                <w:highlight w:val="none"/>
                <w:lang w:eastAsia="zh-CN"/>
              </w:rPr>
            </w:pPr>
            <w:r>
              <w:rPr>
                <w:rFonts w:hint="eastAsia" w:ascii="宋体" w:hAnsi="宋体" w:cs="宋体"/>
                <w:sz w:val="24"/>
                <w:szCs w:val="24"/>
                <w:highlight w:val="none"/>
              </w:rPr>
              <w:t>采购人：</w:t>
            </w:r>
            <w:r>
              <w:rPr>
                <w:rFonts w:hint="eastAsia" w:ascii="宋体" w:hAnsi="宋体" w:cs="宋体"/>
                <w:kern w:val="0"/>
                <w:sz w:val="24"/>
                <w:szCs w:val="24"/>
                <w:highlight w:val="none"/>
                <w:lang w:eastAsia="zh-CN"/>
              </w:rPr>
              <w:t>山阳县城区森林公园管理站</w:t>
            </w:r>
          </w:p>
          <w:p w14:paraId="43FC7B18">
            <w:pPr>
              <w:spacing w:line="336" w:lineRule="auto"/>
              <w:rPr>
                <w:rFonts w:hint="eastAsia" w:ascii="宋体" w:hAnsi="宋体" w:eastAsia="宋体" w:cs="宋体"/>
                <w:color w:val="000000" w:themeColor="text1"/>
                <w:sz w:val="24"/>
                <w:szCs w:val="24"/>
                <w:highlight w:val="none"/>
                <w:lang w:eastAsia="zh-CN"/>
              </w:rPr>
            </w:pPr>
            <w:r>
              <w:rPr>
                <w:rFonts w:hint="eastAsia" w:ascii="宋体" w:hAnsi="宋体" w:cs="宋体"/>
                <w:sz w:val="24"/>
                <w:szCs w:val="24"/>
                <w:highlight w:val="none"/>
              </w:rPr>
              <w:t>地址：</w:t>
            </w:r>
            <w:r>
              <w:rPr>
                <w:rFonts w:hint="eastAsia" w:ascii="宋体" w:hAnsi="宋体" w:cs="宋体"/>
                <w:kern w:val="0"/>
                <w:sz w:val="24"/>
                <w:szCs w:val="24"/>
                <w:highlight w:val="none"/>
                <w:lang w:eastAsia="zh-CN"/>
              </w:rPr>
              <w:t>山阳县城关街办西关</w:t>
            </w:r>
          </w:p>
          <w:p w14:paraId="7073BE4A">
            <w:pPr>
              <w:spacing w:line="336" w:lineRule="auto"/>
              <w:rPr>
                <w:rFonts w:hint="eastAsia" w:ascii="宋体" w:hAnsi="宋体" w:eastAsia="宋体" w:cs="宋体"/>
                <w:sz w:val="24"/>
                <w:szCs w:val="24"/>
                <w:highlight w:val="none"/>
                <w:lang w:eastAsia="zh-CN"/>
              </w:rPr>
            </w:pPr>
            <w:r>
              <w:rPr>
                <w:rFonts w:hint="eastAsia" w:ascii="宋体" w:hAnsi="宋体" w:cs="宋体"/>
                <w:color w:val="000000" w:themeColor="text1"/>
                <w:sz w:val="24"/>
                <w:szCs w:val="24"/>
                <w:highlight w:val="none"/>
              </w:rPr>
              <w:t>项目名称：</w:t>
            </w:r>
            <w:r>
              <w:rPr>
                <w:rFonts w:hint="eastAsia" w:ascii="宋体" w:hAnsi="宋体" w:cs="宋体"/>
                <w:color w:val="000000" w:themeColor="text1"/>
                <w:sz w:val="24"/>
                <w:szCs w:val="24"/>
                <w:highlight w:val="none"/>
                <w:lang w:eastAsia="zh-CN"/>
              </w:rPr>
              <w:t>商洛市秦岭中段(南麓)水源涵养与生物多样性保护恢复项目2024年山阳县退化林修复</w:t>
            </w:r>
          </w:p>
          <w:p w14:paraId="768020E1">
            <w:pPr>
              <w:spacing w:line="360" w:lineRule="auto"/>
              <w:rPr>
                <w:rFonts w:ascii="宋体" w:hAnsi="宋体" w:cs="宋体"/>
                <w:sz w:val="24"/>
                <w:szCs w:val="24"/>
                <w:highlight w:val="none"/>
              </w:rPr>
            </w:pPr>
            <w:r>
              <w:rPr>
                <w:rFonts w:hint="eastAsia" w:ascii="宋体" w:hAnsi="宋体" w:cs="宋体"/>
                <w:sz w:val="24"/>
                <w:szCs w:val="24"/>
                <w:highlight w:val="none"/>
              </w:rPr>
              <w:t>资金来源：财政资金，资金已落实</w:t>
            </w:r>
          </w:p>
        </w:tc>
      </w:tr>
      <w:tr w14:paraId="783DA81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603" w:hRule="atLeast"/>
        </w:trPr>
        <w:tc>
          <w:tcPr>
            <w:tcW w:w="589" w:type="pct"/>
            <w:shd w:val="clear" w:color="auto" w:fill="auto"/>
            <w:vAlign w:val="center"/>
          </w:tcPr>
          <w:p w14:paraId="604DD239">
            <w:pPr>
              <w:spacing w:line="360" w:lineRule="auto"/>
              <w:jc w:val="center"/>
              <w:rPr>
                <w:rFonts w:ascii="宋体" w:hAnsi="宋体" w:cs="宋体"/>
                <w:sz w:val="24"/>
                <w:szCs w:val="24"/>
                <w:highlight w:val="none"/>
              </w:rPr>
            </w:pPr>
            <w:r>
              <w:rPr>
                <w:rFonts w:hint="eastAsia" w:ascii="宋体" w:hAnsi="宋体" w:cs="宋体"/>
                <w:sz w:val="24"/>
                <w:szCs w:val="24"/>
                <w:highlight w:val="none"/>
              </w:rPr>
              <w:t>2</w:t>
            </w:r>
          </w:p>
        </w:tc>
        <w:tc>
          <w:tcPr>
            <w:tcW w:w="4410" w:type="pct"/>
            <w:shd w:val="clear" w:color="auto" w:fill="auto"/>
            <w:vAlign w:val="center"/>
          </w:tcPr>
          <w:p w14:paraId="2F096E11">
            <w:pPr>
              <w:spacing w:line="360" w:lineRule="auto"/>
              <w:rPr>
                <w:rFonts w:ascii="宋体" w:hAnsi="宋体" w:cs="宋体"/>
                <w:sz w:val="24"/>
                <w:szCs w:val="24"/>
                <w:highlight w:val="none"/>
              </w:rPr>
            </w:pPr>
            <w:r>
              <w:rPr>
                <w:rFonts w:hint="eastAsia" w:ascii="宋体" w:hAnsi="宋体" w:cs="宋体"/>
                <w:sz w:val="24"/>
                <w:szCs w:val="24"/>
                <w:highlight w:val="none"/>
              </w:rPr>
              <w:t>项目实施地点：</w:t>
            </w:r>
            <w:r>
              <w:rPr>
                <w:rFonts w:hint="eastAsia" w:ascii="宋体" w:hAnsi="宋体" w:cs="宋体"/>
                <w:sz w:val="24"/>
                <w:szCs w:val="24"/>
                <w:highlight w:val="none"/>
                <w:lang w:val="en-US" w:eastAsia="zh-CN"/>
              </w:rPr>
              <w:t>采购人指定地点</w:t>
            </w:r>
          </w:p>
        </w:tc>
      </w:tr>
      <w:tr w14:paraId="068C479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0" w:hRule="atLeast"/>
        </w:trPr>
        <w:tc>
          <w:tcPr>
            <w:tcW w:w="589" w:type="pct"/>
            <w:shd w:val="clear" w:color="auto" w:fill="auto"/>
            <w:vAlign w:val="center"/>
          </w:tcPr>
          <w:p w14:paraId="3F7171D2">
            <w:pPr>
              <w:spacing w:line="360" w:lineRule="auto"/>
              <w:jc w:val="center"/>
              <w:rPr>
                <w:rFonts w:ascii="宋体" w:hAnsi="宋体" w:cs="宋体"/>
                <w:sz w:val="24"/>
                <w:szCs w:val="24"/>
                <w:highlight w:val="none"/>
              </w:rPr>
            </w:pPr>
            <w:r>
              <w:rPr>
                <w:rFonts w:hint="eastAsia" w:ascii="宋体" w:hAnsi="宋体" w:cs="宋体"/>
                <w:sz w:val="24"/>
                <w:szCs w:val="24"/>
                <w:highlight w:val="none"/>
              </w:rPr>
              <w:t>3</w:t>
            </w:r>
          </w:p>
        </w:tc>
        <w:tc>
          <w:tcPr>
            <w:tcW w:w="4410" w:type="pct"/>
            <w:shd w:val="clear" w:color="auto" w:fill="auto"/>
            <w:vAlign w:val="center"/>
          </w:tcPr>
          <w:p w14:paraId="2D17AD31">
            <w:pPr>
              <w:spacing w:line="360" w:lineRule="auto"/>
              <w:rPr>
                <w:rFonts w:ascii="宋体" w:hAnsi="宋体" w:cs="宋体"/>
                <w:sz w:val="24"/>
                <w:szCs w:val="24"/>
                <w:highlight w:val="none"/>
              </w:rPr>
            </w:pPr>
            <w:r>
              <w:rPr>
                <w:rFonts w:hint="eastAsia" w:ascii="宋体" w:hAnsi="宋体" w:cs="宋体"/>
                <w:b/>
                <w:bCs/>
                <w:color w:val="000000" w:themeColor="text1"/>
                <w:sz w:val="24"/>
                <w:szCs w:val="24"/>
                <w:highlight w:val="none"/>
              </w:rPr>
              <w:t>工期：自合同签订之日起</w:t>
            </w:r>
            <w:r>
              <w:rPr>
                <w:rFonts w:hint="eastAsia" w:ascii="宋体" w:hAnsi="宋体" w:cs="宋体"/>
                <w:b/>
                <w:bCs/>
                <w:color w:val="000000" w:themeColor="text1"/>
                <w:sz w:val="24"/>
                <w:szCs w:val="24"/>
                <w:highlight w:val="none"/>
                <w:lang w:val="en-US" w:eastAsia="zh-CN"/>
              </w:rPr>
              <w:t>210</w:t>
            </w:r>
            <w:r>
              <w:rPr>
                <w:rFonts w:hint="eastAsia" w:ascii="宋体" w:hAnsi="宋体" w:cs="宋体"/>
                <w:b/>
                <w:bCs/>
                <w:color w:val="000000" w:themeColor="text1"/>
                <w:sz w:val="24"/>
                <w:szCs w:val="24"/>
                <w:highlight w:val="none"/>
              </w:rPr>
              <w:t>日历天；</w:t>
            </w:r>
          </w:p>
        </w:tc>
      </w:tr>
      <w:tr w14:paraId="4EBC783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511" w:hRule="atLeast"/>
        </w:trPr>
        <w:tc>
          <w:tcPr>
            <w:tcW w:w="589" w:type="pct"/>
            <w:shd w:val="clear" w:color="auto" w:fill="auto"/>
            <w:vAlign w:val="center"/>
          </w:tcPr>
          <w:p w14:paraId="7CF42095">
            <w:pPr>
              <w:spacing w:line="360" w:lineRule="auto"/>
              <w:jc w:val="center"/>
              <w:rPr>
                <w:rFonts w:ascii="宋体" w:hAnsi="宋体" w:cs="宋体"/>
                <w:sz w:val="24"/>
                <w:szCs w:val="24"/>
                <w:highlight w:val="none"/>
              </w:rPr>
            </w:pPr>
            <w:r>
              <w:rPr>
                <w:rFonts w:hint="eastAsia" w:ascii="宋体" w:hAnsi="宋体" w:cs="宋体"/>
                <w:sz w:val="24"/>
                <w:szCs w:val="24"/>
                <w:highlight w:val="none"/>
              </w:rPr>
              <w:t>4</w:t>
            </w:r>
          </w:p>
        </w:tc>
        <w:tc>
          <w:tcPr>
            <w:tcW w:w="4410" w:type="pct"/>
            <w:shd w:val="clear" w:color="auto" w:fill="auto"/>
            <w:vAlign w:val="center"/>
          </w:tcPr>
          <w:p w14:paraId="0AD77335">
            <w:pPr>
              <w:spacing w:line="360" w:lineRule="auto"/>
              <w:rPr>
                <w:rFonts w:ascii="宋体" w:hAnsi="宋体" w:cs="宋体"/>
                <w:sz w:val="24"/>
                <w:szCs w:val="24"/>
                <w:highlight w:val="none"/>
              </w:rPr>
            </w:pPr>
            <w:r>
              <w:rPr>
                <w:rFonts w:hint="eastAsia" w:ascii="宋体" w:hAnsi="宋体" w:cs="宋体"/>
                <w:sz w:val="24"/>
                <w:szCs w:val="24"/>
                <w:highlight w:val="none"/>
              </w:rPr>
              <w:t>质量标准：符合国家现行有关质量验收规范“合格”要求。</w:t>
            </w:r>
          </w:p>
        </w:tc>
      </w:tr>
      <w:tr w14:paraId="7A7228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589" w:type="pct"/>
            <w:vAlign w:val="center"/>
          </w:tcPr>
          <w:p w14:paraId="48C1255D">
            <w:pPr>
              <w:spacing w:line="360" w:lineRule="auto"/>
              <w:jc w:val="center"/>
              <w:rPr>
                <w:rFonts w:ascii="宋体" w:hAnsi="宋体" w:cs="宋体"/>
                <w:sz w:val="24"/>
                <w:szCs w:val="24"/>
                <w:highlight w:val="none"/>
                <w:shd w:val="clear" w:color="FFFFFF" w:fill="D9D9D9"/>
              </w:rPr>
            </w:pPr>
            <w:r>
              <w:rPr>
                <w:rFonts w:hint="eastAsia" w:ascii="宋体" w:hAnsi="宋体" w:cs="宋体"/>
                <w:sz w:val="24"/>
                <w:szCs w:val="24"/>
                <w:highlight w:val="none"/>
                <w:shd w:val="clear" w:color="FFFFFF" w:fill="D9D9D9"/>
              </w:rPr>
              <w:t>5</w:t>
            </w:r>
          </w:p>
        </w:tc>
        <w:tc>
          <w:tcPr>
            <w:tcW w:w="4410" w:type="pct"/>
            <w:vAlign w:val="center"/>
          </w:tcPr>
          <w:p w14:paraId="60DBCCEB">
            <w:pPr>
              <w:spacing w:line="360" w:lineRule="auto"/>
              <w:rPr>
                <w:rFonts w:ascii="宋体" w:hAnsi="宋体" w:cs="宋体"/>
                <w:sz w:val="24"/>
                <w:szCs w:val="24"/>
                <w:highlight w:val="none"/>
              </w:rPr>
            </w:pPr>
            <w:r>
              <w:rPr>
                <w:rFonts w:hint="eastAsia" w:ascii="宋体" w:hAnsi="宋体" w:cs="宋体"/>
                <w:sz w:val="24"/>
                <w:szCs w:val="24"/>
                <w:highlight w:val="none"/>
              </w:rPr>
              <w:t>1.合同总价即中标价，中标报价采用固定总价。中标报价是招标文件所确定的全部工程内容的价格体现。任何有选择的报价将不予接受，按无效投标响应。投标人根据自行确定的施工方案进行自主报价。</w:t>
            </w:r>
          </w:p>
          <w:p w14:paraId="08CB3DD9">
            <w:pPr>
              <w:spacing w:line="360" w:lineRule="auto"/>
              <w:rPr>
                <w:rFonts w:ascii="宋体" w:hAnsi="宋体" w:cs="宋体"/>
                <w:sz w:val="24"/>
                <w:szCs w:val="24"/>
                <w:highlight w:val="none"/>
              </w:rPr>
            </w:pPr>
            <w:r>
              <w:rPr>
                <w:rFonts w:hint="eastAsia" w:ascii="宋体" w:hAnsi="宋体" w:cs="宋体"/>
                <w:sz w:val="24"/>
                <w:szCs w:val="24"/>
                <w:highlight w:val="none"/>
              </w:rPr>
              <w:t>2.中标后合同总价不做调整，不再因为环境的变化和工程量的增减而变化，任何有选择的报价将不予接受。</w:t>
            </w:r>
          </w:p>
          <w:p w14:paraId="376CF3C8">
            <w:pPr>
              <w:spacing w:line="360" w:lineRule="auto"/>
              <w:rPr>
                <w:rFonts w:ascii="宋体" w:hAnsi="宋体" w:cs="宋体"/>
                <w:sz w:val="24"/>
                <w:szCs w:val="24"/>
                <w:highlight w:val="none"/>
              </w:rPr>
            </w:pPr>
            <w:r>
              <w:rPr>
                <w:rFonts w:hint="eastAsia" w:ascii="宋体" w:hAnsi="宋体" w:cs="宋体"/>
                <w:sz w:val="24"/>
                <w:szCs w:val="24"/>
                <w:highlight w:val="none"/>
              </w:rPr>
              <w:t>3.付款方式和程序：</w:t>
            </w:r>
          </w:p>
          <w:p w14:paraId="2A08AF9E">
            <w:pPr>
              <w:spacing w:line="360" w:lineRule="auto"/>
              <w:rPr>
                <w:rFonts w:ascii="宋体" w:hAnsi="宋体" w:cs="宋体"/>
                <w:sz w:val="24"/>
                <w:szCs w:val="24"/>
                <w:highlight w:val="none"/>
              </w:rPr>
            </w:pPr>
            <w:r>
              <w:rPr>
                <w:rFonts w:hint="eastAsia" w:ascii="宋体" w:hAnsi="宋体" w:cs="宋体"/>
                <w:sz w:val="24"/>
                <w:szCs w:val="24"/>
                <w:highlight w:val="none"/>
              </w:rPr>
              <w:t>（1）银行转账，项目实施完成并通过验收后，由供应商提供票据等财务报账所需材料进行报账。</w:t>
            </w:r>
          </w:p>
          <w:p w14:paraId="547F20EC">
            <w:pPr>
              <w:spacing w:line="360" w:lineRule="auto"/>
              <w:rPr>
                <w:rFonts w:ascii="宋体" w:hAnsi="宋体" w:cs="宋体"/>
                <w:sz w:val="24"/>
                <w:szCs w:val="24"/>
                <w:highlight w:val="none"/>
              </w:rPr>
            </w:pPr>
            <w:r>
              <w:rPr>
                <w:rFonts w:hint="eastAsia" w:ascii="宋体" w:hAnsi="宋体" w:cs="宋体"/>
                <w:sz w:val="24"/>
                <w:szCs w:val="24"/>
                <w:highlight w:val="none"/>
              </w:rPr>
              <w:t>（2）付款方式：具体以合同签订为准</w:t>
            </w:r>
          </w:p>
        </w:tc>
      </w:tr>
      <w:tr w14:paraId="677AB320">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2215" w:hRule="atLeast"/>
        </w:trPr>
        <w:tc>
          <w:tcPr>
            <w:tcW w:w="589" w:type="pct"/>
            <w:vAlign w:val="center"/>
          </w:tcPr>
          <w:p w14:paraId="42B9C334">
            <w:pPr>
              <w:spacing w:line="360" w:lineRule="auto"/>
              <w:jc w:val="center"/>
              <w:rPr>
                <w:rFonts w:ascii="宋体" w:hAnsi="宋体" w:cs="宋体"/>
                <w:sz w:val="24"/>
                <w:szCs w:val="24"/>
                <w:highlight w:val="none"/>
              </w:rPr>
            </w:pPr>
            <w:r>
              <w:rPr>
                <w:rFonts w:hint="eastAsia" w:ascii="宋体" w:hAnsi="宋体" w:cs="宋体"/>
                <w:sz w:val="24"/>
                <w:szCs w:val="24"/>
                <w:highlight w:val="none"/>
              </w:rPr>
              <w:t>6</w:t>
            </w:r>
          </w:p>
        </w:tc>
        <w:tc>
          <w:tcPr>
            <w:tcW w:w="4410" w:type="pct"/>
            <w:vAlign w:val="center"/>
          </w:tcPr>
          <w:p w14:paraId="469F5435">
            <w:pPr>
              <w:pStyle w:val="14"/>
              <w:spacing w:line="360" w:lineRule="auto"/>
              <w:rPr>
                <w:rFonts w:hAnsi="宋体"/>
                <w:b/>
                <w:bCs/>
                <w:kern w:val="0"/>
                <w:sz w:val="24"/>
                <w:szCs w:val="24"/>
                <w:highlight w:val="none"/>
              </w:rPr>
            </w:pPr>
            <w:r>
              <w:rPr>
                <w:rFonts w:hint="eastAsia" w:hAnsi="宋体"/>
                <w:b/>
                <w:bCs/>
                <w:kern w:val="0"/>
                <w:sz w:val="24"/>
                <w:szCs w:val="24"/>
                <w:highlight w:val="none"/>
              </w:rPr>
              <w:t>质量保证：</w:t>
            </w:r>
          </w:p>
          <w:p w14:paraId="7F21F9FE">
            <w:pPr>
              <w:spacing w:line="520" w:lineRule="exact"/>
              <w:ind w:firstLine="480" w:firstLineChars="200"/>
              <w:rPr>
                <w:rFonts w:ascii="宋体" w:hAnsi="宋体" w:cs="宋体"/>
                <w:kern w:val="0"/>
                <w:sz w:val="24"/>
                <w:szCs w:val="24"/>
                <w:highlight w:val="none"/>
              </w:rPr>
            </w:pPr>
            <w:r>
              <w:rPr>
                <w:rFonts w:hint="eastAsia" w:ascii="宋体" w:hAnsi="宋体" w:cs="宋体"/>
                <w:sz w:val="24"/>
                <w:szCs w:val="24"/>
                <w:highlight w:val="none"/>
              </w:rPr>
              <w:t>供应商必须保证工程及服务质量可靠，并全面满足招标文件的要求，招标文件未明确要求的内容，供应商须按采购人的补充要求为准。技术标准严格按国家最新发布的规范标准执行，如发生质量问题由供应商承担全部责任。</w:t>
            </w:r>
          </w:p>
        </w:tc>
      </w:tr>
      <w:tr w14:paraId="0AF0562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589" w:type="pct"/>
            <w:vAlign w:val="center"/>
          </w:tcPr>
          <w:p w14:paraId="326CD33F">
            <w:pPr>
              <w:spacing w:line="360" w:lineRule="auto"/>
              <w:jc w:val="center"/>
              <w:rPr>
                <w:rFonts w:ascii="宋体" w:hAnsi="宋体" w:cs="宋体"/>
                <w:sz w:val="24"/>
                <w:szCs w:val="24"/>
                <w:highlight w:val="none"/>
              </w:rPr>
            </w:pPr>
            <w:r>
              <w:rPr>
                <w:rFonts w:hint="eastAsia" w:ascii="宋体" w:hAnsi="宋体" w:cs="宋体"/>
                <w:sz w:val="24"/>
                <w:szCs w:val="24"/>
                <w:highlight w:val="none"/>
              </w:rPr>
              <w:t>7</w:t>
            </w:r>
          </w:p>
        </w:tc>
        <w:tc>
          <w:tcPr>
            <w:tcW w:w="4410" w:type="pct"/>
            <w:vAlign w:val="center"/>
          </w:tcPr>
          <w:p w14:paraId="2F71D047">
            <w:pPr>
              <w:spacing w:line="360" w:lineRule="auto"/>
              <w:rPr>
                <w:rFonts w:ascii="宋体" w:hAnsi="宋体" w:cs="宋体"/>
                <w:b/>
                <w:sz w:val="24"/>
                <w:szCs w:val="24"/>
                <w:highlight w:val="none"/>
              </w:rPr>
            </w:pPr>
            <w:r>
              <w:rPr>
                <w:rFonts w:hint="eastAsia" w:ascii="宋体" w:hAnsi="宋体" w:cs="宋体"/>
                <w:b/>
                <w:sz w:val="24"/>
                <w:szCs w:val="24"/>
                <w:highlight w:val="none"/>
              </w:rPr>
              <w:t>验收：</w:t>
            </w:r>
          </w:p>
          <w:p w14:paraId="065976E1">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由采购人和供应商共同对项目进行整体验收。其内容包括退化林修复是否达到现行国家有关验收规范“合格”标准、是否按照采购人要求按时完工。</w:t>
            </w:r>
          </w:p>
          <w:p w14:paraId="09F533A9">
            <w:pPr>
              <w:spacing w:line="520" w:lineRule="exact"/>
              <w:ind w:firstLine="480" w:firstLineChars="200"/>
              <w:rPr>
                <w:rFonts w:ascii="宋体" w:hAnsi="宋体" w:cs="宋体"/>
                <w:sz w:val="24"/>
                <w:szCs w:val="24"/>
                <w:highlight w:val="none"/>
              </w:rPr>
            </w:pPr>
            <w:r>
              <w:rPr>
                <w:rFonts w:hint="eastAsia" w:ascii="宋体" w:hAnsi="宋体" w:cs="宋体"/>
                <w:sz w:val="24"/>
                <w:szCs w:val="24"/>
                <w:highlight w:val="none"/>
              </w:rPr>
              <w:t>1.所验各项内容最终验收达不到招标文件要求和投标文件承诺的，或在后续使用中发现采购人不能容忍的缺陷等，将视为验收不合格，供应商应在采购人要求的时间内无条件整改及恢复。</w:t>
            </w:r>
          </w:p>
          <w:p w14:paraId="32CE2F24">
            <w:pPr>
              <w:spacing w:line="520" w:lineRule="exact"/>
              <w:ind w:firstLine="480" w:firstLineChars="200"/>
              <w:rPr>
                <w:rFonts w:ascii="宋体" w:hAnsi="宋体" w:cs="宋体"/>
                <w:sz w:val="24"/>
                <w:szCs w:val="24"/>
                <w:highlight w:val="none"/>
              </w:rPr>
            </w:pPr>
            <w:r>
              <w:rPr>
                <w:rFonts w:hint="eastAsia" w:ascii="宋体" w:hAnsi="宋体" w:cs="宋体"/>
                <w:sz w:val="24"/>
                <w:szCs w:val="24"/>
                <w:highlight w:val="none"/>
              </w:rPr>
              <w:t>2.若发现供应商有弄虚作假的，在投标阶段故意或随意夸大技术能力、工程、服务质量的，采购人有权解除合同，并且要求供应商赔偿相关损失。</w:t>
            </w:r>
          </w:p>
          <w:p w14:paraId="768EF137">
            <w:pPr>
              <w:spacing w:line="520" w:lineRule="exact"/>
              <w:ind w:firstLine="480" w:firstLineChars="200"/>
              <w:rPr>
                <w:rFonts w:ascii="宋体" w:hAnsi="宋体" w:cs="宋体"/>
                <w:sz w:val="24"/>
                <w:szCs w:val="24"/>
                <w:highlight w:val="none"/>
              </w:rPr>
            </w:pPr>
            <w:r>
              <w:rPr>
                <w:rFonts w:hint="eastAsia" w:ascii="宋体" w:hAnsi="宋体" w:cs="宋体"/>
                <w:sz w:val="24"/>
                <w:szCs w:val="24"/>
                <w:highlight w:val="none"/>
              </w:rPr>
              <w:t>3.验收标准：按招标文件、投标文件及澄清函等技术指标进行验收。各项指标均应符合验收标准及要求。</w:t>
            </w:r>
          </w:p>
          <w:p w14:paraId="06D6AAEA">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4.验收合格后，填写验收单，双方签字生效。</w:t>
            </w:r>
          </w:p>
          <w:p w14:paraId="1E499A60">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5.验收依据：</w:t>
            </w:r>
          </w:p>
          <w:p w14:paraId="28BEAB21">
            <w:pPr>
              <w:numPr>
                <w:ilvl w:val="0"/>
                <w:numId w:val="1"/>
              </w:numPr>
              <w:tabs>
                <w:tab w:val="left" w:pos="498"/>
                <w:tab w:val="clear" w:pos="840"/>
              </w:tabs>
              <w:spacing w:line="360" w:lineRule="auto"/>
              <w:ind w:hanging="625"/>
              <w:rPr>
                <w:rFonts w:ascii="宋体" w:hAnsi="宋体" w:cs="宋体"/>
                <w:sz w:val="24"/>
                <w:szCs w:val="24"/>
                <w:highlight w:val="none"/>
              </w:rPr>
            </w:pPr>
            <w:r>
              <w:rPr>
                <w:rFonts w:hint="eastAsia" w:ascii="宋体" w:hAnsi="宋体" w:cs="宋体"/>
                <w:sz w:val="24"/>
                <w:szCs w:val="24"/>
                <w:highlight w:val="none"/>
              </w:rPr>
              <w:t>合同文本；</w:t>
            </w:r>
          </w:p>
          <w:p w14:paraId="0700ECD3">
            <w:pPr>
              <w:numPr>
                <w:ilvl w:val="0"/>
                <w:numId w:val="1"/>
              </w:numPr>
              <w:tabs>
                <w:tab w:val="left" w:pos="498"/>
                <w:tab w:val="clear" w:pos="840"/>
              </w:tabs>
              <w:spacing w:line="360" w:lineRule="auto"/>
              <w:ind w:hanging="625"/>
              <w:rPr>
                <w:rFonts w:ascii="宋体" w:hAnsi="宋体" w:cs="宋体"/>
                <w:sz w:val="24"/>
                <w:szCs w:val="24"/>
                <w:highlight w:val="none"/>
              </w:rPr>
            </w:pPr>
            <w:r>
              <w:rPr>
                <w:rFonts w:hint="eastAsia" w:ascii="宋体" w:hAnsi="宋体" w:cs="宋体"/>
                <w:sz w:val="24"/>
                <w:szCs w:val="24"/>
                <w:highlight w:val="none"/>
              </w:rPr>
              <w:t>招标文件及澄清函、投标文件；</w:t>
            </w:r>
          </w:p>
          <w:p w14:paraId="70EAD297">
            <w:pPr>
              <w:numPr>
                <w:ilvl w:val="0"/>
                <w:numId w:val="1"/>
              </w:numPr>
              <w:tabs>
                <w:tab w:val="left" w:pos="498"/>
                <w:tab w:val="clear" w:pos="840"/>
              </w:tabs>
              <w:spacing w:line="360" w:lineRule="auto"/>
              <w:ind w:hanging="625"/>
              <w:rPr>
                <w:rFonts w:ascii="宋体" w:hAnsi="宋体" w:cs="宋体"/>
                <w:sz w:val="24"/>
                <w:szCs w:val="24"/>
                <w:highlight w:val="none"/>
              </w:rPr>
            </w:pPr>
            <w:r>
              <w:rPr>
                <w:rFonts w:hint="eastAsia" w:ascii="宋体" w:hAnsi="宋体" w:cs="宋体"/>
                <w:sz w:val="24"/>
                <w:szCs w:val="24"/>
                <w:highlight w:val="none"/>
              </w:rPr>
              <w:t>国家和行业制定的相应的标准和规范；</w:t>
            </w:r>
          </w:p>
          <w:p w14:paraId="237D94CD">
            <w:pPr>
              <w:tabs>
                <w:tab w:val="left" w:pos="498"/>
              </w:tabs>
              <w:spacing w:line="360" w:lineRule="auto"/>
              <w:ind w:firstLine="240" w:firstLineChars="100"/>
              <w:rPr>
                <w:rFonts w:ascii="宋体" w:hAnsi="宋体" w:cs="宋体"/>
                <w:sz w:val="24"/>
                <w:szCs w:val="24"/>
                <w:highlight w:val="none"/>
              </w:rPr>
            </w:pPr>
            <w:r>
              <w:rPr>
                <w:rFonts w:hint="eastAsia" w:ascii="宋体" w:hAnsi="宋体" w:cs="宋体"/>
                <w:sz w:val="24"/>
                <w:szCs w:val="24"/>
                <w:highlight w:val="none"/>
              </w:rPr>
              <w:t>d)验收清单。</w:t>
            </w:r>
          </w:p>
        </w:tc>
      </w:tr>
      <w:tr w14:paraId="0BE8BF6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951" w:hRule="atLeast"/>
        </w:trPr>
        <w:tc>
          <w:tcPr>
            <w:tcW w:w="589" w:type="pct"/>
            <w:vAlign w:val="center"/>
          </w:tcPr>
          <w:p w14:paraId="3940CA1A">
            <w:pPr>
              <w:pStyle w:val="14"/>
              <w:spacing w:line="360" w:lineRule="auto"/>
              <w:jc w:val="center"/>
              <w:rPr>
                <w:rFonts w:hAnsi="宋体"/>
                <w:sz w:val="24"/>
                <w:szCs w:val="24"/>
                <w:highlight w:val="none"/>
              </w:rPr>
            </w:pPr>
            <w:r>
              <w:rPr>
                <w:rFonts w:hint="eastAsia" w:hAnsi="宋体"/>
                <w:sz w:val="24"/>
                <w:szCs w:val="24"/>
                <w:highlight w:val="none"/>
              </w:rPr>
              <w:t>8</w:t>
            </w:r>
          </w:p>
        </w:tc>
        <w:tc>
          <w:tcPr>
            <w:tcW w:w="4410" w:type="pct"/>
            <w:vAlign w:val="center"/>
          </w:tcPr>
          <w:p w14:paraId="744B79C6">
            <w:pPr>
              <w:spacing w:line="360" w:lineRule="auto"/>
              <w:rPr>
                <w:rFonts w:ascii="宋体" w:hAnsi="宋体" w:cs="宋体"/>
                <w:b/>
                <w:bCs/>
                <w:sz w:val="24"/>
                <w:szCs w:val="24"/>
                <w:highlight w:val="none"/>
              </w:rPr>
            </w:pPr>
            <w:r>
              <w:rPr>
                <w:rFonts w:hint="eastAsia" w:ascii="宋体" w:hAnsi="宋体" w:cs="宋体"/>
                <w:b/>
                <w:bCs/>
                <w:sz w:val="24"/>
                <w:szCs w:val="24"/>
                <w:highlight w:val="none"/>
              </w:rPr>
              <w:t>安全责任：</w:t>
            </w:r>
          </w:p>
          <w:p w14:paraId="12459D97">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本项目施工过程及后期封育期过程中的安全责任均由中标单位负责。</w:t>
            </w:r>
          </w:p>
        </w:tc>
      </w:tr>
      <w:tr w14:paraId="6DE72B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589" w:type="pct"/>
            <w:vAlign w:val="center"/>
          </w:tcPr>
          <w:p w14:paraId="2862A0C5">
            <w:pPr>
              <w:pStyle w:val="14"/>
              <w:spacing w:line="360" w:lineRule="auto"/>
              <w:jc w:val="center"/>
              <w:rPr>
                <w:rFonts w:hAnsi="宋体"/>
                <w:sz w:val="24"/>
                <w:szCs w:val="24"/>
                <w:highlight w:val="none"/>
              </w:rPr>
            </w:pPr>
            <w:r>
              <w:rPr>
                <w:rFonts w:hint="eastAsia" w:hAnsi="宋体"/>
                <w:sz w:val="24"/>
                <w:szCs w:val="24"/>
                <w:highlight w:val="none"/>
              </w:rPr>
              <w:t>9</w:t>
            </w:r>
          </w:p>
        </w:tc>
        <w:tc>
          <w:tcPr>
            <w:tcW w:w="4410" w:type="pct"/>
            <w:vAlign w:val="center"/>
          </w:tcPr>
          <w:p w14:paraId="71988078">
            <w:pPr>
              <w:spacing w:line="360" w:lineRule="auto"/>
              <w:rPr>
                <w:rFonts w:ascii="宋体" w:hAnsi="宋体" w:cs="宋体"/>
                <w:b/>
                <w:sz w:val="24"/>
                <w:szCs w:val="24"/>
                <w:highlight w:val="none"/>
              </w:rPr>
            </w:pPr>
            <w:r>
              <w:rPr>
                <w:rFonts w:hint="eastAsia" w:ascii="宋体" w:hAnsi="宋体" w:cs="宋体"/>
                <w:b/>
                <w:sz w:val="24"/>
                <w:szCs w:val="24"/>
                <w:highlight w:val="none"/>
              </w:rPr>
              <w:t>违约责任：</w:t>
            </w:r>
          </w:p>
          <w:p w14:paraId="23550AB7">
            <w:pPr>
              <w:tabs>
                <w:tab w:val="left" w:pos="152"/>
              </w:tabs>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1、按《民法典》中的相关条款执行。</w:t>
            </w:r>
          </w:p>
          <w:p w14:paraId="00E16D60">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2、未按合同要求提供服务或服务不能满足合同要求，采购人应当将服务商违约的情况以及拟采取的措施以书面形式报政府采购监管部门，根据政府采购监管部门的处理意见，采购人有权依据《民法典》有关条款及合同约定终止合同，并要求服务商承担违约责任。同时，政府采购监管部门有权依据《政府采购法》及相关法律法规对服务商的违法行为进行相应的处罚。</w:t>
            </w:r>
          </w:p>
        </w:tc>
      </w:tr>
      <w:tr w14:paraId="67B570D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28" w:type="dxa"/>
            <w:bottom w:w="0" w:type="dxa"/>
            <w:right w:w="28" w:type="dxa"/>
          </w:tblCellMar>
        </w:tblPrEx>
        <w:trPr>
          <w:trHeight w:val="428" w:hRule="atLeast"/>
        </w:trPr>
        <w:tc>
          <w:tcPr>
            <w:tcW w:w="589" w:type="pct"/>
            <w:vAlign w:val="center"/>
          </w:tcPr>
          <w:p w14:paraId="32C460E9">
            <w:pPr>
              <w:spacing w:line="360" w:lineRule="auto"/>
              <w:jc w:val="center"/>
              <w:rPr>
                <w:rFonts w:ascii="宋体" w:hAnsi="宋体" w:cs="宋体"/>
                <w:sz w:val="24"/>
                <w:szCs w:val="24"/>
                <w:highlight w:val="none"/>
              </w:rPr>
            </w:pPr>
            <w:r>
              <w:rPr>
                <w:rFonts w:hint="eastAsia" w:ascii="宋体" w:hAnsi="宋体" w:cs="宋体"/>
                <w:sz w:val="24"/>
                <w:szCs w:val="24"/>
                <w:highlight w:val="none"/>
              </w:rPr>
              <w:t>10</w:t>
            </w:r>
          </w:p>
        </w:tc>
        <w:tc>
          <w:tcPr>
            <w:tcW w:w="4410" w:type="pct"/>
            <w:vAlign w:val="center"/>
          </w:tcPr>
          <w:p w14:paraId="27E16F6B">
            <w:pPr>
              <w:spacing w:line="360" w:lineRule="auto"/>
              <w:rPr>
                <w:rFonts w:ascii="宋体" w:hAnsi="宋体" w:cs="宋体"/>
                <w:b/>
                <w:sz w:val="24"/>
                <w:szCs w:val="24"/>
                <w:highlight w:val="none"/>
              </w:rPr>
            </w:pPr>
            <w:r>
              <w:rPr>
                <w:rFonts w:hint="eastAsia" w:ascii="宋体" w:hAnsi="宋体" w:cs="宋体"/>
                <w:b/>
                <w:sz w:val="24"/>
                <w:szCs w:val="24"/>
                <w:highlight w:val="none"/>
              </w:rPr>
              <w:t>政府采购合同：</w:t>
            </w:r>
          </w:p>
          <w:p w14:paraId="4F6E7D10">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政府采购合同适用民法典。采购人和供应商之间的权利和义务，应当按照平等、自愿的原则以合同方式约定。</w:t>
            </w:r>
            <w:r>
              <w:rPr>
                <w:rFonts w:hint="eastAsia" w:ascii="宋体" w:hAnsi="宋体" w:cs="宋体"/>
                <w:sz w:val="24"/>
                <w:szCs w:val="24"/>
                <w:highlight w:val="none"/>
              </w:rPr>
              <w:br w:type="textWrapping"/>
            </w:r>
            <w:r>
              <w:rPr>
                <w:rFonts w:hint="eastAsia" w:ascii="宋体" w:hAnsi="宋体" w:cs="宋体"/>
                <w:sz w:val="24"/>
                <w:szCs w:val="24"/>
                <w:highlight w:val="none"/>
              </w:rPr>
              <w:t xml:space="preserve">    政府采购合同应当采用书面形式。</w:t>
            </w:r>
          </w:p>
          <w:p w14:paraId="4279C612">
            <w:pPr>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国务院政府采购监督管理部门应当会同国务院有关部门，规定政府采购合同必须具备的条款。</w:t>
            </w:r>
            <w:r>
              <w:rPr>
                <w:rFonts w:hint="eastAsia" w:ascii="宋体" w:hAnsi="宋体" w:cs="宋体"/>
                <w:sz w:val="24"/>
                <w:szCs w:val="24"/>
                <w:highlight w:val="none"/>
              </w:rPr>
              <w:br w:type="textWrapping"/>
            </w:r>
            <w:r>
              <w:rPr>
                <w:rFonts w:hint="eastAsia" w:ascii="宋体" w:hAnsi="宋体" w:cs="宋体"/>
                <w:sz w:val="24"/>
                <w:szCs w:val="24"/>
                <w:highlight w:val="none"/>
              </w:rPr>
              <w:t xml:space="preserve">    采购人与中标、成交供应商应当在中标、成交通知书发出之日起三十日内，按照采购文件确定的事项签订政府采购合同。</w:t>
            </w:r>
            <w:r>
              <w:rPr>
                <w:rFonts w:hint="eastAsia" w:ascii="宋体" w:hAnsi="宋体" w:cs="宋体"/>
                <w:sz w:val="24"/>
                <w:szCs w:val="24"/>
                <w:highlight w:val="none"/>
              </w:rPr>
              <w:br w:type="textWrapping"/>
            </w:r>
            <w:r>
              <w:rPr>
                <w:rFonts w:hint="eastAsia" w:ascii="宋体" w:hAnsi="宋体" w:cs="宋体"/>
                <w:sz w:val="24"/>
                <w:szCs w:val="24"/>
                <w:highlight w:val="none"/>
              </w:rPr>
              <w:t xml:space="preserve">    中标、成交通知书对采购人和中标、成交供应商均具有法律效力。中标、成交通知书发出后，采购人改变中标、成交结果的，或者中标、成交供应商放弃中标、成交项目的，应当依法承担法律责任。</w:t>
            </w:r>
          </w:p>
          <w:p w14:paraId="41F4FB8F">
            <w:pPr>
              <w:pStyle w:val="14"/>
              <w:spacing w:line="360" w:lineRule="auto"/>
              <w:ind w:firstLine="480" w:firstLineChars="200"/>
              <w:rPr>
                <w:rFonts w:hAnsi="宋体"/>
                <w:sz w:val="24"/>
                <w:szCs w:val="24"/>
                <w:highlight w:val="none"/>
              </w:rPr>
            </w:pPr>
            <w:r>
              <w:rPr>
                <w:rFonts w:hint="eastAsia" w:hAnsi="宋体"/>
                <w:sz w:val="24"/>
                <w:szCs w:val="24"/>
                <w:highlight w:val="none"/>
              </w:rPr>
              <w:t>政府采购项目的采购合同自签订之日起七个工作日内，采购人应当将合同副本报同级政府采购监督管理部门和有关部门备案。</w:t>
            </w:r>
            <w:r>
              <w:rPr>
                <w:rFonts w:hint="eastAsia" w:hAnsi="宋体"/>
                <w:sz w:val="24"/>
                <w:szCs w:val="24"/>
                <w:highlight w:val="none"/>
              </w:rPr>
              <w:br w:type="textWrapping"/>
            </w:r>
            <w:r>
              <w:rPr>
                <w:rFonts w:hint="eastAsia" w:hAnsi="宋体"/>
                <w:sz w:val="24"/>
                <w:szCs w:val="24"/>
                <w:highlight w:val="none"/>
              </w:rPr>
              <w:t xml:space="preserve">    经采购人同意，中标、成交供应商可以依法采取分包方式履行合同。政府采购合同分包履行的，中标、成交供应商就采购项目和分包项目向采购人负责，分包供应商就分包项目承担责任。</w:t>
            </w:r>
            <w:r>
              <w:rPr>
                <w:rFonts w:hint="eastAsia" w:hAnsi="宋体"/>
                <w:sz w:val="24"/>
                <w:szCs w:val="24"/>
                <w:highlight w:val="none"/>
              </w:rPr>
              <w:br w:type="textWrapping"/>
            </w:r>
            <w:r>
              <w:rPr>
                <w:rFonts w:hint="eastAsia" w:hAnsi="宋体"/>
                <w:sz w:val="24"/>
                <w:szCs w:val="24"/>
                <w:highlight w:val="none"/>
              </w:rPr>
              <w:t xml:space="preserve">    政府采购合同履行中，采购人需追加与合同标的相同的货物、工程或者服务的，在不改变合同其他条款的前提下，可以与供应商协商签订补充合同，但所有补充合同的采购金额不得超过原合同采购金额的百分之十。</w:t>
            </w:r>
            <w:r>
              <w:rPr>
                <w:rFonts w:hint="eastAsia" w:hAnsi="宋体"/>
                <w:sz w:val="24"/>
                <w:szCs w:val="24"/>
                <w:highlight w:val="none"/>
              </w:rPr>
              <w:br w:type="textWrapping"/>
            </w:r>
            <w:r>
              <w:rPr>
                <w:rFonts w:hint="eastAsia" w:hAnsi="宋体"/>
                <w:sz w:val="24"/>
                <w:szCs w:val="24"/>
                <w:highlight w:val="none"/>
              </w:rPr>
              <w:t xml:space="preserve">    政府采购合同的双方当事人不得擅自变更、中止或者终止合同。</w:t>
            </w:r>
            <w:r>
              <w:rPr>
                <w:rFonts w:hint="eastAsia" w:hAnsi="宋体"/>
                <w:sz w:val="24"/>
                <w:szCs w:val="24"/>
                <w:highlight w:val="none"/>
              </w:rPr>
              <w:br w:type="textWrapping"/>
            </w:r>
            <w:r>
              <w:rPr>
                <w:rFonts w:hint="eastAsia" w:hAnsi="宋体"/>
                <w:sz w:val="24"/>
                <w:szCs w:val="24"/>
                <w:highlight w:val="none"/>
              </w:rPr>
              <w:t>政府采购合同继续履行将损害国家利益和社会公共利益的，双方当事人应当变更、中止或者终止合同。有过错的一方应当承担赔偿责任，双方都有过错的，各自承担相应的责任。</w:t>
            </w:r>
          </w:p>
        </w:tc>
      </w:tr>
    </w:tbl>
    <w:p w14:paraId="54B04B73">
      <w:pPr>
        <w:spacing w:line="360" w:lineRule="auto"/>
        <w:rPr>
          <w:rFonts w:asciiTheme="minorEastAsia" w:hAnsiTheme="minorEastAsia" w:eastAsiaTheme="minorEastAsia" w:cstheme="minorEastAsia"/>
          <w:b/>
          <w:bCs/>
          <w:sz w:val="48"/>
          <w:szCs w:val="48"/>
          <w:highlight w:val="none"/>
        </w:rPr>
      </w:pPr>
      <w:r>
        <w:rPr>
          <w:rFonts w:hint="eastAsia" w:asciiTheme="minorEastAsia" w:hAnsiTheme="minorEastAsia" w:eastAsiaTheme="minorEastAsia" w:cstheme="minorEastAsia"/>
          <w:b/>
          <w:bCs/>
          <w:sz w:val="48"/>
          <w:szCs w:val="48"/>
          <w:highlight w:val="none"/>
        </w:rPr>
        <w:br w:type="page"/>
      </w:r>
    </w:p>
    <w:p w14:paraId="55F40368">
      <w:pPr>
        <w:jc w:val="center"/>
        <w:rPr>
          <w:rFonts w:ascii="华文仿宋" w:hAnsi="华文仿宋" w:eastAsia="华文仿宋" w:cs="华文仿宋"/>
          <w:b/>
          <w:sz w:val="52"/>
          <w:szCs w:val="52"/>
          <w:highlight w:val="none"/>
        </w:rPr>
      </w:pPr>
    </w:p>
    <w:p w14:paraId="7FB98ECB">
      <w:pPr>
        <w:jc w:val="center"/>
        <w:rPr>
          <w:rFonts w:ascii="华文仿宋" w:hAnsi="华文仿宋" w:eastAsia="华文仿宋" w:cs="华文仿宋"/>
          <w:b/>
          <w:sz w:val="52"/>
          <w:szCs w:val="52"/>
          <w:highlight w:val="none"/>
        </w:rPr>
      </w:pPr>
    </w:p>
    <w:p w14:paraId="0B221F5B">
      <w:pPr>
        <w:jc w:val="center"/>
        <w:rPr>
          <w:rFonts w:ascii="华文仿宋" w:hAnsi="华文仿宋" w:eastAsia="华文仿宋" w:cs="华文仿宋"/>
          <w:b/>
          <w:sz w:val="52"/>
          <w:szCs w:val="52"/>
          <w:highlight w:val="none"/>
        </w:rPr>
      </w:pPr>
    </w:p>
    <w:p w14:paraId="7FBA8794">
      <w:pPr>
        <w:jc w:val="center"/>
        <w:rPr>
          <w:rFonts w:ascii="华文仿宋" w:hAnsi="华文仿宋" w:eastAsia="华文仿宋" w:cs="华文仿宋"/>
          <w:b/>
          <w:sz w:val="52"/>
          <w:szCs w:val="52"/>
          <w:highlight w:val="none"/>
        </w:rPr>
      </w:pPr>
    </w:p>
    <w:p w14:paraId="10B54A20">
      <w:pPr>
        <w:jc w:val="center"/>
        <w:rPr>
          <w:rFonts w:ascii="华文仿宋" w:hAnsi="华文仿宋" w:eastAsia="华文仿宋" w:cs="华文仿宋"/>
          <w:b/>
          <w:sz w:val="52"/>
          <w:szCs w:val="52"/>
          <w:highlight w:val="none"/>
        </w:rPr>
      </w:pPr>
    </w:p>
    <w:p w14:paraId="6927AD30">
      <w:pPr>
        <w:jc w:val="center"/>
        <w:rPr>
          <w:rFonts w:hint="eastAsia" w:eastAsia="宋体"/>
          <w:b/>
          <w:sz w:val="32"/>
          <w:szCs w:val="32"/>
          <w:highlight w:val="none"/>
          <w:lang w:eastAsia="zh-CN"/>
        </w:rPr>
      </w:pPr>
      <w:r>
        <w:rPr>
          <w:rFonts w:hint="eastAsia" w:ascii="华文仿宋" w:hAnsi="华文仿宋" w:eastAsia="华文仿宋" w:cs="华文仿宋"/>
          <w:b/>
          <w:sz w:val="40"/>
          <w:szCs w:val="40"/>
          <w:highlight w:val="none"/>
          <w:lang w:eastAsia="zh-CN"/>
        </w:rPr>
        <w:t>商洛市秦岭中段(南麓)水源涵养与生物多样性保护恢复项目2024年山阳县退化林修复</w:t>
      </w:r>
    </w:p>
    <w:p w14:paraId="454C3E17">
      <w:pPr>
        <w:jc w:val="center"/>
        <w:rPr>
          <w:b/>
          <w:sz w:val="44"/>
          <w:szCs w:val="44"/>
          <w:highlight w:val="none"/>
        </w:rPr>
      </w:pPr>
    </w:p>
    <w:p w14:paraId="78B68DD2">
      <w:pPr>
        <w:jc w:val="center"/>
        <w:rPr>
          <w:sz w:val="28"/>
          <w:szCs w:val="28"/>
          <w:highlight w:val="none"/>
        </w:rPr>
      </w:pPr>
      <w:r>
        <w:rPr>
          <w:rFonts w:hint="eastAsia"/>
          <w:b/>
          <w:sz w:val="44"/>
          <w:szCs w:val="44"/>
          <w:highlight w:val="none"/>
        </w:rPr>
        <w:t>（示范文本）</w:t>
      </w:r>
    </w:p>
    <w:p w14:paraId="76FE43E1">
      <w:pPr>
        <w:jc w:val="center"/>
        <w:rPr>
          <w:sz w:val="28"/>
          <w:szCs w:val="28"/>
          <w:highlight w:val="none"/>
        </w:rPr>
      </w:pPr>
    </w:p>
    <w:p w14:paraId="137DA85F">
      <w:pPr>
        <w:jc w:val="center"/>
        <w:rPr>
          <w:sz w:val="28"/>
          <w:szCs w:val="28"/>
          <w:highlight w:val="none"/>
        </w:rPr>
      </w:pPr>
    </w:p>
    <w:p w14:paraId="49603F6B">
      <w:pPr>
        <w:rPr>
          <w:sz w:val="28"/>
          <w:szCs w:val="28"/>
          <w:highlight w:val="none"/>
        </w:rPr>
      </w:pPr>
    </w:p>
    <w:p w14:paraId="44C7F6C9">
      <w:pPr>
        <w:rPr>
          <w:sz w:val="28"/>
          <w:szCs w:val="28"/>
          <w:highlight w:val="none"/>
        </w:rPr>
      </w:pPr>
    </w:p>
    <w:p w14:paraId="730B72E2">
      <w:pPr>
        <w:rPr>
          <w:sz w:val="28"/>
          <w:szCs w:val="28"/>
          <w:highlight w:val="none"/>
        </w:rPr>
      </w:pPr>
    </w:p>
    <w:p w14:paraId="3289D9CF">
      <w:pPr>
        <w:rPr>
          <w:sz w:val="28"/>
          <w:szCs w:val="28"/>
          <w:highlight w:val="none"/>
        </w:rPr>
      </w:pPr>
    </w:p>
    <w:p w14:paraId="6E4C988F">
      <w:pPr>
        <w:rPr>
          <w:sz w:val="28"/>
          <w:szCs w:val="28"/>
          <w:highlight w:val="none"/>
        </w:rPr>
      </w:pPr>
    </w:p>
    <w:p w14:paraId="27BBF75B">
      <w:pPr>
        <w:rPr>
          <w:sz w:val="28"/>
          <w:szCs w:val="28"/>
          <w:highlight w:val="none"/>
        </w:rPr>
      </w:pPr>
    </w:p>
    <w:p w14:paraId="527D5DEB">
      <w:pPr>
        <w:rPr>
          <w:sz w:val="28"/>
          <w:szCs w:val="28"/>
          <w:highlight w:val="none"/>
        </w:rPr>
      </w:pPr>
    </w:p>
    <w:p w14:paraId="1E4D36C9">
      <w:pPr>
        <w:rPr>
          <w:sz w:val="28"/>
          <w:szCs w:val="28"/>
          <w:highlight w:val="none"/>
        </w:rPr>
      </w:pPr>
    </w:p>
    <w:p w14:paraId="302DC488">
      <w:pPr>
        <w:rPr>
          <w:sz w:val="28"/>
          <w:szCs w:val="28"/>
          <w:highlight w:val="none"/>
        </w:rPr>
      </w:pPr>
    </w:p>
    <w:p w14:paraId="68C84715">
      <w:pPr>
        <w:ind w:firstLine="1960" w:firstLineChars="700"/>
        <w:rPr>
          <w:sz w:val="28"/>
          <w:szCs w:val="28"/>
          <w:highlight w:val="none"/>
          <w:u w:val="single"/>
        </w:rPr>
      </w:pPr>
    </w:p>
    <w:p w14:paraId="0544B7BC">
      <w:pPr>
        <w:ind w:firstLine="1960" w:firstLineChars="700"/>
        <w:rPr>
          <w:sz w:val="28"/>
          <w:szCs w:val="28"/>
          <w:highlight w:val="none"/>
          <w:u w:val="single"/>
        </w:rPr>
      </w:pPr>
    </w:p>
    <w:p w14:paraId="06E08EC3">
      <w:pPr>
        <w:pageBreakBefore/>
        <w:spacing w:afterLines="50" w:line="360" w:lineRule="auto"/>
        <w:jc w:val="center"/>
        <w:rPr>
          <w:rFonts w:hAnsi="宋体"/>
          <w:b/>
          <w:sz w:val="32"/>
          <w:szCs w:val="32"/>
          <w:highlight w:val="none"/>
        </w:rPr>
      </w:pPr>
      <w:bookmarkStart w:id="92" w:name="_Toc826"/>
      <w:bookmarkStart w:id="93" w:name="_Toc18407"/>
      <w:bookmarkStart w:id="94" w:name="_Toc27199"/>
      <w:r>
        <w:rPr>
          <w:rFonts w:hint="eastAsia" w:hAnsi="宋体"/>
          <w:b/>
          <w:sz w:val="32"/>
          <w:szCs w:val="32"/>
          <w:highlight w:val="none"/>
        </w:rPr>
        <w:t>第一部分  协议书</w:t>
      </w:r>
      <w:bookmarkEnd w:id="92"/>
      <w:bookmarkEnd w:id="93"/>
      <w:bookmarkEnd w:id="94"/>
    </w:p>
    <w:p w14:paraId="2B23D316">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发包人（全称）：</w:t>
      </w:r>
      <w:r>
        <w:rPr>
          <w:rFonts w:hint="eastAsia" w:ascii="宋体" w:hAnsi="宋体" w:cs="宋体"/>
          <w:sz w:val="24"/>
          <w:szCs w:val="24"/>
          <w:highlight w:val="none"/>
          <w:u w:val="single"/>
        </w:rPr>
        <w:t xml:space="preserve">                                  </w:t>
      </w:r>
    </w:p>
    <w:p w14:paraId="2A3A8B8F">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承包人（全称）：</w:t>
      </w:r>
      <w:r>
        <w:rPr>
          <w:rFonts w:hint="eastAsia" w:ascii="宋体" w:hAnsi="宋体" w:cs="宋体"/>
          <w:sz w:val="24"/>
          <w:szCs w:val="24"/>
          <w:highlight w:val="none"/>
          <w:u w:val="single"/>
        </w:rPr>
        <w:t xml:space="preserve">                                  </w:t>
      </w:r>
    </w:p>
    <w:p w14:paraId="31E60E9F">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 xml:space="preserve">依照《中华人民共和国民法典》及其他有关法律、行政法规，遵循平等、自愿、公平和诚实信用的原则，双方就本建设工程施工事项协商一致，订立本合同。 </w:t>
      </w:r>
    </w:p>
    <w:p w14:paraId="5DFDC288">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一、工程概况：</w:t>
      </w:r>
    </w:p>
    <w:p w14:paraId="22C28514">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工程名称：</w:t>
      </w:r>
      <w:r>
        <w:rPr>
          <w:rFonts w:hint="eastAsia" w:ascii="宋体" w:hAnsi="宋体" w:cs="宋体"/>
          <w:sz w:val="24"/>
          <w:szCs w:val="24"/>
          <w:highlight w:val="none"/>
          <w:u w:val="single"/>
        </w:rPr>
        <w:t xml:space="preserve">                                                          </w:t>
      </w:r>
    </w:p>
    <w:p w14:paraId="76103B09">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工程地点：</w:t>
      </w:r>
      <w:r>
        <w:rPr>
          <w:rFonts w:hint="eastAsia" w:ascii="宋体" w:hAnsi="宋体" w:cs="宋体"/>
          <w:sz w:val="24"/>
          <w:szCs w:val="24"/>
          <w:highlight w:val="none"/>
          <w:u w:val="single"/>
        </w:rPr>
        <w:t xml:space="preserve">                                                          </w:t>
      </w:r>
    </w:p>
    <w:p w14:paraId="29CE75F5">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资金来源：</w:t>
      </w:r>
      <w:r>
        <w:rPr>
          <w:rFonts w:hint="eastAsia" w:ascii="宋体" w:hAnsi="宋体" w:cs="宋体"/>
          <w:sz w:val="24"/>
          <w:szCs w:val="24"/>
          <w:highlight w:val="none"/>
          <w:u w:val="single"/>
        </w:rPr>
        <w:t xml:space="preserve">                                                          </w:t>
      </w:r>
    </w:p>
    <w:p w14:paraId="10059FD0">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 xml:space="preserve">二、工程承包范围 </w:t>
      </w:r>
    </w:p>
    <w:p w14:paraId="2BB2F18F">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承包范围：</w:t>
      </w:r>
      <w:r>
        <w:rPr>
          <w:rFonts w:hint="eastAsia" w:ascii="宋体" w:hAnsi="宋体" w:cs="宋体"/>
          <w:sz w:val="24"/>
          <w:szCs w:val="24"/>
          <w:highlight w:val="none"/>
          <w:u w:val="single"/>
        </w:rPr>
        <w:t xml:space="preserve">                                                          </w:t>
      </w:r>
    </w:p>
    <w:p w14:paraId="116EB5BD">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三、合同工期</w:t>
      </w:r>
    </w:p>
    <w:p w14:paraId="2EC9A088">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开工日期：</w:t>
      </w:r>
      <w:r>
        <w:rPr>
          <w:rFonts w:hint="eastAsia" w:ascii="宋体" w:hAnsi="宋体" w:cs="宋体"/>
          <w:sz w:val="24"/>
          <w:szCs w:val="24"/>
          <w:highlight w:val="none"/>
          <w:u w:val="single"/>
        </w:rPr>
        <w:t xml:space="preserve">           </w:t>
      </w:r>
    </w:p>
    <w:p w14:paraId="1DE7C1FE">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竣工日期：</w:t>
      </w:r>
      <w:r>
        <w:rPr>
          <w:rFonts w:hint="eastAsia" w:ascii="宋体" w:hAnsi="宋体" w:cs="宋体"/>
          <w:sz w:val="24"/>
          <w:szCs w:val="24"/>
          <w:highlight w:val="none"/>
          <w:u w:val="single"/>
        </w:rPr>
        <w:t xml:space="preserve">           </w:t>
      </w:r>
    </w:p>
    <w:p w14:paraId="6FBF9CC7">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合同工期总日历天数</w:t>
      </w:r>
      <w:r>
        <w:rPr>
          <w:rFonts w:hint="eastAsia" w:ascii="宋体" w:hAnsi="宋体" w:cs="宋体"/>
          <w:sz w:val="24"/>
          <w:szCs w:val="24"/>
          <w:highlight w:val="none"/>
          <w:u w:val="single"/>
        </w:rPr>
        <w:t xml:space="preserve">   </w:t>
      </w:r>
      <w:r>
        <w:rPr>
          <w:rFonts w:hint="eastAsia" w:ascii="宋体" w:hAnsi="宋体" w:cs="宋体"/>
          <w:sz w:val="24"/>
          <w:szCs w:val="24"/>
          <w:highlight w:val="none"/>
        </w:rPr>
        <w:t>日历日。</w:t>
      </w:r>
    </w:p>
    <w:p w14:paraId="5F4203EE">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四、质量标准</w:t>
      </w:r>
    </w:p>
    <w:p w14:paraId="786F86C5">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工程质量标准：达到国家质量验收合格标准</w:t>
      </w:r>
    </w:p>
    <w:p w14:paraId="6F317E39">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五、合同价款</w:t>
      </w:r>
    </w:p>
    <w:p w14:paraId="0E6835FC">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合同金额（大写）：</w:t>
      </w:r>
      <w:r>
        <w:rPr>
          <w:rFonts w:hint="eastAsia" w:ascii="宋体" w:hAnsi="宋体" w:cs="宋体"/>
          <w:sz w:val="24"/>
          <w:szCs w:val="24"/>
          <w:highlight w:val="none"/>
          <w:u w:val="single"/>
        </w:rPr>
        <w:t xml:space="preserve">                            </w:t>
      </w:r>
      <w:r>
        <w:rPr>
          <w:rFonts w:hint="eastAsia" w:ascii="宋体" w:hAnsi="宋体" w:cs="宋体"/>
          <w:sz w:val="24"/>
          <w:szCs w:val="24"/>
          <w:highlight w:val="none"/>
        </w:rPr>
        <w:t>（¥</w:t>
      </w:r>
      <w:r>
        <w:rPr>
          <w:rFonts w:hint="eastAsia" w:ascii="宋体" w:hAnsi="宋体" w:cs="宋体"/>
          <w:sz w:val="24"/>
          <w:szCs w:val="24"/>
          <w:highlight w:val="none"/>
          <w:u w:val="single"/>
        </w:rPr>
        <w:t xml:space="preserve">        </w:t>
      </w:r>
      <w:r>
        <w:rPr>
          <w:rFonts w:hint="eastAsia" w:ascii="宋体" w:hAnsi="宋体" w:cs="宋体"/>
          <w:sz w:val="24"/>
          <w:szCs w:val="24"/>
          <w:highlight w:val="none"/>
        </w:rPr>
        <w:t>）。</w:t>
      </w:r>
    </w:p>
    <w:p w14:paraId="6491FB1E">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合同总价即成交价，合同总价为总承包价，不受市场价变化或实际工作量变化的影响，合同价格为含税价，供应商提供本工程所发生的一切税（包括增值税）费等都已包含于合同价款中。</w:t>
      </w:r>
    </w:p>
    <w:p w14:paraId="01A0BFBB">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六、组成合同的文件</w:t>
      </w:r>
    </w:p>
    <w:p w14:paraId="466A7E01">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组成本合同的文件包括：</w:t>
      </w:r>
    </w:p>
    <w:p w14:paraId="1CC4CA60">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1、本合同协议书</w:t>
      </w:r>
    </w:p>
    <w:p w14:paraId="4A9A0B45">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2、本合同专用条款</w:t>
      </w:r>
    </w:p>
    <w:p w14:paraId="2FB462FD">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3、本合同通用条款</w:t>
      </w:r>
    </w:p>
    <w:p w14:paraId="7981D630">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4、中标通知书</w:t>
      </w:r>
    </w:p>
    <w:p w14:paraId="1D310906">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5、投标文件、工程报价单或预算书及其附件</w:t>
      </w:r>
    </w:p>
    <w:p w14:paraId="10A0E6E0">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6、招标文件、答疑纪要</w:t>
      </w:r>
    </w:p>
    <w:p w14:paraId="1F55EE42">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7、标准、规范及有关技术文件</w:t>
      </w:r>
    </w:p>
    <w:p w14:paraId="782E22D1">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双方为履行本合同的有关洽商、变更等书面协议或文件视为本合同的组成部分。</w:t>
      </w:r>
    </w:p>
    <w:p w14:paraId="0B2E1BC5">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七、本协议书中有关词语含义与本合同第二部分《通用条款》中分别赋予它们的定义相同。</w:t>
      </w:r>
    </w:p>
    <w:p w14:paraId="74AD1BAE">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八、承包人向发包人承诺按照合同约定进行施工、竣工并在质量保修期内承担工程质量保修责任。</w:t>
      </w:r>
    </w:p>
    <w:p w14:paraId="5F000B6D">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九、发包人向承包人承诺按照合同约定的期限和方式支付合同价款及其他应当支付的款项。</w:t>
      </w:r>
    </w:p>
    <w:p w14:paraId="2EBB1FD8">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十、合同生效</w:t>
      </w:r>
    </w:p>
    <w:p w14:paraId="145C7AD0">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合同订立时间：          年            月            日</w:t>
      </w:r>
    </w:p>
    <w:p w14:paraId="5BD1D162">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 xml:space="preserve">合同订立地点：                                       </w:t>
      </w:r>
    </w:p>
    <w:p w14:paraId="2BB7B0E1">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本合同双方约定 双方签字盖章 后生效。</w:t>
      </w:r>
    </w:p>
    <w:p w14:paraId="70CFE476">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发包人：          （公章）         承包人：         （公章）</w:t>
      </w:r>
    </w:p>
    <w:p w14:paraId="1ED96024">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法定代表人：                         法定代表人：</w:t>
      </w:r>
    </w:p>
    <w:p w14:paraId="50C194EF">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委托代理人：                         委托代理人：</w:t>
      </w:r>
    </w:p>
    <w:p w14:paraId="18CECBF8">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联系人：                             联系人：</w:t>
      </w:r>
    </w:p>
    <w:p w14:paraId="4F173B35">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电话：                               电话：</w:t>
      </w:r>
    </w:p>
    <w:p w14:paraId="1FC3FAD8">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传真：                               传真：</w:t>
      </w:r>
    </w:p>
    <w:p w14:paraId="2C626418">
      <w:pPr>
        <w:spacing w:beforeLines="100" w:afterLines="100" w:line="360" w:lineRule="auto"/>
        <w:ind w:firstLine="460" w:firstLineChars="192"/>
        <w:jc w:val="left"/>
        <w:rPr>
          <w:rFonts w:ascii="宋体" w:hAnsi="宋体" w:cs="宋体"/>
          <w:sz w:val="24"/>
          <w:szCs w:val="24"/>
          <w:highlight w:val="none"/>
        </w:rPr>
      </w:pPr>
      <w:r>
        <w:rPr>
          <w:rFonts w:hint="eastAsia" w:ascii="宋体" w:hAnsi="宋体" w:cs="宋体"/>
          <w:sz w:val="24"/>
          <w:szCs w:val="24"/>
          <w:highlight w:val="none"/>
        </w:rPr>
        <w:t>开户银行：                           开户银行：</w:t>
      </w:r>
    </w:p>
    <w:p w14:paraId="2426A7B7">
      <w:pPr>
        <w:spacing w:beforeLines="100" w:afterLines="100" w:line="360" w:lineRule="auto"/>
        <w:ind w:firstLine="460" w:firstLineChars="192"/>
        <w:jc w:val="left"/>
        <w:rPr>
          <w:rFonts w:ascii="宋体" w:hAnsi="宋体" w:cs="宋体"/>
          <w:sz w:val="24"/>
          <w:szCs w:val="24"/>
          <w:highlight w:val="none"/>
        </w:rPr>
        <w:sectPr>
          <w:footerReference r:id="rId9" w:type="default"/>
          <w:pgSz w:w="11907" w:h="16840"/>
          <w:pgMar w:top="1304" w:right="1361" w:bottom="1304" w:left="1361" w:header="720" w:footer="720" w:gutter="0"/>
          <w:cols w:space="720" w:num="1"/>
        </w:sectPr>
      </w:pPr>
      <w:r>
        <w:rPr>
          <w:rFonts w:hint="eastAsia" w:ascii="宋体" w:hAnsi="宋体" w:cs="宋体"/>
          <w:sz w:val="24"/>
          <w:szCs w:val="24"/>
          <w:highlight w:val="none"/>
        </w:rPr>
        <w:t>账号：                               账号：</w:t>
      </w:r>
    </w:p>
    <w:p w14:paraId="479FD7B7">
      <w:pPr>
        <w:spacing w:line="360" w:lineRule="auto"/>
        <w:ind w:firstLine="723" w:firstLineChars="200"/>
        <w:jc w:val="center"/>
        <w:rPr>
          <w:rFonts w:hAnsi="宋体"/>
          <w:highlight w:val="none"/>
        </w:rPr>
      </w:pPr>
      <w:r>
        <w:rPr>
          <w:rFonts w:hint="eastAsia" w:hAnsi="宋体"/>
          <w:b/>
          <w:bCs/>
          <w:sz w:val="36"/>
          <w:szCs w:val="36"/>
          <w:highlight w:val="none"/>
        </w:rPr>
        <w:t>第二部分  通用合同条款</w:t>
      </w:r>
    </w:p>
    <w:p w14:paraId="09AEB3A2">
      <w:pPr>
        <w:pStyle w:val="24"/>
        <w:spacing w:line="300" w:lineRule="auto"/>
        <w:jc w:val="center"/>
        <w:rPr>
          <w:rFonts w:cs="宋体"/>
          <w:b/>
          <w:bCs/>
          <w:color w:val="auto"/>
          <w:sz w:val="28"/>
          <w:szCs w:val="28"/>
          <w:highlight w:val="none"/>
        </w:rPr>
      </w:pPr>
      <w:r>
        <w:rPr>
          <w:rFonts w:hint="eastAsia" w:cs="宋体"/>
          <w:b/>
          <w:bCs/>
          <w:color w:val="auto"/>
          <w:sz w:val="28"/>
          <w:szCs w:val="28"/>
          <w:highlight w:val="none"/>
        </w:rPr>
        <w:t>执行《陕西省建设工程施工合同》（示范文本）</w:t>
      </w:r>
    </w:p>
    <w:p w14:paraId="0C13E058">
      <w:pPr>
        <w:pStyle w:val="24"/>
        <w:spacing w:line="300" w:lineRule="auto"/>
        <w:jc w:val="center"/>
        <w:rPr>
          <w:rFonts w:cs="宋体"/>
          <w:b/>
          <w:bCs/>
          <w:color w:val="auto"/>
          <w:sz w:val="28"/>
          <w:szCs w:val="28"/>
          <w:highlight w:val="none"/>
        </w:rPr>
      </w:pPr>
    </w:p>
    <w:p w14:paraId="5ECFC36E">
      <w:pPr>
        <w:pStyle w:val="24"/>
        <w:spacing w:line="300" w:lineRule="auto"/>
        <w:jc w:val="center"/>
        <w:rPr>
          <w:rFonts w:cs="宋体"/>
          <w:b/>
          <w:bCs/>
          <w:color w:val="auto"/>
          <w:sz w:val="28"/>
          <w:szCs w:val="28"/>
          <w:highlight w:val="none"/>
        </w:rPr>
        <w:sectPr>
          <w:pgSz w:w="11906" w:h="16838"/>
          <w:pgMar w:top="1304" w:right="1361" w:bottom="1304" w:left="1361" w:header="720" w:footer="720" w:gutter="0"/>
          <w:cols w:space="720" w:num="1"/>
        </w:sectPr>
      </w:pPr>
    </w:p>
    <w:p w14:paraId="2C3E3630">
      <w:pPr>
        <w:jc w:val="center"/>
        <w:rPr>
          <w:rFonts w:ascii="黑体" w:eastAsia="黑体"/>
          <w:sz w:val="30"/>
          <w:szCs w:val="30"/>
          <w:highlight w:val="none"/>
        </w:rPr>
      </w:pPr>
      <w:r>
        <w:rPr>
          <w:rFonts w:hint="eastAsia" w:hAnsi="宋体"/>
          <w:b/>
          <w:bCs/>
          <w:sz w:val="36"/>
          <w:szCs w:val="36"/>
          <w:highlight w:val="none"/>
        </w:rPr>
        <w:t>第三部分  专用合同条款</w:t>
      </w:r>
    </w:p>
    <w:p w14:paraId="75022653">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一、词语定义及合同文件</w:t>
      </w:r>
    </w:p>
    <w:p w14:paraId="78FB2D93">
      <w:pPr>
        <w:spacing w:line="360" w:lineRule="auto"/>
        <w:ind w:firstLine="482" w:firstLineChars="200"/>
        <w:jc w:val="left"/>
        <w:rPr>
          <w:rFonts w:ascii="宋体" w:hAnsi="宋体" w:cs="宋体"/>
          <w:sz w:val="24"/>
          <w:szCs w:val="24"/>
          <w:highlight w:val="none"/>
        </w:rPr>
      </w:pPr>
      <w:r>
        <w:rPr>
          <w:rFonts w:hint="eastAsia" w:ascii="宋体" w:hAnsi="宋体" w:cs="宋体"/>
          <w:b/>
          <w:bCs/>
          <w:sz w:val="24"/>
          <w:szCs w:val="24"/>
          <w:highlight w:val="none"/>
        </w:rPr>
        <w:t>1、</w:t>
      </w:r>
      <w:r>
        <w:rPr>
          <w:rFonts w:hint="eastAsia" w:ascii="宋体" w:hAnsi="宋体" w:cs="宋体"/>
          <w:sz w:val="24"/>
          <w:szCs w:val="24"/>
          <w:highlight w:val="none"/>
          <w:u w:val="single"/>
        </w:rPr>
        <w:t>专用合同条款是对通用条款中相应条款内容的解释、补充、删除或修改，其序号与通用条款中条款一一对应，未作改动的条款按通用条款执行。</w:t>
      </w:r>
    </w:p>
    <w:p w14:paraId="45FF56CF">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2、合同文件及解释顺序</w:t>
      </w:r>
    </w:p>
    <w:p w14:paraId="07F89DC5">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合同文件组成及解释顺序：</w:t>
      </w:r>
      <w:r>
        <w:rPr>
          <w:rFonts w:hint="eastAsia" w:ascii="宋体" w:hAnsi="宋体" w:cs="宋体"/>
          <w:sz w:val="24"/>
          <w:szCs w:val="24"/>
          <w:highlight w:val="none"/>
          <w:u w:val="single"/>
        </w:rPr>
        <w:t>﹙1﹚本合同协议书；﹙2﹚本合同专用条款；﹙3﹚中标通知书；﹙4﹚招标文件答疑纪要；﹙5﹚本合同通用条款；﹙6﹚标准规范及有关技术文件；（7）其他。</w:t>
      </w:r>
    </w:p>
    <w:p w14:paraId="28CD6B4F">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3、语言文字和适用法律语言文字和适用法律、标准及规范</w:t>
      </w:r>
    </w:p>
    <w:p w14:paraId="4380415A">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3.1  本合同除使用汉语外，还使用_________</w:t>
      </w:r>
      <w:r>
        <w:rPr>
          <w:rFonts w:hint="eastAsia" w:ascii="宋体" w:hAnsi="宋体" w:cs="宋体"/>
          <w:sz w:val="24"/>
          <w:szCs w:val="24"/>
          <w:highlight w:val="none"/>
          <w:u w:val="single"/>
        </w:rPr>
        <w:t>/</w:t>
      </w:r>
      <w:r>
        <w:rPr>
          <w:rFonts w:hint="eastAsia" w:ascii="宋体" w:hAnsi="宋体" w:cs="宋体"/>
          <w:sz w:val="24"/>
          <w:szCs w:val="24"/>
          <w:highlight w:val="none"/>
        </w:rPr>
        <w:t>__________语言文字。</w:t>
      </w:r>
    </w:p>
    <w:p w14:paraId="0FF9CFE0">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3.2  适用法律和法规需要明示的法律、行政法规：</w:t>
      </w:r>
      <w:r>
        <w:rPr>
          <w:rFonts w:hint="eastAsia" w:ascii="宋体" w:hAnsi="宋体" w:cs="宋体"/>
          <w:sz w:val="24"/>
          <w:szCs w:val="24"/>
          <w:highlight w:val="none"/>
          <w:u w:val="single"/>
        </w:rPr>
        <w:t>本合同适用于中华人民共和国法律，行政法规、陕西省地方法规。</w:t>
      </w:r>
    </w:p>
    <w:p w14:paraId="327E7AAF">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 xml:space="preserve">3.3  适用标准、规范 </w:t>
      </w:r>
    </w:p>
    <w:p w14:paraId="1D78AB7C">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适用标准、规范的名称：</w:t>
      </w:r>
      <w:r>
        <w:rPr>
          <w:rFonts w:hint="eastAsia" w:ascii="宋体" w:hAnsi="宋体" w:cs="宋体"/>
          <w:sz w:val="24"/>
          <w:szCs w:val="24"/>
          <w:highlight w:val="none"/>
          <w:u w:val="single"/>
        </w:rPr>
        <w:t>﹙1﹚国家现行和相关技术规程；﹙2﹚工程所在地建设主管部门的标准、规范；﹙3﹚工程所在地行业的标准、规范。</w:t>
      </w:r>
    </w:p>
    <w:p w14:paraId="7F467EC8">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发包人提供标准、规范的时间：</w:t>
      </w:r>
      <w:r>
        <w:rPr>
          <w:rFonts w:hint="eastAsia" w:ascii="宋体" w:hAnsi="宋体" w:cs="宋体"/>
          <w:sz w:val="24"/>
          <w:szCs w:val="24"/>
          <w:highlight w:val="none"/>
          <w:u w:val="single"/>
        </w:rPr>
        <w:t xml:space="preserve">               /                    _</w:t>
      </w:r>
    </w:p>
    <w:p w14:paraId="29690C8E">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国内没有相应标准、规范时的约定：</w:t>
      </w:r>
      <w:r>
        <w:rPr>
          <w:rFonts w:hint="eastAsia" w:ascii="宋体" w:hAnsi="宋体" w:cs="宋体"/>
          <w:sz w:val="24"/>
          <w:szCs w:val="24"/>
          <w:highlight w:val="none"/>
          <w:u w:val="single"/>
        </w:rPr>
        <w:t xml:space="preserve">                              。</w:t>
      </w:r>
    </w:p>
    <w:p w14:paraId="7B5C54F1">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4、图纸</w:t>
      </w:r>
    </w:p>
    <w:p w14:paraId="6E6C2C83">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4.1发包人向承包人提供图纸日期和套数</w:t>
      </w:r>
      <w:r>
        <w:rPr>
          <w:rFonts w:hint="eastAsia" w:ascii="宋体" w:hAnsi="宋体" w:cs="宋体"/>
          <w:sz w:val="24"/>
          <w:szCs w:val="24"/>
          <w:highlight w:val="none"/>
          <w:u w:val="single"/>
        </w:rPr>
        <w:t>：    /                       。</w:t>
      </w:r>
    </w:p>
    <w:p w14:paraId="4F3C2335">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发包人对图纸的保密要求</w:t>
      </w:r>
      <w:r>
        <w:rPr>
          <w:rFonts w:hint="eastAsia" w:ascii="宋体" w:hAnsi="宋体" w:cs="宋体"/>
          <w:sz w:val="24"/>
          <w:szCs w:val="24"/>
          <w:highlight w:val="none"/>
          <w:u w:val="single"/>
        </w:rPr>
        <w:t>：         /           。</w:t>
      </w:r>
    </w:p>
    <w:p w14:paraId="53960C7B">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使用国外图纸的要求及费用承担：</w:t>
      </w:r>
      <w:r>
        <w:rPr>
          <w:rFonts w:hint="eastAsia" w:ascii="宋体" w:hAnsi="宋体" w:cs="宋体"/>
          <w:sz w:val="24"/>
          <w:szCs w:val="24"/>
          <w:highlight w:val="none"/>
          <w:u w:val="single"/>
        </w:rPr>
        <w:t>____无_____</w:t>
      </w:r>
    </w:p>
    <w:p w14:paraId="3678CBCD">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二、双方一般权利和义务</w:t>
      </w:r>
    </w:p>
    <w:p w14:paraId="2ABA2F9A">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5、工程师</w:t>
      </w:r>
    </w:p>
    <w:p w14:paraId="413142D9">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 xml:space="preserve">5.2监理单位委派的工程师 </w:t>
      </w:r>
    </w:p>
    <w:p w14:paraId="3F73FACF">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姓名：______/_________职务：______/________</w:t>
      </w:r>
    </w:p>
    <w:p w14:paraId="081BE945">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发包人委托的职权：</w:t>
      </w:r>
      <w:r>
        <w:rPr>
          <w:rFonts w:hint="eastAsia" w:ascii="宋体" w:hAnsi="宋体" w:cs="宋体"/>
          <w:sz w:val="24"/>
          <w:szCs w:val="24"/>
          <w:highlight w:val="none"/>
          <w:u w:val="single"/>
        </w:rPr>
        <w:t xml:space="preserve">               /                   </w:t>
      </w:r>
    </w:p>
    <w:p w14:paraId="09EDDCE1">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需要取得发包人批准才能行使的职权：</w:t>
      </w:r>
      <w:r>
        <w:rPr>
          <w:rFonts w:hint="eastAsia" w:ascii="宋体" w:hAnsi="宋体" w:cs="宋体"/>
          <w:sz w:val="24"/>
          <w:szCs w:val="24"/>
          <w:highlight w:val="none"/>
          <w:u w:val="single"/>
        </w:rPr>
        <w:t xml:space="preserve">         /          </w:t>
      </w:r>
    </w:p>
    <w:p w14:paraId="659778A7">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 xml:space="preserve">5.4发包人派驻的工程师 </w:t>
      </w:r>
    </w:p>
    <w:p w14:paraId="533D6859">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姓名：____________________职务：________________________________</w:t>
      </w:r>
    </w:p>
    <w:p w14:paraId="3881256B">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职权：</w:t>
      </w:r>
      <w:r>
        <w:rPr>
          <w:rFonts w:hint="eastAsia" w:ascii="宋体" w:hAnsi="宋体" w:cs="宋体"/>
          <w:sz w:val="24"/>
          <w:szCs w:val="24"/>
          <w:highlight w:val="none"/>
          <w:u w:val="single"/>
        </w:rPr>
        <w:t xml:space="preserve">                                                          </w:t>
      </w:r>
    </w:p>
    <w:p w14:paraId="0FDE89A0">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5.6不实行监理的，工程师的职权：________</w:t>
      </w:r>
      <w:r>
        <w:rPr>
          <w:rFonts w:hint="eastAsia" w:ascii="宋体" w:hAnsi="宋体" w:cs="宋体"/>
          <w:sz w:val="24"/>
          <w:szCs w:val="24"/>
          <w:highlight w:val="none"/>
          <w:u w:val="single"/>
        </w:rPr>
        <w:t>/_</w:t>
      </w:r>
      <w:r>
        <w:rPr>
          <w:rFonts w:hint="eastAsia" w:ascii="宋体" w:hAnsi="宋体" w:cs="宋体"/>
          <w:sz w:val="24"/>
          <w:szCs w:val="24"/>
          <w:highlight w:val="none"/>
        </w:rPr>
        <w:t>____________________</w:t>
      </w:r>
    </w:p>
    <w:p w14:paraId="1F911011">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6、项目经理</w:t>
      </w:r>
    </w:p>
    <w:p w14:paraId="285E274C">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姓名：___________职务：___________________</w:t>
      </w:r>
    </w:p>
    <w:p w14:paraId="78AEC391">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7、发包人工作</w:t>
      </w:r>
    </w:p>
    <w:p w14:paraId="1A1DEC30">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7.1发包人应按约定的时间和要求完成以下工作：</w:t>
      </w:r>
    </w:p>
    <w:p w14:paraId="4331867A">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（1）施工场地具备施工条件的要求及完成的时间：</w:t>
      </w:r>
      <w:r>
        <w:rPr>
          <w:rFonts w:hint="eastAsia" w:ascii="宋体" w:hAnsi="宋体" w:cs="宋体"/>
          <w:sz w:val="24"/>
          <w:szCs w:val="24"/>
          <w:highlight w:val="none"/>
          <w:u w:val="single"/>
        </w:rPr>
        <w:t>工程开工前五日内完成。</w:t>
      </w:r>
    </w:p>
    <w:p w14:paraId="3E8AEDA3">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（2）将施工所需的水、电、电讯线路接至施工场地的时间、地点和供应要求：</w:t>
      </w:r>
      <w:r>
        <w:rPr>
          <w:rFonts w:hint="eastAsia" w:ascii="宋体" w:hAnsi="宋体" w:cs="宋体"/>
          <w:sz w:val="24"/>
          <w:szCs w:val="24"/>
          <w:highlight w:val="none"/>
          <w:u w:val="single"/>
        </w:rPr>
        <w:t>本工程施工水源、电源、电讯均由承包人自行解决并承担费用。</w:t>
      </w:r>
    </w:p>
    <w:p w14:paraId="72E621F3">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其计量和计价方法为：</w:t>
      </w:r>
      <w:r>
        <w:rPr>
          <w:rFonts w:hint="eastAsia" w:ascii="宋体" w:hAnsi="宋体" w:cs="宋体"/>
          <w:sz w:val="24"/>
          <w:szCs w:val="24"/>
          <w:highlight w:val="none"/>
          <w:u w:val="single"/>
        </w:rPr>
        <w:t>由承包人承担费用，按不同来源在投标时自主报价，结算时不再调整。</w:t>
      </w:r>
    </w:p>
    <w:p w14:paraId="3EE8C744">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（3）施工场地与公共道路的通道开通时间和要求：</w:t>
      </w:r>
      <w:r>
        <w:rPr>
          <w:rFonts w:hint="eastAsia" w:ascii="宋体" w:hAnsi="宋体" w:cs="宋体"/>
          <w:sz w:val="24"/>
          <w:szCs w:val="24"/>
          <w:highlight w:val="none"/>
          <w:u w:val="single"/>
        </w:rPr>
        <w:t xml:space="preserve">             </w:t>
      </w:r>
    </w:p>
    <w:p w14:paraId="6F90AA91">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（4）工程地质和地下管线资料的提供时间：</w:t>
      </w:r>
      <w:r>
        <w:rPr>
          <w:rFonts w:hint="eastAsia" w:ascii="宋体" w:hAnsi="宋体" w:cs="宋体"/>
          <w:sz w:val="24"/>
          <w:szCs w:val="24"/>
          <w:highlight w:val="none"/>
          <w:u w:val="single"/>
        </w:rPr>
        <w:t>合同签订七日内提供发包人已知的情况，其它由承包人自行勘测和解决。</w:t>
      </w:r>
    </w:p>
    <w:p w14:paraId="38F1BE33">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（5）由发包人办理的施工所需证件、批件的名称和完成时间：</w:t>
      </w:r>
      <w:r>
        <w:rPr>
          <w:rFonts w:hint="eastAsia" w:ascii="宋体" w:hAnsi="宋体" w:cs="宋体"/>
          <w:sz w:val="24"/>
          <w:szCs w:val="24"/>
          <w:highlight w:val="none"/>
          <w:u w:val="single"/>
        </w:rPr>
        <w:t>合同签订后发包人积极办理，需要承包人配合的承包人必须积极配合在开工前完成</w:t>
      </w:r>
      <w:r>
        <w:rPr>
          <w:rFonts w:hint="eastAsia" w:ascii="宋体" w:hAnsi="宋体" w:cs="宋体"/>
          <w:sz w:val="24"/>
          <w:szCs w:val="24"/>
          <w:highlight w:val="none"/>
        </w:rPr>
        <w:t>。</w:t>
      </w:r>
    </w:p>
    <w:p w14:paraId="539F6B8C">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（6）水准点与座标控制点交验要求：</w:t>
      </w:r>
      <w:r>
        <w:rPr>
          <w:rFonts w:hint="eastAsia" w:ascii="宋体" w:hAnsi="宋体" w:cs="宋体"/>
          <w:sz w:val="24"/>
          <w:szCs w:val="24"/>
          <w:highlight w:val="none"/>
          <w:u w:val="single"/>
        </w:rPr>
        <w:t>/。</w:t>
      </w:r>
    </w:p>
    <w:p w14:paraId="5FF79F50">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（7）施工交底时间：</w:t>
      </w:r>
      <w:r>
        <w:rPr>
          <w:rFonts w:hint="eastAsia" w:ascii="宋体" w:hAnsi="宋体" w:cs="宋体"/>
          <w:sz w:val="24"/>
          <w:szCs w:val="24"/>
          <w:highlight w:val="none"/>
          <w:u w:val="single"/>
        </w:rPr>
        <w:t xml:space="preserve">       。</w:t>
      </w:r>
    </w:p>
    <w:p w14:paraId="69B164B8">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（8）协调处理施工场地周围地下管线和邻近建筑物、构筑物（含文物保护建筑）、古树名木的保护工作：</w:t>
      </w:r>
      <w:r>
        <w:rPr>
          <w:rFonts w:hint="eastAsia" w:ascii="宋体" w:hAnsi="宋体" w:cs="宋体"/>
          <w:sz w:val="24"/>
          <w:szCs w:val="24"/>
          <w:highlight w:val="none"/>
          <w:u w:val="single"/>
        </w:rPr>
        <w:t>由发包人和承包人协商确定。</w:t>
      </w:r>
    </w:p>
    <w:p w14:paraId="4ED85E36">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（9）双方约定发包人应做的其他工作：</w:t>
      </w:r>
      <w:r>
        <w:rPr>
          <w:rFonts w:hint="eastAsia" w:ascii="宋体" w:hAnsi="宋体" w:cs="宋体"/>
          <w:sz w:val="24"/>
          <w:szCs w:val="24"/>
          <w:highlight w:val="none"/>
          <w:u w:val="single"/>
        </w:rPr>
        <w:t>施工中的协调配合工作。</w:t>
      </w:r>
    </w:p>
    <w:p w14:paraId="583B4803">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7.2发包人委托承包人办理的工作：</w:t>
      </w:r>
      <w:r>
        <w:rPr>
          <w:rFonts w:hint="eastAsia" w:ascii="宋体" w:hAnsi="宋体" w:cs="宋体"/>
          <w:sz w:val="24"/>
          <w:szCs w:val="24"/>
          <w:highlight w:val="none"/>
          <w:u w:val="single"/>
        </w:rPr>
        <w:t>配合发包人办理施工许可证、质量监督备案手续。</w:t>
      </w:r>
    </w:p>
    <w:p w14:paraId="34CF3A44">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8、承包人工作</w:t>
      </w:r>
    </w:p>
    <w:p w14:paraId="68148B09">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8.1承包人应按约定时间和要求，完成以下工作：</w:t>
      </w:r>
    </w:p>
    <w:p w14:paraId="19E73923">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（1）需由设计资质等级和业务范围允许的承包人完成的设计文件提交时间：</w:t>
      </w:r>
      <w:r>
        <w:rPr>
          <w:rFonts w:hint="eastAsia" w:ascii="宋体" w:hAnsi="宋体" w:cs="宋体"/>
          <w:sz w:val="24"/>
          <w:szCs w:val="24"/>
          <w:highlight w:val="none"/>
          <w:u w:val="single"/>
        </w:rPr>
        <w:t>按发包人的要求提供。</w:t>
      </w:r>
    </w:p>
    <w:p w14:paraId="7E440520">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（2）应提供计划、报表的名称及完成时间：</w:t>
      </w:r>
      <w:r>
        <w:rPr>
          <w:rFonts w:hint="eastAsia" w:ascii="宋体" w:hAnsi="宋体" w:cs="宋体"/>
          <w:sz w:val="24"/>
          <w:szCs w:val="24"/>
          <w:highlight w:val="none"/>
          <w:u w:val="single"/>
        </w:rPr>
        <w:t xml:space="preserve">        /          。</w:t>
      </w:r>
    </w:p>
    <w:p w14:paraId="0E8F98B7">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（3）承担施工安全保卫工作及非夜间施工照明的责任和要求：</w:t>
      </w:r>
      <w:r>
        <w:rPr>
          <w:rFonts w:hint="eastAsia" w:ascii="宋体" w:hAnsi="宋体" w:cs="宋体"/>
          <w:sz w:val="24"/>
          <w:szCs w:val="24"/>
          <w:highlight w:val="none"/>
          <w:u w:val="single"/>
        </w:rPr>
        <w:t>a、为现场安全保卫提供足够的安全保卫人员及相应的设施和措施，提供24小时的安全保卫服务；b、负责维修夜间和非夜间施工用的照明；c、严格执行《施工现场临时用电安全技术规范》和《建设工程施工现场用电安全规范》。</w:t>
      </w:r>
    </w:p>
    <w:p w14:paraId="2D002D24">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（4）向发包人提供的办公和生活房屋及设施的要求：</w:t>
      </w:r>
      <w:r>
        <w:rPr>
          <w:rFonts w:hint="eastAsia" w:ascii="宋体" w:hAnsi="宋体" w:cs="宋体"/>
          <w:sz w:val="24"/>
          <w:szCs w:val="24"/>
          <w:highlight w:val="none"/>
          <w:u w:val="single"/>
        </w:rPr>
        <w:t>/</w:t>
      </w:r>
    </w:p>
    <w:p w14:paraId="1A0452D3">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（5）需承包人办理的有关施工场地交通、环卫和施工噪音管理等手续：</w:t>
      </w:r>
      <w:r>
        <w:rPr>
          <w:rFonts w:hint="eastAsia" w:ascii="宋体" w:hAnsi="宋体" w:cs="宋体"/>
          <w:sz w:val="24"/>
          <w:szCs w:val="24"/>
          <w:highlight w:val="none"/>
          <w:u w:val="single"/>
        </w:rPr>
        <w:t>由承包人负责各项手续的办理并承担费用。</w:t>
      </w:r>
    </w:p>
    <w:p w14:paraId="5F32885A">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（6）已完工程成品保护的特殊要求及费用承担：</w:t>
      </w:r>
      <w:r>
        <w:rPr>
          <w:rFonts w:hint="eastAsia" w:ascii="宋体" w:hAnsi="宋体" w:cs="宋体"/>
          <w:sz w:val="24"/>
          <w:szCs w:val="24"/>
          <w:highlight w:val="none"/>
          <w:u w:val="single"/>
        </w:rPr>
        <w:t>承包人负责，费用由承包人承担。</w:t>
      </w:r>
    </w:p>
    <w:p w14:paraId="675E28D5">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（7）施工场地周围地下管线和邻近建筑物、构筑物（含文物保护建筑）、古树名木的保护要求及费用承担：</w:t>
      </w:r>
      <w:r>
        <w:rPr>
          <w:rFonts w:hint="eastAsia" w:ascii="宋体" w:hAnsi="宋体" w:cs="宋体"/>
          <w:sz w:val="24"/>
          <w:szCs w:val="24"/>
          <w:highlight w:val="none"/>
          <w:u w:val="single"/>
        </w:rPr>
        <w:t>由发包人和承包人负责协商确定。</w:t>
      </w:r>
    </w:p>
    <w:p w14:paraId="5B9F21F9">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（8）施工场地清洁卫生的要求：</w:t>
      </w:r>
      <w:r>
        <w:rPr>
          <w:rFonts w:hint="eastAsia" w:ascii="宋体" w:hAnsi="宋体" w:cs="宋体"/>
          <w:sz w:val="24"/>
          <w:szCs w:val="24"/>
          <w:highlight w:val="none"/>
          <w:u w:val="single"/>
        </w:rPr>
        <w:t>由承包人负责。</w:t>
      </w:r>
    </w:p>
    <w:p w14:paraId="70DC2029">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（9）双方约定承包人应做的其他工作：</w:t>
      </w:r>
      <w:r>
        <w:rPr>
          <w:rFonts w:hint="eastAsia" w:ascii="宋体" w:hAnsi="宋体" w:cs="宋体"/>
          <w:sz w:val="24"/>
          <w:szCs w:val="24"/>
          <w:highlight w:val="none"/>
          <w:u w:val="single"/>
        </w:rPr>
        <w:t>相关的对外协调工作。</w:t>
      </w:r>
    </w:p>
    <w:p w14:paraId="0F6596D1">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三、施工组织设计和工期</w:t>
      </w:r>
    </w:p>
    <w:p w14:paraId="77A53769">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9、进度计划</w:t>
      </w:r>
    </w:p>
    <w:p w14:paraId="13BF0B84">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9.1承包人提供施工组织设计（施工方案）和进度计划的时间：</w:t>
      </w:r>
      <w:r>
        <w:rPr>
          <w:rFonts w:hint="eastAsia" w:ascii="宋体" w:hAnsi="宋体" w:cs="宋体"/>
          <w:sz w:val="24"/>
          <w:szCs w:val="24"/>
          <w:highlight w:val="none"/>
          <w:u w:val="single"/>
        </w:rPr>
        <w:t>合同签订后15日内。</w:t>
      </w:r>
    </w:p>
    <w:p w14:paraId="2DBE6630">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工程师确认的时间：</w:t>
      </w:r>
      <w:r>
        <w:rPr>
          <w:rFonts w:hint="eastAsia" w:ascii="宋体" w:hAnsi="宋体" w:cs="宋体"/>
          <w:sz w:val="24"/>
          <w:szCs w:val="24"/>
          <w:highlight w:val="none"/>
          <w:u w:val="single"/>
        </w:rPr>
        <w:t>承包人接交之日起七日内。</w:t>
      </w:r>
    </w:p>
    <w:p w14:paraId="53C7BF38">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9.2群体工程中有关进度计划的要求：</w:t>
      </w:r>
      <w:r>
        <w:rPr>
          <w:rFonts w:hint="eastAsia" w:ascii="宋体" w:hAnsi="宋体" w:cs="宋体"/>
          <w:sz w:val="24"/>
          <w:szCs w:val="24"/>
          <w:highlight w:val="none"/>
          <w:u w:val="single"/>
        </w:rPr>
        <w:t>以发包人的要求为准。</w:t>
      </w:r>
    </w:p>
    <w:p w14:paraId="1F4D6465">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10、工期延误</w:t>
      </w:r>
    </w:p>
    <w:p w14:paraId="23AC6282">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10.1双方约定工期顺延的其他情况：</w:t>
      </w:r>
      <w:r>
        <w:rPr>
          <w:rFonts w:hint="eastAsia" w:ascii="宋体" w:hAnsi="宋体" w:cs="宋体"/>
          <w:sz w:val="24"/>
          <w:szCs w:val="24"/>
          <w:highlight w:val="none"/>
          <w:u w:val="single"/>
        </w:rPr>
        <w:t>执行《通用条款》。</w:t>
      </w:r>
    </w:p>
    <w:p w14:paraId="6850943A">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四、质量与检验</w:t>
      </w:r>
    </w:p>
    <w:p w14:paraId="24759EAA">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 xml:space="preserve">11、隐蔽工程和中间验收 </w:t>
      </w:r>
    </w:p>
    <w:p w14:paraId="487B981C">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11.1双方约定中间验收部位：</w:t>
      </w:r>
      <w:r>
        <w:rPr>
          <w:rFonts w:hint="eastAsia" w:ascii="宋体" w:hAnsi="宋体" w:cs="宋体"/>
          <w:sz w:val="24"/>
          <w:szCs w:val="24"/>
          <w:highlight w:val="none"/>
          <w:u w:val="single"/>
        </w:rPr>
        <w:t>执行《通用条款》。</w:t>
      </w:r>
    </w:p>
    <w:p w14:paraId="6595CA66">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 xml:space="preserve">12、工程试车 </w:t>
      </w:r>
    </w:p>
    <w:p w14:paraId="3234F88F">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12.1试车费用的承担：</w:t>
      </w:r>
      <w:r>
        <w:rPr>
          <w:rFonts w:hint="eastAsia" w:ascii="宋体" w:hAnsi="宋体" w:cs="宋体"/>
          <w:sz w:val="24"/>
          <w:szCs w:val="24"/>
          <w:highlight w:val="none"/>
          <w:u w:val="single"/>
        </w:rPr>
        <w:t>由承包人承担。</w:t>
      </w:r>
    </w:p>
    <w:p w14:paraId="2AE7EC7C">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五、安全生产</w:t>
      </w:r>
    </w:p>
    <w:p w14:paraId="665B5536">
      <w:pPr>
        <w:spacing w:line="360" w:lineRule="auto"/>
        <w:ind w:firstLine="480" w:firstLineChars="200"/>
        <w:jc w:val="left"/>
        <w:rPr>
          <w:rFonts w:ascii="宋体" w:hAnsi="宋体" w:cs="宋体"/>
          <w:bCs/>
          <w:sz w:val="24"/>
          <w:szCs w:val="24"/>
          <w:highlight w:val="none"/>
        </w:rPr>
      </w:pPr>
      <w:r>
        <w:rPr>
          <w:rFonts w:hint="eastAsia" w:ascii="宋体" w:hAnsi="宋体" w:cs="宋体"/>
          <w:bCs/>
          <w:sz w:val="24"/>
          <w:szCs w:val="24"/>
          <w:highlight w:val="none"/>
        </w:rPr>
        <w:t>13、项目实施单位履行安全生产监管责任，项目施工单位履行安全生产主体责任。（详见作业设计说明书）</w:t>
      </w:r>
    </w:p>
    <w:p w14:paraId="3AB33BC2">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六、合同价款</w:t>
      </w:r>
    </w:p>
    <w:p w14:paraId="08E3E8A5">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 xml:space="preserve">13、合同价款约定 </w:t>
      </w:r>
    </w:p>
    <w:p w14:paraId="48FFEB04">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13.1本合同价款采用</w:t>
      </w:r>
      <w:r>
        <w:rPr>
          <w:rFonts w:hint="eastAsia" w:ascii="宋体" w:hAnsi="宋体" w:cs="宋体"/>
          <w:sz w:val="24"/>
          <w:szCs w:val="24"/>
          <w:highlight w:val="none"/>
          <w:u w:val="single"/>
        </w:rPr>
        <w:t xml:space="preserve">  （1）_</w:t>
      </w:r>
      <w:r>
        <w:rPr>
          <w:rFonts w:hint="eastAsia" w:ascii="宋体" w:hAnsi="宋体" w:cs="宋体"/>
          <w:sz w:val="24"/>
          <w:szCs w:val="24"/>
          <w:highlight w:val="none"/>
        </w:rPr>
        <w:t>方式确定。</w:t>
      </w:r>
    </w:p>
    <w:p w14:paraId="22B46C03">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（1）采用固定总价合同：</w:t>
      </w:r>
    </w:p>
    <w:p w14:paraId="55C5EB8C">
      <w:pPr>
        <w:spacing w:line="360" w:lineRule="auto"/>
        <w:ind w:firstLine="480" w:firstLineChars="200"/>
        <w:jc w:val="left"/>
        <w:rPr>
          <w:rFonts w:ascii="宋体" w:hAnsi="宋体" w:cs="宋体"/>
          <w:sz w:val="24"/>
          <w:szCs w:val="24"/>
          <w:highlight w:val="none"/>
          <w:u w:val="single"/>
        </w:rPr>
      </w:pPr>
      <w:r>
        <w:rPr>
          <w:rFonts w:hint="eastAsia" w:ascii="宋体" w:hAnsi="宋体" w:cs="宋体"/>
          <w:sz w:val="24"/>
          <w:szCs w:val="24"/>
          <w:highlight w:val="none"/>
        </w:rPr>
        <w:t>（2）采用固定综合单价合同，综合单价中包括的风险范围：</w:t>
      </w:r>
      <w:r>
        <w:rPr>
          <w:rFonts w:hint="eastAsia" w:ascii="宋体" w:hAnsi="宋体" w:cs="宋体"/>
          <w:sz w:val="24"/>
          <w:szCs w:val="24"/>
          <w:highlight w:val="none"/>
          <w:u w:val="single"/>
        </w:rPr>
        <w:t xml:space="preserve">  /  </w:t>
      </w:r>
    </w:p>
    <w:p w14:paraId="4B26AADD">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（3）采用可调价格合同，合同价款调整方法：_______</w:t>
      </w:r>
      <w:r>
        <w:rPr>
          <w:rFonts w:hint="eastAsia" w:ascii="宋体" w:hAnsi="宋体" w:cs="宋体"/>
          <w:sz w:val="24"/>
          <w:szCs w:val="24"/>
          <w:highlight w:val="none"/>
          <w:u w:val="single"/>
        </w:rPr>
        <w:t>__/__</w:t>
      </w:r>
      <w:r>
        <w:rPr>
          <w:rFonts w:hint="eastAsia" w:ascii="宋体" w:hAnsi="宋体" w:cs="宋体"/>
          <w:sz w:val="24"/>
          <w:szCs w:val="24"/>
          <w:highlight w:val="none"/>
        </w:rPr>
        <w:t>___________</w:t>
      </w:r>
    </w:p>
    <w:p w14:paraId="291DC552">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14、合同价款调整</w:t>
      </w:r>
    </w:p>
    <w:p w14:paraId="4BA577D7">
      <w:pPr>
        <w:spacing w:line="360" w:lineRule="auto"/>
        <w:ind w:firstLine="480" w:firstLineChars="200"/>
        <w:jc w:val="left"/>
        <w:rPr>
          <w:rFonts w:ascii="宋体" w:hAnsi="宋体" w:cs="宋体"/>
          <w:sz w:val="24"/>
          <w:szCs w:val="24"/>
          <w:highlight w:val="none"/>
        </w:rPr>
      </w:pPr>
      <w:r>
        <w:rPr>
          <w:rFonts w:hint="eastAsia" w:ascii="宋体" w:hAnsi="宋体" w:cs="宋体"/>
          <w:sz w:val="24"/>
          <w:szCs w:val="24"/>
          <w:highlight w:val="none"/>
        </w:rPr>
        <w:t>14.1双方约定合同价款的其他调整因素：__________</w:t>
      </w:r>
      <w:r>
        <w:rPr>
          <w:rFonts w:hint="eastAsia" w:ascii="宋体" w:hAnsi="宋体" w:cs="宋体"/>
          <w:sz w:val="24"/>
          <w:szCs w:val="24"/>
          <w:highlight w:val="none"/>
          <w:u w:val="single"/>
        </w:rPr>
        <w:t>_/</w:t>
      </w:r>
      <w:r>
        <w:rPr>
          <w:rFonts w:hint="eastAsia" w:ascii="宋体" w:hAnsi="宋体" w:cs="宋体"/>
          <w:sz w:val="24"/>
          <w:szCs w:val="24"/>
          <w:highlight w:val="none"/>
        </w:rPr>
        <w:t>_______________</w:t>
      </w:r>
    </w:p>
    <w:p w14:paraId="3DCF0738">
      <w:pPr>
        <w:spacing w:line="360" w:lineRule="auto"/>
        <w:ind w:firstLine="482" w:firstLineChars="200"/>
        <w:jc w:val="left"/>
        <w:rPr>
          <w:rFonts w:ascii="宋体" w:hAnsi="宋体" w:cs="宋体"/>
          <w:b/>
          <w:bCs/>
          <w:sz w:val="24"/>
          <w:szCs w:val="24"/>
          <w:highlight w:val="none"/>
        </w:rPr>
      </w:pPr>
      <w:r>
        <w:rPr>
          <w:rFonts w:hint="eastAsia" w:ascii="宋体" w:hAnsi="宋体" w:cs="宋体"/>
          <w:b/>
          <w:bCs/>
          <w:sz w:val="24"/>
          <w:szCs w:val="24"/>
          <w:highlight w:val="none"/>
        </w:rPr>
        <w:t>15、工程预付款</w:t>
      </w:r>
    </w:p>
    <w:p w14:paraId="29CD3867">
      <w:pPr>
        <w:spacing w:line="360" w:lineRule="auto"/>
        <w:ind w:firstLine="480" w:firstLineChars="200"/>
        <w:jc w:val="left"/>
        <w:rPr>
          <w:rFonts w:ascii="宋体" w:hAnsi="宋体" w:cs="宋体"/>
          <w:sz w:val="24"/>
          <w:szCs w:val="24"/>
          <w:highlight w:val="none"/>
          <w:u w:val="thick"/>
        </w:rPr>
      </w:pPr>
      <w:r>
        <w:rPr>
          <w:rFonts w:hint="eastAsia" w:ascii="宋体" w:hAnsi="宋体" w:cs="宋体"/>
          <w:sz w:val="24"/>
          <w:szCs w:val="24"/>
          <w:highlight w:val="none"/>
        </w:rPr>
        <w:t>发包人向承包人预付工程款的时间和金额或占合同价款总额的比例：</w:t>
      </w:r>
      <w:r>
        <w:rPr>
          <w:rFonts w:hint="eastAsia" w:ascii="宋体" w:hAnsi="宋体" w:cs="宋体"/>
          <w:sz w:val="24"/>
          <w:szCs w:val="24"/>
          <w:highlight w:val="none"/>
          <w:u w:val="single"/>
        </w:rPr>
        <w:t xml:space="preserve"> / </w:t>
      </w:r>
    </w:p>
    <w:p w14:paraId="3736B928">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预付安全防护、文明施工措施费用的比例和时间：</w:t>
      </w:r>
      <w:r>
        <w:rPr>
          <w:rFonts w:hint="eastAsia" w:ascii="宋体" w:hAnsi="宋体" w:cs="宋体"/>
          <w:sz w:val="24"/>
          <w:szCs w:val="24"/>
          <w:highlight w:val="none"/>
          <w:u w:val="single"/>
        </w:rPr>
        <w:t xml:space="preserve"> / </w:t>
      </w:r>
    </w:p>
    <w:p w14:paraId="343D9BF2">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16、工程量确认</w:t>
      </w:r>
    </w:p>
    <w:p w14:paraId="34749875">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16.1承包人向工程师提交已完工程量报告的时间：</w:t>
      </w:r>
      <w:r>
        <w:rPr>
          <w:rFonts w:hint="eastAsia" w:ascii="宋体" w:hAnsi="宋体" w:cs="宋体"/>
          <w:sz w:val="24"/>
          <w:szCs w:val="24"/>
          <w:highlight w:val="none"/>
          <w:u w:val="single"/>
        </w:rPr>
        <w:t>每月的26日承包人向发包人提交25日以前已完工程量报告。</w:t>
      </w:r>
    </w:p>
    <w:p w14:paraId="007C6242">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17、工程进度款结算与支付</w:t>
      </w:r>
    </w:p>
    <w:p w14:paraId="2F330809">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双方约定的工程进度款支付的方式、时间和比例是：详见合同条款及格式前附表</w:t>
      </w:r>
    </w:p>
    <w:p w14:paraId="3C848CED">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七、材料设备供应</w:t>
      </w:r>
    </w:p>
    <w:p w14:paraId="6874684C">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31发包人供应材料设备，承包人应按计划领取使用，在结算时发包人按暂定价从工程款中扣除。</w:t>
      </w:r>
    </w:p>
    <w:p w14:paraId="5BC753E1">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31.4发包人供应的材料设备与一览表不符时，双方约定发包人承担责任如下：</w:t>
      </w:r>
    </w:p>
    <w:p w14:paraId="57658045">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（1）材料设备单价与一览表不符：</w:t>
      </w:r>
      <w:r>
        <w:rPr>
          <w:rFonts w:hint="eastAsia" w:ascii="宋体" w:hAnsi="宋体" w:cs="宋体"/>
          <w:sz w:val="24"/>
          <w:szCs w:val="24"/>
          <w:highlight w:val="none"/>
          <w:u w:val="single"/>
        </w:rPr>
        <w:t>执行《通用条款》31.4.（1）款。</w:t>
      </w:r>
    </w:p>
    <w:p w14:paraId="2FDFF2F4">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（2）材料设备的品种、规格、型号、质量等级与一览表不符：</w:t>
      </w:r>
      <w:r>
        <w:rPr>
          <w:rFonts w:hint="eastAsia" w:ascii="宋体" w:hAnsi="宋体" w:cs="宋体"/>
          <w:sz w:val="24"/>
          <w:szCs w:val="24"/>
          <w:highlight w:val="none"/>
          <w:u w:val="single"/>
        </w:rPr>
        <w:t>执行《通用条款》31.4(2)款。</w:t>
      </w:r>
    </w:p>
    <w:p w14:paraId="5A1B97EE">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（3）承包人可代为调剂串换的材料：</w:t>
      </w:r>
      <w:r>
        <w:rPr>
          <w:rFonts w:hint="eastAsia" w:ascii="宋体" w:hAnsi="宋体" w:cs="宋体"/>
          <w:sz w:val="24"/>
          <w:szCs w:val="24"/>
          <w:highlight w:val="none"/>
          <w:u w:val="single"/>
        </w:rPr>
        <w:t>执行《通用条款》31.4.（3）款。</w:t>
      </w:r>
    </w:p>
    <w:p w14:paraId="1DE592B9">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（4）到货地点与一览表不符：</w:t>
      </w:r>
      <w:r>
        <w:rPr>
          <w:rFonts w:hint="eastAsia" w:ascii="宋体" w:hAnsi="宋体" w:cs="宋体"/>
          <w:sz w:val="24"/>
          <w:szCs w:val="24"/>
          <w:highlight w:val="none"/>
          <w:u w:val="single"/>
        </w:rPr>
        <w:t>执行《通用条款》31.4.（4）款。</w:t>
      </w:r>
    </w:p>
    <w:p w14:paraId="65D283EE">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（5）供应数量与一览表不符：</w:t>
      </w:r>
      <w:r>
        <w:rPr>
          <w:rFonts w:hint="eastAsia" w:ascii="宋体" w:hAnsi="宋体" w:cs="宋体"/>
          <w:sz w:val="24"/>
          <w:szCs w:val="24"/>
          <w:highlight w:val="none"/>
          <w:u w:val="single"/>
        </w:rPr>
        <w:t>执行《通用条款》31.4.（5）款。</w:t>
      </w:r>
    </w:p>
    <w:p w14:paraId="0D7F0205">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（6）到货时间与一览表不符：</w:t>
      </w:r>
      <w:r>
        <w:rPr>
          <w:rFonts w:hint="eastAsia" w:ascii="宋体" w:hAnsi="宋体" w:cs="宋体"/>
          <w:sz w:val="24"/>
          <w:szCs w:val="24"/>
          <w:highlight w:val="none"/>
          <w:u w:val="single"/>
        </w:rPr>
        <w:t>执行《通用条款》31.4.（6）款。</w:t>
      </w:r>
    </w:p>
    <w:p w14:paraId="0A8DABBD">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31.6发包人供应材料设备的结算方法：</w:t>
      </w:r>
      <w:r>
        <w:rPr>
          <w:rFonts w:hint="eastAsia" w:ascii="宋体" w:hAnsi="宋体" w:cs="宋体"/>
          <w:sz w:val="24"/>
          <w:szCs w:val="24"/>
          <w:highlight w:val="none"/>
          <w:u w:val="single"/>
        </w:rPr>
        <w:t xml:space="preserve">  无 </w:t>
      </w:r>
    </w:p>
    <w:p w14:paraId="5B43728D">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32、承包人采购材料设备</w:t>
      </w:r>
    </w:p>
    <w:p w14:paraId="79AD19D0">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32.1承包人采购材料设备的约定：</w:t>
      </w:r>
      <w:r>
        <w:rPr>
          <w:rFonts w:hint="eastAsia" w:ascii="宋体" w:hAnsi="宋体" w:cs="宋体"/>
          <w:sz w:val="24"/>
          <w:szCs w:val="24"/>
          <w:highlight w:val="none"/>
          <w:u w:val="single"/>
        </w:rPr>
        <w:t>乙方自行采购的材料规格型号应与施工图设计相符，质量等级必须合格。</w:t>
      </w:r>
    </w:p>
    <w:p w14:paraId="6633AB44">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八、工程变更</w:t>
      </w:r>
    </w:p>
    <w:p w14:paraId="270D4EAA">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33、在本工程实施过程中若发生变更，按下列各项执行：</w:t>
      </w:r>
    </w:p>
    <w:p w14:paraId="6BDDC6E9">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33.1</w:t>
      </w:r>
      <w:r>
        <w:rPr>
          <w:rFonts w:hint="eastAsia" w:ascii="宋体" w:hAnsi="宋体" w:cs="宋体"/>
          <w:sz w:val="24"/>
          <w:szCs w:val="24"/>
          <w:highlight w:val="none"/>
          <w:u w:val="single"/>
        </w:rPr>
        <w:t>合同中已有适用综合单价的，可参照类似综合单价调整；</w:t>
      </w:r>
    </w:p>
    <w:p w14:paraId="7376C466">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33.2</w:t>
      </w:r>
      <w:r>
        <w:rPr>
          <w:rFonts w:hint="eastAsia" w:ascii="宋体" w:hAnsi="宋体" w:cs="宋体"/>
          <w:sz w:val="24"/>
          <w:szCs w:val="24"/>
          <w:highlight w:val="none"/>
          <w:u w:val="single"/>
        </w:rPr>
        <w:t>合同中有类似综合单价的，可参照类似综合单价调整；</w:t>
      </w:r>
    </w:p>
    <w:p w14:paraId="64790030">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33.3</w:t>
      </w:r>
      <w:r>
        <w:rPr>
          <w:rFonts w:hint="eastAsia" w:ascii="宋体" w:hAnsi="宋体" w:cs="宋体"/>
          <w:sz w:val="24"/>
          <w:szCs w:val="24"/>
          <w:highlight w:val="none"/>
          <w:u w:val="single"/>
        </w:rPr>
        <w:t>合同中没有适用或类似综合单价的承包人按照投标书人工工日、材料、机械台班单价进行组价，报发包人审核认可。</w:t>
      </w:r>
    </w:p>
    <w:p w14:paraId="39F24512">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九、竣工验收与结算</w:t>
      </w:r>
    </w:p>
    <w:p w14:paraId="7B640953">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36、竣工验收</w:t>
      </w:r>
    </w:p>
    <w:p w14:paraId="0D6AF79E">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36.1承包人提供竣工图的约定：</w:t>
      </w:r>
      <w:r>
        <w:rPr>
          <w:rFonts w:hint="eastAsia" w:ascii="宋体" w:hAnsi="宋体" w:cs="宋体"/>
          <w:sz w:val="24"/>
          <w:szCs w:val="24"/>
          <w:highlight w:val="none"/>
          <w:u w:val="single"/>
        </w:rPr>
        <w:t>完整资料文件两套。</w:t>
      </w:r>
    </w:p>
    <w:p w14:paraId="761C3443">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36.6中间交工工程的范围和竣工时间：_______________</w:t>
      </w:r>
      <w:r>
        <w:rPr>
          <w:rFonts w:hint="eastAsia" w:ascii="宋体" w:hAnsi="宋体" w:cs="宋体"/>
          <w:sz w:val="24"/>
          <w:szCs w:val="24"/>
          <w:highlight w:val="none"/>
          <w:u w:val="single"/>
        </w:rPr>
        <w:t>/</w:t>
      </w:r>
      <w:r>
        <w:rPr>
          <w:rFonts w:hint="eastAsia" w:ascii="宋体" w:hAnsi="宋体" w:cs="宋体"/>
          <w:sz w:val="24"/>
          <w:szCs w:val="24"/>
          <w:highlight w:val="none"/>
        </w:rPr>
        <w:t>_______________</w:t>
      </w:r>
    </w:p>
    <w:p w14:paraId="7F36022F">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37、竣工结算</w:t>
      </w:r>
    </w:p>
    <w:p w14:paraId="7E48753A">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 xml:space="preserve">结算审查期限： </w:t>
      </w:r>
      <w:r>
        <w:rPr>
          <w:rFonts w:hint="eastAsia" w:ascii="宋体" w:hAnsi="宋体" w:cs="宋体"/>
          <w:sz w:val="24"/>
          <w:szCs w:val="24"/>
          <w:highlight w:val="none"/>
          <w:u w:val="single"/>
        </w:rPr>
        <w:t xml:space="preserve">  /   </w:t>
      </w:r>
    </w:p>
    <w:p w14:paraId="194583AF">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十、违约、索赔和争议</w:t>
      </w:r>
    </w:p>
    <w:p w14:paraId="246CC39D">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39、违约</w:t>
      </w:r>
    </w:p>
    <w:p w14:paraId="75973433">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 xml:space="preserve">39.1  本合同中关于发包人违约的具体责任如下： </w:t>
      </w:r>
    </w:p>
    <w:p w14:paraId="51D85170">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本合同通用条款第28.1条约定发包人违约应承担的违约责任：</w:t>
      </w:r>
      <w:r>
        <w:rPr>
          <w:rFonts w:hint="eastAsia" w:ascii="宋体" w:hAnsi="宋体" w:cs="宋体"/>
          <w:sz w:val="24"/>
          <w:szCs w:val="24"/>
          <w:highlight w:val="none"/>
          <w:u w:val="single"/>
        </w:rPr>
        <w:t xml:space="preserve">  _</w:t>
      </w:r>
      <w:r>
        <w:rPr>
          <w:rFonts w:hint="eastAsia" w:ascii="宋体" w:hAnsi="宋体" w:cs="宋体"/>
          <w:sz w:val="24"/>
          <w:szCs w:val="24"/>
          <w:highlight w:val="none"/>
        </w:rPr>
        <w:t>/_</w:t>
      </w:r>
      <w:r>
        <w:rPr>
          <w:rFonts w:hint="eastAsia" w:ascii="宋体" w:hAnsi="宋体" w:cs="宋体"/>
          <w:sz w:val="24"/>
          <w:szCs w:val="24"/>
          <w:highlight w:val="none"/>
          <w:u w:val="single"/>
        </w:rPr>
        <w:t xml:space="preserve">_   </w:t>
      </w:r>
    </w:p>
    <w:p w14:paraId="5F6B2280">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本合同通用条款第30.5款约定发包人违约应承担的违约责任：</w:t>
      </w:r>
      <w:r>
        <w:rPr>
          <w:rFonts w:hint="eastAsia" w:ascii="宋体" w:hAnsi="宋体" w:cs="宋体"/>
          <w:sz w:val="24"/>
          <w:szCs w:val="24"/>
          <w:highlight w:val="none"/>
          <w:u w:val="single"/>
        </w:rPr>
        <w:t>执行《通用条款》30.5款。</w:t>
      </w:r>
    </w:p>
    <w:p w14:paraId="0FD629AA">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本合同通用条款第37.6款约定发包人违约应承担的违约责任：</w:t>
      </w:r>
      <w:r>
        <w:rPr>
          <w:rFonts w:hint="eastAsia" w:ascii="宋体" w:hAnsi="宋体" w:cs="宋体"/>
          <w:sz w:val="24"/>
          <w:szCs w:val="24"/>
          <w:highlight w:val="none"/>
          <w:u w:val="single"/>
        </w:rPr>
        <w:t>执行《通用条款》37.6款。</w:t>
      </w:r>
    </w:p>
    <w:p w14:paraId="7BDB7357">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双方约定的发包人其他违约责任：__________/_________</w:t>
      </w:r>
    </w:p>
    <w:p w14:paraId="47E4682E">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39.2  本合同中关于承包人违约的具体责任如下：本合同通用条款第14.2款约定承包人违约承担的违约责任：</w:t>
      </w:r>
      <w:r>
        <w:rPr>
          <w:rFonts w:hint="eastAsia" w:ascii="宋体" w:hAnsi="宋体" w:cs="宋体"/>
          <w:sz w:val="24"/>
          <w:szCs w:val="24"/>
          <w:highlight w:val="none"/>
          <w:u w:val="single"/>
        </w:rPr>
        <w:t>承包人工期每推迟一天罚款1000元，若影响到发包人使用另行赔偿给甲方造成的损失。</w:t>
      </w:r>
    </w:p>
    <w:p w14:paraId="09D65474">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本合同通用条款第15.1款约定承包人违约应承担的违约责任：</w:t>
      </w:r>
      <w:r>
        <w:rPr>
          <w:rFonts w:hint="eastAsia" w:ascii="宋体" w:hAnsi="宋体" w:cs="宋体"/>
          <w:sz w:val="24"/>
          <w:szCs w:val="24"/>
          <w:highlight w:val="none"/>
          <w:u w:val="single"/>
        </w:rPr>
        <w:t>承包方除按合同价款的2%承担违约金外，另按国务院279号令有关规定执行。</w:t>
      </w:r>
    </w:p>
    <w:p w14:paraId="7C02B36D">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双方约定的承包人其他违约责任：______</w:t>
      </w:r>
      <w:r>
        <w:rPr>
          <w:rFonts w:hint="eastAsia" w:ascii="宋体" w:hAnsi="宋体" w:cs="宋体"/>
          <w:sz w:val="24"/>
          <w:szCs w:val="24"/>
          <w:highlight w:val="none"/>
          <w:u w:val="single"/>
        </w:rPr>
        <w:t>/</w:t>
      </w:r>
      <w:r>
        <w:rPr>
          <w:rFonts w:hint="eastAsia" w:ascii="宋体" w:hAnsi="宋体" w:cs="宋体"/>
          <w:sz w:val="24"/>
          <w:szCs w:val="24"/>
          <w:highlight w:val="none"/>
        </w:rPr>
        <w:t>________</w:t>
      </w:r>
    </w:p>
    <w:p w14:paraId="2BF91974">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41、争议</w:t>
      </w:r>
    </w:p>
    <w:p w14:paraId="2B1E6B30">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41.1双方当事人约定，在履行合同过程中产生争议时：</w:t>
      </w:r>
    </w:p>
    <w:p w14:paraId="6877B573">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（1）请_</w:t>
      </w:r>
      <w:r>
        <w:rPr>
          <w:rFonts w:hint="eastAsia" w:ascii="宋体" w:hAnsi="宋体" w:cs="宋体"/>
          <w:sz w:val="24"/>
          <w:szCs w:val="24"/>
          <w:highlight w:val="none"/>
          <w:u w:val="single"/>
        </w:rPr>
        <w:t>合同管理部门和其他有关部门</w:t>
      </w:r>
      <w:r>
        <w:rPr>
          <w:rFonts w:hint="eastAsia" w:ascii="宋体" w:hAnsi="宋体" w:cs="宋体"/>
          <w:sz w:val="24"/>
          <w:szCs w:val="24"/>
          <w:highlight w:val="none"/>
        </w:rPr>
        <w:t>_调解；</w:t>
      </w:r>
    </w:p>
    <w:p w14:paraId="68C03CF6">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（2）合同争议调解不成的，按下列第_</w:t>
      </w:r>
      <w:r>
        <w:rPr>
          <w:rFonts w:hint="eastAsia" w:ascii="宋体" w:hAnsi="宋体" w:cs="宋体"/>
          <w:sz w:val="24"/>
          <w:szCs w:val="24"/>
          <w:highlight w:val="none"/>
          <w:u w:val="single"/>
        </w:rPr>
        <w:t xml:space="preserve"> 1）</w:t>
      </w:r>
      <w:r>
        <w:rPr>
          <w:rFonts w:hint="eastAsia" w:ascii="宋体" w:hAnsi="宋体" w:cs="宋体"/>
          <w:sz w:val="24"/>
          <w:szCs w:val="24"/>
          <w:highlight w:val="none"/>
        </w:rPr>
        <w:t>_种方式解决：</w:t>
      </w:r>
    </w:p>
    <w:p w14:paraId="530BA53B">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 xml:space="preserve">  1）提交</w:t>
      </w:r>
      <w:r>
        <w:rPr>
          <w:rFonts w:hint="eastAsia" w:ascii="宋体" w:hAnsi="宋体" w:cs="宋体"/>
          <w:sz w:val="24"/>
          <w:szCs w:val="24"/>
          <w:highlight w:val="none"/>
          <w:u w:val="single"/>
        </w:rPr>
        <w:t xml:space="preserve">     </w:t>
      </w:r>
      <w:r>
        <w:rPr>
          <w:rFonts w:hint="eastAsia" w:ascii="宋体" w:hAnsi="宋体" w:cs="宋体"/>
          <w:sz w:val="24"/>
          <w:szCs w:val="24"/>
          <w:highlight w:val="none"/>
        </w:rPr>
        <w:t xml:space="preserve">仲裁委员会申请仲裁； </w:t>
      </w:r>
    </w:p>
    <w:p w14:paraId="28DB2D1C">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 xml:space="preserve">  2）依法</w:t>
      </w:r>
      <w:r>
        <w:rPr>
          <w:rFonts w:hint="eastAsia" w:ascii="宋体" w:hAnsi="宋体" w:cs="宋体"/>
          <w:sz w:val="24"/>
          <w:szCs w:val="24"/>
          <w:highlight w:val="none"/>
          <w:u w:val="single"/>
        </w:rPr>
        <w:t xml:space="preserve">向     </w:t>
      </w:r>
      <w:r>
        <w:rPr>
          <w:rFonts w:hint="eastAsia" w:ascii="宋体" w:hAnsi="宋体" w:cs="宋体"/>
          <w:sz w:val="24"/>
          <w:szCs w:val="24"/>
          <w:highlight w:val="none"/>
        </w:rPr>
        <w:t xml:space="preserve">人民法院提起诉讼。 </w:t>
      </w:r>
    </w:p>
    <w:p w14:paraId="7C52157F">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十一、其他</w:t>
      </w:r>
    </w:p>
    <w:p w14:paraId="64A63228">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42、工程分包</w:t>
      </w:r>
    </w:p>
    <w:p w14:paraId="3A4D8477">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42.1本工程发包人同意承包人分包的专业工程：</w:t>
      </w:r>
      <w:r>
        <w:rPr>
          <w:rFonts w:hint="eastAsia" w:ascii="宋体" w:hAnsi="宋体" w:cs="宋体"/>
          <w:sz w:val="24"/>
          <w:szCs w:val="24"/>
          <w:highlight w:val="none"/>
          <w:u w:val="single"/>
        </w:rPr>
        <w:t xml:space="preserve">   无  </w:t>
      </w:r>
    </w:p>
    <w:p w14:paraId="19A44BE7">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分包施工单位为：___________</w:t>
      </w:r>
      <w:r>
        <w:rPr>
          <w:rFonts w:hint="eastAsia" w:ascii="宋体" w:hAnsi="宋体" w:cs="宋体"/>
          <w:sz w:val="24"/>
          <w:szCs w:val="24"/>
          <w:highlight w:val="none"/>
          <w:u w:val="single"/>
        </w:rPr>
        <w:t>/</w:t>
      </w:r>
      <w:r>
        <w:rPr>
          <w:rFonts w:hint="eastAsia" w:ascii="宋体" w:hAnsi="宋体" w:cs="宋体"/>
          <w:sz w:val="24"/>
          <w:szCs w:val="24"/>
          <w:highlight w:val="none"/>
        </w:rPr>
        <w:t>_____________</w:t>
      </w:r>
    </w:p>
    <w:p w14:paraId="68A53B88">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43、不可抗力</w:t>
      </w:r>
    </w:p>
    <w:p w14:paraId="6EDC5D2D">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 xml:space="preserve">43.1双方关于不可抗力的约定： </w:t>
      </w:r>
      <w:r>
        <w:rPr>
          <w:rFonts w:hint="eastAsia" w:ascii="宋体" w:hAnsi="宋体" w:cs="宋体"/>
          <w:sz w:val="24"/>
          <w:szCs w:val="24"/>
          <w:highlight w:val="none"/>
          <w:u w:val="single"/>
        </w:rPr>
        <w:t>_根据国家的法律规定执行。</w:t>
      </w:r>
    </w:p>
    <w:p w14:paraId="4A767F6E">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44、保险</w:t>
      </w:r>
    </w:p>
    <w:p w14:paraId="1418E00E">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44.6本工程双方约定投保内容如下：</w:t>
      </w:r>
    </w:p>
    <w:p w14:paraId="68683A50">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（1）发包人投保内容：</w:t>
      </w:r>
      <w:r>
        <w:rPr>
          <w:rFonts w:hint="eastAsia" w:ascii="宋体" w:hAnsi="宋体" w:cs="宋体"/>
          <w:sz w:val="24"/>
          <w:szCs w:val="24"/>
          <w:highlight w:val="none"/>
          <w:u w:val="single"/>
        </w:rPr>
        <w:t>执行《通用条款》44.1款，费用由发包人承担。</w:t>
      </w:r>
    </w:p>
    <w:p w14:paraId="75479A49">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发包人委托承包人办理的保险事项：____________/________________</w:t>
      </w:r>
    </w:p>
    <w:p w14:paraId="4932FC30">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（2）承包人投保内容：</w:t>
      </w:r>
      <w:r>
        <w:rPr>
          <w:rFonts w:hint="eastAsia" w:ascii="宋体" w:hAnsi="宋体" w:cs="宋体"/>
          <w:sz w:val="24"/>
          <w:szCs w:val="24"/>
          <w:highlight w:val="none"/>
          <w:u w:val="single"/>
        </w:rPr>
        <w:t>执行《通用条款》44.4款，费用由承包人承担。</w:t>
      </w:r>
    </w:p>
    <w:p w14:paraId="190E0A1F">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45、担保</w:t>
      </w:r>
    </w:p>
    <w:p w14:paraId="0B1E12C5">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 xml:space="preserve">45.3本工程双方约定担保事项如下： </w:t>
      </w:r>
    </w:p>
    <w:p w14:paraId="05FD08F8">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（1）发包人向承包人提供支付担保，担保方式为：</w:t>
      </w:r>
      <w:r>
        <w:rPr>
          <w:rFonts w:hint="eastAsia" w:ascii="宋体" w:hAnsi="宋体" w:cs="宋体"/>
          <w:sz w:val="24"/>
          <w:szCs w:val="24"/>
          <w:highlight w:val="none"/>
          <w:u w:val="single"/>
        </w:rPr>
        <w:t xml:space="preserve">      </w:t>
      </w:r>
      <w:r>
        <w:rPr>
          <w:rFonts w:hint="eastAsia" w:ascii="宋体" w:hAnsi="宋体" w:cs="宋体"/>
          <w:sz w:val="24"/>
          <w:szCs w:val="24"/>
          <w:highlight w:val="none"/>
        </w:rPr>
        <w:t>，担保金额：</w:t>
      </w:r>
      <w:r>
        <w:rPr>
          <w:rFonts w:hint="eastAsia" w:ascii="宋体" w:hAnsi="宋体" w:cs="宋体"/>
          <w:sz w:val="24"/>
          <w:szCs w:val="24"/>
          <w:highlight w:val="none"/>
          <w:u w:val="single"/>
        </w:rPr>
        <w:t xml:space="preserve">    </w:t>
      </w:r>
      <w:r>
        <w:rPr>
          <w:rFonts w:hint="eastAsia" w:ascii="宋体" w:hAnsi="宋体" w:cs="宋体"/>
          <w:sz w:val="24"/>
          <w:szCs w:val="24"/>
          <w:highlight w:val="none"/>
        </w:rPr>
        <w:t>，担保有效期：</w:t>
      </w:r>
      <w:r>
        <w:rPr>
          <w:rFonts w:hint="eastAsia" w:ascii="宋体" w:hAnsi="宋体" w:cs="宋体"/>
          <w:sz w:val="24"/>
          <w:szCs w:val="24"/>
          <w:highlight w:val="none"/>
          <w:u w:val="single"/>
        </w:rPr>
        <w:t xml:space="preserve">    _</w:t>
      </w:r>
      <w:r>
        <w:rPr>
          <w:rFonts w:hint="eastAsia" w:ascii="宋体" w:hAnsi="宋体" w:cs="宋体"/>
          <w:sz w:val="24"/>
          <w:szCs w:val="24"/>
          <w:highlight w:val="none"/>
        </w:rPr>
        <w:t>。</w:t>
      </w:r>
    </w:p>
    <w:p w14:paraId="313AC763">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（2）承包人向发包人提供履约担保，担保方式为：</w:t>
      </w:r>
      <w:r>
        <w:rPr>
          <w:rFonts w:hint="eastAsia" w:ascii="宋体" w:hAnsi="宋体" w:cs="宋体"/>
          <w:sz w:val="24"/>
          <w:szCs w:val="24"/>
          <w:highlight w:val="none"/>
          <w:u w:val="single"/>
        </w:rPr>
        <w:t xml:space="preserve"> / </w:t>
      </w:r>
      <w:r>
        <w:rPr>
          <w:rFonts w:hint="eastAsia" w:ascii="宋体" w:hAnsi="宋体" w:cs="宋体"/>
          <w:sz w:val="24"/>
          <w:szCs w:val="24"/>
          <w:highlight w:val="none"/>
        </w:rPr>
        <w:t>，担保金额：</w:t>
      </w:r>
      <w:r>
        <w:rPr>
          <w:rFonts w:hint="eastAsia" w:ascii="宋体" w:hAnsi="宋体" w:cs="宋体"/>
          <w:sz w:val="24"/>
          <w:szCs w:val="24"/>
          <w:highlight w:val="none"/>
          <w:u w:val="single"/>
        </w:rPr>
        <w:t>/</w:t>
      </w:r>
      <w:r>
        <w:rPr>
          <w:rFonts w:hint="eastAsia" w:ascii="宋体" w:hAnsi="宋体" w:cs="宋体"/>
          <w:sz w:val="24"/>
          <w:szCs w:val="24"/>
          <w:highlight w:val="none"/>
        </w:rPr>
        <w:t>，担保有效期：</w:t>
      </w:r>
      <w:r>
        <w:rPr>
          <w:rFonts w:hint="eastAsia" w:ascii="宋体" w:hAnsi="宋体" w:cs="宋体"/>
          <w:sz w:val="24"/>
          <w:szCs w:val="24"/>
          <w:highlight w:val="none"/>
          <w:u w:val="single"/>
        </w:rPr>
        <w:t>/</w:t>
      </w:r>
      <w:r>
        <w:rPr>
          <w:rFonts w:hint="eastAsia" w:ascii="宋体" w:hAnsi="宋体" w:cs="宋体"/>
          <w:sz w:val="24"/>
          <w:szCs w:val="24"/>
          <w:highlight w:val="none"/>
        </w:rPr>
        <w:t>。</w:t>
      </w:r>
    </w:p>
    <w:p w14:paraId="03646A60">
      <w:pPr>
        <w:widowControl/>
        <w:spacing w:line="360" w:lineRule="auto"/>
        <w:ind w:firstLine="480" w:firstLineChars="200"/>
        <w:rPr>
          <w:rFonts w:ascii="宋体" w:hAnsi="宋体" w:cs="宋体"/>
          <w:sz w:val="24"/>
          <w:szCs w:val="24"/>
          <w:highlight w:val="none"/>
        </w:rPr>
      </w:pPr>
      <w:r>
        <w:rPr>
          <w:rFonts w:hint="eastAsia" w:ascii="宋体" w:hAnsi="宋体" w:cs="宋体"/>
          <w:sz w:val="24"/>
          <w:szCs w:val="24"/>
          <w:highlight w:val="none"/>
        </w:rPr>
        <w:t>（3）双方约定的其他担保事项：_______________/________________</w:t>
      </w:r>
    </w:p>
    <w:p w14:paraId="13E9E4C1">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50、合同份数</w:t>
      </w:r>
    </w:p>
    <w:p w14:paraId="537187E1">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50.2双方约定合同副本份数：</w:t>
      </w:r>
      <w:r>
        <w:rPr>
          <w:rFonts w:hint="eastAsia" w:ascii="宋体" w:hAnsi="宋体" w:cs="宋体"/>
          <w:sz w:val="24"/>
          <w:szCs w:val="24"/>
          <w:highlight w:val="none"/>
          <w:u w:val="thick"/>
        </w:rPr>
        <w:t>捌份。</w:t>
      </w:r>
    </w:p>
    <w:p w14:paraId="32FA1F40">
      <w:pPr>
        <w:widowControl/>
        <w:spacing w:line="360" w:lineRule="auto"/>
        <w:ind w:firstLine="482" w:firstLineChars="200"/>
        <w:rPr>
          <w:rFonts w:ascii="宋体" w:hAnsi="宋体" w:cs="宋体"/>
          <w:b/>
          <w:bCs/>
          <w:sz w:val="24"/>
          <w:szCs w:val="24"/>
          <w:highlight w:val="none"/>
        </w:rPr>
      </w:pPr>
      <w:r>
        <w:rPr>
          <w:rFonts w:hint="eastAsia" w:ascii="宋体" w:hAnsi="宋体" w:cs="宋体"/>
          <w:b/>
          <w:bCs/>
          <w:sz w:val="24"/>
          <w:szCs w:val="24"/>
          <w:highlight w:val="none"/>
        </w:rPr>
        <w:t>51、补充条款</w:t>
      </w:r>
    </w:p>
    <w:p w14:paraId="356F62F7">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51.1</w:t>
      </w:r>
      <w:r>
        <w:rPr>
          <w:rFonts w:hint="eastAsia" w:ascii="宋体" w:hAnsi="宋体" w:cs="宋体"/>
          <w:sz w:val="24"/>
          <w:szCs w:val="24"/>
          <w:highlight w:val="none"/>
          <w:u w:val="single"/>
        </w:rPr>
        <w:t>本工程禁止转包，若发现承包方私自转包和未经发包人许可私自分包，发包人有权终止合同，对已完工程不予结算，并由承包人赔偿因此给发包方造成的直接或间接的经济损失。</w:t>
      </w:r>
    </w:p>
    <w:p w14:paraId="218183E3">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51.2</w:t>
      </w:r>
      <w:r>
        <w:rPr>
          <w:rFonts w:hint="eastAsia" w:ascii="宋体" w:hAnsi="宋体" w:cs="宋体"/>
          <w:sz w:val="24"/>
          <w:szCs w:val="24"/>
          <w:highlight w:val="none"/>
          <w:u w:val="single"/>
        </w:rPr>
        <w:t>施工企业须承诺按国务院及当地政府的规定按时、足额、实名方式支付农民工工资，否则发包人在工程款中代扣支付，并在工程结算时扣除。</w:t>
      </w:r>
    </w:p>
    <w:p w14:paraId="73A22505">
      <w:pPr>
        <w:widowControl/>
        <w:spacing w:line="360" w:lineRule="auto"/>
        <w:ind w:firstLine="480" w:firstLineChars="200"/>
        <w:rPr>
          <w:rFonts w:ascii="宋体" w:hAnsi="宋体" w:cs="宋体"/>
          <w:sz w:val="24"/>
          <w:szCs w:val="24"/>
          <w:highlight w:val="none"/>
          <w:u w:val="thick"/>
        </w:rPr>
      </w:pPr>
      <w:r>
        <w:rPr>
          <w:rFonts w:hint="eastAsia" w:ascii="宋体" w:hAnsi="宋体" w:cs="宋体"/>
          <w:sz w:val="24"/>
          <w:szCs w:val="24"/>
          <w:highlight w:val="none"/>
        </w:rPr>
        <w:t>51.3</w:t>
      </w:r>
      <w:r>
        <w:rPr>
          <w:rFonts w:hint="eastAsia" w:ascii="宋体" w:hAnsi="宋体" w:cs="宋体"/>
          <w:sz w:val="24"/>
          <w:szCs w:val="24"/>
          <w:highlight w:val="none"/>
          <w:u w:val="single"/>
        </w:rPr>
        <w:t>本工程竣工后，应免费将建筑物周围和施工单位生活区周围内施工现场清除干净；无建筑材料、无建筑设备、无建筑垃圾、和施工垃圾，做到场地整洁。</w:t>
      </w:r>
    </w:p>
    <w:p w14:paraId="203B3875">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51.4</w:t>
      </w:r>
      <w:r>
        <w:rPr>
          <w:rFonts w:hint="eastAsia" w:ascii="宋体" w:hAnsi="宋体" w:cs="宋体"/>
          <w:sz w:val="24"/>
          <w:szCs w:val="24"/>
          <w:highlight w:val="none"/>
          <w:u w:val="single"/>
        </w:rPr>
        <w:t>承包人在施工过程中应服从、遵守发包人和当地政府职能部门的管理制度。关于安全防护、文明施工措施费用的其他约定如下：</w:t>
      </w:r>
    </w:p>
    <w:p w14:paraId="4D4D4F09">
      <w:pPr>
        <w:numPr>
          <w:ilvl w:val="0"/>
          <w:numId w:val="2"/>
        </w:numPr>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u w:val="single"/>
        </w:rPr>
        <w:t>承包人需提供安全防护、文明施工措施费用的支付计划落实情况；</w:t>
      </w:r>
    </w:p>
    <w:p w14:paraId="6D0B785C">
      <w:pPr>
        <w:numPr>
          <w:ilvl w:val="0"/>
          <w:numId w:val="2"/>
        </w:numPr>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u w:val="single"/>
        </w:rPr>
        <w:t>工程师对承包人落实安全防护、文明施工措施分情况进行现场监理，若发现承包人为落实安全防护、文明施工措施的，有权责令其立即整改；</w:t>
      </w:r>
    </w:p>
    <w:p w14:paraId="46A8D723">
      <w:pPr>
        <w:widowControl/>
        <w:spacing w:line="360" w:lineRule="auto"/>
        <w:ind w:firstLine="480" w:firstLineChars="200"/>
        <w:rPr>
          <w:rFonts w:ascii="宋体" w:hAnsi="宋体" w:cs="宋体"/>
          <w:sz w:val="24"/>
          <w:szCs w:val="24"/>
          <w:highlight w:val="none"/>
          <w:u w:val="single"/>
        </w:rPr>
      </w:pPr>
      <w:r>
        <w:rPr>
          <w:rFonts w:hint="eastAsia" w:ascii="宋体" w:hAnsi="宋体" w:cs="宋体"/>
          <w:sz w:val="24"/>
          <w:szCs w:val="24"/>
          <w:highlight w:val="none"/>
        </w:rPr>
        <w:t>3、</w:t>
      </w:r>
      <w:r>
        <w:rPr>
          <w:rFonts w:hint="eastAsia" w:ascii="宋体" w:hAnsi="宋体" w:cs="宋体"/>
          <w:sz w:val="24"/>
          <w:szCs w:val="24"/>
          <w:highlight w:val="none"/>
          <w:u w:val="single"/>
        </w:rPr>
        <w:t>发包人和承包人应在财务管理中单独列支安全防护、文明施工措施项目费用的支付情况。</w:t>
      </w:r>
    </w:p>
    <w:p w14:paraId="3AB2DBA8">
      <w:pPr>
        <w:spacing w:line="360" w:lineRule="auto"/>
        <w:rPr>
          <w:rFonts w:hAnsi="宋体"/>
          <w:szCs w:val="24"/>
          <w:highlight w:val="none"/>
        </w:rPr>
      </w:pPr>
      <w:r>
        <w:rPr>
          <w:rFonts w:hint="eastAsia" w:ascii="宋体" w:hAnsi="宋体" w:cs="宋体"/>
          <w:sz w:val="24"/>
          <w:szCs w:val="24"/>
          <w:highlight w:val="none"/>
        </w:rPr>
        <w:t>51.5</w:t>
      </w:r>
      <w:r>
        <w:rPr>
          <w:rFonts w:hint="eastAsia" w:ascii="宋体" w:hAnsi="宋体" w:cs="宋体"/>
          <w:sz w:val="24"/>
          <w:szCs w:val="24"/>
          <w:highlight w:val="none"/>
          <w:u w:val="single"/>
        </w:rPr>
        <w:t>以上未尽事宜，双方协商解决或另行签署补充协议并到建设行政主管部门备案。</w:t>
      </w:r>
    </w:p>
    <w:p w14:paraId="53AEBDD7">
      <w:pPr>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br w:type="page"/>
      </w:r>
    </w:p>
    <w:bookmarkEnd w:id="84"/>
    <w:bookmarkEnd w:id="85"/>
    <w:bookmarkEnd w:id="86"/>
    <w:bookmarkEnd w:id="87"/>
    <w:bookmarkEnd w:id="88"/>
    <w:bookmarkEnd w:id="89"/>
    <w:bookmarkEnd w:id="90"/>
    <w:bookmarkEnd w:id="91"/>
    <w:p w14:paraId="55F66136">
      <w:pPr>
        <w:pStyle w:val="4"/>
        <w:spacing w:line="360" w:lineRule="auto"/>
        <w:jc w:val="center"/>
        <w:rPr>
          <w:rFonts w:asciiTheme="minorEastAsia" w:hAnsiTheme="minorEastAsia" w:eastAsiaTheme="minorEastAsia" w:cstheme="minorEastAsia"/>
          <w:sz w:val="36"/>
          <w:szCs w:val="36"/>
          <w:highlight w:val="none"/>
        </w:rPr>
      </w:pPr>
      <w:bookmarkStart w:id="95" w:name="_Toc410"/>
      <w:bookmarkStart w:id="96" w:name="_Toc421778381"/>
      <w:bookmarkStart w:id="97" w:name="_Toc8858"/>
      <w:bookmarkStart w:id="98" w:name="_Toc344572156"/>
      <w:r>
        <w:rPr>
          <w:rFonts w:hint="eastAsia" w:asciiTheme="minorEastAsia" w:hAnsiTheme="minorEastAsia" w:eastAsiaTheme="minorEastAsia" w:cstheme="minorEastAsia"/>
          <w:sz w:val="36"/>
          <w:szCs w:val="36"/>
          <w:highlight w:val="none"/>
          <w:lang w:val="en-US" w:eastAsia="zh-CN"/>
        </w:rPr>
        <w:t xml:space="preserve"> </w:t>
      </w:r>
      <w:r>
        <w:rPr>
          <w:rFonts w:hint="eastAsia" w:asciiTheme="minorEastAsia" w:hAnsiTheme="minorEastAsia" w:eastAsiaTheme="minorEastAsia" w:cstheme="minorEastAsia"/>
          <w:sz w:val="36"/>
          <w:szCs w:val="36"/>
          <w:highlight w:val="none"/>
        </w:rPr>
        <w:t>第五章  项目概况及技术要求</w:t>
      </w:r>
      <w:bookmarkEnd w:id="95"/>
      <w:bookmarkEnd w:id="96"/>
      <w:bookmarkEnd w:id="97"/>
      <w:bookmarkStart w:id="99" w:name="_Toc8126"/>
    </w:p>
    <w:p w14:paraId="3D12209C">
      <w:pPr>
        <w:keepNext w:val="0"/>
        <w:keepLines w:val="0"/>
        <w:pageBreakBefore w:val="0"/>
        <w:widowControl w:val="0"/>
        <w:kinsoku/>
        <w:wordWrap/>
        <w:overflowPunct/>
        <w:topLinePunct w:val="0"/>
        <w:autoSpaceDE/>
        <w:autoSpaceDN/>
        <w:bidi w:val="0"/>
        <w:adjustRightInd/>
        <w:snapToGrid/>
        <w:spacing w:before="60" w:after="0" w:afterLines="150" w:line="240" w:lineRule="auto"/>
        <w:ind w:left="2416" w:firstLine="747" w:firstLineChars="300"/>
        <w:jc w:val="both"/>
        <w:textAlignment w:val="auto"/>
        <w:outlineLvl w:val="0"/>
        <w:rPr>
          <w:rFonts w:hint="eastAsia" w:ascii="宋体" w:hAnsi="宋体" w:eastAsia="宋体" w:cs="宋体"/>
          <w:sz w:val="24"/>
          <w:szCs w:val="24"/>
          <w:highlight w:val="none"/>
        </w:rPr>
      </w:pPr>
      <w:bookmarkStart w:id="100" w:name="bookmark1"/>
      <w:bookmarkEnd w:id="100"/>
      <w:bookmarkStart w:id="101" w:name="bookmark2"/>
      <w:bookmarkEnd w:id="101"/>
      <w:bookmarkStart w:id="102" w:name="bookmark3"/>
      <w:bookmarkEnd w:id="102"/>
      <w:bookmarkStart w:id="103" w:name="bookmark5"/>
      <w:bookmarkEnd w:id="103"/>
      <w:bookmarkStart w:id="104" w:name="bookmark21"/>
      <w:bookmarkEnd w:id="104"/>
      <w:bookmarkStart w:id="105" w:name="bookmark7"/>
      <w:bookmarkEnd w:id="105"/>
      <w:bookmarkStart w:id="106" w:name="bookmark20"/>
      <w:bookmarkEnd w:id="106"/>
      <w:r>
        <w:rPr>
          <w:rFonts w:hint="eastAsia" w:ascii="宋体" w:hAnsi="宋体" w:eastAsia="宋体" w:cs="宋体"/>
          <w:b/>
          <w:bCs/>
          <w:spacing w:val="4"/>
          <w:sz w:val="24"/>
          <w:szCs w:val="24"/>
          <w:highlight w:val="none"/>
        </w:rPr>
        <w:t>第</w:t>
      </w:r>
      <w:r>
        <w:rPr>
          <w:rFonts w:hint="eastAsia" w:ascii="宋体" w:hAnsi="宋体" w:eastAsia="宋体" w:cs="宋体"/>
          <w:b/>
          <w:bCs/>
          <w:spacing w:val="4"/>
          <w:sz w:val="24"/>
          <w:szCs w:val="24"/>
          <w:highlight w:val="none"/>
          <w:lang w:val="en-US" w:eastAsia="zh-CN"/>
        </w:rPr>
        <w:t>一节</w:t>
      </w:r>
      <w:r>
        <w:rPr>
          <w:rFonts w:hint="eastAsia" w:ascii="宋体" w:hAnsi="宋体" w:eastAsia="宋体" w:cs="宋体"/>
          <w:spacing w:val="4"/>
          <w:sz w:val="24"/>
          <w:szCs w:val="24"/>
          <w:highlight w:val="none"/>
        </w:rPr>
        <w:t xml:space="preserve">  </w:t>
      </w:r>
      <w:r>
        <w:rPr>
          <w:rFonts w:hint="eastAsia" w:ascii="宋体" w:hAnsi="宋体" w:eastAsia="宋体" w:cs="宋体"/>
          <w:b/>
          <w:bCs/>
          <w:spacing w:val="4"/>
          <w:sz w:val="24"/>
          <w:szCs w:val="24"/>
          <w:highlight w:val="none"/>
        </w:rPr>
        <w:t>基本情况</w:t>
      </w:r>
    </w:p>
    <w:p w14:paraId="4EA961A6">
      <w:pPr>
        <w:keepNext w:val="0"/>
        <w:keepLines w:val="0"/>
        <w:pageBreakBefore w:val="0"/>
        <w:widowControl w:val="0"/>
        <w:kinsoku/>
        <w:wordWrap/>
        <w:overflowPunct/>
        <w:topLinePunct w:val="0"/>
        <w:autoSpaceDE/>
        <w:autoSpaceDN/>
        <w:bidi w:val="0"/>
        <w:adjustRightInd/>
        <w:snapToGrid/>
        <w:spacing w:after="0" w:line="480" w:lineRule="auto"/>
        <w:ind w:left="23"/>
        <w:textAlignment w:val="auto"/>
        <w:outlineLvl w:val="1"/>
        <w:rPr>
          <w:rFonts w:hint="eastAsia" w:ascii="宋体" w:hAnsi="宋体" w:eastAsia="宋体" w:cs="宋体"/>
          <w:sz w:val="24"/>
          <w:szCs w:val="24"/>
          <w:highlight w:val="none"/>
        </w:rPr>
      </w:pPr>
      <w:bookmarkStart w:id="107" w:name="bookmark1"/>
      <w:bookmarkEnd w:id="107"/>
      <w:r>
        <w:rPr>
          <w:rFonts w:hint="eastAsia" w:ascii="宋体" w:hAnsi="宋体" w:eastAsia="宋体" w:cs="宋体"/>
          <w:b/>
          <w:bCs/>
          <w:spacing w:val="-9"/>
          <w:sz w:val="24"/>
          <w:szCs w:val="24"/>
          <w:highlight w:val="none"/>
          <w:lang w:val="en-US" w:eastAsia="zh-CN"/>
        </w:rPr>
        <w:t>1</w:t>
      </w:r>
      <w:r>
        <w:rPr>
          <w:rFonts w:hint="eastAsia" w:ascii="宋体" w:hAnsi="宋体" w:eastAsia="宋体" w:cs="宋体"/>
          <w:b/>
          <w:bCs/>
          <w:spacing w:val="-9"/>
          <w:sz w:val="24"/>
          <w:szCs w:val="24"/>
          <w:highlight w:val="none"/>
        </w:rPr>
        <w:t>.1</w:t>
      </w:r>
      <w:r>
        <w:rPr>
          <w:rFonts w:hint="eastAsia" w:ascii="宋体" w:hAnsi="宋体" w:eastAsia="宋体" w:cs="宋体"/>
          <w:spacing w:val="51"/>
          <w:sz w:val="24"/>
          <w:szCs w:val="24"/>
          <w:highlight w:val="none"/>
        </w:rPr>
        <w:t xml:space="preserve"> </w:t>
      </w:r>
      <w:r>
        <w:rPr>
          <w:rFonts w:hint="eastAsia" w:ascii="宋体" w:hAnsi="宋体" w:eastAsia="宋体" w:cs="宋体"/>
          <w:b/>
          <w:bCs/>
          <w:spacing w:val="-9"/>
          <w:sz w:val="24"/>
          <w:szCs w:val="24"/>
          <w:highlight w:val="none"/>
        </w:rPr>
        <w:t>自然地理条件</w:t>
      </w:r>
    </w:p>
    <w:p w14:paraId="032747F3">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.1.1</w:t>
      </w:r>
      <w:r>
        <w:rPr>
          <w:rFonts w:hint="eastAsia" w:ascii="宋体" w:hAnsi="宋体" w:eastAsia="宋体" w:cs="宋体"/>
          <w:b/>
          <w:bCs/>
          <w:spacing w:val="73"/>
          <w:sz w:val="24"/>
          <w:szCs w:val="24"/>
          <w:highlight w:val="none"/>
        </w:rPr>
        <w:t xml:space="preserve"> </w:t>
      </w:r>
      <w:r>
        <w:rPr>
          <w:rFonts w:hint="eastAsia" w:ascii="宋体" w:hAnsi="宋体" w:eastAsia="宋体" w:cs="宋体"/>
          <w:b/>
          <w:bCs/>
          <w:spacing w:val="-3"/>
          <w:sz w:val="24"/>
          <w:szCs w:val="24"/>
          <w:highlight w:val="none"/>
        </w:rPr>
        <w:t>地理位置</w:t>
      </w:r>
    </w:p>
    <w:p w14:paraId="2A34945D">
      <w:pPr>
        <w:keepNext w:val="0"/>
        <w:keepLines w:val="0"/>
        <w:pageBreakBefore w:val="0"/>
        <w:widowControl w:val="0"/>
        <w:kinsoku/>
        <w:wordWrap/>
        <w:overflowPunct/>
        <w:topLinePunct w:val="0"/>
        <w:autoSpaceDE/>
        <w:autoSpaceDN/>
        <w:bidi w:val="0"/>
        <w:adjustRightInd/>
        <w:snapToGrid/>
        <w:spacing w:after="0" w:line="480" w:lineRule="auto"/>
        <w:ind w:left="25" w:firstLine="584"/>
        <w:jc w:val="both"/>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山阳县位于陕西省东南部，地处秦岭南麓，东与丹凤县、商南县</w:t>
      </w:r>
      <w:r>
        <w:rPr>
          <w:rFonts w:hint="eastAsia" w:ascii="宋体" w:hAnsi="宋体" w:eastAsia="宋体" w:cs="宋体"/>
          <w:spacing w:val="-4"/>
          <w:sz w:val="24"/>
          <w:szCs w:val="24"/>
          <w:highlight w:val="none"/>
        </w:rPr>
        <w:t>为邻，西与镇安县、柞水县交界，北与商州区接壤，南与湖北省郧西</w:t>
      </w:r>
      <w:r>
        <w:rPr>
          <w:rFonts w:hint="eastAsia" w:ascii="宋体" w:hAnsi="宋体" w:eastAsia="宋体" w:cs="宋体"/>
          <w:spacing w:val="-10"/>
          <w:sz w:val="24"/>
          <w:szCs w:val="24"/>
          <w:highlight w:val="none"/>
        </w:rPr>
        <w:t>县毗连。县域地理坐标东经</w:t>
      </w:r>
      <w:r>
        <w:rPr>
          <w:rFonts w:hint="eastAsia" w:ascii="宋体" w:hAnsi="宋体" w:eastAsia="宋体" w:cs="宋体"/>
          <w:spacing w:val="-34"/>
          <w:sz w:val="24"/>
          <w:szCs w:val="24"/>
          <w:highlight w:val="none"/>
        </w:rPr>
        <w:t xml:space="preserve"> </w:t>
      </w:r>
      <w:r>
        <w:rPr>
          <w:rFonts w:hint="eastAsia" w:ascii="宋体" w:hAnsi="宋体" w:eastAsia="宋体" w:cs="宋体"/>
          <w:spacing w:val="-10"/>
          <w:sz w:val="24"/>
          <w:szCs w:val="24"/>
          <w:highlight w:val="none"/>
        </w:rPr>
        <w:t>109</w:t>
      </w:r>
      <w:r>
        <w:rPr>
          <w:rFonts w:hint="eastAsia" w:ascii="宋体" w:hAnsi="宋体" w:eastAsia="宋体" w:cs="宋体"/>
          <w:spacing w:val="-105"/>
          <w:sz w:val="24"/>
          <w:szCs w:val="24"/>
          <w:highlight w:val="none"/>
        </w:rPr>
        <w:t xml:space="preserve"> </w:t>
      </w:r>
      <w:r>
        <w:rPr>
          <w:rFonts w:hint="eastAsia" w:ascii="宋体" w:hAnsi="宋体" w:eastAsia="宋体" w:cs="宋体"/>
          <w:spacing w:val="-10"/>
          <w:sz w:val="24"/>
          <w:szCs w:val="24"/>
          <w:highlight w:val="none"/>
        </w:rPr>
        <w:t>°32</w:t>
      </w:r>
      <w:r>
        <w:rPr>
          <w:rFonts w:hint="eastAsia" w:ascii="宋体" w:hAnsi="宋体" w:eastAsia="宋体" w:cs="宋体"/>
          <w:spacing w:val="-94"/>
          <w:sz w:val="24"/>
          <w:szCs w:val="24"/>
          <w:highlight w:val="none"/>
        </w:rPr>
        <w:t xml:space="preserve"> </w:t>
      </w:r>
      <w:r>
        <w:rPr>
          <w:rFonts w:hint="eastAsia" w:ascii="宋体" w:hAnsi="宋体" w:eastAsia="宋体" w:cs="宋体"/>
          <w:spacing w:val="-10"/>
          <w:sz w:val="24"/>
          <w:szCs w:val="24"/>
          <w:highlight w:val="none"/>
        </w:rPr>
        <w:t>′40.76</w:t>
      </w:r>
      <w:r>
        <w:rPr>
          <w:rFonts w:hint="eastAsia" w:ascii="宋体" w:hAnsi="宋体" w:eastAsia="宋体" w:cs="宋体"/>
          <w:spacing w:val="-89"/>
          <w:sz w:val="24"/>
          <w:szCs w:val="24"/>
          <w:highlight w:val="none"/>
        </w:rPr>
        <w:t xml:space="preserve"> </w:t>
      </w:r>
      <w:r>
        <w:rPr>
          <w:rFonts w:hint="eastAsia" w:ascii="宋体" w:hAnsi="宋体" w:eastAsia="宋体" w:cs="宋体"/>
          <w:spacing w:val="-10"/>
          <w:sz w:val="24"/>
          <w:szCs w:val="24"/>
          <w:highlight w:val="none"/>
        </w:rPr>
        <w:t>″～110</w:t>
      </w:r>
      <w:r>
        <w:rPr>
          <w:rFonts w:hint="eastAsia" w:ascii="宋体" w:hAnsi="宋体" w:eastAsia="宋体" w:cs="宋体"/>
          <w:spacing w:val="-105"/>
          <w:sz w:val="24"/>
          <w:szCs w:val="24"/>
          <w:highlight w:val="none"/>
        </w:rPr>
        <w:t xml:space="preserve"> </w:t>
      </w:r>
      <w:r>
        <w:rPr>
          <w:rFonts w:hint="eastAsia" w:ascii="宋体" w:hAnsi="宋体" w:eastAsia="宋体" w:cs="宋体"/>
          <w:spacing w:val="-10"/>
          <w:sz w:val="24"/>
          <w:szCs w:val="24"/>
          <w:highlight w:val="none"/>
        </w:rPr>
        <w:t>°29</w:t>
      </w:r>
      <w:r>
        <w:rPr>
          <w:rFonts w:hint="eastAsia" w:ascii="宋体" w:hAnsi="宋体" w:eastAsia="宋体" w:cs="宋体"/>
          <w:spacing w:val="-93"/>
          <w:sz w:val="24"/>
          <w:szCs w:val="24"/>
          <w:highlight w:val="none"/>
        </w:rPr>
        <w:t xml:space="preserve"> </w:t>
      </w:r>
      <w:r>
        <w:rPr>
          <w:rFonts w:hint="eastAsia" w:ascii="宋体" w:hAnsi="宋体" w:eastAsia="宋体" w:cs="宋体"/>
          <w:spacing w:val="-10"/>
          <w:sz w:val="24"/>
          <w:szCs w:val="24"/>
          <w:highlight w:val="none"/>
        </w:rPr>
        <w:t>′56.74</w:t>
      </w:r>
      <w:r>
        <w:rPr>
          <w:rFonts w:hint="eastAsia" w:ascii="宋体" w:hAnsi="宋体" w:eastAsia="宋体" w:cs="宋体"/>
          <w:spacing w:val="-90"/>
          <w:sz w:val="24"/>
          <w:szCs w:val="24"/>
          <w:highlight w:val="none"/>
        </w:rPr>
        <w:t xml:space="preserve"> </w:t>
      </w:r>
      <w:r>
        <w:rPr>
          <w:rFonts w:hint="eastAsia" w:ascii="宋体" w:hAnsi="宋体" w:eastAsia="宋体" w:cs="宋体"/>
          <w:spacing w:val="-10"/>
          <w:sz w:val="24"/>
          <w:szCs w:val="24"/>
          <w:highlight w:val="none"/>
        </w:rPr>
        <w:t>″</w:t>
      </w:r>
      <w:r>
        <w:rPr>
          <w:rFonts w:hint="eastAsia" w:ascii="宋体" w:hAnsi="宋体" w:eastAsia="宋体" w:cs="宋体"/>
          <w:spacing w:val="-10"/>
          <w:sz w:val="24"/>
          <w:szCs w:val="24"/>
          <w:highlight w:val="none"/>
          <w:lang w:eastAsia="zh-CN"/>
        </w:rPr>
        <w:t>，</w:t>
      </w:r>
      <w:r>
        <w:rPr>
          <w:rFonts w:hint="eastAsia" w:ascii="宋体" w:hAnsi="宋体" w:eastAsia="宋体" w:cs="宋体"/>
          <w:spacing w:val="-9"/>
          <w:sz w:val="24"/>
          <w:szCs w:val="24"/>
          <w:highlight w:val="none"/>
        </w:rPr>
        <w:t>北纬</w:t>
      </w:r>
      <w:r>
        <w:rPr>
          <w:rFonts w:hint="eastAsia" w:ascii="宋体" w:hAnsi="宋体" w:eastAsia="宋体" w:cs="宋体"/>
          <w:spacing w:val="-56"/>
          <w:sz w:val="24"/>
          <w:szCs w:val="24"/>
          <w:highlight w:val="none"/>
        </w:rPr>
        <w:t xml:space="preserve"> </w:t>
      </w:r>
      <w:r>
        <w:rPr>
          <w:rFonts w:hint="eastAsia" w:ascii="宋体" w:hAnsi="宋体" w:eastAsia="宋体" w:cs="宋体"/>
          <w:spacing w:val="-9"/>
          <w:sz w:val="24"/>
          <w:szCs w:val="24"/>
          <w:highlight w:val="none"/>
        </w:rPr>
        <w:t>33</w:t>
      </w:r>
      <w:r>
        <w:rPr>
          <w:rFonts w:hint="eastAsia" w:ascii="宋体" w:hAnsi="宋体" w:eastAsia="宋体" w:cs="宋体"/>
          <w:spacing w:val="-105"/>
          <w:sz w:val="24"/>
          <w:szCs w:val="24"/>
          <w:highlight w:val="none"/>
        </w:rPr>
        <w:t xml:space="preserve"> </w:t>
      </w:r>
      <w:r>
        <w:rPr>
          <w:rFonts w:hint="eastAsia" w:ascii="宋体" w:hAnsi="宋体" w:eastAsia="宋体" w:cs="宋体"/>
          <w:spacing w:val="-9"/>
          <w:sz w:val="24"/>
          <w:szCs w:val="24"/>
          <w:highlight w:val="none"/>
        </w:rPr>
        <w:t>°08</w:t>
      </w:r>
      <w:r>
        <w:rPr>
          <w:rFonts w:hint="eastAsia" w:ascii="宋体" w:hAnsi="宋体" w:eastAsia="宋体" w:cs="宋体"/>
          <w:spacing w:val="-93"/>
          <w:sz w:val="24"/>
          <w:szCs w:val="24"/>
          <w:highlight w:val="none"/>
        </w:rPr>
        <w:t xml:space="preserve"> </w:t>
      </w:r>
      <w:r>
        <w:rPr>
          <w:rFonts w:hint="eastAsia" w:ascii="宋体" w:hAnsi="宋体" w:eastAsia="宋体" w:cs="宋体"/>
          <w:spacing w:val="-9"/>
          <w:sz w:val="24"/>
          <w:szCs w:val="24"/>
          <w:highlight w:val="none"/>
        </w:rPr>
        <w:t>′59.14</w:t>
      </w:r>
      <w:r>
        <w:rPr>
          <w:rFonts w:hint="eastAsia" w:ascii="宋体" w:hAnsi="宋体" w:eastAsia="宋体" w:cs="宋体"/>
          <w:spacing w:val="-90"/>
          <w:sz w:val="24"/>
          <w:szCs w:val="24"/>
          <w:highlight w:val="none"/>
        </w:rPr>
        <w:t xml:space="preserve"> </w:t>
      </w:r>
      <w:r>
        <w:rPr>
          <w:rFonts w:hint="eastAsia" w:ascii="宋体" w:hAnsi="宋体" w:eastAsia="宋体" w:cs="宋体"/>
          <w:spacing w:val="-9"/>
          <w:sz w:val="24"/>
          <w:szCs w:val="24"/>
          <w:highlight w:val="none"/>
        </w:rPr>
        <w:t>″～33</w:t>
      </w:r>
      <w:r>
        <w:rPr>
          <w:rFonts w:hint="eastAsia" w:ascii="宋体" w:hAnsi="宋体" w:eastAsia="宋体" w:cs="宋体"/>
          <w:spacing w:val="-105"/>
          <w:sz w:val="24"/>
          <w:szCs w:val="24"/>
          <w:highlight w:val="none"/>
        </w:rPr>
        <w:t xml:space="preserve"> </w:t>
      </w:r>
      <w:r>
        <w:rPr>
          <w:rFonts w:hint="eastAsia" w:ascii="宋体" w:hAnsi="宋体" w:eastAsia="宋体" w:cs="宋体"/>
          <w:spacing w:val="-9"/>
          <w:sz w:val="24"/>
          <w:szCs w:val="24"/>
          <w:highlight w:val="none"/>
        </w:rPr>
        <w:t>°4</w:t>
      </w:r>
      <w:r>
        <w:rPr>
          <w:rFonts w:hint="eastAsia" w:ascii="宋体" w:hAnsi="宋体" w:eastAsia="宋体" w:cs="宋体"/>
          <w:spacing w:val="-10"/>
          <w:sz w:val="24"/>
          <w:szCs w:val="24"/>
          <w:highlight w:val="none"/>
        </w:rPr>
        <w:t>2</w:t>
      </w:r>
      <w:r>
        <w:rPr>
          <w:rFonts w:hint="eastAsia" w:ascii="宋体" w:hAnsi="宋体" w:eastAsia="宋体" w:cs="宋体"/>
          <w:spacing w:val="-91"/>
          <w:sz w:val="24"/>
          <w:szCs w:val="24"/>
          <w:highlight w:val="none"/>
        </w:rPr>
        <w:t xml:space="preserve"> </w:t>
      </w:r>
      <w:r>
        <w:rPr>
          <w:rFonts w:hint="eastAsia" w:ascii="宋体" w:hAnsi="宋体" w:eastAsia="宋体" w:cs="宋体"/>
          <w:spacing w:val="-10"/>
          <w:sz w:val="24"/>
          <w:szCs w:val="24"/>
          <w:highlight w:val="none"/>
        </w:rPr>
        <w:t>′33.76</w:t>
      </w:r>
      <w:r>
        <w:rPr>
          <w:rFonts w:hint="eastAsia" w:ascii="宋体" w:hAnsi="宋体" w:eastAsia="宋体" w:cs="宋体"/>
          <w:spacing w:val="-92"/>
          <w:sz w:val="24"/>
          <w:szCs w:val="24"/>
          <w:highlight w:val="none"/>
        </w:rPr>
        <w:t xml:space="preserve"> </w:t>
      </w:r>
      <w:r>
        <w:rPr>
          <w:rFonts w:hint="eastAsia" w:ascii="宋体" w:hAnsi="宋体" w:eastAsia="宋体" w:cs="宋体"/>
          <w:spacing w:val="-10"/>
          <w:sz w:val="24"/>
          <w:szCs w:val="24"/>
          <w:highlight w:val="none"/>
        </w:rPr>
        <w:t>″</w:t>
      </w:r>
      <w:r>
        <w:rPr>
          <w:rFonts w:hint="eastAsia" w:ascii="宋体" w:hAnsi="宋体" w:eastAsia="宋体" w:cs="宋体"/>
          <w:spacing w:val="-101"/>
          <w:sz w:val="24"/>
          <w:szCs w:val="24"/>
          <w:highlight w:val="none"/>
        </w:rPr>
        <w:t xml:space="preserve"> </w:t>
      </w:r>
      <w:r>
        <w:rPr>
          <w:rFonts w:hint="eastAsia" w:ascii="宋体" w:hAnsi="宋体" w:eastAsia="宋体" w:cs="宋体"/>
          <w:spacing w:val="-10"/>
          <w:sz w:val="24"/>
          <w:szCs w:val="24"/>
          <w:highlight w:val="none"/>
        </w:rPr>
        <w:t>。全县东西长</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87</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千米，南</w:t>
      </w:r>
      <w:r>
        <w:rPr>
          <w:rFonts w:hint="eastAsia" w:ascii="宋体" w:hAnsi="宋体" w:eastAsia="宋体" w:cs="宋体"/>
          <w:spacing w:val="-6"/>
          <w:sz w:val="24"/>
          <w:szCs w:val="24"/>
          <w:highlight w:val="none"/>
        </w:rPr>
        <w:t>北宽</w:t>
      </w:r>
      <w:r>
        <w:rPr>
          <w:rFonts w:hint="eastAsia" w:ascii="宋体" w:hAnsi="宋体" w:eastAsia="宋体" w:cs="宋体"/>
          <w:spacing w:val="-43"/>
          <w:sz w:val="24"/>
          <w:szCs w:val="24"/>
          <w:highlight w:val="none"/>
        </w:rPr>
        <w:t xml:space="preserve"> </w:t>
      </w:r>
      <w:r>
        <w:rPr>
          <w:rFonts w:hint="eastAsia" w:ascii="宋体" w:hAnsi="宋体" w:eastAsia="宋体" w:cs="宋体"/>
          <w:spacing w:val="-6"/>
          <w:sz w:val="24"/>
          <w:szCs w:val="24"/>
          <w:highlight w:val="none"/>
        </w:rPr>
        <w:t>61</w:t>
      </w:r>
      <w:r>
        <w:rPr>
          <w:rFonts w:hint="eastAsia" w:ascii="宋体" w:hAnsi="宋体" w:eastAsia="宋体" w:cs="宋体"/>
          <w:spacing w:val="-61"/>
          <w:sz w:val="24"/>
          <w:szCs w:val="24"/>
          <w:highlight w:val="none"/>
        </w:rPr>
        <w:t xml:space="preserve"> </w:t>
      </w:r>
      <w:r>
        <w:rPr>
          <w:rFonts w:hint="eastAsia" w:ascii="宋体" w:hAnsi="宋体" w:eastAsia="宋体" w:cs="宋体"/>
          <w:spacing w:val="-6"/>
          <w:sz w:val="24"/>
          <w:szCs w:val="24"/>
          <w:highlight w:val="none"/>
        </w:rPr>
        <w:t>千米，国土总面积</w:t>
      </w:r>
      <w:r>
        <w:rPr>
          <w:rFonts w:hint="eastAsia" w:ascii="宋体" w:hAnsi="宋体" w:eastAsia="宋体" w:cs="宋体"/>
          <w:spacing w:val="-57"/>
          <w:sz w:val="24"/>
          <w:szCs w:val="24"/>
          <w:highlight w:val="none"/>
        </w:rPr>
        <w:t xml:space="preserve"> </w:t>
      </w:r>
      <w:r>
        <w:rPr>
          <w:rFonts w:hint="eastAsia" w:ascii="宋体" w:hAnsi="宋体" w:eastAsia="宋体" w:cs="宋体"/>
          <w:spacing w:val="-6"/>
          <w:sz w:val="24"/>
          <w:szCs w:val="24"/>
          <w:highlight w:val="none"/>
        </w:rPr>
        <w:t>3535.6</w:t>
      </w:r>
      <w:r>
        <w:rPr>
          <w:rFonts w:hint="eastAsia" w:ascii="宋体" w:hAnsi="宋体" w:eastAsia="宋体" w:cs="宋体"/>
          <w:spacing w:val="-61"/>
          <w:sz w:val="24"/>
          <w:szCs w:val="24"/>
          <w:highlight w:val="none"/>
        </w:rPr>
        <w:t xml:space="preserve"> </w:t>
      </w:r>
      <w:r>
        <w:rPr>
          <w:rFonts w:hint="eastAsia" w:ascii="宋体" w:hAnsi="宋体" w:eastAsia="宋体" w:cs="宋体"/>
          <w:spacing w:val="-6"/>
          <w:sz w:val="24"/>
          <w:szCs w:val="24"/>
          <w:highlight w:val="none"/>
        </w:rPr>
        <w:t>平方千米。县城距省城西安</w:t>
      </w:r>
      <w:r>
        <w:rPr>
          <w:rFonts w:hint="eastAsia" w:ascii="宋体" w:hAnsi="宋体" w:eastAsia="宋体" w:cs="宋体"/>
          <w:spacing w:val="-39"/>
          <w:sz w:val="24"/>
          <w:szCs w:val="24"/>
          <w:highlight w:val="none"/>
        </w:rPr>
        <w:t xml:space="preserve"> </w:t>
      </w:r>
      <w:r>
        <w:rPr>
          <w:rFonts w:hint="eastAsia" w:ascii="宋体" w:hAnsi="宋体" w:eastAsia="宋体" w:cs="宋体"/>
          <w:spacing w:val="-6"/>
          <w:sz w:val="24"/>
          <w:szCs w:val="24"/>
          <w:highlight w:val="none"/>
        </w:rPr>
        <w:t>142</w:t>
      </w:r>
      <w:r>
        <w:rPr>
          <w:rFonts w:hint="eastAsia" w:ascii="宋体" w:hAnsi="宋体" w:eastAsia="宋体" w:cs="宋体"/>
          <w:spacing w:val="-61"/>
          <w:sz w:val="24"/>
          <w:szCs w:val="24"/>
          <w:highlight w:val="none"/>
        </w:rPr>
        <w:t xml:space="preserve"> </w:t>
      </w:r>
      <w:r>
        <w:rPr>
          <w:rFonts w:hint="eastAsia" w:ascii="宋体" w:hAnsi="宋体" w:eastAsia="宋体" w:cs="宋体"/>
          <w:spacing w:val="-6"/>
          <w:sz w:val="24"/>
          <w:szCs w:val="24"/>
          <w:highlight w:val="none"/>
        </w:rPr>
        <w:t>千</w:t>
      </w:r>
      <w:r>
        <w:rPr>
          <w:rFonts w:hint="eastAsia" w:ascii="宋体" w:hAnsi="宋体" w:eastAsia="宋体" w:cs="宋体"/>
          <w:spacing w:val="-5"/>
          <w:sz w:val="24"/>
          <w:szCs w:val="24"/>
          <w:highlight w:val="none"/>
        </w:rPr>
        <w:t>米。</w:t>
      </w:r>
    </w:p>
    <w:p w14:paraId="1E8E595E">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.1.2 地形地貌</w:t>
      </w:r>
    </w:p>
    <w:p w14:paraId="456C2689">
      <w:pPr>
        <w:keepNext w:val="0"/>
        <w:keepLines w:val="0"/>
        <w:pageBreakBefore w:val="0"/>
        <w:widowControl w:val="0"/>
        <w:kinsoku/>
        <w:wordWrap/>
        <w:overflowPunct/>
        <w:topLinePunct w:val="0"/>
        <w:autoSpaceDE/>
        <w:autoSpaceDN/>
        <w:bidi w:val="0"/>
        <w:adjustRightInd/>
        <w:snapToGrid/>
        <w:spacing w:after="0" w:line="480" w:lineRule="auto"/>
        <w:ind w:left="25" w:right="76" w:firstLine="584"/>
        <w:jc w:val="both"/>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山阳县属秦岭东段，北部流岭、中部鹘岭和南部郧岭，三大干岭</w:t>
      </w:r>
      <w:r>
        <w:rPr>
          <w:rFonts w:hint="eastAsia" w:ascii="宋体" w:hAnsi="宋体" w:eastAsia="宋体" w:cs="宋体"/>
          <w:spacing w:val="-4"/>
          <w:sz w:val="24"/>
          <w:szCs w:val="24"/>
          <w:highlight w:val="none"/>
        </w:rPr>
        <w:t>由西北向东南蜿蜒伸展；各干岭又派生出若干支脉，纵横分裂形成风</w:t>
      </w:r>
      <w:r>
        <w:rPr>
          <w:rFonts w:hint="eastAsia" w:ascii="宋体" w:hAnsi="宋体" w:eastAsia="宋体" w:cs="宋体"/>
          <w:spacing w:val="-1"/>
          <w:sz w:val="24"/>
          <w:szCs w:val="24"/>
          <w:highlight w:val="none"/>
        </w:rPr>
        <w:t>格状山系。全县共有大小山峰</w:t>
      </w:r>
      <w:r>
        <w:rPr>
          <w:rFonts w:hint="eastAsia" w:ascii="宋体" w:hAnsi="宋体" w:eastAsia="宋体" w:cs="宋体"/>
          <w:spacing w:val="-30"/>
          <w:sz w:val="24"/>
          <w:szCs w:val="24"/>
          <w:highlight w:val="none"/>
        </w:rPr>
        <w:t xml:space="preserve"> </w:t>
      </w:r>
      <w:r>
        <w:rPr>
          <w:rFonts w:hint="eastAsia" w:ascii="宋体" w:hAnsi="宋体" w:eastAsia="宋体" w:cs="宋体"/>
          <w:spacing w:val="-1"/>
          <w:sz w:val="24"/>
          <w:szCs w:val="24"/>
          <w:highlight w:val="none"/>
        </w:rPr>
        <w:t>1000</w:t>
      </w:r>
      <w:r>
        <w:rPr>
          <w:rFonts w:hint="eastAsia" w:ascii="宋体" w:hAnsi="宋体" w:eastAsia="宋体" w:cs="宋体"/>
          <w:spacing w:val="-60"/>
          <w:sz w:val="24"/>
          <w:szCs w:val="24"/>
          <w:highlight w:val="none"/>
        </w:rPr>
        <w:t xml:space="preserve"> </w:t>
      </w:r>
      <w:r>
        <w:rPr>
          <w:rFonts w:hint="eastAsia" w:ascii="宋体" w:hAnsi="宋体" w:eastAsia="宋体" w:cs="宋体"/>
          <w:spacing w:val="-1"/>
          <w:sz w:val="24"/>
          <w:szCs w:val="24"/>
          <w:highlight w:val="none"/>
        </w:rPr>
        <w:t>余座，其中海拔2000m</w:t>
      </w:r>
      <w:r>
        <w:rPr>
          <w:rFonts w:hint="eastAsia" w:ascii="宋体" w:hAnsi="宋体" w:eastAsia="宋体" w:cs="宋体"/>
          <w:spacing w:val="-28"/>
          <w:sz w:val="24"/>
          <w:szCs w:val="24"/>
          <w:highlight w:val="none"/>
        </w:rPr>
        <w:t xml:space="preserve"> </w:t>
      </w:r>
      <w:r>
        <w:rPr>
          <w:rFonts w:hint="eastAsia" w:ascii="宋体" w:hAnsi="宋体" w:eastAsia="宋体" w:cs="宋体"/>
          <w:spacing w:val="-1"/>
          <w:sz w:val="24"/>
          <w:szCs w:val="24"/>
          <w:highlight w:val="none"/>
        </w:rPr>
        <w:t>以上山峰</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1</w:t>
      </w:r>
      <w:r>
        <w:rPr>
          <w:rFonts w:hint="eastAsia" w:ascii="宋体" w:hAnsi="宋体" w:eastAsia="宋体" w:cs="宋体"/>
          <w:spacing w:val="-58"/>
          <w:sz w:val="24"/>
          <w:szCs w:val="24"/>
          <w:highlight w:val="none"/>
        </w:rPr>
        <w:t xml:space="preserve"> </w:t>
      </w:r>
      <w:r>
        <w:rPr>
          <w:rFonts w:hint="eastAsia" w:ascii="宋体" w:hAnsi="宋体" w:eastAsia="宋体" w:cs="宋体"/>
          <w:spacing w:val="-3"/>
          <w:sz w:val="24"/>
          <w:szCs w:val="24"/>
          <w:highlight w:val="none"/>
        </w:rPr>
        <w:t>座，海拔</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1500m-2000m</w:t>
      </w:r>
      <w:r>
        <w:rPr>
          <w:rFonts w:hint="eastAsia" w:ascii="宋体" w:hAnsi="宋体" w:eastAsia="宋体" w:cs="宋体"/>
          <w:spacing w:val="-35"/>
          <w:sz w:val="24"/>
          <w:szCs w:val="24"/>
          <w:highlight w:val="none"/>
        </w:rPr>
        <w:t xml:space="preserve"> </w:t>
      </w:r>
      <w:r>
        <w:rPr>
          <w:rFonts w:hint="eastAsia" w:ascii="宋体" w:hAnsi="宋体" w:eastAsia="宋体" w:cs="宋体"/>
          <w:spacing w:val="-3"/>
          <w:sz w:val="24"/>
          <w:szCs w:val="24"/>
          <w:highlight w:val="none"/>
        </w:rPr>
        <w:t>山峰</w:t>
      </w:r>
      <w:r>
        <w:rPr>
          <w:rFonts w:hint="eastAsia" w:ascii="宋体" w:hAnsi="宋体" w:eastAsia="宋体" w:cs="宋体"/>
          <w:spacing w:val="-58"/>
          <w:sz w:val="24"/>
          <w:szCs w:val="24"/>
          <w:highlight w:val="none"/>
        </w:rPr>
        <w:t xml:space="preserve"> </w:t>
      </w:r>
      <w:r>
        <w:rPr>
          <w:rFonts w:hint="eastAsia" w:ascii="宋体" w:hAnsi="宋体" w:eastAsia="宋体" w:cs="宋体"/>
          <w:spacing w:val="-3"/>
          <w:sz w:val="24"/>
          <w:szCs w:val="24"/>
          <w:highlight w:val="none"/>
        </w:rPr>
        <w:t>60</w:t>
      </w:r>
      <w:r>
        <w:rPr>
          <w:rFonts w:hint="eastAsia" w:ascii="宋体" w:hAnsi="宋体" w:eastAsia="宋体" w:cs="宋体"/>
          <w:spacing w:val="-58"/>
          <w:sz w:val="24"/>
          <w:szCs w:val="24"/>
          <w:highlight w:val="none"/>
        </w:rPr>
        <w:t xml:space="preserve"> </w:t>
      </w:r>
      <w:r>
        <w:rPr>
          <w:rFonts w:hint="eastAsia" w:ascii="宋体" w:hAnsi="宋体" w:eastAsia="宋体" w:cs="宋体"/>
          <w:spacing w:val="-3"/>
          <w:sz w:val="24"/>
          <w:szCs w:val="24"/>
          <w:highlight w:val="none"/>
        </w:rPr>
        <w:t>座，其余山峰多在海拔</w:t>
      </w:r>
      <w:r>
        <w:rPr>
          <w:rFonts w:hint="eastAsia" w:ascii="宋体" w:hAnsi="宋体" w:eastAsia="宋体" w:cs="宋体"/>
          <w:spacing w:val="-59"/>
          <w:sz w:val="24"/>
          <w:szCs w:val="24"/>
          <w:highlight w:val="none"/>
        </w:rPr>
        <w:t xml:space="preserve"> </w:t>
      </w:r>
      <w:r>
        <w:rPr>
          <w:rFonts w:hint="eastAsia" w:ascii="宋体" w:hAnsi="宋体" w:eastAsia="宋体" w:cs="宋体"/>
          <w:spacing w:val="-3"/>
          <w:sz w:val="24"/>
          <w:szCs w:val="24"/>
          <w:highlight w:val="none"/>
        </w:rPr>
        <w:t>800m</w:t>
      </w:r>
      <w:r>
        <w:rPr>
          <w:rFonts w:hint="eastAsia" w:ascii="宋体" w:hAnsi="宋体" w:eastAsia="宋体" w:cs="宋体"/>
          <w:spacing w:val="-4"/>
          <w:sz w:val="24"/>
          <w:szCs w:val="24"/>
          <w:highlight w:val="none"/>
        </w:rPr>
        <w:t>-1500m</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之间。境内最高海拔</w:t>
      </w:r>
      <w:r>
        <w:rPr>
          <w:rFonts w:hint="eastAsia" w:ascii="宋体" w:hAnsi="宋体" w:eastAsia="宋体" w:cs="宋体"/>
          <w:spacing w:val="-56"/>
          <w:sz w:val="24"/>
          <w:szCs w:val="24"/>
          <w:highlight w:val="none"/>
        </w:rPr>
        <w:t xml:space="preserve"> </w:t>
      </w:r>
      <w:r>
        <w:rPr>
          <w:rFonts w:hint="eastAsia" w:ascii="宋体" w:hAnsi="宋体" w:eastAsia="宋体" w:cs="宋体"/>
          <w:spacing w:val="-3"/>
          <w:sz w:val="24"/>
          <w:szCs w:val="24"/>
          <w:highlight w:val="none"/>
        </w:rPr>
        <w:t>2074m（天竺山鹘岭</w:t>
      </w:r>
      <w:r>
        <w:rPr>
          <w:rFonts w:hint="eastAsia" w:ascii="宋体" w:hAnsi="宋体" w:eastAsia="宋体" w:cs="宋体"/>
          <w:spacing w:val="-4"/>
          <w:sz w:val="24"/>
          <w:szCs w:val="24"/>
          <w:highlight w:val="none"/>
        </w:rPr>
        <w:t>主峰</w:t>
      </w:r>
      <w:r>
        <w:rPr>
          <w:rFonts w:hint="eastAsia" w:ascii="宋体" w:hAnsi="宋体" w:eastAsia="宋体" w:cs="宋体"/>
          <w:spacing w:val="-13"/>
          <w:sz w:val="24"/>
          <w:szCs w:val="24"/>
          <w:highlight w:val="none"/>
        </w:rPr>
        <w:t>），</w:t>
      </w:r>
      <w:r>
        <w:rPr>
          <w:rFonts w:hint="eastAsia" w:ascii="宋体" w:hAnsi="宋体" w:eastAsia="宋体" w:cs="宋体"/>
          <w:spacing w:val="-4"/>
          <w:sz w:val="24"/>
          <w:szCs w:val="24"/>
          <w:highlight w:val="none"/>
        </w:rPr>
        <w:t>最低海拔</w:t>
      </w:r>
      <w:r>
        <w:rPr>
          <w:rFonts w:hint="eastAsia" w:ascii="宋体" w:hAnsi="宋体" w:eastAsia="宋体" w:cs="宋体"/>
          <w:spacing w:val="-56"/>
          <w:sz w:val="24"/>
          <w:szCs w:val="24"/>
          <w:highlight w:val="none"/>
        </w:rPr>
        <w:t xml:space="preserve"> </w:t>
      </w:r>
      <w:r>
        <w:rPr>
          <w:rFonts w:hint="eastAsia" w:ascii="宋体" w:hAnsi="宋体" w:eastAsia="宋体" w:cs="宋体"/>
          <w:spacing w:val="-4"/>
          <w:sz w:val="24"/>
          <w:szCs w:val="24"/>
          <w:highlight w:val="none"/>
        </w:rPr>
        <w:t>294m（漫川关镇金钱河河床）。由于受西北至东南断裂带的控制，全县北坡陡</w:t>
      </w:r>
      <w:r>
        <w:rPr>
          <w:rFonts w:hint="eastAsia" w:ascii="宋体" w:hAnsi="宋体" w:eastAsia="宋体" w:cs="宋体"/>
          <w:spacing w:val="-2"/>
          <w:sz w:val="24"/>
          <w:szCs w:val="24"/>
          <w:highlight w:val="none"/>
        </w:rPr>
        <w:t>峻，南坡平缓。</w:t>
      </w:r>
    </w:p>
    <w:p w14:paraId="28B6F51F">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.1.3 水文条件</w:t>
      </w:r>
    </w:p>
    <w:p w14:paraId="6113727A">
      <w:pPr>
        <w:keepNext w:val="0"/>
        <w:keepLines w:val="0"/>
        <w:pageBreakBefore w:val="0"/>
        <w:widowControl w:val="0"/>
        <w:kinsoku/>
        <w:wordWrap/>
        <w:overflowPunct/>
        <w:topLinePunct w:val="0"/>
        <w:autoSpaceDE/>
        <w:autoSpaceDN/>
        <w:bidi w:val="0"/>
        <w:adjustRightInd/>
        <w:snapToGrid/>
        <w:spacing w:after="0" w:line="480" w:lineRule="auto"/>
        <w:ind w:left="23" w:right="76" w:firstLine="585"/>
        <w:jc w:val="both"/>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山阳县河流属长江水系汉江支流，境内河网密布、沟壑交织，形</w:t>
      </w:r>
      <w:r>
        <w:rPr>
          <w:rFonts w:hint="eastAsia" w:ascii="宋体" w:hAnsi="宋体" w:eastAsia="宋体" w:cs="宋体"/>
          <w:spacing w:val="-6"/>
          <w:sz w:val="24"/>
          <w:szCs w:val="24"/>
          <w:highlight w:val="none"/>
        </w:rPr>
        <w:t>成羽毛状或树枝状格型。全县共有流程</w:t>
      </w:r>
      <w:r>
        <w:rPr>
          <w:rFonts w:hint="eastAsia" w:ascii="宋体" w:hAnsi="宋体" w:eastAsia="宋体" w:cs="宋体"/>
          <w:spacing w:val="-39"/>
          <w:sz w:val="24"/>
          <w:szCs w:val="24"/>
          <w:highlight w:val="none"/>
        </w:rPr>
        <w:t xml:space="preserve"> </w:t>
      </w:r>
      <w:r>
        <w:rPr>
          <w:rFonts w:hint="eastAsia" w:ascii="宋体" w:hAnsi="宋体" w:eastAsia="宋体" w:cs="宋体"/>
          <w:spacing w:val="-6"/>
          <w:sz w:val="24"/>
          <w:szCs w:val="24"/>
          <w:highlight w:val="none"/>
        </w:rPr>
        <w:t>1km</w:t>
      </w:r>
      <w:r>
        <w:rPr>
          <w:rFonts w:hint="eastAsia" w:ascii="宋体" w:hAnsi="宋体" w:eastAsia="宋体" w:cs="宋体"/>
          <w:spacing w:val="-29"/>
          <w:sz w:val="24"/>
          <w:szCs w:val="24"/>
          <w:highlight w:val="none"/>
        </w:rPr>
        <w:t xml:space="preserve"> </w:t>
      </w:r>
      <w:r>
        <w:rPr>
          <w:rFonts w:hint="eastAsia" w:ascii="宋体" w:hAnsi="宋体" w:eastAsia="宋体" w:cs="宋体"/>
          <w:spacing w:val="-6"/>
          <w:sz w:val="24"/>
          <w:szCs w:val="24"/>
          <w:highlight w:val="none"/>
        </w:rPr>
        <w:t>以上河</w:t>
      </w:r>
      <w:r>
        <w:rPr>
          <w:rFonts w:hint="eastAsia" w:ascii="宋体" w:hAnsi="宋体" w:eastAsia="宋体" w:cs="宋体"/>
          <w:spacing w:val="-7"/>
          <w:sz w:val="24"/>
          <w:szCs w:val="24"/>
          <w:highlight w:val="none"/>
        </w:rPr>
        <w:t>流</w:t>
      </w:r>
      <w:r>
        <w:rPr>
          <w:rFonts w:hint="eastAsia" w:ascii="宋体" w:hAnsi="宋体" w:eastAsia="宋体" w:cs="宋体"/>
          <w:spacing w:val="-57"/>
          <w:sz w:val="24"/>
          <w:szCs w:val="24"/>
          <w:highlight w:val="none"/>
        </w:rPr>
        <w:t xml:space="preserve"> </w:t>
      </w:r>
      <w:r>
        <w:rPr>
          <w:rFonts w:hint="eastAsia" w:ascii="宋体" w:hAnsi="宋体" w:eastAsia="宋体" w:cs="宋体"/>
          <w:spacing w:val="-7"/>
          <w:sz w:val="24"/>
          <w:szCs w:val="24"/>
          <w:highlight w:val="none"/>
        </w:rPr>
        <w:t>696</w:t>
      </w:r>
      <w:r>
        <w:rPr>
          <w:rFonts w:hint="eastAsia" w:ascii="宋体" w:hAnsi="宋体" w:eastAsia="宋体" w:cs="宋体"/>
          <w:spacing w:val="-59"/>
          <w:sz w:val="24"/>
          <w:szCs w:val="24"/>
          <w:highlight w:val="none"/>
        </w:rPr>
        <w:t xml:space="preserve"> </w:t>
      </w:r>
      <w:r>
        <w:rPr>
          <w:rFonts w:hint="eastAsia" w:ascii="宋体" w:hAnsi="宋体" w:eastAsia="宋体" w:cs="宋体"/>
          <w:spacing w:val="-7"/>
          <w:sz w:val="24"/>
          <w:szCs w:val="24"/>
          <w:highlight w:val="none"/>
        </w:rPr>
        <w:t>条，河网密</w:t>
      </w:r>
      <w:r>
        <w:rPr>
          <w:rFonts w:hint="eastAsia" w:ascii="宋体" w:hAnsi="宋体" w:eastAsia="宋体" w:cs="宋体"/>
          <w:spacing w:val="-2"/>
          <w:sz w:val="24"/>
          <w:szCs w:val="24"/>
          <w:highlight w:val="none"/>
        </w:rPr>
        <w:t>度</w:t>
      </w:r>
      <w:r>
        <w:rPr>
          <w:rFonts w:hint="eastAsia" w:ascii="宋体" w:hAnsi="宋体" w:eastAsia="宋体" w:cs="宋体"/>
          <w:spacing w:val="-39"/>
          <w:sz w:val="24"/>
          <w:szCs w:val="24"/>
          <w:highlight w:val="none"/>
        </w:rPr>
        <w:t xml:space="preserve"> </w:t>
      </w:r>
      <w:r>
        <w:rPr>
          <w:rFonts w:hint="eastAsia" w:ascii="宋体" w:hAnsi="宋体" w:eastAsia="宋体" w:cs="宋体"/>
          <w:spacing w:val="-2"/>
          <w:sz w:val="24"/>
          <w:szCs w:val="24"/>
          <w:highlight w:val="none"/>
        </w:rPr>
        <w:t>1.2km/km2。由于受气候控制，一年中</w:t>
      </w:r>
      <w:r>
        <w:rPr>
          <w:rFonts w:hint="eastAsia" w:ascii="宋体" w:hAnsi="宋体" w:eastAsia="宋体" w:cs="宋体"/>
          <w:spacing w:val="-60"/>
          <w:sz w:val="24"/>
          <w:szCs w:val="24"/>
          <w:highlight w:val="none"/>
        </w:rPr>
        <w:t xml:space="preserve"> </w:t>
      </w:r>
      <w:r>
        <w:rPr>
          <w:rFonts w:hint="eastAsia" w:ascii="宋体" w:hAnsi="宋体" w:eastAsia="宋体" w:cs="宋体"/>
          <w:spacing w:val="-2"/>
          <w:sz w:val="24"/>
          <w:szCs w:val="24"/>
          <w:highlight w:val="none"/>
        </w:rPr>
        <w:t>4-1</w:t>
      </w:r>
      <w:r>
        <w:rPr>
          <w:rFonts w:hint="eastAsia" w:ascii="宋体" w:hAnsi="宋体" w:eastAsia="宋体" w:cs="宋体"/>
          <w:spacing w:val="-3"/>
          <w:sz w:val="24"/>
          <w:szCs w:val="24"/>
          <w:highlight w:val="none"/>
        </w:rPr>
        <w:t>0</w:t>
      </w:r>
      <w:r>
        <w:rPr>
          <w:rFonts w:hint="eastAsia" w:ascii="宋体" w:hAnsi="宋体" w:eastAsia="宋体" w:cs="宋体"/>
          <w:spacing w:val="-54"/>
          <w:sz w:val="24"/>
          <w:szCs w:val="24"/>
          <w:highlight w:val="none"/>
        </w:rPr>
        <w:t xml:space="preserve"> </w:t>
      </w:r>
      <w:r>
        <w:rPr>
          <w:rFonts w:hint="eastAsia" w:ascii="宋体" w:hAnsi="宋体" w:eastAsia="宋体" w:cs="宋体"/>
          <w:spacing w:val="-3"/>
          <w:sz w:val="24"/>
          <w:szCs w:val="24"/>
          <w:highlight w:val="none"/>
        </w:rPr>
        <w:t>月为丰水期，11</w:t>
      </w:r>
      <w:r>
        <w:rPr>
          <w:rFonts w:hint="eastAsia" w:ascii="宋体" w:hAnsi="宋体" w:eastAsia="宋体" w:cs="宋体"/>
          <w:spacing w:val="-54"/>
          <w:sz w:val="24"/>
          <w:szCs w:val="24"/>
          <w:highlight w:val="none"/>
        </w:rPr>
        <w:t xml:space="preserve"> </w:t>
      </w:r>
      <w:r>
        <w:rPr>
          <w:rFonts w:hint="eastAsia" w:ascii="宋体" w:hAnsi="宋体" w:eastAsia="宋体" w:cs="宋体"/>
          <w:spacing w:val="-3"/>
          <w:sz w:val="24"/>
          <w:szCs w:val="24"/>
          <w:highlight w:val="none"/>
        </w:rPr>
        <w:t>月至</w:t>
      </w:r>
      <w:r>
        <w:rPr>
          <w:rFonts w:hint="eastAsia" w:ascii="宋体" w:hAnsi="宋体" w:eastAsia="宋体" w:cs="宋体"/>
          <w:spacing w:val="-5"/>
          <w:sz w:val="24"/>
          <w:szCs w:val="24"/>
          <w:highlight w:val="none"/>
        </w:rPr>
        <w:t>次年</w:t>
      </w:r>
      <w:r>
        <w:rPr>
          <w:rFonts w:hint="eastAsia" w:ascii="宋体" w:hAnsi="宋体" w:eastAsia="宋体" w:cs="宋体"/>
          <w:spacing w:val="-52"/>
          <w:sz w:val="24"/>
          <w:szCs w:val="24"/>
          <w:highlight w:val="none"/>
        </w:rPr>
        <w:t xml:space="preserve"> </w:t>
      </w:r>
      <w:r>
        <w:rPr>
          <w:rFonts w:hint="eastAsia" w:ascii="宋体" w:hAnsi="宋体" w:eastAsia="宋体" w:cs="宋体"/>
          <w:spacing w:val="-5"/>
          <w:sz w:val="24"/>
          <w:szCs w:val="24"/>
          <w:highlight w:val="none"/>
        </w:rPr>
        <w:t>3</w:t>
      </w:r>
      <w:r>
        <w:rPr>
          <w:rFonts w:hint="eastAsia" w:ascii="宋体" w:hAnsi="宋体" w:eastAsia="宋体" w:cs="宋体"/>
          <w:spacing w:val="-51"/>
          <w:sz w:val="24"/>
          <w:szCs w:val="24"/>
          <w:highlight w:val="none"/>
        </w:rPr>
        <w:t xml:space="preserve"> </w:t>
      </w:r>
      <w:r>
        <w:rPr>
          <w:rFonts w:hint="eastAsia" w:ascii="宋体" w:hAnsi="宋体" w:eastAsia="宋体" w:cs="宋体"/>
          <w:spacing w:val="-5"/>
          <w:sz w:val="24"/>
          <w:szCs w:val="24"/>
          <w:highlight w:val="none"/>
        </w:rPr>
        <w:t>月为枯水期。多数河流在冬春处于干涸状态，进入夏秋雨季往</w:t>
      </w:r>
      <w:r>
        <w:rPr>
          <w:rFonts w:hint="eastAsia" w:ascii="宋体" w:hAnsi="宋体" w:eastAsia="宋体" w:cs="宋体"/>
          <w:spacing w:val="-1"/>
          <w:sz w:val="24"/>
          <w:szCs w:val="24"/>
          <w:highlight w:val="none"/>
        </w:rPr>
        <w:t>往山洪暴发，常泛滥成灾。</w:t>
      </w:r>
    </w:p>
    <w:p w14:paraId="63751909">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.1.4 土壤</w:t>
      </w:r>
    </w:p>
    <w:p w14:paraId="6FF68B0B">
      <w:pPr>
        <w:keepNext w:val="0"/>
        <w:keepLines w:val="0"/>
        <w:pageBreakBefore w:val="0"/>
        <w:widowControl w:val="0"/>
        <w:kinsoku/>
        <w:wordWrap/>
        <w:overflowPunct/>
        <w:topLinePunct w:val="0"/>
        <w:autoSpaceDE/>
        <w:autoSpaceDN/>
        <w:bidi w:val="0"/>
        <w:adjustRightInd/>
        <w:snapToGrid/>
        <w:spacing w:after="0" w:line="480" w:lineRule="auto"/>
        <w:ind w:left="25" w:firstLine="560"/>
        <w:jc w:val="both"/>
        <w:textAlignment w:val="auto"/>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土壤以棕壤、黄棕壤为主，具有明显的垂直分布规律，海拔</w:t>
      </w:r>
      <w:r>
        <w:rPr>
          <w:rFonts w:hint="eastAsia" w:ascii="宋体" w:hAnsi="宋体" w:eastAsia="宋体" w:cs="宋体"/>
          <w:spacing w:val="-37"/>
          <w:sz w:val="24"/>
          <w:szCs w:val="24"/>
          <w:highlight w:val="none"/>
        </w:rPr>
        <w:t xml:space="preserve"> </w:t>
      </w:r>
      <w:r>
        <w:rPr>
          <w:rFonts w:hint="eastAsia" w:ascii="宋体" w:hAnsi="宋体" w:eastAsia="宋体" w:cs="宋体"/>
          <w:spacing w:val="-7"/>
          <w:sz w:val="24"/>
          <w:szCs w:val="24"/>
          <w:highlight w:val="none"/>
        </w:rPr>
        <w:t>1400</w:t>
      </w:r>
      <w:r>
        <w:rPr>
          <w:rFonts w:hint="eastAsia" w:ascii="宋体" w:hAnsi="宋体" w:eastAsia="宋体" w:cs="宋体"/>
          <w:spacing w:val="-2"/>
          <w:sz w:val="24"/>
          <w:szCs w:val="24"/>
          <w:highlight w:val="none"/>
        </w:rPr>
        <w:t>米以下为黄棕壤；海拔</w:t>
      </w:r>
      <w:r>
        <w:rPr>
          <w:rFonts w:hint="eastAsia" w:ascii="宋体" w:hAnsi="宋体" w:eastAsia="宋体" w:cs="宋体"/>
          <w:spacing w:val="-25"/>
          <w:sz w:val="24"/>
          <w:szCs w:val="24"/>
          <w:highlight w:val="none"/>
        </w:rPr>
        <w:t xml:space="preserve"> </w:t>
      </w:r>
      <w:r>
        <w:rPr>
          <w:rFonts w:hint="eastAsia" w:ascii="宋体" w:hAnsi="宋体" w:eastAsia="宋体" w:cs="宋体"/>
          <w:spacing w:val="-2"/>
          <w:sz w:val="24"/>
          <w:szCs w:val="24"/>
          <w:highlight w:val="none"/>
        </w:rPr>
        <w:t>1400—2000</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米之间为棕色森林土和碳酸盐棕</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色森林土。土层厚薄不一，一般台地、阶地和沟掌地带土层深厚，陡</w:t>
      </w:r>
      <w:r>
        <w:rPr>
          <w:rFonts w:hint="eastAsia" w:ascii="宋体" w:hAnsi="宋体" w:eastAsia="宋体" w:cs="宋体"/>
          <w:spacing w:val="14"/>
          <w:sz w:val="24"/>
          <w:szCs w:val="24"/>
          <w:highlight w:val="none"/>
        </w:rPr>
        <w:t xml:space="preserve"> </w:t>
      </w:r>
      <w:r>
        <w:rPr>
          <w:rFonts w:hint="eastAsia" w:ascii="宋体" w:hAnsi="宋体" w:eastAsia="宋体" w:cs="宋体"/>
          <w:spacing w:val="-6"/>
          <w:sz w:val="24"/>
          <w:szCs w:val="24"/>
          <w:highlight w:val="none"/>
        </w:rPr>
        <w:t>险坡面土层较薄。PH</w:t>
      </w:r>
      <w:r>
        <w:rPr>
          <w:rFonts w:hint="eastAsia" w:ascii="宋体" w:hAnsi="宋体" w:eastAsia="宋体" w:cs="宋体"/>
          <w:spacing w:val="-52"/>
          <w:sz w:val="24"/>
          <w:szCs w:val="24"/>
          <w:highlight w:val="none"/>
        </w:rPr>
        <w:t xml:space="preserve"> </w:t>
      </w:r>
      <w:r>
        <w:rPr>
          <w:rFonts w:hint="eastAsia" w:ascii="宋体" w:hAnsi="宋体" w:eastAsia="宋体" w:cs="宋体"/>
          <w:spacing w:val="-6"/>
          <w:sz w:val="24"/>
          <w:szCs w:val="24"/>
          <w:highlight w:val="none"/>
        </w:rPr>
        <w:t>值</w:t>
      </w:r>
      <w:r>
        <w:rPr>
          <w:rFonts w:hint="eastAsia" w:ascii="宋体" w:hAnsi="宋体" w:eastAsia="宋体" w:cs="宋体"/>
          <w:spacing w:val="-54"/>
          <w:sz w:val="24"/>
          <w:szCs w:val="24"/>
          <w:highlight w:val="none"/>
        </w:rPr>
        <w:t xml:space="preserve"> </w:t>
      </w:r>
      <w:r>
        <w:rPr>
          <w:rFonts w:hint="eastAsia" w:ascii="宋体" w:hAnsi="宋体" w:eastAsia="宋体" w:cs="宋体"/>
          <w:spacing w:val="-6"/>
          <w:sz w:val="24"/>
          <w:szCs w:val="24"/>
          <w:highlight w:val="none"/>
        </w:rPr>
        <w:t>5.5—6.5，呈中酸至微酸性反应。土质松软，</w:t>
      </w:r>
      <w:r>
        <w:rPr>
          <w:rFonts w:hint="eastAsia" w:ascii="宋体" w:hAnsi="宋体" w:eastAsia="宋体" w:cs="宋体"/>
          <w:spacing w:val="-2"/>
          <w:sz w:val="24"/>
          <w:szCs w:val="24"/>
          <w:highlight w:val="none"/>
        </w:rPr>
        <w:t>肥力较高。</w:t>
      </w:r>
    </w:p>
    <w:p w14:paraId="7F6E8880">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.1.5 气候条件</w:t>
      </w:r>
    </w:p>
    <w:p w14:paraId="7511BB4C">
      <w:pPr>
        <w:keepNext w:val="0"/>
        <w:keepLines w:val="0"/>
        <w:pageBreakBefore w:val="0"/>
        <w:widowControl w:val="0"/>
        <w:kinsoku/>
        <w:wordWrap/>
        <w:overflowPunct/>
        <w:topLinePunct w:val="0"/>
        <w:autoSpaceDE/>
        <w:autoSpaceDN/>
        <w:bidi w:val="0"/>
        <w:adjustRightInd/>
        <w:snapToGrid/>
        <w:spacing w:after="0" w:line="480" w:lineRule="auto"/>
        <w:ind w:left="25" w:right="76" w:firstLine="584"/>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山阳县属季风性半湿润山地气候，兼有亚热带和暖湿带两种气候</w:t>
      </w:r>
      <w:r>
        <w:rPr>
          <w:rFonts w:hint="eastAsia" w:ascii="宋体" w:hAnsi="宋体" w:eastAsia="宋体" w:cs="宋体"/>
          <w:spacing w:val="10"/>
          <w:sz w:val="24"/>
          <w:szCs w:val="24"/>
          <w:highlight w:val="none"/>
        </w:rPr>
        <w:t xml:space="preserve"> </w:t>
      </w:r>
      <w:r>
        <w:rPr>
          <w:rFonts w:hint="eastAsia" w:ascii="宋体" w:hAnsi="宋体" w:eastAsia="宋体" w:cs="宋体"/>
          <w:spacing w:val="-5"/>
          <w:sz w:val="24"/>
          <w:szCs w:val="24"/>
          <w:highlight w:val="none"/>
        </w:rPr>
        <w:t>类型。全县年平均气温</w:t>
      </w:r>
      <w:r>
        <w:rPr>
          <w:rFonts w:hint="eastAsia" w:ascii="宋体" w:hAnsi="宋体" w:eastAsia="宋体" w:cs="宋体"/>
          <w:spacing w:val="-38"/>
          <w:sz w:val="24"/>
          <w:szCs w:val="24"/>
          <w:highlight w:val="none"/>
        </w:rPr>
        <w:t xml:space="preserve"> </w:t>
      </w:r>
      <w:r>
        <w:rPr>
          <w:rFonts w:hint="eastAsia" w:ascii="宋体" w:hAnsi="宋体" w:eastAsia="宋体" w:cs="宋体"/>
          <w:spacing w:val="-5"/>
          <w:sz w:val="24"/>
          <w:szCs w:val="24"/>
          <w:highlight w:val="none"/>
        </w:rPr>
        <w:t>13.1℃</w:t>
      </w:r>
      <w:r>
        <w:rPr>
          <w:rFonts w:hint="eastAsia" w:ascii="宋体" w:hAnsi="宋体" w:eastAsia="宋体" w:cs="宋体"/>
          <w:spacing w:val="-106"/>
          <w:sz w:val="24"/>
          <w:szCs w:val="24"/>
          <w:highlight w:val="none"/>
        </w:rPr>
        <w:t xml:space="preserve"> </w:t>
      </w:r>
      <w:r>
        <w:rPr>
          <w:rFonts w:hint="eastAsia" w:ascii="宋体" w:hAnsi="宋体" w:eastAsia="宋体" w:cs="宋体"/>
          <w:spacing w:val="-5"/>
          <w:sz w:val="24"/>
          <w:szCs w:val="24"/>
          <w:highlight w:val="none"/>
        </w:rPr>
        <w:t>,极端最高气温</w:t>
      </w:r>
      <w:r>
        <w:rPr>
          <w:rFonts w:hint="eastAsia" w:ascii="宋体" w:hAnsi="宋体" w:eastAsia="宋体" w:cs="宋体"/>
          <w:spacing w:val="-53"/>
          <w:sz w:val="24"/>
          <w:szCs w:val="24"/>
          <w:highlight w:val="none"/>
        </w:rPr>
        <w:t xml:space="preserve"> </w:t>
      </w:r>
      <w:r>
        <w:rPr>
          <w:rFonts w:hint="eastAsia" w:ascii="宋体" w:hAnsi="宋体" w:eastAsia="宋体" w:cs="宋体"/>
          <w:spacing w:val="-5"/>
          <w:sz w:val="24"/>
          <w:szCs w:val="24"/>
          <w:highlight w:val="none"/>
        </w:rPr>
        <w:t>39.</w:t>
      </w:r>
      <w:r>
        <w:rPr>
          <w:rFonts w:hint="eastAsia" w:ascii="宋体" w:hAnsi="宋体" w:eastAsia="宋体" w:cs="宋体"/>
          <w:spacing w:val="-6"/>
          <w:sz w:val="24"/>
          <w:szCs w:val="24"/>
          <w:highlight w:val="none"/>
        </w:rPr>
        <w:t>8℃（7</w:t>
      </w:r>
      <w:r>
        <w:rPr>
          <w:rFonts w:hint="eastAsia" w:ascii="宋体" w:hAnsi="宋体" w:eastAsia="宋体" w:cs="宋体"/>
          <w:spacing w:val="-52"/>
          <w:sz w:val="24"/>
          <w:szCs w:val="24"/>
          <w:highlight w:val="none"/>
        </w:rPr>
        <w:t xml:space="preserve"> </w:t>
      </w:r>
      <w:r>
        <w:rPr>
          <w:rFonts w:hint="eastAsia" w:ascii="宋体" w:hAnsi="宋体" w:eastAsia="宋体" w:cs="宋体"/>
          <w:spacing w:val="-6"/>
          <w:sz w:val="24"/>
          <w:szCs w:val="24"/>
          <w:highlight w:val="none"/>
        </w:rPr>
        <w:t>月</w:t>
      </w:r>
      <w:r>
        <w:rPr>
          <w:rFonts w:hint="eastAsia" w:ascii="宋体" w:hAnsi="宋体" w:eastAsia="宋体" w:cs="宋体"/>
          <w:spacing w:val="-14"/>
          <w:sz w:val="24"/>
          <w:szCs w:val="24"/>
          <w:highlight w:val="none"/>
        </w:rPr>
        <w:t>），</w:t>
      </w:r>
      <w:r>
        <w:rPr>
          <w:rFonts w:hint="eastAsia" w:ascii="宋体" w:hAnsi="宋体" w:eastAsia="宋体" w:cs="宋体"/>
          <w:spacing w:val="-6"/>
          <w:sz w:val="24"/>
          <w:szCs w:val="24"/>
          <w:highlight w:val="none"/>
        </w:rPr>
        <w:t>极</w:t>
      </w:r>
      <w:r>
        <w:rPr>
          <w:rFonts w:hint="eastAsia" w:ascii="宋体" w:hAnsi="宋体" w:eastAsia="宋体" w:cs="宋体"/>
          <w:spacing w:val="-1"/>
          <w:sz w:val="24"/>
          <w:szCs w:val="24"/>
          <w:highlight w:val="none"/>
        </w:rPr>
        <w:t>端最低气温-14.5℃（1</w:t>
      </w:r>
      <w:r>
        <w:rPr>
          <w:rFonts w:hint="eastAsia" w:ascii="宋体" w:hAnsi="宋体" w:eastAsia="宋体" w:cs="宋体"/>
          <w:spacing w:val="-51"/>
          <w:sz w:val="24"/>
          <w:szCs w:val="24"/>
          <w:highlight w:val="none"/>
        </w:rPr>
        <w:t xml:space="preserve"> </w:t>
      </w:r>
      <w:r>
        <w:rPr>
          <w:rFonts w:hint="eastAsia" w:ascii="宋体" w:hAnsi="宋体" w:eastAsia="宋体" w:cs="宋体"/>
          <w:spacing w:val="-1"/>
          <w:sz w:val="24"/>
          <w:szCs w:val="24"/>
          <w:highlight w:val="none"/>
        </w:rPr>
        <w:t>月</w:t>
      </w:r>
      <w:r>
        <w:rPr>
          <w:rFonts w:hint="eastAsia" w:ascii="宋体" w:hAnsi="宋体" w:eastAsia="宋体" w:cs="宋体"/>
          <w:spacing w:val="-7"/>
          <w:sz w:val="24"/>
          <w:szCs w:val="24"/>
          <w:highlight w:val="none"/>
        </w:rPr>
        <w:t>），</w:t>
      </w:r>
      <w:r>
        <w:rPr>
          <w:rFonts w:hint="eastAsia" w:ascii="宋体" w:hAnsi="宋体" w:eastAsia="宋体" w:cs="宋体"/>
          <w:spacing w:val="-1"/>
          <w:sz w:val="24"/>
          <w:szCs w:val="24"/>
          <w:highlight w:val="none"/>
        </w:rPr>
        <w:t>年均降水量</w:t>
      </w:r>
      <w:r>
        <w:rPr>
          <w:rFonts w:hint="eastAsia" w:ascii="宋体" w:hAnsi="宋体" w:eastAsia="宋体" w:cs="宋体"/>
          <w:spacing w:val="-56"/>
          <w:sz w:val="24"/>
          <w:szCs w:val="24"/>
          <w:highlight w:val="none"/>
        </w:rPr>
        <w:t xml:space="preserve"> </w:t>
      </w:r>
      <w:r>
        <w:rPr>
          <w:rFonts w:hint="eastAsia" w:ascii="宋体" w:hAnsi="宋体" w:eastAsia="宋体" w:cs="宋体"/>
          <w:spacing w:val="-1"/>
          <w:sz w:val="24"/>
          <w:szCs w:val="24"/>
          <w:highlight w:val="none"/>
        </w:rPr>
        <w:t>709mm，年均蒸发量</w:t>
      </w:r>
      <w:r>
        <w:rPr>
          <w:rFonts w:hint="eastAsia" w:ascii="宋体" w:hAnsi="宋体" w:eastAsia="宋体" w:cs="宋体"/>
          <w:spacing w:val="-2"/>
          <w:sz w:val="24"/>
          <w:szCs w:val="24"/>
          <w:highlight w:val="none"/>
        </w:rPr>
        <w:t>1400mm-1600mm，无霜期</w:t>
      </w:r>
      <w:r>
        <w:rPr>
          <w:rFonts w:hint="eastAsia" w:ascii="宋体" w:hAnsi="宋体" w:eastAsia="宋体" w:cs="宋体"/>
          <w:spacing w:val="-53"/>
          <w:sz w:val="24"/>
          <w:szCs w:val="24"/>
          <w:highlight w:val="none"/>
        </w:rPr>
        <w:t xml:space="preserve"> </w:t>
      </w:r>
      <w:r>
        <w:rPr>
          <w:rFonts w:hint="eastAsia" w:ascii="宋体" w:hAnsi="宋体" w:eastAsia="宋体" w:cs="宋体"/>
          <w:spacing w:val="-2"/>
          <w:sz w:val="24"/>
          <w:szCs w:val="24"/>
          <w:highlight w:val="none"/>
        </w:rPr>
        <w:t>207</w:t>
      </w:r>
      <w:r>
        <w:rPr>
          <w:rFonts w:hint="eastAsia" w:ascii="宋体" w:hAnsi="宋体" w:eastAsia="宋体" w:cs="宋体"/>
          <w:spacing w:val="-55"/>
          <w:sz w:val="24"/>
          <w:szCs w:val="24"/>
          <w:highlight w:val="none"/>
        </w:rPr>
        <w:t xml:space="preserve"> </w:t>
      </w:r>
      <w:r>
        <w:rPr>
          <w:rFonts w:hint="eastAsia" w:ascii="宋体" w:hAnsi="宋体" w:eastAsia="宋体" w:cs="宋体"/>
          <w:spacing w:val="-2"/>
          <w:sz w:val="24"/>
          <w:szCs w:val="24"/>
          <w:highlight w:val="none"/>
        </w:rPr>
        <w:t>天，年日照时数</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2133.8h；主要灾害性天气有连阴雨、暴雨、冰雹和大风。</w:t>
      </w:r>
    </w:p>
    <w:p w14:paraId="449C5FA7">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.1.6 森林资源</w:t>
      </w:r>
    </w:p>
    <w:p w14:paraId="26A59F4A">
      <w:pPr>
        <w:keepNext w:val="0"/>
        <w:keepLines w:val="0"/>
        <w:pageBreakBefore w:val="0"/>
        <w:widowControl w:val="0"/>
        <w:kinsoku/>
        <w:wordWrap/>
        <w:overflowPunct/>
        <w:topLinePunct w:val="0"/>
        <w:autoSpaceDE/>
        <w:autoSpaceDN/>
        <w:bidi w:val="0"/>
        <w:adjustRightInd/>
        <w:snapToGrid/>
        <w:spacing w:after="0" w:line="480" w:lineRule="auto"/>
        <w:ind w:left="26" w:right="76" w:firstLine="558"/>
        <w:jc w:val="both"/>
        <w:textAlignment w:val="auto"/>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全县林地总面积</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4744547.55</w:t>
      </w:r>
      <w:r>
        <w:rPr>
          <w:rFonts w:hint="eastAsia" w:ascii="宋体" w:hAnsi="宋体" w:eastAsia="宋体" w:cs="宋体"/>
          <w:spacing w:val="-59"/>
          <w:sz w:val="24"/>
          <w:szCs w:val="24"/>
          <w:highlight w:val="none"/>
        </w:rPr>
        <w:t xml:space="preserve"> </w:t>
      </w:r>
      <w:r>
        <w:rPr>
          <w:rFonts w:hint="eastAsia" w:ascii="宋体" w:hAnsi="宋体" w:eastAsia="宋体" w:cs="宋体"/>
          <w:spacing w:val="-2"/>
          <w:sz w:val="24"/>
          <w:szCs w:val="24"/>
          <w:highlight w:val="none"/>
        </w:rPr>
        <w:t>亩，占土地总面积的</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89.54%。其中</w:t>
      </w:r>
      <w:r>
        <w:rPr>
          <w:rFonts w:hint="eastAsia" w:ascii="宋体" w:hAnsi="宋体" w:eastAsia="宋体" w:cs="宋体"/>
          <w:sz w:val="24"/>
          <w:szCs w:val="24"/>
          <w:highlight w:val="none"/>
        </w:rPr>
        <w:t>乔木林地面积</w:t>
      </w:r>
      <w:r>
        <w:rPr>
          <w:rFonts w:hint="eastAsia" w:ascii="宋体" w:hAnsi="宋体" w:eastAsia="宋体" w:cs="宋体"/>
          <w:spacing w:val="-59"/>
          <w:sz w:val="24"/>
          <w:szCs w:val="24"/>
          <w:highlight w:val="none"/>
        </w:rPr>
        <w:t xml:space="preserve"> </w:t>
      </w:r>
      <w:r>
        <w:rPr>
          <w:rFonts w:hint="eastAsia" w:ascii="宋体" w:hAnsi="宋体" w:eastAsia="宋体" w:cs="宋体"/>
          <w:sz w:val="24"/>
          <w:szCs w:val="24"/>
          <w:highlight w:val="none"/>
        </w:rPr>
        <w:t>42544.13</w:t>
      </w:r>
      <w:r>
        <w:rPr>
          <w:rFonts w:hint="eastAsia" w:ascii="宋体" w:hAnsi="宋体" w:eastAsia="宋体" w:cs="宋体"/>
          <w:spacing w:val="-58"/>
          <w:sz w:val="24"/>
          <w:szCs w:val="24"/>
          <w:highlight w:val="none"/>
        </w:rPr>
        <w:t xml:space="preserve"> </w:t>
      </w:r>
      <w:r>
        <w:rPr>
          <w:rFonts w:hint="eastAsia" w:ascii="宋体" w:hAnsi="宋体" w:eastAsia="宋体" w:cs="宋体"/>
          <w:sz w:val="24"/>
          <w:szCs w:val="24"/>
          <w:highlight w:val="none"/>
        </w:rPr>
        <w:t>亩、灌木林</w:t>
      </w:r>
      <w:r>
        <w:rPr>
          <w:rFonts w:hint="eastAsia" w:ascii="宋体" w:hAnsi="宋体" w:eastAsia="宋体" w:cs="宋体"/>
          <w:spacing w:val="-1"/>
          <w:sz w:val="24"/>
          <w:szCs w:val="24"/>
          <w:highlight w:val="none"/>
        </w:rPr>
        <w:t>地面积</w:t>
      </w:r>
      <w:r>
        <w:rPr>
          <w:rFonts w:hint="eastAsia" w:ascii="宋体" w:hAnsi="宋体" w:eastAsia="宋体" w:cs="宋体"/>
          <w:spacing w:val="-54"/>
          <w:sz w:val="24"/>
          <w:szCs w:val="24"/>
          <w:highlight w:val="none"/>
        </w:rPr>
        <w:t xml:space="preserve"> </w:t>
      </w:r>
      <w:r>
        <w:rPr>
          <w:rFonts w:hint="eastAsia" w:ascii="宋体" w:hAnsi="宋体" w:eastAsia="宋体" w:cs="宋体"/>
          <w:spacing w:val="-1"/>
          <w:sz w:val="24"/>
          <w:szCs w:val="24"/>
          <w:highlight w:val="none"/>
        </w:rPr>
        <w:t>271884.60</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亩、其他林地</w:t>
      </w:r>
      <w:r>
        <w:rPr>
          <w:rFonts w:hint="eastAsia" w:ascii="宋体" w:hAnsi="宋体" w:eastAsia="宋体" w:cs="宋体"/>
          <w:spacing w:val="-2"/>
          <w:sz w:val="24"/>
          <w:szCs w:val="24"/>
          <w:highlight w:val="none"/>
        </w:rPr>
        <w:t>面积</w:t>
      </w:r>
      <w:r>
        <w:rPr>
          <w:rFonts w:hint="eastAsia" w:ascii="宋体" w:hAnsi="宋体" w:eastAsia="宋体" w:cs="宋体"/>
          <w:spacing w:val="-59"/>
          <w:sz w:val="24"/>
          <w:szCs w:val="24"/>
          <w:highlight w:val="none"/>
        </w:rPr>
        <w:t xml:space="preserve"> </w:t>
      </w:r>
      <w:r>
        <w:rPr>
          <w:rFonts w:hint="eastAsia" w:ascii="宋体" w:hAnsi="宋体" w:eastAsia="宋体" w:cs="宋体"/>
          <w:spacing w:val="-2"/>
          <w:sz w:val="24"/>
          <w:szCs w:val="24"/>
          <w:highlight w:val="none"/>
        </w:rPr>
        <w:t>214649.25</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亩、竹林地面积</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36</w:t>
      </w:r>
      <w:r>
        <w:rPr>
          <w:rFonts w:hint="eastAsia" w:ascii="宋体" w:hAnsi="宋体" w:eastAsia="宋体" w:cs="宋体"/>
          <w:spacing w:val="-3"/>
          <w:sz w:val="24"/>
          <w:szCs w:val="24"/>
          <w:highlight w:val="none"/>
        </w:rPr>
        <w:t>00.60</w:t>
      </w:r>
      <w:r>
        <w:rPr>
          <w:rFonts w:hint="eastAsia" w:ascii="宋体" w:hAnsi="宋体" w:eastAsia="宋体" w:cs="宋体"/>
          <w:spacing w:val="-59"/>
          <w:sz w:val="24"/>
          <w:szCs w:val="24"/>
          <w:highlight w:val="none"/>
        </w:rPr>
        <w:t xml:space="preserve"> </w:t>
      </w:r>
      <w:r>
        <w:rPr>
          <w:rFonts w:hint="eastAsia" w:ascii="宋体" w:hAnsi="宋体" w:eastAsia="宋体" w:cs="宋体"/>
          <w:spacing w:val="-3"/>
          <w:sz w:val="24"/>
          <w:szCs w:val="24"/>
          <w:highlight w:val="none"/>
        </w:rPr>
        <w:t>亩。</w:t>
      </w:r>
    </w:p>
    <w:p w14:paraId="351D473B">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.1.7 动植物资源</w:t>
      </w:r>
    </w:p>
    <w:p w14:paraId="10974C85">
      <w:pPr>
        <w:keepNext w:val="0"/>
        <w:keepLines w:val="0"/>
        <w:pageBreakBefore w:val="0"/>
        <w:widowControl w:val="0"/>
        <w:kinsoku/>
        <w:wordWrap/>
        <w:overflowPunct/>
        <w:topLinePunct w:val="0"/>
        <w:autoSpaceDE/>
        <w:autoSpaceDN/>
        <w:bidi w:val="0"/>
        <w:adjustRightInd/>
        <w:snapToGrid/>
        <w:spacing w:after="0" w:line="480" w:lineRule="auto"/>
        <w:ind w:left="23" w:firstLine="460" w:firstLineChars="200"/>
        <w:jc w:val="both"/>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山阳县野生植物资源复杂多样，呈现南北过渡的植被景观，全县</w:t>
      </w:r>
      <w:r>
        <w:rPr>
          <w:rFonts w:hint="eastAsia" w:ascii="宋体" w:hAnsi="宋体" w:eastAsia="宋体" w:cs="宋体"/>
          <w:spacing w:val="10"/>
          <w:sz w:val="24"/>
          <w:szCs w:val="24"/>
          <w:highlight w:val="none"/>
        </w:rPr>
        <w:t xml:space="preserve"> </w:t>
      </w:r>
      <w:r>
        <w:rPr>
          <w:rFonts w:hint="eastAsia" w:ascii="宋体" w:hAnsi="宋体" w:eastAsia="宋体" w:cs="宋体"/>
          <w:spacing w:val="-5"/>
          <w:sz w:val="24"/>
          <w:szCs w:val="24"/>
          <w:highlight w:val="none"/>
        </w:rPr>
        <w:t>共有高等植物</w:t>
      </w:r>
      <w:r>
        <w:rPr>
          <w:rFonts w:hint="eastAsia" w:ascii="宋体" w:hAnsi="宋体" w:eastAsia="宋体" w:cs="宋体"/>
          <w:spacing w:val="-54"/>
          <w:sz w:val="24"/>
          <w:szCs w:val="24"/>
          <w:highlight w:val="none"/>
        </w:rPr>
        <w:t xml:space="preserve"> </w:t>
      </w:r>
      <w:r>
        <w:rPr>
          <w:rFonts w:hint="eastAsia" w:ascii="宋体" w:hAnsi="宋体" w:eastAsia="宋体" w:cs="宋体"/>
          <w:spacing w:val="-5"/>
          <w:sz w:val="24"/>
          <w:szCs w:val="24"/>
          <w:highlight w:val="none"/>
        </w:rPr>
        <w:t>300</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余科</w:t>
      </w:r>
      <w:r>
        <w:rPr>
          <w:rFonts w:hint="eastAsia" w:ascii="宋体" w:hAnsi="宋体" w:eastAsia="宋体" w:cs="宋体"/>
          <w:spacing w:val="-39"/>
          <w:sz w:val="24"/>
          <w:szCs w:val="24"/>
          <w:highlight w:val="none"/>
        </w:rPr>
        <w:t xml:space="preserve"> </w:t>
      </w:r>
      <w:r>
        <w:rPr>
          <w:rFonts w:hint="eastAsia" w:ascii="宋体" w:hAnsi="宋体" w:eastAsia="宋体" w:cs="宋体"/>
          <w:spacing w:val="-5"/>
          <w:sz w:val="24"/>
          <w:szCs w:val="24"/>
          <w:highlight w:val="none"/>
        </w:rPr>
        <w:t>1600</w:t>
      </w:r>
      <w:r>
        <w:rPr>
          <w:rFonts w:hint="eastAsia" w:ascii="宋体" w:hAnsi="宋体" w:eastAsia="宋体" w:cs="宋体"/>
          <w:spacing w:val="-60"/>
          <w:sz w:val="24"/>
          <w:szCs w:val="24"/>
          <w:highlight w:val="none"/>
        </w:rPr>
        <w:t xml:space="preserve"> </w:t>
      </w:r>
      <w:r>
        <w:rPr>
          <w:rFonts w:hint="eastAsia" w:ascii="宋体" w:hAnsi="宋体" w:eastAsia="宋体" w:cs="宋体"/>
          <w:spacing w:val="-5"/>
          <w:sz w:val="24"/>
          <w:szCs w:val="24"/>
          <w:highlight w:val="none"/>
        </w:rPr>
        <w:t>余种，其中乔木树种</w:t>
      </w:r>
      <w:r>
        <w:rPr>
          <w:rFonts w:hint="eastAsia" w:ascii="宋体" w:hAnsi="宋体" w:eastAsia="宋体" w:cs="宋体"/>
          <w:spacing w:val="-57"/>
          <w:sz w:val="24"/>
          <w:szCs w:val="24"/>
          <w:highlight w:val="none"/>
        </w:rPr>
        <w:t xml:space="preserve"> </w:t>
      </w:r>
      <w:r>
        <w:rPr>
          <w:rFonts w:hint="eastAsia" w:ascii="宋体" w:hAnsi="宋体" w:eastAsia="宋体" w:cs="宋体"/>
          <w:spacing w:val="-5"/>
          <w:sz w:val="24"/>
          <w:szCs w:val="24"/>
          <w:highlight w:val="none"/>
        </w:rPr>
        <w:t>6</w:t>
      </w:r>
      <w:r>
        <w:rPr>
          <w:rFonts w:hint="eastAsia" w:ascii="宋体" w:hAnsi="宋体" w:eastAsia="宋体" w:cs="宋体"/>
          <w:spacing w:val="-6"/>
          <w:sz w:val="24"/>
          <w:szCs w:val="24"/>
          <w:highlight w:val="none"/>
        </w:rPr>
        <w:t>2</w:t>
      </w:r>
      <w:r>
        <w:rPr>
          <w:rFonts w:hint="eastAsia" w:ascii="宋体" w:hAnsi="宋体" w:eastAsia="宋体" w:cs="宋体"/>
          <w:spacing w:val="-61"/>
          <w:sz w:val="24"/>
          <w:szCs w:val="24"/>
          <w:highlight w:val="none"/>
        </w:rPr>
        <w:t xml:space="preserve"> </w:t>
      </w:r>
      <w:r>
        <w:rPr>
          <w:rFonts w:hint="eastAsia" w:ascii="宋体" w:hAnsi="宋体" w:eastAsia="宋体" w:cs="宋体"/>
          <w:spacing w:val="-6"/>
          <w:sz w:val="24"/>
          <w:szCs w:val="24"/>
          <w:highlight w:val="none"/>
        </w:rPr>
        <w:t>科</w:t>
      </w:r>
      <w:r>
        <w:rPr>
          <w:rFonts w:hint="eastAsia" w:ascii="宋体" w:hAnsi="宋体" w:eastAsia="宋体" w:cs="宋体"/>
          <w:spacing w:val="-39"/>
          <w:sz w:val="24"/>
          <w:szCs w:val="24"/>
          <w:highlight w:val="none"/>
        </w:rPr>
        <w:t xml:space="preserve"> </w:t>
      </w:r>
      <w:r>
        <w:rPr>
          <w:rFonts w:hint="eastAsia" w:ascii="宋体" w:hAnsi="宋体" w:eastAsia="宋体" w:cs="宋体"/>
          <w:spacing w:val="-6"/>
          <w:sz w:val="24"/>
          <w:szCs w:val="24"/>
          <w:highlight w:val="none"/>
        </w:rPr>
        <w:t>138</w:t>
      </w:r>
      <w:r>
        <w:rPr>
          <w:rFonts w:hint="eastAsia" w:ascii="宋体" w:hAnsi="宋体" w:eastAsia="宋体" w:cs="宋体"/>
          <w:spacing w:val="-58"/>
          <w:sz w:val="24"/>
          <w:szCs w:val="24"/>
          <w:highlight w:val="none"/>
        </w:rPr>
        <w:t xml:space="preserve"> </w:t>
      </w:r>
      <w:r>
        <w:rPr>
          <w:rFonts w:hint="eastAsia" w:ascii="宋体" w:hAnsi="宋体" w:eastAsia="宋体" w:cs="宋体"/>
          <w:spacing w:val="-6"/>
          <w:sz w:val="24"/>
          <w:szCs w:val="24"/>
          <w:highlight w:val="none"/>
        </w:rPr>
        <w:t>属近</w:t>
      </w:r>
      <w:r>
        <w:rPr>
          <w:rFonts w:hint="eastAsia" w:ascii="宋体" w:hAnsi="宋体" w:eastAsia="宋体" w:cs="宋体"/>
          <w:spacing w:val="-54"/>
          <w:sz w:val="24"/>
          <w:szCs w:val="24"/>
          <w:highlight w:val="none"/>
        </w:rPr>
        <w:t xml:space="preserve"> </w:t>
      </w:r>
      <w:r>
        <w:rPr>
          <w:rFonts w:hint="eastAsia" w:ascii="宋体" w:hAnsi="宋体" w:eastAsia="宋体" w:cs="宋体"/>
          <w:spacing w:val="-6"/>
          <w:sz w:val="24"/>
          <w:szCs w:val="24"/>
          <w:highlight w:val="none"/>
        </w:rPr>
        <w:t>300</w:t>
      </w:r>
      <w:r>
        <w:rPr>
          <w:rFonts w:hint="eastAsia" w:ascii="宋体" w:hAnsi="宋体" w:eastAsia="宋体" w:cs="宋体"/>
          <w:spacing w:val="-4"/>
          <w:sz w:val="24"/>
          <w:szCs w:val="24"/>
          <w:highlight w:val="none"/>
        </w:rPr>
        <w:t>种。主要用材树种有油松、华山松、侧柏、泡桐、栓皮栎、香椿、臭</w:t>
      </w:r>
      <w:r>
        <w:rPr>
          <w:rFonts w:hint="eastAsia" w:ascii="宋体" w:hAnsi="宋体" w:eastAsia="宋体" w:cs="宋体"/>
          <w:spacing w:val="-9"/>
          <w:sz w:val="24"/>
          <w:szCs w:val="24"/>
          <w:highlight w:val="none"/>
        </w:rPr>
        <w:t>椿、刺槐、桦树等；主要经济树种有核桃、板栗、柿</w:t>
      </w:r>
      <w:r>
        <w:rPr>
          <w:rFonts w:hint="eastAsia" w:ascii="宋体" w:hAnsi="宋体" w:eastAsia="宋体" w:cs="宋体"/>
          <w:spacing w:val="-10"/>
          <w:sz w:val="24"/>
          <w:szCs w:val="24"/>
          <w:highlight w:val="none"/>
        </w:rPr>
        <w:t>子、油桐、杜仲</w:t>
      </w:r>
      <w:r>
        <w:rPr>
          <w:rFonts w:hint="eastAsia" w:ascii="宋体" w:hAnsi="宋体" w:eastAsia="宋体" w:cs="宋体"/>
          <w:spacing w:val="-10"/>
          <w:sz w:val="24"/>
          <w:szCs w:val="24"/>
          <w:highlight w:val="none"/>
          <w:lang w:eastAsia="zh-CN"/>
        </w:rPr>
        <w:t>、</w:t>
      </w:r>
      <w:r>
        <w:rPr>
          <w:rFonts w:hint="eastAsia" w:ascii="宋体" w:hAnsi="宋体" w:eastAsia="宋体" w:cs="宋体"/>
          <w:spacing w:val="-9"/>
          <w:sz w:val="24"/>
          <w:szCs w:val="24"/>
          <w:highlight w:val="none"/>
        </w:rPr>
        <w:t>花椒等；全县珍稀树种有秦岭红豆杉、银杏、樟树、</w:t>
      </w:r>
      <w:r>
        <w:rPr>
          <w:rFonts w:hint="eastAsia" w:ascii="宋体" w:hAnsi="宋体" w:eastAsia="宋体" w:cs="宋体"/>
          <w:spacing w:val="-10"/>
          <w:sz w:val="24"/>
          <w:szCs w:val="24"/>
          <w:highlight w:val="none"/>
        </w:rPr>
        <w:t>黄檀、梭罗树等。</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全县动物资源兽类尚存</w:t>
      </w:r>
      <w:r>
        <w:rPr>
          <w:rFonts w:hint="eastAsia" w:ascii="宋体" w:hAnsi="宋体" w:eastAsia="宋体" w:cs="宋体"/>
          <w:spacing w:val="-42"/>
          <w:sz w:val="24"/>
          <w:szCs w:val="24"/>
          <w:highlight w:val="none"/>
        </w:rPr>
        <w:t xml:space="preserve"> </w:t>
      </w:r>
      <w:r>
        <w:rPr>
          <w:rFonts w:hint="eastAsia" w:ascii="宋体" w:hAnsi="宋体" w:eastAsia="宋体" w:cs="宋体"/>
          <w:spacing w:val="-3"/>
          <w:sz w:val="24"/>
          <w:szCs w:val="24"/>
          <w:highlight w:val="none"/>
        </w:rPr>
        <w:t>21</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种，常见鸟类</w:t>
      </w:r>
      <w:r>
        <w:rPr>
          <w:rFonts w:hint="eastAsia" w:ascii="宋体" w:hAnsi="宋体" w:eastAsia="宋体" w:cs="宋体"/>
          <w:spacing w:val="-54"/>
          <w:sz w:val="24"/>
          <w:szCs w:val="24"/>
          <w:highlight w:val="none"/>
        </w:rPr>
        <w:t xml:space="preserve"> </w:t>
      </w:r>
      <w:r>
        <w:rPr>
          <w:rFonts w:hint="eastAsia" w:ascii="宋体" w:hAnsi="宋体" w:eastAsia="宋体" w:cs="宋体"/>
          <w:spacing w:val="-3"/>
          <w:sz w:val="24"/>
          <w:szCs w:val="24"/>
          <w:highlight w:val="none"/>
        </w:rPr>
        <w:t>50</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余种，水族近</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40</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种，其</w:t>
      </w:r>
      <w:r>
        <w:rPr>
          <w:rFonts w:hint="eastAsia" w:ascii="宋体" w:hAnsi="宋体" w:eastAsia="宋体" w:cs="宋体"/>
          <w:spacing w:val="-5"/>
          <w:sz w:val="24"/>
          <w:szCs w:val="24"/>
          <w:highlight w:val="none"/>
        </w:rPr>
        <w:t>中野生鱼类</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28</w:t>
      </w:r>
      <w:r>
        <w:rPr>
          <w:rFonts w:hint="eastAsia" w:ascii="宋体" w:hAnsi="宋体" w:eastAsia="宋体" w:cs="宋体"/>
          <w:spacing w:val="-60"/>
          <w:sz w:val="24"/>
          <w:szCs w:val="24"/>
          <w:highlight w:val="none"/>
        </w:rPr>
        <w:t xml:space="preserve"> </w:t>
      </w:r>
      <w:r>
        <w:rPr>
          <w:rFonts w:hint="eastAsia" w:ascii="宋体" w:hAnsi="宋体" w:eastAsia="宋体" w:cs="宋体"/>
          <w:spacing w:val="-5"/>
          <w:sz w:val="24"/>
          <w:szCs w:val="24"/>
          <w:highlight w:val="none"/>
        </w:rPr>
        <w:t>种，水生动物或两栖动物</w:t>
      </w:r>
      <w:r>
        <w:rPr>
          <w:rFonts w:hint="eastAsia" w:ascii="宋体" w:hAnsi="宋体" w:eastAsia="宋体" w:cs="宋体"/>
          <w:spacing w:val="-39"/>
          <w:sz w:val="24"/>
          <w:szCs w:val="24"/>
          <w:highlight w:val="none"/>
        </w:rPr>
        <w:t xml:space="preserve"> </w:t>
      </w:r>
      <w:r>
        <w:rPr>
          <w:rFonts w:hint="eastAsia" w:ascii="宋体" w:hAnsi="宋体" w:eastAsia="宋体" w:cs="宋体"/>
          <w:spacing w:val="-5"/>
          <w:sz w:val="24"/>
          <w:szCs w:val="24"/>
          <w:highlight w:val="none"/>
        </w:rPr>
        <w:t>1</w:t>
      </w:r>
      <w:r>
        <w:rPr>
          <w:rFonts w:hint="eastAsia" w:ascii="宋体" w:hAnsi="宋体" w:eastAsia="宋体" w:cs="宋体"/>
          <w:spacing w:val="-6"/>
          <w:sz w:val="24"/>
          <w:szCs w:val="24"/>
          <w:highlight w:val="none"/>
        </w:rPr>
        <w:t>0</w:t>
      </w:r>
      <w:r>
        <w:rPr>
          <w:rFonts w:hint="eastAsia" w:ascii="宋体" w:hAnsi="宋体" w:eastAsia="宋体" w:cs="宋体"/>
          <w:spacing w:val="-60"/>
          <w:sz w:val="24"/>
          <w:szCs w:val="24"/>
          <w:highlight w:val="none"/>
        </w:rPr>
        <w:t xml:space="preserve"> </w:t>
      </w:r>
      <w:r>
        <w:rPr>
          <w:rFonts w:hint="eastAsia" w:ascii="宋体" w:hAnsi="宋体" w:eastAsia="宋体" w:cs="宋体"/>
          <w:spacing w:val="-6"/>
          <w:sz w:val="24"/>
          <w:szCs w:val="24"/>
          <w:highlight w:val="none"/>
        </w:rPr>
        <w:t>余种。野生蛇类栖息条件</w:t>
      </w:r>
      <w:r>
        <w:rPr>
          <w:rFonts w:hint="eastAsia" w:ascii="宋体" w:hAnsi="宋体" w:eastAsia="宋体" w:cs="宋体"/>
          <w:spacing w:val="-3"/>
          <w:sz w:val="24"/>
          <w:szCs w:val="24"/>
          <w:highlight w:val="none"/>
        </w:rPr>
        <w:t>优越。</w:t>
      </w:r>
    </w:p>
    <w:p w14:paraId="4832756C">
      <w:pPr>
        <w:keepNext w:val="0"/>
        <w:keepLines w:val="0"/>
        <w:pageBreakBefore w:val="0"/>
        <w:widowControl w:val="0"/>
        <w:kinsoku/>
        <w:wordWrap/>
        <w:overflowPunct/>
        <w:topLinePunct w:val="0"/>
        <w:autoSpaceDE/>
        <w:autoSpaceDN/>
        <w:bidi w:val="0"/>
        <w:adjustRightInd/>
        <w:snapToGrid/>
        <w:spacing w:after="0" w:line="480" w:lineRule="auto"/>
        <w:ind w:left="23"/>
        <w:textAlignment w:val="auto"/>
        <w:outlineLvl w:val="1"/>
        <w:rPr>
          <w:rFonts w:hint="eastAsia" w:ascii="宋体" w:hAnsi="宋体" w:eastAsia="宋体" w:cs="宋体"/>
          <w:sz w:val="24"/>
          <w:szCs w:val="24"/>
          <w:highlight w:val="none"/>
        </w:rPr>
      </w:pPr>
      <w:bookmarkStart w:id="108" w:name="bookmark23"/>
      <w:bookmarkEnd w:id="108"/>
      <w:bookmarkStart w:id="109" w:name="bookmark22"/>
      <w:bookmarkEnd w:id="109"/>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.2</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社会经济条件</w:t>
      </w:r>
    </w:p>
    <w:p w14:paraId="79181514">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.2.1 行政区划及人口</w:t>
      </w:r>
    </w:p>
    <w:p w14:paraId="798F7B32">
      <w:pPr>
        <w:keepNext w:val="0"/>
        <w:keepLines w:val="0"/>
        <w:pageBreakBefore w:val="0"/>
        <w:widowControl w:val="0"/>
        <w:kinsoku/>
        <w:wordWrap/>
        <w:overflowPunct/>
        <w:topLinePunct w:val="0"/>
        <w:autoSpaceDE/>
        <w:autoSpaceDN/>
        <w:bidi w:val="0"/>
        <w:adjustRightInd/>
        <w:snapToGrid/>
        <w:spacing w:after="0" w:line="480" w:lineRule="auto"/>
        <w:ind w:left="25" w:right="21" w:firstLine="584"/>
        <w:jc w:val="both"/>
        <w:textAlignment w:val="auto"/>
        <w:rPr>
          <w:rFonts w:hint="eastAsia" w:ascii="宋体" w:hAnsi="宋体" w:eastAsia="宋体" w:cs="宋体"/>
          <w:sz w:val="24"/>
          <w:szCs w:val="24"/>
          <w:highlight w:val="none"/>
        </w:rPr>
      </w:pPr>
      <w:r>
        <w:rPr>
          <w:rFonts w:hint="eastAsia" w:ascii="宋体" w:hAnsi="宋体" w:eastAsia="宋体" w:cs="宋体"/>
          <w:spacing w:val="-10"/>
          <w:sz w:val="24"/>
          <w:szCs w:val="24"/>
          <w:highlight w:val="none"/>
        </w:rPr>
        <w:t>山阳县辖</w:t>
      </w:r>
      <w:r>
        <w:rPr>
          <w:rFonts w:hint="eastAsia" w:ascii="宋体" w:hAnsi="宋体" w:eastAsia="宋体" w:cs="宋体"/>
          <w:spacing w:val="-39"/>
          <w:sz w:val="24"/>
          <w:szCs w:val="24"/>
          <w:highlight w:val="none"/>
        </w:rPr>
        <w:t xml:space="preserve"> </w:t>
      </w:r>
      <w:r>
        <w:rPr>
          <w:rFonts w:hint="eastAsia" w:ascii="宋体" w:hAnsi="宋体" w:eastAsia="宋体" w:cs="宋体"/>
          <w:spacing w:val="-10"/>
          <w:sz w:val="24"/>
          <w:szCs w:val="24"/>
          <w:highlight w:val="none"/>
        </w:rPr>
        <w:t>18</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个镇（办）、198</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个行政村、41</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个社区居委会、1782</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个村民组。全县总人口</w:t>
      </w:r>
      <w:r>
        <w:rPr>
          <w:rFonts w:hint="eastAsia" w:ascii="宋体" w:hAnsi="宋体" w:eastAsia="宋体" w:cs="宋体"/>
          <w:spacing w:val="-54"/>
          <w:sz w:val="24"/>
          <w:szCs w:val="24"/>
          <w:highlight w:val="none"/>
        </w:rPr>
        <w:t xml:space="preserve"> </w:t>
      </w:r>
      <w:r>
        <w:rPr>
          <w:rFonts w:hint="eastAsia" w:ascii="宋体" w:hAnsi="宋体" w:eastAsia="宋体" w:cs="宋体"/>
          <w:spacing w:val="-5"/>
          <w:sz w:val="24"/>
          <w:szCs w:val="24"/>
          <w:highlight w:val="none"/>
        </w:rPr>
        <w:t>46.37</w:t>
      </w:r>
      <w:r>
        <w:rPr>
          <w:rFonts w:hint="eastAsia" w:ascii="宋体" w:hAnsi="宋体" w:eastAsia="宋体" w:cs="宋体"/>
          <w:spacing w:val="-54"/>
          <w:sz w:val="24"/>
          <w:szCs w:val="24"/>
          <w:highlight w:val="none"/>
        </w:rPr>
        <w:t xml:space="preserve"> </w:t>
      </w:r>
      <w:r>
        <w:rPr>
          <w:rFonts w:hint="eastAsia" w:ascii="宋体" w:hAnsi="宋体" w:eastAsia="宋体" w:cs="宋体"/>
          <w:spacing w:val="-5"/>
          <w:sz w:val="24"/>
          <w:szCs w:val="24"/>
          <w:highlight w:val="none"/>
        </w:rPr>
        <w:t>万人，其中乡村人口</w:t>
      </w:r>
      <w:r>
        <w:rPr>
          <w:rFonts w:hint="eastAsia" w:ascii="宋体" w:hAnsi="宋体" w:eastAsia="宋体" w:cs="宋体"/>
          <w:spacing w:val="-54"/>
          <w:sz w:val="24"/>
          <w:szCs w:val="24"/>
          <w:highlight w:val="none"/>
        </w:rPr>
        <w:t xml:space="preserve"> </w:t>
      </w:r>
      <w:r>
        <w:rPr>
          <w:rFonts w:hint="eastAsia" w:ascii="宋体" w:hAnsi="宋体" w:eastAsia="宋体" w:cs="宋体"/>
          <w:spacing w:val="-5"/>
          <w:sz w:val="24"/>
          <w:szCs w:val="24"/>
          <w:highlight w:val="none"/>
        </w:rPr>
        <w:t>21.32</w:t>
      </w:r>
      <w:r>
        <w:rPr>
          <w:rFonts w:hint="eastAsia" w:ascii="宋体" w:hAnsi="宋体" w:eastAsia="宋体" w:cs="宋体"/>
          <w:spacing w:val="-54"/>
          <w:sz w:val="24"/>
          <w:szCs w:val="24"/>
          <w:highlight w:val="none"/>
        </w:rPr>
        <w:t xml:space="preserve"> </w:t>
      </w:r>
      <w:r>
        <w:rPr>
          <w:rFonts w:hint="eastAsia" w:ascii="宋体" w:hAnsi="宋体" w:eastAsia="宋体" w:cs="宋体"/>
          <w:spacing w:val="-5"/>
          <w:sz w:val="24"/>
          <w:szCs w:val="24"/>
          <w:highlight w:val="none"/>
        </w:rPr>
        <w:t>万人，乡村</w:t>
      </w:r>
      <w:r>
        <w:rPr>
          <w:rFonts w:hint="eastAsia" w:ascii="宋体" w:hAnsi="宋体" w:eastAsia="宋体" w:cs="宋体"/>
          <w:sz w:val="24"/>
          <w:szCs w:val="24"/>
          <w:highlight w:val="none"/>
        </w:rPr>
        <w:t xml:space="preserve"> </w:t>
      </w:r>
      <w:r>
        <w:rPr>
          <w:rFonts w:hint="eastAsia" w:ascii="宋体" w:hAnsi="宋体" w:eastAsia="宋体" w:cs="宋体"/>
          <w:spacing w:val="-11"/>
          <w:sz w:val="24"/>
          <w:szCs w:val="24"/>
          <w:highlight w:val="none"/>
        </w:rPr>
        <w:t>劳动力</w:t>
      </w:r>
      <w:r>
        <w:rPr>
          <w:rFonts w:hint="eastAsia" w:ascii="宋体" w:hAnsi="宋体" w:eastAsia="宋体" w:cs="宋体"/>
          <w:spacing w:val="-43"/>
          <w:sz w:val="24"/>
          <w:szCs w:val="24"/>
          <w:highlight w:val="none"/>
        </w:rPr>
        <w:t xml:space="preserve"> </w:t>
      </w:r>
      <w:r>
        <w:rPr>
          <w:rFonts w:hint="eastAsia" w:ascii="宋体" w:hAnsi="宋体" w:eastAsia="宋体" w:cs="宋体"/>
          <w:spacing w:val="-11"/>
          <w:sz w:val="24"/>
          <w:szCs w:val="24"/>
          <w:highlight w:val="none"/>
        </w:rPr>
        <w:t>19.59</w:t>
      </w:r>
      <w:r>
        <w:rPr>
          <w:rFonts w:hint="eastAsia" w:ascii="宋体" w:hAnsi="宋体" w:eastAsia="宋体" w:cs="宋体"/>
          <w:spacing w:val="-57"/>
          <w:sz w:val="24"/>
          <w:szCs w:val="24"/>
          <w:highlight w:val="none"/>
        </w:rPr>
        <w:t xml:space="preserve"> </w:t>
      </w:r>
      <w:r>
        <w:rPr>
          <w:rFonts w:hint="eastAsia" w:ascii="宋体" w:hAnsi="宋体" w:eastAsia="宋体" w:cs="宋体"/>
          <w:spacing w:val="-11"/>
          <w:sz w:val="24"/>
          <w:szCs w:val="24"/>
          <w:highlight w:val="none"/>
        </w:rPr>
        <w:t>万人，人口密度</w:t>
      </w:r>
      <w:r>
        <w:rPr>
          <w:rFonts w:hint="eastAsia" w:ascii="宋体" w:hAnsi="宋体" w:eastAsia="宋体" w:cs="宋体"/>
          <w:spacing w:val="-43"/>
          <w:sz w:val="24"/>
          <w:szCs w:val="24"/>
          <w:highlight w:val="none"/>
        </w:rPr>
        <w:t xml:space="preserve"> </w:t>
      </w:r>
      <w:r>
        <w:rPr>
          <w:rFonts w:hint="eastAsia" w:ascii="宋体" w:hAnsi="宋体" w:eastAsia="宋体" w:cs="宋体"/>
          <w:spacing w:val="-11"/>
          <w:sz w:val="24"/>
          <w:szCs w:val="24"/>
          <w:highlight w:val="none"/>
        </w:rPr>
        <w:t>132.17</w:t>
      </w:r>
      <w:r>
        <w:rPr>
          <w:rFonts w:hint="eastAsia" w:ascii="宋体" w:hAnsi="宋体" w:eastAsia="宋体" w:cs="宋体"/>
          <w:spacing w:val="-64"/>
          <w:sz w:val="24"/>
          <w:szCs w:val="24"/>
          <w:highlight w:val="none"/>
        </w:rPr>
        <w:t xml:space="preserve"> </w:t>
      </w:r>
      <w:r>
        <w:rPr>
          <w:rFonts w:hint="eastAsia" w:ascii="宋体" w:hAnsi="宋体" w:eastAsia="宋体" w:cs="宋体"/>
          <w:spacing w:val="-11"/>
          <w:sz w:val="24"/>
          <w:szCs w:val="24"/>
          <w:highlight w:val="none"/>
        </w:rPr>
        <w:t>人/km2，农民人均</w:t>
      </w:r>
      <w:r>
        <w:rPr>
          <w:rFonts w:hint="eastAsia" w:ascii="宋体" w:hAnsi="宋体" w:eastAsia="宋体" w:cs="宋体"/>
          <w:spacing w:val="-12"/>
          <w:sz w:val="24"/>
          <w:szCs w:val="24"/>
          <w:highlight w:val="none"/>
        </w:rPr>
        <w:t>耕地</w:t>
      </w:r>
      <w:r>
        <w:rPr>
          <w:rFonts w:hint="eastAsia" w:ascii="宋体" w:hAnsi="宋体" w:eastAsia="宋体" w:cs="宋体"/>
          <w:spacing w:val="-62"/>
          <w:sz w:val="24"/>
          <w:szCs w:val="24"/>
          <w:highlight w:val="none"/>
        </w:rPr>
        <w:t xml:space="preserve"> </w:t>
      </w:r>
      <w:r>
        <w:rPr>
          <w:rFonts w:hint="eastAsia" w:ascii="宋体" w:hAnsi="宋体" w:eastAsia="宋体" w:cs="宋体"/>
          <w:spacing w:val="-12"/>
          <w:sz w:val="24"/>
          <w:szCs w:val="24"/>
          <w:highlight w:val="none"/>
        </w:rPr>
        <w:t>0.10hm2，</w:t>
      </w:r>
      <w:r>
        <w:rPr>
          <w:rFonts w:hint="eastAsia" w:ascii="宋体" w:hAnsi="宋体" w:eastAsia="宋体" w:cs="宋体"/>
          <w:sz w:val="24"/>
          <w:szCs w:val="24"/>
          <w:highlight w:val="none"/>
        </w:rPr>
        <w:t xml:space="preserve"> </w:t>
      </w:r>
      <w:r>
        <w:rPr>
          <w:rFonts w:hint="eastAsia" w:ascii="宋体" w:hAnsi="宋体" w:eastAsia="宋体" w:cs="宋体"/>
          <w:spacing w:val="-1"/>
          <w:sz w:val="24"/>
          <w:szCs w:val="24"/>
          <w:highlight w:val="none"/>
        </w:rPr>
        <w:t>农业以种植业、养殖业为主，林副产品以核桃、板栗、药材为主。</w:t>
      </w:r>
    </w:p>
    <w:p w14:paraId="1F55FF27">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.2.2 社会经济</w:t>
      </w:r>
    </w:p>
    <w:p w14:paraId="2F5826A2">
      <w:pPr>
        <w:keepNext w:val="0"/>
        <w:keepLines w:val="0"/>
        <w:pageBreakBefore w:val="0"/>
        <w:widowControl w:val="0"/>
        <w:kinsoku/>
        <w:wordWrap/>
        <w:overflowPunct/>
        <w:topLinePunct w:val="0"/>
        <w:autoSpaceDE/>
        <w:autoSpaceDN/>
        <w:bidi w:val="0"/>
        <w:adjustRightInd/>
        <w:snapToGrid/>
        <w:spacing w:after="0" w:line="480" w:lineRule="auto"/>
        <w:ind w:left="30" w:right="354" w:firstLine="556"/>
        <w:jc w:val="both"/>
        <w:textAlignment w:val="auto"/>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2023</w:t>
      </w:r>
      <w:r>
        <w:rPr>
          <w:rFonts w:hint="eastAsia" w:ascii="宋体" w:hAnsi="宋体" w:eastAsia="宋体" w:cs="宋体"/>
          <w:spacing w:val="-57"/>
          <w:sz w:val="24"/>
          <w:szCs w:val="24"/>
          <w:highlight w:val="none"/>
        </w:rPr>
        <w:t xml:space="preserve"> </w:t>
      </w:r>
      <w:r>
        <w:rPr>
          <w:rFonts w:hint="eastAsia" w:ascii="宋体" w:hAnsi="宋体" w:eastAsia="宋体" w:cs="宋体"/>
          <w:spacing w:val="-2"/>
          <w:sz w:val="24"/>
          <w:szCs w:val="24"/>
          <w:highlight w:val="none"/>
        </w:rPr>
        <w:t>年山阳县社会总产值</w:t>
      </w:r>
      <w:r>
        <w:rPr>
          <w:rFonts w:hint="eastAsia" w:ascii="宋体" w:hAnsi="宋体" w:eastAsia="宋体" w:cs="宋体"/>
          <w:spacing w:val="-39"/>
          <w:sz w:val="24"/>
          <w:szCs w:val="24"/>
          <w:highlight w:val="none"/>
        </w:rPr>
        <w:t xml:space="preserve"> </w:t>
      </w:r>
      <w:r>
        <w:rPr>
          <w:rFonts w:hint="eastAsia" w:ascii="宋体" w:hAnsi="宋体" w:eastAsia="宋体" w:cs="宋体"/>
          <w:spacing w:val="-2"/>
          <w:sz w:val="24"/>
          <w:szCs w:val="24"/>
          <w:highlight w:val="none"/>
        </w:rPr>
        <w:t>171.75</w:t>
      </w:r>
      <w:r>
        <w:rPr>
          <w:rFonts w:hint="eastAsia" w:ascii="宋体" w:hAnsi="宋体" w:eastAsia="宋体" w:cs="宋体"/>
          <w:spacing w:val="-59"/>
          <w:sz w:val="24"/>
          <w:szCs w:val="24"/>
          <w:highlight w:val="none"/>
        </w:rPr>
        <w:t xml:space="preserve"> </w:t>
      </w:r>
      <w:r>
        <w:rPr>
          <w:rFonts w:hint="eastAsia" w:ascii="宋体" w:hAnsi="宋体" w:eastAsia="宋体" w:cs="宋体"/>
          <w:spacing w:val="-2"/>
          <w:sz w:val="24"/>
          <w:szCs w:val="24"/>
          <w:highlight w:val="none"/>
        </w:rPr>
        <w:t>亿元，其</w:t>
      </w:r>
      <w:r>
        <w:rPr>
          <w:rFonts w:hint="eastAsia" w:ascii="宋体" w:hAnsi="宋体" w:eastAsia="宋体" w:cs="宋体"/>
          <w:spacing w:val="-3"/>
          <w:sz w:val="24"/>
          <w:szCs w:val="24"/>
          <w:highlight w:val="none"/>
        </w:rPr>
        <w:t>中农林牧渔业产值</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38.95</w:t>
      </w:r>
      <w:r>
        <w:rPr>
          <w:rFonts w:hint="eastAsia" w:ascii="宋体" w:hAnsi="宋体" w:eastAsia="宋体" w:cs="宋体"/>
          <w:spacing w:val="-54"/>
          <w:sz w:val="24"/>
          <w:szCs w:val="24"/>
          <w:highlight w:val="none"/>
        </w:rPr>
        <w:t xml:space="preserve"> </w:t>
      </w:r>
      <w:r>
        <w:rPr>
          <w:rFonts w:hint="eastAsia" w:ascii="宋体" w:hAnsi="宋体" w:eastAsia="宋体" w:cs="宋体"/>
          <w:spacing w:val="-2"/>
          <w:sz w:val="24"/>
          <w:szCs w:val="24"/>
          <w:highlight w:val="none"/>
        </w:rPr>
        <w:t>亿元，粮食总产量</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90712</w:t>
      </w:r>
      <w:r>
        <w:rPr>
          <w:rFonts w:hint="eastAsia" w:ascii="宋体" w:hAnsi="宋体" w:eastAsia="宋体" w:cs="宋体"/>
          <w:spacing w:val="-47"/>
          <w:sz w:val="24"/>
          <w:szCs w:val="24"/>
          <w:highlight w:val="none"/>
        </w:rPr>
        <w:t xml:space="preserve"> </w:t>
      </w:r>
      <w:r>
        <w:rPr>
          <w:rFonts w:hint="eastAsia" w:ascii="宋体" w:hAnsi="宋体" w:eastAsia="宋体" w:cs="宋体"/>
          <w:spacing w:val="-2"/>
          <w:sz w:val="24"/>
          <w:szCs w:val="24"/>
          <w:highlight w:val="none"/>
        </w:rPr>
        <w:t>吨，农村常住居民人均可支配收入</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12755</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元，城镇常住居民人均可支配收入</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28027</w:t>
      </w:r>
      <w:r>
        <w:rPr>
          <w:rFonts w:hint="eastAsia" w:ascii="宋体" w:hAnsi="宋体" w:eastAsia="宋体" w:cs="宋体"/>
          <w:spacing w:val="-59"/>
          <w:sz w:val="24"/>
          <w:szCs w:val="24"/>
          <w:highlight w:val="none"/>
        </w:rPr>
        <w:t xml:space="preserve"> </w:t>
      </w:r>
      <w:r>
        <w:rPr>
          <w:rFonts w:hint="eastAsia" w:ascii="宋体" w:hAnsi="宋体" w:eastAsia="宋体" w:cs="宋体"/>
          <w:spacing w:val="-2"/>
          <w:sz w:val="24"/>
          <w:szCs w:val="24"/>
          <w:highlight w:val="none"/>
        </w:rPr>
        <w:t>元。</w:t>
      </w:r>
    </w:p>
    <w:p w14:paraId="4A27136C">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.2.3 交通运输条件</w:t>
      </w:r>
    </w:p>
    <w:p w14:paraId="62FC735B">
      <w:pPr>
        <w:keepNext w:val="0"/>
        <w:keepLines w:val="0"/>
        <w:pageBreakBefore w:val="0"/>
        <w:widowControl w:val="0"/>
        <w:kinsoku/>
        <w:wordWrap/>
        <w:overflowPunct/>
        <w:topLinePunct w:val="0"/>
        <w:autoSpaceDE/>
        <w:autoSpaceDN/>
        <w:bidi w:val="0"/>
        <w:adjustRightInd/>
        <w:snapToGrid/>
        <w:spacing w:after="0" w:line="480" w:lineRule="auto"/>
        <w:ind w:left="30" w:right="354" w:firstLine="556"/>
        <w:jc w:val="both"/>
        <w:textAlignment w:val="auto"/>
        <w:rPr>
          <w:rFonts w:hint="eastAsia" w:ascii="宋体" w:hAnsi="宋体" w:eastAsia="宋体" w:cs="宋体"/>
          <w:spacing w:val="-2"/>
          <w:sz w:val="24"/>
          <w:szCs w:val="24"/>
          <w:highlight w:val="none"/>
        </w:rPr>
      </w:pPr>
      <w:r>
        <w:rPr>
          <w:rFonts w:hint="eastAsia" w:ascii="宋体" w:hAnsi="宋体" w:eastAsia="宋体" w:cs="宋体"/>
          <w:spacing w:val="-2"/>
          <w:sz w:val="24"/>
          <w:szCs w:val="24"/>
          <w:highlight w:val="none"/>
        </w:rPr>
        <w:t>山阳县福银高速、345 国道（商州-漫川关陕鄂界）纵贯南北，水阳高速（山阳-柞木）、242 国道（丹山界-山镇界）连接东西，山阳已成为连接陕东南和鄂西北的交通枢纽，融入关(关中)天(天水) 经济区、西安城市群、武汉城市圈，承接东部产业转移优势更加明显。</w:t>
      </w:r>
    </w:p>
    <w:p w14:paraId="620FCB9D">
      <w:pPr>
        <w:keepNext w:val="0"/>
        <w:keepLines w:val="0"/>
        <w:pageBreakBefore w:val="0"/>
        <w:widowControl w:val="0"/>
        <w:kinsoku/>
        <w:wordWrap/>
        <w:overflowPunct/>
        <w:topLinePunct w:val="0"/>
        <w:autoSpaceDE/>
        <w:autoSpaceDN/>
        <w:bidi w:val="0"/>
        <w:adjustRightInd/>
        <w:snapToGrid/>
        <w:spacing w:after="0" w:line="480" w:lineRule="auto"/>
        <w:ind w:left="23"/>
        <w:textAlignment w:val="auto"/>
        <w:outlineLvl w:val="1"/>
        <w:rPr>
          <w:rFonts w:hint="eastAsia" w:ascii="宋体" w:hAnsi="宋体" w:eastAsia="宋体" w:cs="宋体"/>
          <w:sz w:val="24"/>
          <w:szCs w:val="24"/>
          <w:highlight w:val="none"/>
        </w:rPr>
      </w:pPr>
      <w:bookmarkStart w:id="110" w:name="bookmark25"/>
      <w:bookmarkEnd w:id="110"/>
      <w:bookmarkStart w:id="111" w:name="bookmark24"/>
      <w:bookmarkEnd w:id="111"/>
      <w:r>
        <w:rPr>
          <w:rFonts w:hint="eastAsia" w:ascii="宋体" w:hAnsi="宋体" w:eastAsia="宋体" w:cs="宋体"/>
          <w:b/>
          <w:bCs/>
          <w:spacing w:val="-4"/>
          <w:sz w:val="24"/>
          <w:szCs w:val="24"/>
          <w:highlight w:val="none"/>
          <w:lang w:val="en-US" w:eastAsia="zh-CN"/>
        </w:rPr>
        <w:t>1</w:t>
      </w:r>
      <w:r>
        <w:rPr>
          <w:rFonts w:hint="eastAsia" w:ascii="宋体" w:hAnsi="宋体" w:eastAsia="宋体" w:cs="宋体"/>
          <w:b/>
          <w:bCs/>
          <w:spacing w:val="-4"/>
          <w:sz w:val="24"/>
          <w:szCs w:val="24"/>
          <w:highlight w:val="none"/>
        </w:rPr>
        <w:t>.3</w:t>
      </w:r>
      <w:r>
        <w:rPr>
          <w:rFonts w:hint="eastAsia" w:ascii="宋体" w:hAnsi="宋体" w:eastAsia="宋体" w:cs="宋体"/>
          <w:spacing w:val="-4"/>
          <w:sz w:val="24"/>
          <w:szCs w:val="24"/>
          <w:highlight w:val="none"/>
        </w:rPr>
        <w:t xml:space="preserve"> </w:t>
      </w:r>
      <w:r>
        <w:rPr>
          <w:rFonts w:hint="eastAsia" w:ascii="宋体" w:hAnsi="宋体" w:eastAsia="宋体" w:cs="宋体"/>
          <w:b/>
          <w:bCs/>
          <w:spacing w:val="-4"/>
          <w:sz w:val="24"/>
          <w:szCs w:val="24"/>
          <w:highlight w:val="none"/>
        </w:rPr>
        <w:t>退化林情况</w:t>
      </w:r>
    </w:p>
    <w:p w14:paraId="0E7638EE">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.3.1 全县退化林状况</w:t>
      </w:r>
    </w:p>
    <w:p w14:paraId="35D8C312">
      <w:pPr>
        <w:keepNext w:val="0"/>
        <w:keepLines w:val="0"/>
        <w:pageBreakBefore w:val="0"/>
        <w:widowControl w:val="0"/>
        <w:kinsoku/>
        <w:wordWrap/>
        <w:overflowPunct/>
        <w:topLinePunct w:val="0"/>
        <w:autoSpaceDE/>
        <w:autoSpaceDN/>
        <w:bidi w:val="0"/>
        <w:adjustRightInd/>
        <w:snapToGrid/>
        <w:spacing w:after="0" w:line="480" w:lineRule="auto"/>
        <w:ind w:left="22" w:firstLine="586"/>
        <w:jc w:val="both"/>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山阳县位于商洛市南部、秦岭南坡山区，属国家南水北调中线工</w:t>
      </w:r>
      <w:r>
        <w:rPr>
          <w:rFonts w:hint="eastAsia" w:ascii="宋体" w:hAnsi="宋体" w:eastAsia="宋体" w:cs="宋体"/>
          <w:spacing w:val="-4"/>
          <w:sz w:val="24"/>
          <w:szCs w:val="24"/>
          <w:highlight w:val="none"/>
        </w:rPr>
        <w:t>程水源涵养区，水源涵养功能及其重要，据统计山阳县各类退化林面</w:t>
      </w:r>
      <w:r>
        <w:rPr>
          <w:rFonts w:hint="eastAsia" w:ascii="宋体" w:hAnsi="宋体" w:eastAsia="宋体" w:cs="宋体"/>
          <w:spacing w:val="-1"/>
          <w:sz w:val="24"/>
          <w:szCs w:val="24"/>
          <w:highlight w:val="none"/>
        </w:rPr>
        <w:t>积</w:t>
      </w:r>
      <w:r>
        <w:rPr>
          <w:rFonts w:hint="eastAsia" w:ascii="宋体" w:hAnsi="宋体" w:eastAsia="宋体" w:cs="宋体"/>
          <w:spacing w:val="-56"/>
          <w:sz w:val="24"/>
          <w:szCs w:val="24"/>
          <w:highlight w:val="none"/>
        </w:rPr>
        <w:t xml:space="preserve"> </w:t>
      </w:r>
      <w:r>
        <w:rPr>
          <w:rFonts w:hint="eastAsia" w:ascii="宋体" w:hAnsi="宋体" w:eastAsia="宋体" w:cs="宋体"/>
          <w:spacing w:val="-1"/>
          <w:sz w:val="24"/>
          <w:szCs w:val="24"/>
          <w:highlight w:val="none"/>
        </w:rPr>
        <w:t>20004.23</w:t>
      </w:r>
      <w:r>
        <w:rPr>
          <w:rFonts w:hint="eastAsia" w:ascii="宋体" w:hAnsi="宋体" w:eastAsia="宋体" w:cs="宋体"/>
          <w:spacing w:val="-52"/>
          <w:sz w:val="24"/>
          <w:szCs w:val="24"/>
          <w:highlight w:val="none"/>
        </w:rPr>
        <w:t xml:space="preserve"> </w:t>
      </w:r>
      <w:r>
        <w:rPr>
          <w:rFonts w:hint="eastAsia" w:ascii="宋体" w:hAnsi="宋体" w:eastAsia="宋体" w:cs="宋体"/>
          <w:spacing w:val="-1"/>
          <w:sz w:val="24"/>
          <w:szCs w:val="24"/>
          <w:highlight w:val="none"/>
        </w:rPr>
        <w:t>公顷，在全县各个乡镇均有分布，退</w:t>
      </w:r>
      <w:r>
        <w:rPr>
          <w:rFonts w:hint="eastAsia" w:ascii="宋体" w:hAnsi="宋体" w:eastAsia="宋体" w:cs="宋体"/>
          <w:spacing w:val="-2"/>
          <w:sz w:val="24"/>
          <w:szCs w:val="24"/>
          <w:highlight w:val="none"/>
        </w:rPr>
        <w:t>化林主要以防护林</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为主，占全县退化林面积的</w:t>
      </w:r>
      <w:r>
        <w:rPr>
          <w:rFonts w:hint="eastAsia" w:ascii="宋体" w:hAnsi="宋体" w:eastAsia="宋体" w:cs="宋体"/>
          <w:spacing w:val="-47"/>
          <w:sz w:val="24"/>
          <w:szCs w:val="24"/>
          <w:highlight w:val="none"/>
        </w:rPr>
        <w:t xml:space="preserve"> </w:t>
      </w:r>
      <w:r>
        <w:rPr>
          <w:rFonts w:hint="eastAsia" w:ascii="宋体" w:hAnsi="宋体" w:eastAsia="宋体" w:cs="宋体"/>
          <w:spacing w:val="-3"/>
          <w:sz w:val="24"/>
          <w:szCs w:val="24"/>
          <w:highlight w:val="none"/>
        </w:rPr>
        <w:t>53.26%，退化林面积较大、分布范围广</w:t>
      </w:r>
      <w:r>
        <w:rPr>
          <w:rFonts w:hint="eastAsia" w:ascii="宋体" w:hAnsi="宋体" w:eastAsia="宋体" w:cs="宋体"/>
          <w:spacing w:val="-3"/>
          <w:sz w:val="24"/>
          <w:szCs w:val="24"/>
          <w:highlight w:val="none"/>
          <w:lang w:eastAsia="zh-CN"/>
        </w:rPr>
        <w:t>，</w:t>
      </w:r>
      <w:r>
        <w:rPr>
          <w:rFonts w:hint="eastAsia" w:ascii="宋体" w:hAnsi="宋体" w:eastAsia="宋体" w:cs="宋体"/>
          <w:spacing w:val="-6"/>
          <w:sz w:val="24"/>
          <w:szCs w:val="24"/>
          <w:highlight w:val="none"/>
        </w:rPr>
        <w:t>部分区域退化严重。全县退化林退化程度以一般为主，面积</w:t>
      </w:r>
      <w:r>
        <w:rPr>
          <w:rFonts w:hint="eastAsia" w:ascii="宋体" w:hAnsi="宋体" w:eastAsia="宋体" w:cs="宋体"/>
          <w:spacing w:val="-41"/>
          <w:sz w:val="24"/>
          <w:szCs w:val="24"/>
          <w:highlight w:val="none"/>
        </w:rPr>
        <w:t xml:space="preserve"> </w:t>
      </w:r>
      <w:r>
        <w:rPr>
          <w:rFonts w:hint="eastAsia" w:ascii="宋体" w:hAnsi="宋体" w:eastAsia="宋体" w:cs="宋体"/>
          <w:spacing w:val="-6"/>
          <w:sz w:val="24"/>
          <w:szCs w:val="24"/>
          <w:highlight w:val="none"/>
        </w:rPr>
        <w:t>17513.70</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公顷，</w:t>
      </w:r>
      <w:r>
        <w:rPr>
          <w:rFonts w:hint="eastAsia" w:ascii="宋体" w:hAnsi="宋体" w:eastAsia="宋体" w:cs="宋体"/>
          <w:spacing w:val="-75"/>
          <w:sz w:val="24"/>
          <w:szCs w:val="24"/>
          <w:highlight w:val="none"/>
        </w:rPr>
        <w:t xml:space="preserve"> </w:t>
      </w:r>
      <w:r>
        <w:rPr>
          <w:rFonts w:hint="eastAsia" w:ascii="宋体" w:hAnsi="宋体" w:eastAsia="宋体" w:cs="宋体"/>
          <w:spacing w:val="-5"/>
          <w:sz w:val="24"/>
          <w:szCs w:val="24"/>
          <w:highlight w:val="none"/>
        </w:rPr>
        <w:t>占退化林面积的</w:t>
      </w:r>
      <w:r>
        <w:rPr>
          <w:rFonts w:hint="eastAsia" w:ascii="宋体" w:hAnsi="宋体" w:eastAsia="宋体" w:cs="宋体"/>
          <w:spacing w:val="-58"/>
          <w:sz w:val="24"/>
          <w:szCs w:val="24"/>
          <w:highlight w:val="none"/>
        </w:rPr>
        <w:t xml:space="preserve"> </w:t>
      </w:r>
      <w:r>
        <w:rPr>
          <w:rFonts w:hint="eastAsia" w:ascii="宋体" w:hAnsi="宋体" w:eastAsia="宋体" w:cs="宋体"/>
          <w:spacing w:val="-5"/>
          <w:sz w:val="24"/>
          <w:szCs w:val="24"/>
          <w:highlight w:val="none"/>
        </w:rPr>
        <w:t>87.55%；重度退化面积</w:t>
      </w:r>
      <w:r>
        <w:rPr>
          <w:rFonts w:hint="eastAsia" w:ascii="宋体" w:hAnsi="宋体" w:eastAsia="宋体" w:cs="宋体"/>
          <w:spacing w:val="-57"/>
          <w:sz w:val="24"/>
          <w:szCs w:val="24"/>
          <w:highlight w:val="none"/>
        </w:rPr>
        <w:t xml:space="preserve"> </w:t>
      </w:r>
      <w:r>
        <w:rPr>
          <w:rFonts w:hint="eastAsia" w:ascii="宋体" w:hAnsi="宋体" w:eastAsia="宋体" w:cs="宋体"/>
          <w:spacing w:val="-5"/>
          <w:sz w:val="24"/>
          <w:szCs w:val="24"/>
          <w:highlight w:val="none"/>
        </w:rPr>
        <w:t>2490.53</w:t>
      </w:r>
      <w:r>
        <w:rPr>
          <w:rFonts w:hint="eastAsia" w:ascii="宋体" w:hAnsi="宋体" w:eastAsia="宋体" w:cs="宋体"/>
          <w:spacing w:val="-51"/>
          <w:sz w:val="24"/>
          <w:szCs w:val="24"/>
          <w:highlight w:val="none"/>
        </w:rPr>
        <w:t xml:space="preserve"> </w:t>
      </w:r>
      <w:r>
        <w:rPr>
          <w:rFonts w:hint="eastAsia" w:ascii="宋体" w:hAnsi="宋体" w:eastAsia="宋体" w:cs="宋体"/>
          <w:spacing w:val="-5"/>
          <w:sz w:val="24"/>
          <w:szCs w:val="24"/>
          <w:highlight w:val="none"/>
        </w:rPr>
        <w:t>公顷，</w:t>
      </w:r>
      <w:r>
        <w:rPr>
          <w:rFonts w:hint="eastAsia" w:ascii="宋体" w:hAnsi="宋体" w:eastAsia="宋体" w:cs="宋体"/>
          <w:spacing w:val="-83"/>
          <w:sz w:val="24"/>
          <w:szCs w:val="24"/>
          <w:highlight w:val="none"/>
        </w:rPr>
        <w:t xml:space="preserve"> </w:t>
      </w:r>
      <w:r>
        <w:rPr>
          <w:rFonts w:hint="eastAsia" w:ascii="宋体" w:hAnsi="宋体" w:eastAsia="宋体" w:cs="宋体"/>
          <w:spacing w:val="-5"/>
          <w:sz w:val="24"/>
          <w:szCs w:val="24"/>
          <w:highlight w:val="none"/>
        </w:rPr>
        <w:t>占退</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化林面积的</w:t>
      </w:r>
      <w:r>
        <w:rPr>
          <w:rFonts w:hint="eastAsia" w:ascii="宋体" w:hAnsi="宋体" w:eastAsia="宋体" w:cs="宋体"/>
          <w:spacing w:val="-38"/>
          <w:sz w:val="24"/>
          <w:szCs w:val="24"/>
          <w:highlight w:val="none"/>
        </w:rPr>
        <w:t xml:space="preserve"> </w:t>
      </w:r>
      <w:r>
        <w:rPr>
          <w:rFonts w:hint="eastAsia" w:ascii="宋体" w:hAnsi="宋体" w:eastAsia="宋体" w:cs="宋体"/>
          <w:spacing w:val="-2"/>
          <w:sz w:val="24"/>
          <w:szCs w:val="24"/>
          <w:highlight w:val="none"/>
        </w:rPr>
        <w:t>12.45%。退化树种主要以栎类、软(硬）阔、松类、柏木</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等为主，主要表现为部分林间空地过大、或林木稀疏，部分林分密度</w:t>
      </w:r>
      <w:r>
        <w:rPr>
          <w:rFonts w:hint="eastAsia" w:ascii="宋体" w:hAnsi="宋体" w:eastAsia="宋体" w:cs="宋体"/>
          <w:spacing w:val="16"/>
          <w:sz w:val="24"/>
          <w:szCs w:val="24"/>
          <w:highlight w:val="none"/>
        </w:rPr>
        <w:t xml:space="preserve"> </w:t>
      </w:r>
      <w:r>
        <w:rPr>
          <w:rFonts w:hint="eastAsia" w:ascii="宋体" w:hAnsi="宋体" w:eastAsia="宋体" w:cs="宋体"/>
          <w:spacing w:val="-4"/>
          <w:sz w:val="24"/>
          <w:szCs w:val="24"/>
          <w:highlight w:val="none"/>
        </w:rPr>
        <w:t>又较大</w:t>
      </w:r>
      <w:r>
        <w:rPr>
          <w:rFonts w:hint="eastAsia" w:ascii="宋体" w:hAnsi="宋体" w:eastAsia="宋体" w:cs="宋体"/>
          <w:spacing w:val="-4"/>
          <w:sz w:val="24"/>
          <w:szCs w:val="24"/>
          <w:highlight w:val="none"/>
          <w:lang w:eastAsia="zh-CN"/>
        </w:rPr>
        <w:t>；</w:t>
      </w:r>
      <w:r>
        <w:rPr>
          <w:rFonts w:hint="eastAsia" w:ascii="宋体" w:hAnsi="宋体" w:eastAsia="宋体" w:cs="宋体"/>
          <w:spacing w:val="-4"/>
          <w:sz w:val="24"/>
          <w:szCs w:val="24"/>
          <w:highlight w:val="none"/>
        </w:rPr>
        <w:t>林木枯死、濒死、生长不良较多，个别林木出现逆生长，局</w:t>
      </w:r>
      <w:r>
        <w:rPr>
          <w:rFonts w:hint="eastAsia" w:ascii="宋体" w:hAnsi="宋体" w:eastAsia="宋体" w:cs="宋体"/>
          <w:spacing w:val="16"/>
          <w:sz w:val="24"/>
          <w:szCs w:val="24"/>
          <w:highlight w:val="none"/>
        </w:rPr>
        <w:t xml:space="preserve"> </w:t>
      </w:r>
      <w:r>
        <w:rPr>
          <w:rFonts w:hint="eastAsia" w:ascii="宋体" w:hAnsi="宋体" w:eastAsia="宋体" w:cs="宋体"/>
          <w:spacing w:val="-2"/>
          <w:sz w:val="24"/>
          <w:szCs w:val="24"/>
          <w:highlight w:val="none"/>
        </w:rPr>
        <w:t>部枯死木、濒死木株树达到</w:t>
      </w:r>
      <w:r>
        <w:rPr>
          <w:rFonts w:hint="eastAsia" w:ascii="宋体" w:hAnsi="宋体" w:eastAsia="宋体" w:cs="宋体"/>
          <w:spacing w:val="-39"/>
          <w:sz w:val="24"/>
          <w:szCs w:val="24"/>
          <w:highlight w:val="none"/>
        </w:rPr>
        <w:t xml:space="preserve"> </w:t>
      </w:r>
      <w:r>
        <w:rPr>
          <w:rFonts w:hint="eastAsia" w:ascii="宋体" w:hAnsi="宋体" w:eastAsia="宋体" w:cs="宋体"/>
          <w:spacing w:val="-2"/>
          <w:sz w:val="24"/>
          <w:szCs w:val="24"/>
          <w:highlight w:val="none"/>
        </w:rPr>
        <w:t>15%以上，且有逐年有扩大迹象；</w:t>
      </w:r>
      <w:r>
        <w:rPr>
          <w:rFonts w:hint="eastAsia" w:ascii="宋体" w:hAnsi="宋体" w:eastAsia="宋体" w:cs="宋体"/>
          <w:spacing w:val="-3"/>
          <w:sz w:val="24"/>
          <w:szCs w:val="24"/>
          <w:highlight w:val="none"/>
        </w:rPr>
        <w:t>林间透</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光性差，卫生状况差，植株个体分化局部较为明显，林分提前或加速</w:t>
      </w:r>
      <w:r>
        <w:rPr>
          <w:rFonts w:hint="eastAsia" w:ascii="宋体" w:hAnsi="宋体" w:eastAsia="宋体" w:cs="宋体"/>
          <w:spacing w:val="16"/>
          <w:sz w:val="24"/>
          <w:szCs w:val="24"/>
          <w:highlight w:val="none"/>
        </w:rPr>
        <w:t xml:space="preserve"> </w:t>
      </w:r>
      <w:r>
        <w:rPr>
          <w:rFonts w:hint="eastAsia" w:ascii="宋体" w:hAnsi="宋体" w:eastAsia="宋体" w:cs="宋体"/>
          <w:spacing w:val="-9"/>
          <w:sz w:val="24"/>
          <w:szCs w:val="24"/>
          <w:highlight w:val="none"/>
        </w:rPr>
        <w:t>进入衰退阶段。结构失调，稳定性降低，功能下降，且</w:t>
      </w:r>
      <w:r>
        <w:rPr>
          <w:rFonts w:hint="eastAsia" w:ascii="宋体" w:hAnsi="宋体" w:eastAsia="宋体" w:cs="宋体"/>
          <w:spacing w:val="-10"/>
          <w:sz w:val="24"/>
          <w:szCs w:val="24"/>
          <w:highlight w:val="none"/>
        </w:rPr>
        <w:t>难以自然恢复。</w:t>
      </w:r>
    </w:p>
    <w:p w14:paraId="5BE81186">
      <w:pPr>
        <w:keepNext w:val="0"/>
        <w:keepLines w:val="0"/>
        <w:pageBreakBefore w:val="0"/>
        <w:widowControl w:val="0"/>
        <w:kinsoku/>
        <w:wordWrap/>
        <w:overflowPunct/>
        <w:topLinePunct w:val="0"/>
        <w:autoSpaceDE/>
        <w:autoSpaceDN/>
        <w:bidi w:val="0"/>
        <w:adjustRightInd/>
        <w:snapToGrid/>
        <w:spacing w:after="0" w:line="480" w:lineRule="auto"/>
        <w:ind w:left="25" w:right="97" w:firstLine="560"/>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退化原因主要由于区域立地条件较差、林木生理衰败；造林初期树种选择、初植密度和经营管护不当；遭受自然灾害、有害生物危害</w:t>
      </w:r>
      <w:r>
        <w:rPr>
          <w:rFonts w:hint="eastAsia" w:ascii="宋体" w:hAnsi="宋体" w:eastAsia="宋体" w:cs="宋体"/>
          <w:spacing w:val="-1"/>
          <w:sz w:val="24"/>
          <w:szCs w:val="24"/>
          <w:highlight w:val="none"/>
        </w:rPr>
        <w:t>等，林分质量下降，生态功能降低。</w:t>
      </w:r>
    </w:p>
    <w:p w14:paraId="5F1DD24E">
      <w:pPr>
        <w:pStyle w:val="2"/>
        <w:keepNext w:val="0"/>
        <w:keepLines w:val="0"/>
        <w:pageBreakBefore w:val="0"/>
        <w:widowControl w:val="0"/>
        <w:kinsoku/>
        <w:wordWrap/>
        <w:overflowPunct/>
        <w:topLinePunct w:val="0"/>
        <w:autoSpaceDE/>
        <w:autoSpaceDN/>
        <w:bidi w:val="0"/>
        <w:adjustRightInd/>
        <w:snapToGrid/>
        <w:spacing w:after="0" w:line="480" w:lineRule="auto"/>
        <w:ind w:left="301"/>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1</w:t>
      </w:r>
      <w:r>
        <w:rPr>
          <w:rFonts w:hint="eastAsia" w:ascii="宋体" w:hAnsi="宋体" w:eastAsia="宋体" w:cs="宋体"/>
          <w:b/>
          <w:bCs/>
          <w:spacing w:val="-3"/>
          <w:sz w:val="24"/>
          <w:szCs w:val="24"/>
          <w:highlight w:val="none"/>
        </w:rPr>
        <w:t>.3.2 项目区退化林状况</w:t>
      </w:r>
    </w:p>
    <w:p w14:paraId="39EDCB03">
      <w:pPr>
        <w:keepNext w:val="0"/>
        <w:keepLines w:val="0"/>
        <w:pageBreakBefore w:val="0"/>
        <w:widowControl w:val="0"/>
        <w:kinsoku/>
        <w:wordWrap/>
        <w:overflowPunct/>
        <w:topLinePunct w:val="0"/>
        <w:autoSpaceDE/>
        <w:autoSpaceDN/>
        <w:bidi w:val="0"/>
        <w:adjustRightInd/>
        <w:snapToGrid/>
        <w:spacing w:after="0" w:line="480" w:lineRule="auto"/>
        <w:ind w:left="25" w:right="76" w:firstLine="476" w:firstLineChars="200"/>
        <w:jc w:val="both"/>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项目区退化林主要以天然起源的栎类、飞播造林起源的油松为</w:t>
      </w:r>
      <w:r>
        <w:rPr>
          <w:rFonts w:hint="eastAsia" w:ascii="宋体" w:hAnsi="宋体" w:eastAsia="宋体" w:cs="宋体"/>
          <w:spacing w:val="-4"/>
          <w:sz w:val="24"/>
          <w:szCs w:val="24"/>
          <w:highlight w:val="none"/>
        </w:rPr>
        <w:t>主，呈块状混交，局部地区分布有柏木、板栗、核桃等，龄组为中龄</w:t>
      </w:r>
      <w:r>
        <w:rPr>
          <w:rFonts w:hint="eastAsia" w:ascii="宋体" w:hAnsi="宋体" w:eastAsia="宋体" w:cs="宋体"/>
          <w:spacing w:val="1"/>
          <w:sz w:val="24"/>
          <w:szCs w:val="24"/>
          <w:highlight w:val="none"/>
        </w:rPr>
        <w:t>林及以上，树高</w:t>
      </w:r>
      <w:r>
        <w:rPr>
          <w:rFonts w:hint="eastAsia" w:ascii="宋体" w:hAnsi="宋体" w:eastAsia="宋体" w:cs="宋体"/>
          <w:spacing w:val="-49"/>
          <w:sz w:val="24"/>
          <w:szCs w:val="24"/>
          <w:highlight w:val="none"/>
        </w:rPr>
        <w:t xml:space="preserve"> </w:t>
      </w:r>
      <w:r>
        <w:rPr>
          <w:rFonts w:hint="eastAsia" w:ascii="宋体" w:hAnsi="宋体" w:eastAsia="宋体" w:cs="宋体"/>
          <w:spacing w:val="1"/>
          <w:sz w:val="24"/>
          <w:szCs w:val="24"/>
          <w:highlight w:val="none"/>
        </w:rPr>
        <w:t>6.5～10.5</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米，平均胸径</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8～16</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厘米,郁闭度</w:t>
      </w:r>
      <w:r>
        <w:rPr>
          <w:rFonts w:hint="eastAsia" w:ascii="宋体" w:hAnsi="宋体" w:eastAsia="宋体" w:cs="宋体"/>
          <w:spacing w:val="-57"/>
          <w:sz w:val="24"/>
          <w:szCs w:val="24"/>
          <w:highlight w:val="none"/>
        </w:rPr>
        <w:t xml:space="preserve"> </w:t>
      </w:r>
      <w:r>
        <w:rPr>
          <w:rFonts w:hint="eastAsia" w:ascii="宋体" w:hAnsi="宋体" w:eastAsia="宋体" w:cs="宋体"/>
          <w:spacing w:val="1"/>
          <w:sz w:val="24"/>
          <w:szCs w:val="24"/>
          <w:highlight w:val="none"/>
        </w:rPr>
        <w:t>0.3~</w:t>
      </w:r>
      <w:r>
        <w:rPr>
          <w:rFonts w:hint="eastAsia" w:ascii="宋体" w:hAnsi="宋体" w:eastAsia="宋体" w:cs="宋体"/>
          <w:spacing w:val="-6"/>
          <w:sz w:val="24"/>
          <w:szCs w:val="24"/>
          <w:highlight w:val="none"/>
        </w:rPr>
        <w:t>0.5，株数</w:t>
      </w:r>
      <w:r>
        <w:rPr>
          <w:rFonts w:hint="eastAsia" w:ascii="宋体" w:hAnsi="宋体" w:eastAsia="宋体" w:cs="宋体"/>
          <w:spacing w:val="-56"/>
          <w:sz w:val="24"/>
          <w:szCs w:val="24"/>
          <w:highlight w:val="none"/>
        </w:rPr>
        <w:t xml:space="preserve"> </w:t>
      </w:r>
      <w:r>
        <w:rPr>
          <w:rFonts w:hint="eastAsia" w:ascii="宋体" w:hAnsi="宋体" w:eastAsia="宋体" w:cs="宋体"/>
          <w:spacing w:val="-6"/>
          <w:sz w:val="24"/>
          <w:szCs w:val="24"/>
          <w:highlight w:val="none"/>
        </w:rPr>
        <w:t>25～110</w:t>
      </w:r>
      <w:r>
        <w:rPr>
          <w:rFonts w:hint="eastAsia" w:ascii="宋体" w:hAnsi="宋体" w:eastAsia="宋体" w:cs="宋体"/>
          <w:spacing w:val="-61"/>
          <w:sz w:val="24"/>
          <w:szCs w:val="24"/>
          <w:highlight w:val="none"/>
        </w:rPr>
        <w:t xml:space="preserve"> </w:t>
      </w:r>
      <w:r>
        <w:rPr>
          <w:rFonts w:hint="eastAsia" w:ascii="宋体" w:hAnsi="宋体" w:eastAsia="宋体" w:cs="宋体"/>
          <w:spacing w:val="-6"/>
          <w:sz w:val="24"/>
          <w:szCs w:val="24"/>
          <w:highlight w:val="none"/>
        </w:rPr>
        <w:t>株/亩。灌木有黄栌</w:t>
      </w:r>
      <w:r>
        <w:rPr>
          <w:rFonts w:hint="eastAsia" w:ascii="宋体" w:hAnsi="宋体" w:eastAsia="宋体" w:cs="宋体"/>
          <w:spacing w:val="-7"/>
          <w:sz w:val="24"/>
          <w:szCs w:val="24"/>
          <w:highlight w:val="none"/>
        </w:rPr>
        <w:t>、马桑、盐肤木等，盖度</w:t>
      </w:r>
      <w:r>
        <w:rPr>
          <w:rFonts w:hint="eastAsia" w:ascii="宋体" w:hAnsi="宋体" w:eastAsia="宋体" w:cs="宋体"/>
          <w:spacing w:val="-63"/>
          <w:sz w:val="24"/>
          <w:szCs w:val="24"/>
          <w:highlight w:val="none"/>
        </w:rPr>
        <w:t xml:space="preserve"> </w:t>
      </w:r>
      <w:r>
        <w:rPr>
          <w:rFonts w:hint="eastAsia" w:ascii="宋体" w:hAnsi="宋体" w:eastAsia="宋体" w:cs="宋体"/>
          <w:spacing w:val="-7"/>
          <w:sz w:val="24"/>
          <w:szCs w:val="24"/>
          <w:highlight w:val="none"/>
        </w:rPr>
        <w:t>40%~</w:t>
      </w:r>
      <w:r>
        <w:rPr>
          <w:rFonts w:hint="eastAsia" w:ascii="宋体" w:hAnsi="宋体" w:eastAsia="宋体" w:cs="宋体"/>
          <w:sz w:val="24"/>
          <w:szCs w:val="24"/>
          <w:highlight w:val="none"/>
        </w:rPr>
        <w:t xml:space="preserve"> 60%，多呈块状、团状分布，生长一般；草</w:t>
      </w:r>
      <w:r>
        <w:rPr>
          <w:rFonts w:hint="eastAsia" w:ascii="宋体" w:hAnsi="宋体" w:eastAsia="宋体" w:cs="宋体"/>
          <w:spacing w:val="-1"/>
          <w:sz w:val="24"/>
          <w:szCs w:val="24"/>
          <w:highlight w:val="none"/>
        </w:rPr>
        <w:t>本有蒿类、茅草等，盖度</w:t>
      </w:r>
      <w:r>
        <w:rPr>
          <w:rFonts w:hint="eastAsia" w:ascii="宋体" w:hAnsi="宋体" w:eastAsia="宋体" w:cs="宋体"/>
          <w:spacing w:val="2"/>
          <w:sz w:val="24"/>
          <w:szCs w:val="24"/>
          <w:highlight w:val="none"/>
        </w:rPr>
        <w:t>35%～60%，分布较为均匀。灌草覆盖率40%～</w:t>
      </w:r>
      <w:r>
        <w:rPr>
          <w:rFonts w:hint="eastAsia" w:ascii="宋体" w:hAnsi="宋体" w:eastAsia="宋体" w:cs="宋体"/>
          <w:spacing w:val="1"/>
          <w:sz w:val="24"/>
          <w:szCs w:val="24"/>
          <w:highlight w:val="none"/>
        </w:rPr>
        <w:t>65%，天然更新不良或</w:t>
      </w:r>
      <w:r>
        <w:rPr>
          <w:rFonts w:hint="eastAsia" w:ascii="宋体" w:hAnsi="宋体" w:eastAsia="宋体" w:cs="宋体"/>
          <w:spacing w:val="-1"/>
          <w:sz w:val="24"/>
          <w:szCs w:val="24"/>
          <w:highlight w:val="none"/>
        </w:rPr>
        <w:t>中等。林间存在大于</w:t>
      </w:r>
      <w:r>
        <w:rPr>
          <w:rFonts w:hint="eastAsia" w:ascii="宋体" w:hAnsi="宋体" w:eastAsia="宋体" w:cs="宋体"/>
          <w:spacing w:val="-57"/>
          <w:sz w:val="24"/>
          <w:szCs w:val="24"/>
          <w:highlight w:val="none"/>
        </w:rPr>
        <w:t xml:space="preserve"> </w:t>
      </w:r>
      <w:r>
        <w:rPr>
          <w:rFonts w:hint="eastAsia" w:ascii="宋体" w:hAnsi="宋体" w:eastAsia="宋体" w:cs="宋体"/>
          <w:spacing w:val="-1"/>
          <w:sz w:val="24"/>
          <w:szCs w:val="24"/>
          <w:highlight w:val="none"/>
        </w:rPr>
        <w:t>25</w:t>
      </w:r>
      <w:r>
        <w:rPr>
          <w:rFonts w:hint="eastAsia" w:ascii="宋体" w:hAnsi="宋体" w:eastAsia="宋体" w:cs="宋体"/>
          <w:spacing w:val="-61"/>
          <w:sz w:val="24"/>
          <w:szCs w:val="24"/>
          <w:highlight w:val="none"/>
        </w:rPr>
        <w:t xml:space="preserve"> </w:t>
      </w:r>
      <w:r>
        <w:rPr>
          <w:rFonts w:hint="eastAsia" w:ascii="宋体" w:hAnsi="宋体" w:eastAsia="宋体" w:cs="宋体"/>
          <w:spacing w:val="-1"/>
          <w:sz w:val="24"/>
          <w:szCs w:val="24"/>
          <w:highlight w:val="none"/>
        </w:rPr>
        <w:t>平方米的林地空地，作业区枯死木、</w:t>
      </w:r>
      <w:r>
        <w:rPr>
          <w:rFonts w:hint="eastAsia" w:ascii="宋体" w:hAnsi="宋体" w:eastAsia="宋体" w:cs="宋体"/>
          <w:spacing w:val="-2"/>
          <w:sz w:val="24"/>
          <w:szCs w:val="24"/>
          <w:highlight w:val="none"/>
        </w:rPr>
        <w:t>濒死木</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株树达到</w:t>
      </w:r>
      <w:r>
        <w:rPr>
          <w:rFonts w:hint="eastAsia" w:ascii="宋体" w:hAnsi="宋体" w:eastAsia="宋体" w:cs="宋体"/>
          <w:spacing w:val="-39"/>
          <w:sz w:val="24"/>
          <w:szCs w:val="24"/>
          <w:highlight w:val="none"/>
        </w:rPr>
        <w:t xml:space="preserve"> </w:t>
      </w:r>
      <w:r>
        <w:rPr>
          <w:rFonts w:hint="eastAsia" w:ascii="宋体" w:hAnsi="宋体" w:eastAsia="宋体" w:cs="宋体"/>
          <w:spacing w:val="-2"/>
          <w:sz w:val="24"/>
          <w:szCs w:val="24"/>
          <w:highlight w:val="none"/>
        </w:rPr>
        <w:t>15%-20%，且有逐年扩大的趋势；栎类等自然整枝不良，纤</w:t>
      </w:r>
      <w:r>
        <w:rPr>
          <w:rFonts w:hint="eastAsia" w:ascii="宋体" w:hAnsi="宋体" w:eastAsia="宋体" w:cs="宋体"/>
          <w:spacing w:val="-1"/>
          <w:sz w:val="24"/>
          <w:szCs w:val="24"/>
          <w:highlight w:val="none"/>
        </w:rPr>
        <w:t>细、发育不良植株占比较大，林间卫生状况差。</w:t>
      </w:r>
    </w:p>
    <w:p w14:paraId="14A24A97">
      <w:pPr>
        <w:keepNext w:val="0"/>
        <w:keepLines w:val="0"/>
        <w:pageBreakBefore w:val="0"/>
        <w:widowControl w:val="0"/>
        <w:kinsoku/>
        <w:wordWrap/>
        <w:overflowPunct/>
        <w:topLinePunct w:val="0"/>
        <w:autoSpaceDE/>
        <w:autoSpaceDN/>
        <w:bidi w:val="0"/>
        <w:adjustRightInd/>
        <w:snapToGrid/>
        <w:spacing w:after="0" w:line="480" w:lineRule="auto"/>
        <w:ind w:left="23" w:firstLine="561"/>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本年度退化林修复项目区位县域东南部的天竺山镇、银花镇和延</w:t>
      </w:r>
      <w:r>
        <w:rPr>
          <w:rFonts w:hint="eastAsia" w:ascii="宋体" w:hAnsi="宋体" w:eastAsia="宋体" w:cs="宋体"/>
          <w:spacing w:val="-3"/>
          <w:sz w:val="24"/>
          <w:szCs w:val="24"/>
          <w:highlight w:val="none"/>
        </w:rPr>
        <w:t>坪镇，涉及</w:t>
      </w:r>
      <w:r>
        <w:rPr>
          <w:rFonts w:hint="eastAsia" w:ascii="宋体" w:hAnsi="宋体" w:eastAsia="宋体" w:cs="宋体"/>
          <w:spacing w:val="-55"/>
          <w:sz w:val="24"/>
          <w:szCs w:val="24"/>
          <w:highlight w:val="none"/>
        </w:rPr>
        <w:t xml:space="preserve"> </w:t>
      </w:r>
      <w:r>
        <w:rPr>
          <w:rFonts w:hint="eastAsia" w:ascii="宋体" w:hAnsi="宋体" w:eastAsia="宋体" w:cs="宋体"/>
          <w:spacing w:val="-3"/>
          <w:sz w:val="24"/>
          <w:szCs w:val="24"/>
          <w:highlight w:val="none"/>
        </w:rPr>
        <w:t>3</w:t>
      </w:r>
      <w:r>
        <w:rPr>
          <w:rFonts w:hint="eastAsia" w:ascii="宋体" w:hAnsi="宋体" w:eastAsia="宋体" w:cs="宋体"/>
          <w:spacing w:val="-58"/>
          <w:sz w:val="24"/>
          <w:szCs w:val="24"/>
          <w:highlight w:val="none"/>
        </w:rPr>
        <w:t xml:space="preserve"> </w:t>
      </w:r>
      <w:r>
        <w:rPr>
          <w:rFonts w:hint="eastAsia" w:ascii="宋体" w:hAnsi="宋体" w:eastAsia="宋体" w:cs="宋体"/>
          <w:spacing w:val="-3"/>
          <w:sz w:val="24"/>
          <w:szCs w:val="24"/>
          <w:highlight w:val="none"/>
        </w:rPr>
        <w:t>个镇</w:t>
      </w:r>
      <w:r>
        <w:rPr>
          <w:rFonts w:hint="eastAsia" w:ascii="宋体" w:hAnsi="宋体" w:eastAsia="宋体" w:cs="宋体"/>
          <w:spacing w:val="-42"/>
          <w:sz w:val="24"/>
          <w:szCs w:val="24"/>
          <w:highlight w:val="none"/>
        </w:rPr>
        <w:t xml:space="preserve"> </w:t>
      </w:r>
      <w:r>
        <w:rPr>
          <w:rFonts w:hint="eastAsia" w:ascii="宋体" w:hAnsi="宋体" w:eastAsia="宋体" w:cs="宋体"/>
          <w:spacing w:val="-3"/>
          <w:sz w:val="24"/>
          <w:szCs w:val="24"/>
          <w:highlight w:val="none"/>
        </w:rPr>
        <w:t>15</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个行政村（社区</w:t>
      </w:r>
      <w:r>
        <w:rPr>
          <w:rFonts w:hint="eastAsia" w:ascii="宋体" w:hAnsi="宋体" w:eastAsia="宋体" w:cs="宋体"/>
          <w:spacing w:val="6"/>
          <w:sz w:val="24"/>
          <w:szCs w:val="24"/>
          <w:highlight w:val="none"/>
        </w:rPr>
        <w:t>），</w:t>
      </w:r>
      <w:r>
        <w:rPr>
          <w:rFonts w:hint="eastAsia" w:ascii="宋体" w:hAnsi="宋体" w:eastAsia="宋体" w:cs="宋体"/>
          <w:spacing w:val="-3"/>
          <w:sz w:val="24"/>
          <w:szCs w:val="24"/>
          <w:highlight w:val="none"/>
        </w:rPr>
        <w:t>为全县退化林主要</w:t>
      </w:r>
      <w:r>
        <w:rPr>
          <w:rFonts w:hint="eastAsia" w:ascii="宋体" w:hAnsi="宋体" w:eastAsia="宋体" w:cs="宋体"/>
          <w:spacing w:val="-4"/>
          <w:sz w:val="24"/>
          <w:szCs w:val="24"/>
          <w:highlight w:val="none"/>
        </w:rPr>
        <w:t>分布区</w:t>
      </w:r>
      <w:r>
        <w:rPr>
          <w:rFonts w:hint="eastAsia" w:ascii="宋体" w:hAnsi="宋体" w:eastAsia="宋体" w:cs="宋体"/>
          <w:spacing w:val="-10"/>
          <w:sz w:val="24"/>
          <w:szCs w:val="24"/>
          <w:highlight w:val="none"/>
        </w:rPr>
        <w:t>域，该区生态敏感度高、区位重要。本年度退化林修复任务面积</w:t>
      </w:r>
      <w:r>
        <w:rPr>
          <w:rFonts w:hint="eastAsia" w:ascii="宋体" w:hAnsi="宋体" w:eastAsia="宋体" w:cs="宋体"/>
          <w:spacing w:val="-56"/>
          <w:sz w:val="24"/>
          <w:szCs w:val="24"/>
          <w:highlight w:val="none"/>
        </w:rPr>
        <w:t xml:space="preserve"> </w:t>
      </w:r>
      <w:r>
        <w:rPr>
          <w:rFonts w:hint="eastAsia" w:ascii="宋体" w:hAnsi="宋体" w:eastAsia="宋体" w:cs="宋体"/>
          <w:spacing w:val="-10"/>
          <w:sz w:val="24"/>
          <w:szCs w:val="24"/>
          <w:highlight w:val="none"/>
        </w:rPr>
        <w:t>44000</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亩，项目区主要以油松、栎类、软（硬）阔、板栗、核桃等为主，成</w:t>
      </w:r>
      <w:r>
        <w:rPr>
          <w:rFonts w:hint="eastAsia" w:ascii="宋体" w:hAnsi="宋体" w:eastAsia="宋体" w:cs="宋体"/>
          <w:spacing w:val="-10"/>
          <w:sz w:val="24"/>
          <w:szCs w:val="24"/>
          <w:highlight w:val="none"/>
        </w:rPr>
        <w:t>块状混交或小面积纯林，有一定量的林间空地，同时局部又密度过大，</w:t>
      </w:r>
      <w:r>
        <w:rPr>
          <w:rFonts w:hint="eastAsia" w:ascii="宋体" w:hAnsi="宋体" w:eastAsia="宋体" w:cs="宋体"/>
          <w:spacing w:val="-4"/>
          <w:sz w:val="24"/>
          <w:szCs w:val="24"/>
          <w:highlight w:val="none"/>
        </w:rPr>
        <w:t>卫生状况差；油松主要分布在梁茆顶及上坡位，栎类等从梁茆顶至沟底均有分布，灌木树种主要为黄栌、连翘、马桑、盐夫木等，盖度在</w:t>
      </w:r>
      <w:r>
        <w:rPr>
          <w:rFonts w:hint="eastAsia" w:ascii="宋体" w:hAnsi="宋体" w:eastAsia="宋体" w:cs="宋体"/>
          <w:sz w:val="24"/>
          <w:szCs w:val="24"/>
          <w:highlight w:val="none"/>
        </w:rPr>
        <w:t>40%-65%之间项目建设旨在对区域退化林进行</w:t>
      </w:r>
      <w:r>
        <w:rPr>
          <w:rFonts w:hint="eastAsia" w:ascii="宋体" w:hAnsi="宋体" w:eastAsia="宋体" w:cs="宋体"/>
          <w:spacing w:val="-1"/>
          <w:sz w:val="24"/>
          <w:szCs w:val="24"/>
          <w:highlight w:val="none"/>
        </w:rPr>
        <w:t>重点改造。油茶改培任</w:t>
      </w:r>
      <w:r>
        <w:rPr>
          <w:rFonts w:hint="eastAsia" w:ascii="宋体" w:hAnsi="宋体" w:eastAsia="宋体" w:cs="宋体"/>
          <w:spacing w:val="-4"/>
          <w:sz w:val="24"/>
          <w:szCs w:val="24"/>
          <w:highlight w:val="none"/>
        </w:rPr>
        <w:t>务主要位于县域南部的延坪镇，主要对坡面完整乔木林地块进行油茶补植补造，同时对区域内的栎类等乔木树种进行采伐修复。项目建设油茶改培任务的实施符合党中央、国务院“结合双重工程项目优先支</w:t>
      </w:r>
      <w:r>
        <w:rPr>
          <w:rFonts w:hint="eastAsia" w:ascii="宋体" w:hAnsi="宋体" w:eastAsia="宋体" w:cs="宋体"/>
          <w:spacing w:val="-5"/>
          <w:sz w:val="24"/>
          <w:szCs w:val="24"/>
          <w:highlight w:val="none"/>
        </w:rPr>
        <w:t>持油茶新造和改造</w:t>
      </w:r>
      <w:r>
        <w:rPr>
          <w:rFonts w:hint="eastAsia" w:ascii="宋体" w:hAnsi="宋体" w:eastAsia="宋体" w:cs="宋体"/>
          <w:spacing w:val="-95"/>
          <w:sz w:val="24"/>
          <w:szCs w:val="24"/>
          <w:highlight w:val="none"/>
        </w:rPr>
        <w:t xml:space="preserve"> </w:t>
      </w:r>
      <w:r>
        <w:rPr>
          <w:rFonts w:hint="eastAsia" w:ascii="宋体" w:hAnsi="宋体" w:eastAsia="宋体" w:cs="宋体"/>
          <w:spacing w:val="-5"/>
          <w:sz w:val="24"/>
          <w:szCs w:val="24"/>
          <w:highlight w:val="none"/>
        </w:rPr>
        <w:t>”产业政策，本项目油茶改培是充分发挥森林资源</w:t>
      </w:r>
      <w:r>
        <w:rPr>
          <w:rFonts w:hint="eastAsia" w:ascii="宋体" w:hAnsi="宋体" w:eastAsia="宋体" w:cs="宋体"/>
          <w:sz w:val="24"/>
          <w:szCs w:val="24"/>
          <w:highlight w:val="none"/>
        </w:rPr>
        <w:t xml:space="preserve"> </w:t>
      </w:r>
      <w:r>
        <w:rPr>
          <w:rFonts w:hint="eastAsia" w:ascii="宋体" w:hAnsi="宋体" w:eastAsia="宋体" w:cs="宋体"/>
          <w:spacing w:val="-1"/>
          <w:sz w:val="24"/>
          <w:szCs w:val="24"/>
          <w:highlight w:val="none"/>
        </w:rPr>
        <w:t>优势、增加食用油供给、确保国家粮食安全的重要途径。</w:t>
      </w:r>
    </w:p>
    <w:p w14:paraId="101DF2E0">
      <w:pPr>
        <w:keepNext w:val="0"/>
        <w:keepLines w:val="0"/>
        <w:pageBreakBefore w:val="0"/>
        <w:widowControl w:val="0"/>
        <w:kinsoku/>
        <w:wordWrap/>
        <w:overflowPunct/>
        <w:topLinePunct w:val="0"/>
        <w:autoSpaceDE/>
        <w:autoSpaceDN/>
        <w:bidi w:val="0"/>
        <w:adjustRightInd/>
        <w:snapToGrid/>
        <w:spacing w:after="0" w:line="480" w:lineRule="auto"/>
        <w:ind w:left="28" w:right="76" w:firstLine="560"/>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项目区林地面积充足，退化林修复全部在乔木林地中实施，项目区修复措施、改造对象符合项目建设相关技术标准和规定，为项目开</w:t>
      </w:r>
      <w:r>
        <w:rPr>
          <w:rFonts w:hint="eastAsia" w:ascii="宋体" w:hAnsi="宋体" w:eastAsia="宋体" w:cs="宋体"/>
          <w:spacing w:val="11"/>
          <w:sz w:val="24"/>
          <w:szCs w:val="24"/>
          <w:highlight w:val="none"/>
        </w:rPr>
        <w:t xml:space="preserve"> </w:t>
      </w:r>
      <w:r>
        <w:rPr>
          <w:rFonts w:hint="eastAsia" w:ascii="宋体" w:hAnsi="宋体" w:eastAsia="宋体" w:cs="宋体"/>
          <w:spacing w:val="-2"/>
          <w:sz w:val="24"/>
          <w:szCs w:val="24"/>
          <w:highlight w:val="none"/>
        </w:rPr>
        <w:t>工建设提供了基础保障。</w:t>
      </w:r>
    </w:p>
    <w:p w14:paraId="7DE547AD">
      <w:pPr>
        <w:keepNext w:val="0"/>
        <w:keepLines w:val="0"/>
        <w:pageBreakBefore w:val="0"/>
        <w:widowControl w:val="0"/>
        <w:kinsoku/>
        <w:wordWrap/>
        <w:overflowPunct/>
        <w:topLinePunct w:val="0"/>
        <w:autoSpaceDE/>
        <w:autoSpaceDN/>
        <w:bidi w:val="0"/>
        <w:adjustRightInd/>
        <w:snapToGrid/>
        <w:spacing w:after="0" w:line="480" w:lineRule="auto"/>
        <w:ind w:left="23"/>
        <w:textAlignment w:val="auto"/>
        <w:outlineLvl w:val="1"/>
        <w:rPr>
          <w:rFonts w:hint="eastAsia" w:ascii="宋体" w:hAnsi="宋体" w:eastAsia="宋体" w:cs="宋体"/>
          <w:sz w:val="24"/>
          <w:szCs w:val="24"/>
          <w:highlight w:val="none"/>
        </w:rPr>
      </w:pPr>
      <w:bookmarkStart w:id="112" w:name="bookmark26"/>
      <w:bookmarkEnd w:id="112"/>
      <w:bookmarkStart w:id="113" w:name="bookmark27"/>
      <w:bookmarkEnd w:id="113"/>
      <w:r>
        <w:rPr>
          <w:rFonts w:hint="eastAsia" w:ascii="宋体" w:hAnsi="宋体" w:eastAsia="宋体" w:cs="宋体"/>
          <w:b/>
          <w:bCs/>
          <w:spacing w:val="-6"/>
          <w:sz w:val="24"/>
          <w:szCs w:val="24"/>
          <w:highlight w:val="none"/>
          <w:lang w:val="en-US" w:eastAsia="zh-CN"/>
        </w:rPr>
        <w:t>1</w:t>
      </w:r>
      <w:r>
        <w:rPr>
          <w:rFonts w:hint="eastAsia" w:ascii="宋体" w:hAnsi="宋体" w:eastAsia="宋体" w:cs="宋体"/>
          <w:b/>
          <w:bCs/>
          <w:spacing w:val="-6"/>
          <w:sz w:val="24"/>
          <w:szCs w:val="24"/>
          <w:highlight w:val="none"/>
        </w:rPr>
        <w:t>.4</w:t>
      </w:r>
      <w:r>
        <w:rPr>
          <w:rFonts w:hint="eastAsia" w:ascii="宋体" w:hAnsi="宋体" w:eastAsia="宋体" w:cs="宋体"/>
          <w:spacing w:val="35"/>
          <w:sz w:val="24"/>
          <w:szCs w:val="24"/>
          <w:highlight w:val="none"/>
        </w:rPr>
        <w:t xml:space="preserve"> </w:t>
      </w:r>
      <w:r>
        <w:rPr>
          <w:rFonts w:hint="eastAsia" w:ascii="宋体" w:hAnsi="宋体" w:eastAsia="宋体" w:cs="宋体"/>
          <w:b/>
          <w:bCs/>
          <w:spacing w:val="-6"/>
          <w:sz w:val="24"/>
          <w:szCs w:val="24"/>
          <w:highlight w:val="none"/>
        </w:rPr>
        <w:t>以往项目区建设情况</w:t>
      </w:r>
    </w:p>
    <w:p w14:paraId="2C1C9C0E">
      <w:pPr>
        <w:keepNext w:val="0"/>
        <w:keepLines w:val="0"/>
        <w:pageBreakBefore w:val="0"/>
        <w:widowControl w:val="0"/>
        <w:kinsoku/>
        <w:wordWrap/>
        <w:overflowPunct/>
        <w:topLinePunct w:val="0"/>
        <w:autoSpaceDE/>
        <w:autoSpaceDN/>
        <w:bidi w:val="0"/>
        <w:adjustRightInd/>
        <w:snapToGrid/>
        <w:spacing w:after="0" w:line="480" w:lineRule="auto"/>
        <w:ind w:left="25" w:right="47" w:firstLine="558"/>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近年来山阳县林草主管部门在县委、县政府的领导下，从县域实际出发，依托中央预算内投资大力开展退化林修复提质增效工程，极</w:t>
      </w:r>
      <w:r>
        <w:rPr>
          <w:rFonts w:hint="eastAsia" w:ascii="宋体" w:hAnsi="宋体" w:eastAsia="宋体" w:cs="宋体"/>
          <w:spacing w:val="14"/>
          <w:sz w:val="24"/>
          <w:szCs w:val="24"/>
          <w:highlight w:val="none"/>
        </w:rPr>
        <w:t xml:space="preserve"> </w:t>
      </w:r>
      <w:r>
        <w:rPr>
          <w:rFonts w:hint="eastAsia" w:ascii="宋体" w:hAnsi="宋体" w:eastAsia="宋体" w:cs="宋体"/>
          <w:spacing w:val="-1"/>
          <w:sz w:val="24"/>
          <w:szCs w:val="24"/>
          <w:highlight w:val="none"/>
        </w:rPr>
        <w:t>大的提高了重点区域林分质量，截止</w:t>
      </w:r>
      <w:r>
        <w:rPr>
          <w:rFonts w:hint="eastAsia" w:ascii="宋体" w:hAnsi="宋体" w:eastAsia="宋体" w:cs="宋体"/>
          <w:spacing w:val="-56"/>
          <w:sz w:val="24"/>
          <w:szCs w:val="24"/>
          <w:highlight w:val="none"/>
        </w:rPr>
        <w:t xml:space="preserve"> </w:t>
      </w:r>
      <w:r>
        <w:rPr>
          <w:rFonts w:hint="eastAsia" w:ascii="宋体" w:hAnsi="宋体" w:eastAsia="宋体" w:cs="宋体"/>
          <w:spacing w:val="-1"/>
          <w:sz w:val="24"/>
          <w:szCs w:val="24"/>
          <w:highlight w:val="none"/>
        </w:rPr>
        <w:t>2024</w:t>
      </w:r>
      <w:r>
        <w:rPr>
          <w:rFonts w:hint="eastAsia" w:ascii="宋体" w:hAnsi="宋体" w:eastAsia="宋体" w:cs="宋体"/>
          <w:spacing w:val="-60"/>
          <w:sz w:val="24"/>
          <w:szCs w:val="24"/>
          <w:highlight w:val="none"/>
        </w:rPr>
        <w:t xml:space="preserve"> </w:t>
      </w:r>
      <w:r>
        <w:rPr>
          <w:rFonts w:hint="eastAsia" w:ascii="宋体" w:hAnsi="宋体" w:eastAsia="宋体" w:cs="宋体"/>
          <w:spacing w:val="-1"/>
          <w:sz w:val="24"/>
          <w:szCs w:val="24"/>
          <w:highlight w:val="none"/>
        </w:rPr>
        <w:t>年已完成重点</w:t>
      </w:r>
      <w:r>
        <w:rPr>
          <w:rFonts w:hint="eastAsia" w:ascii="宋体" w:hAnsi="宋体" w:eastAsia="宋体" w:cs="宋体"/>
          <w:spacing w:val="-2"/>
          <w:sz w:val="24"/>
          <w:szCs w:val="24"/>
          <w:highlight w:val="none"/>
        </w:rPr>
        <w:t>区域退化林</w:t>
      </w:r>
      <w:r>
        <w:rPr>
          <w:rFonts w:hint="eastAsia" w:ascii="宋体" w:hAnsi="宋体" w:eastAsia="宋体" w:cs="宋体"/>
          <w:spacing w:val="-4"/>
          <w:sz w:val="24"/>
          <w:szCs w:val="24"/>
          <w:highlight w:val="none"/>
        </w:rPr>
        <w:t>修复任务</w:t>
      </w:r>
      <w:r>
        <w:rPr>
          <w:rFonts w:hint="eastAsia" w:ascii="宋体" w:hAnsi="宋体" w:eastAsia="宋体" w:cs="宋体"/>
          <w:spacing w:val="-53"/>
          <w:sz w:val="24"/>
          <w:szCs w:val="24"/>
          <w:highlight w:val="none"/>
        </w:rPr>
        <w:t xml:space="preserve"> </w:t>
      </w:r>
      <w:r>
        <w:rPr>
          <w:rFonts w:hint="eastAsia" w:ascii="宋体" w:hAnsi="宋体" w:eastAsia="宋体" w:cs="宋体"/>
          <w:spacing w:val="-4"/>
          <w:sz w:val="24"/>
          <w:szCs w:val="24"/>
          <w:highlight w:val="none"/>
        </w:rPr>
        <w:t>71000</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亩，积极开展采伐修复补植补播修复等，打</w:t>
      </w:r>
      <w:r>
        <w:rPr>
          <w:rFonts w:hint="eastAsia" w:ascii="宋体" w:hAnsi="宋体" w:eastAsia="宋体" w:cs="宋体"/>
          <w:spacing w:val="-5"/>
          <w:sz w:val="24"/>
          <w:szCs w:val="24"/>
          <w:highlight w:val="none"/>
        </w:rPr>
        <w:t>造了一定</w:t>
      </w:r>
      <w:r>
        <w:rPr>
          <w:rFonts w:hint="eastAsia" w:ascii="宋体" w:hAnsi="宋体" w:eastAsia="宋体" w:cs="宋体"/>
          <w:spacing w:val="-4"/>
          <w:sz w:val="24"/>
          <w:szCs w:val="24"/>
          <w:highlight w:val="none"/>
        </w:rPr>
        <w:t>面积的示范点，总结了适合当地的退化林修复技术措施，积累了丰富</w:t>
      </w:r>
      <w:r>
        <w:rPr>
          <w:rFonts w:hint="eastAsia" w:ascii="宋体" w:hAnsi="宋体" w:eastAsia="宋体" w:cs="宋体"/>
          <w:spacing w:val="-3"/>
          <w:sz w:val="24"/>
          <w:szCs w:val="24"/>
          <w:highlight w:val="none"/>
        </w:rPr>
        <w:t>的经验，可以有效保障本项目建设质量和成效，主要经验总结如下：</w:t>
      </w:r>
    </w:p>
    <w:p w14:paraId="21883A78">
      <w:pPr>
        <w:keepNext w:val="0"/>
        <w:keepLines w:val="0"/>
        <w:pageBreakBefore w:val="0"/>
        <w:widowControl w:val="0"/>
        <w:kinsoku/>
        <w:wordWrap/>
        <w:overflowPunct/>
        <w:topLinePunct w:val="0"/>
        <w:autoSpaceDE/>
        <w:autoSpaceDN/>
        <w:bidi w:val="0"/>
        <w:adjustRightInd/>
        <w:snapToGrid/>
        <w:spacing w:after="0" w:line="480" w:lineRule="auto"/>
        <w:ind w:left="25" w:right="45" w:firstLine="567"/>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（1）适地适树、精准施策是保障项目高质量建设的关键。山阳</w:t>
      </w:r>
      <w:r>
        <w:rPr>
          <w:rFonts w:hint="eastAsia" w:ascii="宋体" w:hAnsi="宋体" w:eastAsia="宋体" w:cs="宋体"/>
          <w:spacing w:val="-4"/>
          <w:sz w:val="24"/>
          <w:szCs w:val="24"/>
          <w:highlight w:val="none"/>
        </w:rPr>
        <w:t>县退化林主要以防护林为主，项目区大多土层瘠薄、坡度陡峭，林分</w:t>
      </w:r>
      <w:r>
        <w:rPr>
          <w:rFonts w:hint="eastAsia" w:ascii="宋体" w:hAnsi="宋体" w:eastAsia="宋体" w:cs="宋体"/>
          <w:spacing w:val="-3"/>
          <w:sz w:val="24"/>
          <w:szCs w:val="24"/>
          <w:highlight w:val="none"/>
        </w:rPr>
        <w:t>状况复杂，多年来形成的林中空地、林缘空地土层浅薄、岩石裸露，</w:t>
      </w:r>
      <w:r>
        <w:rPr>
          <w:rFonts w:hint="eastAsia" w:ascii="宋体" w:hAnsi="宋体" w:eastAsia="宋体" w:cs="宋体"/>
          <w:spacing w:val="-4"/>
          <w:sz w:val="24"/>
          <w:szCs w:val="24"/>
          <w:highlight w:val="none"/>
        </w:rPr>
        <w:t>再加上春秋季节干旱时间长，在林中空地等困难地段造林一般难以成活。因此项目建设应在现地调查的基础上，充分考虑项目区立地条件</w:t>
      </w:r>
      <w:r>
        <w:rPr>
          <w:rFonts w:hint="eastAsia" w:ascii="宋体" w:hAnsi="宋体" w:eastAsia="宋体" w:cs="宋体"/>
          <w:spacing w:val="-3"/>
          <w:sz w:val="24"/>
          <w:szCs w:val="24"/>
          <w:highlight w:val="none"/>
        </w:rPr>
        <w:t>和自然因素影响，坚持适地适树、科学绿化、精准施策，该补则补，</w:t>
      </w:r>
      <w:r>
        <w:rPr>
          <w:rFonts w:hint="eastAsia" w:ascii="宋体" w:hAnsi="宋体" w:eastAsia="宋体" w:cs="宋体"/>
          <w:spacing w:val="-1"/>
          <w:sz w:val="24"/>
          <w:szCs w:val="24"/>
          <w:highlight w:val="none"/>
        </w:rPr>
        <w:t>该伐则伐，补修结合，并加强管护，通过施用保水剂、GGR6</w:t>
      </w:r>
      <w:r>
        <w:rPr>
          <w:rFonts w:hint="eastAsia" w:ascii="宋体" w:hAnsi="宋体" w:eastAsia="宋体" w:cs="宋体"/>
          <w:spacing w:val="-52"/>
          <w:sz w:val="24"/>
          <w:szCs w:val="24"/>
          <w:highlight w:val="none"/>
        </w:rPr>
        <w:t xml:space="preserve"> </w:t>
      </w:r>
      <w:r>
        <w:rPr>
          <w:rFonts w:hint="eastAsia" w:ascii="宋体" w:hAnsi="宋体" w:eastAsia="宋体" w:cs="宋体"/>
          <w:spacing w:val="-1"/>
          <w:sz w:val="24"/>
          <w:szCs w:val="24"/>
          <w:highlight w:val="none"/>
        </w:rPr>
        <w:t>等关键</w:t>
      </w:r>
      <w:r>
        <w:rPr>
          <w:rFonts w:hint="eastAsia" w:ascii="宋体" w:hAnsi="宋体" w:eastAsia="宋体" w:cs="宋体"/>
          <w:spacing w:val="-4"/>
          <w:sz w:val="24"/>
          <w:szCs w:val="24"/>
          <w:highlight w:val="none"/>
        </w:rPr>
        <w:t>技术来提高项目建设质量，提高补植苗木成活率，为后期项目建设提</w:t>
      </w:r>
      <w:r>
        <w:rPr>
          <w:rFonts w:hint="eastAsia" w:ascii="宋体" w:hAnsi="宋体" w:eastAsia="宋体" w:cs="宋体"/>
          <w:spacing w:val="-2"/>
          <w:sz w:val="24"/>
          <w:szCs w:val="24"/>
          <w:highlight w:val="none"/>
        </w:rPr>
        <w:t>供了经验借鉴。</w:t>
      </w:r>
    </w:p>
    <w:p w14:paraId="570A8B9D">
      <w:pPr>
        <w:keepNext w:val="0"/>
        <w:keepLines w:val="0"/>
        <w:pageBreakBefore w:val="0"/>
        <w:widowControl w:val="0"/>
        <w:kinsoku/>
        <w:wordWrap/>
        <w:overflowPunct/>
        <w:topLinePunct w:val="0"/>
        <w:autoSpaceDE/>
        <w:autoSpaceDN/>
        <w:bidi w:val="0"/>
        <w:adjustRightInd/>
        <w:snapToGrid/>
        <w:spacing w:after="0" w:line="480" w:lineRule="auto"/>
        <w:ind w:left="22" w:firstLine="569"/>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（2）加强管护是提高项目建设成效的重要举措。对退化林实施</w:t>
      </w:r>
      <w:r>
        <w:rPr>
          <w:rFonts w:hint="eastAsia" w:ascii="宋体" w:hAnsi="宋体" w:eastAsia="宋体" w:cs="宋体"/>
          <w:spacing w:val="-4"/>
          <w:sz w:val="24"/>
          <w:szCs w:val="24"/>
          <w:highlight w:val="none"/>
        </w:rPr>
        <w:t>补植补播、单株或群状择伐、修枝割灌等措施后，退化林正处于扭转恢复期，若遭人为破坏则影响林分恢复。因此项目建设在确定目标林</w:t>
      </w:r>
      <w:r>
        <w:rPr>
          <w:rFonts w:hint="eastAsia" w:ascii="宋体" w:hAnsi="宋体" w:eastAsia="宋体" w:cs="宋体"/>
          <w:spacing w:val="-10"/>
          <w:sz w:val="24"/>
          <w:szCs w:val="24"/>
          <w:highlight w:val="none"/>
        </w:rPr>
        <w:t>相后，按照森林发育规律，按照全周期修复进行修复措施制定和管护</w:t>
      </w:r>
      <w:r>
        <w:rPr>
          <w:rFonts w:hint="eastAsia" w:ascii="宋体" w:hAnsi="宋体" w:eastAsia="宋体" w:cs="宋体"/>
          <w:spacing w:val="-10"/>
          <w:sz w:val="24"/>
          <w:szCs w:val="24"/>
          <w:highlight w:val="none"/>
          <w:lang w:eastAsia="zh-CN"/>
        </w:rPr>
        <w:t>，</w:t>
      </w:r>
      <w:r>
        <w:rPr>
          <w:rFonts w:hint="eastAsia" w:ascii="宋体" w:hAnsi="宋体" w:eastAsia="宋体" w:cs="宋体"/>
          <w:spacing w:val="-3"/>
          <w:sz w:val="24"/>
          <w:szCs w:val="24"/>
          <w:highlight w:val="none"/>
        </w:rPr>
        <w:t>进行系统性培育，并大力进行宣传，引导人民群众自觉护林爱林，维</w:t>
      </w:r>
      <w:r>
        <w:rPr>
          <w:rFonts w:hint="eastAsia" w:ascii="宋体" w:hAnsi="宋体" w:eastAsia="宋体" w:cs="宋体"/>
          <w:spacing w:val="-1"/>
          <w:sz w:val="24"/>
          <w:szCs w:val="24"/>
          <w:highlight w:val="none"/>
        </w:rPr>
        <w:t>护退化林修复项目建设成果。</w:t>
      </w:r>
    </w:p>
    <w:p w14:paraId="61A76247">
      <w:pPr>
        <w:keepNext w:val="0"/>
        <w:keepLines w:val="0"/>
        <w:pageBreakBefore w:val="0"/>
        <w:widowControl w:val="0"/>
        <w:kinsoku/>
        <w:wordWrap/>
        <w:overflowPunct/>
        <w:topLinePunct w:val="0"/>
        <w:autoSpaceDE/>
        <w:autoSpaceDN/>
        <w:bidi w:val="0"/>
        <w:adjustRightInd/>
        <w:snapToGrid/>
        <w:spacing w:after="0" w:line="480" w:lineRule="auto"/>
        <w:ind w:firstLine="747" w:firstLineChars="300"/>
        <w:jc w:val="center"/>
        <w:textAlignment w:val="auto"/>
        <w:outlineLvl w:val="0"/>
        <w:rPr>
          <w:rFonts w:hint="eastAsia" w:ascii="宋体" w:hAnsi="宋体" w:eastAsia="宋体" w:cs="宋体"/>
          <w:b/>
          <w:bCs/>
          <w:spacing w:val="4"/>
          <w:sz w:val="24"/>
          <w:szCs w:val="24"/>
          <w:highlight w:val="none"/>
        </w:rPr>
      </w:pPr>
      <w:bookmarkStart w:id="114" w:name="bookmark28"/>
      <w:bookmarkEnd w:id="114"/>
      <w:bookmarkStart w:id="115" w:name="bookmark29"/>
      <w:bookmarkEnd w:id="115"/>
      <w:r>
        <w:rPr>
          <w:rFonts w:hint="eastAsia" w:ascii="宋体" w:hAnsi="宋体" w:eastAsia="宋体" w:cs="宋体"/>
          <w:b/>
          <w:bCs/>
          <w:spacing w:val="4"/>
          <w:sz w:val="24"/>
          <w:szCs w:val="24"/>
          <w:highlight w:val="none"/>
        </w:rPr>
        <w:t>第</w:t>
      </w:r>
      <w:r>
        <w:rPr>
          <w:rFonts w:hint="eastAsia" w:ascii="宋体" w:hAnsi="宋体" w:eastAsia="宋体" w:cs="宋体"/>
          <w:b/>
          <w:bCs/>
          <w:spacing w:val="4"/>
          <w:sz w:val="24"/>
          <w:szCs w:val="24"/>
          <w:highlight w:val="none"/>
          <w:lang w:val="en-US" w:eastAsia="zh-CN"/>
        </w:rPr>
        <w:t>二节</w:t>
      </w:r>
      <w:r>
        <w:rPr>
          <w:rFonts w:hint="eastAsia" w:ascii="宋体" w:hAnsi="宋体" w:eastAsia="宋体" w:cs="宋体"/>
          <w:b/>
          <w:bCs/>
          <w:spacing w:val="4"/>
          <w:sz w:val="24"/>
          <w:szCs w:val="24"/>
          <w:highlight w:val="none"/>
        </w:rPr>
        <w:t xml:space="preserve"> 指导思想、依据、原则</w:t>
      </w:r>
    </w:p>
    <w:p w14:paraId="36B4474D">
      <w:pPr>
        <w:keepNext w:val="0"/>
        <w:keepLines w:val="0"/>
        <w:pageBreakBefore w:val="0"/>
        <w:widowControl w:val="0"/>
        <w:kinsoku/>
        <w:wordWrap/>
        <w:overflowPunct/>
        <w:topLinePunct w:val="0"/>
        <w:autoSpaceDE/>
        <w:autoSpaceDN/>
        <w:bidi w:val="0"/>
        <w:adjustRightInd/>
        <w:snapToGrid/>
        <w:spacing w:after="0" w:line="480" w:lineRule="auto"/>
        <w:ind w:left="25"/>
        <w:textAlignment w:val="auto"/>
        <w:outlineLvl w:val="1"/>
        <w:rPr>
          <w:rFonts w:hint="eastAsia" w:ascii="宋体" w:hAnsi="宋体" w:eastAsia="宋体" w:cs="宋体"/>
          <w:sz w:val="24"/>
          <w:szCs w:val="24"/>
          <w:highlight w:val="none"/>
        </w:rPr>
      </w:pPr>
      <w:bookmarkStart w:id="116" w:name="bookmark30"/>
      <w:bookmarkEnd w:id="116"/>
      <w:bookmarkStart w:id="117" w:name="bookmark31"/>
      <w:bookmarkEnd w:id="117"/>
      <w:r>
        <w:rPr>
          <w:rFonts w:hint="eastAsia" w:ascii="宋体" w:hAnsi="宋体" w:eastAsia="宋体" w:cs="宋体"/>
          <w:b/>
          <w:bCs/>
          <w:spacing w:val="-4"/>
          <w:sz w:val="24"/>
          <w:szCs w:val="24"/>
          <w:highlight w:val="none"/>
          <w:lang w:val="en-US" w:eastAsia="zh-CN"/>
        </w:rPr>
        <w:t>2</w:t>
      </w:r>
      <w:r>
        <w:rPr>
          <w:rFonts w:hint="eastAsia" w:ascii="宋体" w:hAnsi="宋体" w:eastAsia="宋体" w:cs="宋体"/>
          <w:b/>
          <w:bCs/>
          <w:spacing w:val="-4"/>
          <w:sz w:val="24"/>
          <w:szCs w:val="24"/>
          <w:highlight w:val="none"/>
        </w:rPr>
        <w:t>.1</w:t>
      </w:r>
      <w:r>
        <w:rPr>
          <w:rFonts w:hint="eastAsia" w:ascii="宋体" w:hAnsi="宋体" w:eastAsia="宋体" w:cs="宋体"/>
          <w:spacing w:val="-4"/>
          <w:sz w:val="24"/>
          <w:szCs w:val="24"/>
          <w:highlight w:val="none"/>
        </w:rPr>
        <w:t xml:space="preserve"> </w:t>
      </w:r>
      <w:r>
        <w:rPr>
          <w:rFonts w:hint="eastAsia" w:ascii="宋体" w:hAnsi="宋体" w:eastAsia="宋体" w:cs="宋体"/>
          <w:b/>
          <w:bCs/>
          <w:spacing w:val="-4"/>
          <w:sz w:val="24"/>
          <w:szCs w:val="24"/>
          <w:highlight w:val="none"/>
        </w:rPr>
        <w:t>指导思想</w:t>
      </w:r>
    </w:p>
    <w:p w14:paraId="6FBFB349">
      <w:pPr>
        <w:keepNext w:val="0"/>
        <w:keepLines w:val="0"/>
        <w:pageBreakBefore w:val="0"/>
        <w:widowControl w:val="0"/>
        <w:kinsoku/>
        <w:wordWrap/>
        <w:overflowPunct/>
        <w:topLinePunct w:val="0"/>
        <w:autoSpaceDE/>
        <w:autoSpaceDN/>
        <w:bidi w:val="0"/>
        <w:adjustRightInd/>
        <w:snapToGrid/>
        <w:spacing w:after="0" w:line="480" w:lineRule="auto"/>
        <w:ind w:left="25" w:firstLine="590"/>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以习近平生态文明建设思想为指导，深入贯彻落实党的二十大和</w:t>
      </w:r>
      <w:r>
        <w:rPr>
          <w:rFonts w:hint="eastAsia" w:ascii="宋体" w:hAnsi="宋体" w:eastAsia="宋体" w:cs="宋体"/>
          <w:spacing w:val="-4"/>
          <w:sz w:val="24"/>
          <w:szCs w:val="24"/>
          <w:highlight w:val="none"/>
        </w:rPr>
        <w:t>历次全会精神，全面落实习近平生态文明思想，认真践行践行“两山”</w:t>
      </w:r>
      <w:r>
        <w:rPr>
          <w:rFonts w:hint="eastAsia" w:ascii="宋体" w:hAnsi="宋体" w:eastAsia="宋体" w:cs="宋体"/>
          <w:spacing w:val="1"/>
          <w:sz w:val="24"/>
          <w:szCs w:val="24"/>
          <w:highlight w:val="none"/>
        </w:rPr>
        <w:t>理念，统筹山水林田湖草沙系统治理，按照中央</w:t>
      </w:r>
      <w:r>
        <w:rPr>
          <w:rFonts w:hint="eastAsia" w:ascii="宋体" w:hAnsi="宋体" w:eastAsia="宋体" w:cs="宋体"/>
          <w:sz w:val="24"/>
          <w:szCs w:val="24"/>
          <w:highlight w:val="none"/>
        </w:rPr>
        <w:t>、陕西省决策部署，</w:t>
      </w:r>
      <w:r>
        <w:rPr>
          <w:rFonts w:hint="eastAsia" w:ascii="宋体" w:hAnsi="宋体" w:eastAsia="宋体" w:cs="宋体"/>
          <w:spacing w:val="-7"/>
          <w:sz w:val="24"/>
          <w:szCs w:val="24"/>
          <w:highlight w:val="none"/>
        </w:rPr>
        <w:t>以维护区域生态安全为宗旨，以国土增绿、提质增效、增加生态供给</w:t>
      </w:r>
      <w:r>
        <w:rPr>
          <w:rFonts w:hint="eastAsia" w:ascii="宋体" w:hAnsi="宋体" w:eastAsia="宋体" w:cs="宋体"/>
          <w:spacing w:val="-7"/>
          <w:sz w:val="24"/>
          <w:szCs w:val="24"/>
          <w:highlight w:val="none"/>
          <w:lang w:eastAsia="zh-CN"/>
        </w:rPr>
        <w:t>、</w:t>
      </w:r>
      <w:r>
        <w:rPr>
          <w:rFonts w:hint="eastAsia" w:ascii="宋体" w:hAnsi="宋体" w:eastAsia="宋体" w:cs="宋体"/>
          <w:spacing w:val="-4"/>
          <w:sz w:val="24"/>
          <w:szCs w:val="24"/>
          <w:highlight w:val="none"/>
        </w:rPr>
        <w:t>提高碳汇能力为目标，着力提升秦岭中麓生态安全屏障质量、促进生</w:t>
      </w:r>
      <w:r>
        <w:rPr>
          <w:rFonts w:hint="eastAsia" w:ascii="宋体" w:hAnsi="宋体" w:eastAsia="宋体" w:cs="宋体"/>
          <w:spacing w:val="-1"/>
          <w:sz w:val="24"/>
          <w:szCs w:val="24"/>
          <w:highlight w:val="none"/>
        </w:rPr>
        <w:t>态系统良性循环和永续利用。项目建设聚焦山阳县生态环境突出问</w:t>
      </w:r>
      <w:r>
        <w:rPr>
          <w:rFonts w:hint="eastAsia" w:ascii="宋体" w:hAnsi="宋体" w:eastAsia="宋体" w:cs="宋体"/>
          <w:spacing w:val="-4"/>
          <w:sz w:val="24"/>
          <w:szCs w:val="24"/>
          <w:highlight w:val="none"/>
        </w:rPr>
        <w:t>题，统筹区域综合治理，突出典型，选取代表性区域，分类施策，实施退化林分修复，完善县域生态空间格局，全面推进山阳县域秦岭中段（南麓）典型国土生态空间绿化和修复治理，切实增强生态系统稳定性，维护好生物多样性，显著提升生态服务功能，提升优质生态产</w:t>
      </w:r>
      <w:r>
        <w:rPr>
          <w:rFonts w:hint="eastAsia" w:ascii="宋体" w:hAnsi="宋体" w:eastAsia="宋体" w:cs="宋体"/>
          <w:spacing w:val="-1"/>
          <w:sz w:val="24"/>
          <w:szCs w:val="24"/>
          <w:highlight w:val="none"/>
        </w:rPr>
        <w:t>品供给能力，为顺利实现碳达峰、碳中和的战略目标增力。</w:t>
      </w:r>
    </w:p>
    <w:p w14:paraId="7451C67B">
      <w:pPr>
        <w:keepNext w:val="0"/>
        <w:keepLines w:val="0"/>
        <w:pageBreakBefore w:val="0"/>
        <w:widowControl w:val="0"/>
        <w:kinsoku/>
        <w:wordWrap/>
        <w:overflowPunct/>
        <w:topLinePunct w:val="0"/>
        <w:autoSpaceDE/>
        <w:autoSpaceDN/>
        <w:bidi w:val="0"/>
        <w:adjustRightInd/>
        <w:snapToGrid/>
        <w:spacing w:after="0" w:line="480" w:lineRule="auto"/>
        <w:ind w:left="25"/>
        <w:textAlignment w:val="auto"/>
        <w:outlineLvl w:val="1"/>
        <w:rPr>
          <w:rFonts w:hint="eastAsia" w:ascii="宋体" w:hAnsi="宋体" w:eastAsia="宋体" w:cs="宋体"/>
          <w:sz w:val="24"/>
          <w:szCs w:val="24"/>
          <w:highlight w:val="none"/>
        </w:rPr>
      </w:pPr>
      <w:bookmarkStart w:id="118" w:name="bookmark32"/>
      <w:bookmarkEnd w:id="118"/>
      <w:bookmarkStart w:id="119" w:name="bookmark33"/>
      <w:bookmarkEnd w:id="119"/>
      <w:r>
        <w:rPr>
          <w:rFonts w:hint="eastAsia" w:ascii="宋体" w:hAnsi="宋体" w:eastAsia="宋体" w:cs="宋体"/>
          <w:b/>
          <w:bCs/>
          <w:spacing w:val="-6"/>
          <w:sz w:val="24"/>
          <w:szCs w:val="24"/>
          <w:highlight w:val="none"/>
          <w:lang w:val="en-US" w:eastAsia="zh-CN"/>
        </w:rPr>
        <w:t>2</w:t>
      </w:r>
      <w:r>
        <w:rPr>
          <w:rFonts w:hint="eastAsia" w:ascii="宋体" w:hAnsi="宋体" w:eastAsia="宋体" w:cs="宋体"/>
          <w:b/>
          <w:bCs/>
          <w:spacing w:val="-6"/>
          <w:sz w:val="24"/>
          <w:szCs w:val="24"/>
          <w:highlight w:val="none"/>
        </w:rPr>
        <w:t>.2</w:t>
      </w:r>
      <w:r>
        <w:rPr>
          <w:rFonts w:hint="eastAsia" w:ascii="宋体" w:hAnsi="宋体" w:eastAsia="宋体" w:cs="宋体"/>
          <w:spacing w:val="15"/>
          <w:sz w:val="24"/>
          <w:szCs w:val="24"/>
          <w:highlight w:val="none"/>
        </w:rPr>
        <w:t xml:space="preserve"> </w:t>
      </w:r>
      <w:r>
        <w:rPr>
          <w:rFonts w:hint="eastAsia" w:ascii="宋体" w:hAnsi="宋体" w:eastAsia="宋体" w:cs="宋体"/>
          <w:b/>
          <w:bCs/>
          <w:spacing w:val="-6"/>
          <w:sz w:val="24"/>
          <w:szCs w:val="24"/>
          <w:highlight w:val="none"/>
        </w:rPr>
        <w:t>基本原则</w:t>
      </w:r>
    </w:p>
    <w:p w14:paraId="52ACF60F">
      <w:pPr>
        <w:keepNext w:val="0"/>
        <w:keepLines w:val="0"/>
        <w:pageBreakBefore w:val="0"/>
        <w:widowControl w:val="0"/>
        <w:kinsoku/>
        <w:wordWrap/>
        <w:overflowPunct/>
        <w:topLinePunct w:val="0"/>
        <w:autoSpaceDE/>
        <w:autoSpaceDN/>
        <w:bidi w:val="0"/>
        <w:adjustRightInd/>
        <w:snapToGrid/>
        <w:spacing w:after="0" w:line="480" w:lineRule="auto"/>
        <w:ind w:left="592"/>
        <w:textAlignment w:val="auto"/>
        <w:rPr>
          <w:rFonts w:hint="eastAsia" w:ascii="宋体" w:hAnsi="宋体" w:eastAsia="宋体" w:cs="宋体"/>
          <w:sz w:val="24"/>
          <w:szCs w:val="24"/>
          <w:highlight w:val="none"/>
        </w:rPr>
      </w:pPr>
      <w:r>
        <w:rPr>
          <w:rFonts w:hint="eastAsia" w:ascii="宋体" w:hAnsi="宋体" w:eastAsia="宋体" w:cs="宋体"/>
          <w:b/>
          <w:bCs/>
          <w:spacing w:val="-4"/>
          <w:sz w:val="24"/>
          <w:szCs w:val="24"/>
          <w:highlight w:val="none"/>
        </w:rPr>
        <w:t>（1）尊重自然、科学修复</w:t>
      </w:r>
    </w:p>
    <w:p w14:paraId="4493182B">
      <w:pPr>
        <w:keepNext w:val="0"/>
        <w:keepLines w:val="0"/>
        <w:pageBreakBefore w:val="0"/>
        <w:widowControl w:val="0"/>
        <w:kinsoku/>
        <w:wordWrap/>
        <w:overflowPunct/>
        <w:topLinePunct w:val="0"/>
        <w:autoSpaceDE/>
        <w:autoSpaceDN/>
        <w:bidi w:val="0"/>
        <w:adjustRightInd/>
        <w:snapToGrid/>
        <w:spacing w:after="0" w:line="480" w:lineRule="auto"/>
        <w:ind w:left="26" w:right="203" w:firstLine="583"/>
        <w:jc w:val="both"/>
        <w:textAlignment w:val="auto"/>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围绕秦岭南麓山阳县地区森林生态系统服务功能持续性下降、依</w:t>
      </w:r>
      <w:r>
        <w:rPr>
          <w:rFonts w:hint="eastAsia" w:ascii="宋体" w:hAnsi="宋体" w:eastAsia="宋体" w:cs="宋体"/>
          <w:spacing w:val="-4"/>
          <w:sz w:val="24"/>
          <w:szCs w:val="24"/>
          <w:highlight w:val="none"/>
        </w:rPr>
        <w:t>靠自然力短期难以恢复的森林群落，按照森林发育阶段特征，采用人</w:t>
      </w:r>
      <w:r>
        <w:rPr>
          <w:rFonts w:hint="eastAsia" w:ascii="宋体" w:hAnsi="宋体" w:eastAsia="宋体" w:cs="宋体"/>
          <w:spacing w:val="-10"/>
          <w:sz w:val="24"/>
          <w:szCs w:val="24"/>
          <w:highlight w:val="none"/>
        </w:rPr>
        <w:t>工修复和自然恢复相结合的方式，科学制定修复方式，改善森林结构</w:t>
      </w:r>
      <w:r>
        <w:rPr>
          <w:rFonts w:hint="eastAsia" w:ascii="宋体" w:hAnsi="宋体" w:eastAsia="宋体" w:cs="宋体"/>
          <w:spacing w:val="-10"/>
          <w:sz w:val="24"/>
          <w:szCs w:val="24"/>
          <w:highlight w:val="none"/>
          <w:lang w:eastAsia="zh-CN"/>
        </w:rPr>
        <w:t>，</w:t>
      </w:r>
      <w:r>
        <w:rPr>
          <w:rFonts w:hint="eastAsia" w:ascii="宋体" w:hAnsi="宋体" w:eastAsia="宋体" w:cs="宋体"/>
          <w:spacing w:val="-4"/>
          <w:sz w:val="24"/>
          <w:szCs w:val="24"/>
          <w:highlight w:val="none"/>
        </w:rPr>
        <w:t>提高森林质量，恢复森林功能，提升森林生态系统自我修复能力和结</w:t>
      </w:r>
      <w:r>
        <w:rPr>
          <w:rFonts w:hint="eastAsia" w:ascii="宋体" w:hAnsi="宋体" w:eastAsia="宋体" w:cs="宋体"/>
          <w:spacing w:val="-1"/>
          <w:sz w:val="24"/>
          <w:szCs w:val="24"/>
          <w:highlight w:val="none"/>
        </w:rPr>
        <w:t>构稳定性，促进森林生态系统正向演替。</w:t>
      </w:r>
    </w:p>
    <w:p w14:paraId="656DBC10">
      <w:pPr>
        <w:keepNext w:val="0"/>
        <w:keepLines w:val="0"/>
        <w:pageBreakBefore w:val="0"/>
        <w:widowControl w:val="0"/>
        <w:numPr>
          <w:ilvl w:val="0"/>
          <w:numId w:val="0"/>
        </w:numPr>
        <w:kinsoku/>
        <w:wordWrap/>
        <w:overflowPunct/>
        <w:topLinePunct w:val="0"/>
        <w:autoSpaceDE/>
        <w:autoSpaceDN/>
        <w:bidi w:val="0"/>
        <w:adjustRightInd/>
        <w:snapToGrid/>
        <w:spacing w:after="0" w:line="480" w:lineRule="auto"/>
        <w:ind w:left="25" w:leftChars="0" w:right="76" w:rightChars="0" w:firstLine="561" w:firstLineChars="0"/>
        <w:jc w:val="both"/>
        <w:textAlignment w:val="auto"/>
        <w:rPr>
          <w:rFonts w:hint="eastAsia" w:ascii="宋体" w:hAnsi="宋体" w:eastAsia="宋体" w:cs="宋体"/>
          <w:b/>
          <w:bCs/>
          <w:spacing w:val="-4"/>
          <w:sz w:val="24"/>
          <w:szCs w:val="24"/>
          <w:highlight w:val="none"/>
        </w:rPr>
      </w:pPr>
      <w:r>
        <w:rPr>
          <w:rFonts w:hint="eastAsia" w:ascii="宋体" w:hAnsi="宋体" w:eastAsia="宋体" w:cs="宋体"/>
          <w:b/>
          <w:bCs/>
          <w:spacing w:val="-4"/>
          <w:kern w:val="2"/>
          <w:sz w:val="24"/>
          <w:szCs w:val="24"/>
          <w:highlight w:val="none"/>
          <w:lang w:val="en-US" w:eastAsia="zh-CN" w:bidi="ar-SA"/>
        </w:rPr>
        <w:t>（2）</w:t>
      </w:r>
      <w:r>
        <w:rPr>
          <w:rFonts w:hint="eastAsia" w:ascii="宋体" w:hAnsi="宋体" w:eastAsia="宋体" w:cs="宋体"/>
          <w:b/>
          <w:bCs/>
          <w:spacing w:val="-4"/>
          <w:sz w:val="24"/>
          <w:szCs w:val="24"/>
          <w:highlight w:val="none"/>
        </w:rPr>
        <w:t>因地制宜，精准施策</w:t>
      </w:r>
    </w:p>
    <w:p w14:paraId="68065A50">
      <w:pPr>
        <w:keepNext w:val="0"/>
        <w:keepLines w:val="0"/>
        <w:pageBreakBefore w:val="0"/>
        <w:widowControl w:val="0"/>
        <w:numPr>
          <w:ilvl w:val="0"/>
          <w:numId w:val="0"/>
        </w:numPr>
        <w:kinsoku/>
        <w:wordWrap/>
        <w:overflowPunct/>
        <w:topLinePunct w:val="0"/>
        <w:autoSpaceDE/>
        <w:autoSpaceDN/>
        <w:bidi w:val="0"/>
        <w:adjustRightInd/>
        <w:snapToGrid/>
        <w:spacing w:after="0" w:line="480" w:lineRule="auto"/>
        <w:ind w:left="25" w:leftChars="0" w:right="76" w:rightChars="0" w:firstLine="561" w:firstLineChars="0"/>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依据项目区自然地类条件，依据退化林类型、退化程度和退化原因，依据森林发育阶段特征因林施策，合理确定目标林相，科学选择补植补造树种，精准制定修复措施、修复模式，提高修复措施的针对</w:t>
      </w:r>
      <w:r>
        <w:rPr>
          <w:rFonts w:hint="eastAsia" w:ascii="宋体" w:hAnsi="宋体" w:eastAsia="宋体" w:cs="宋体"/>
          <w:spacing w:val="14"/>
          <w:sz w:val="24"/>
          <w:szCs w:val="24"/>
          <w:highlight w:val="none"/>
        </w:rPr>
        <w:t xml:space="preserve"> </w:t>
      </w:r>
      <w:r>
        <w:rPr>
          <w:rFonts w:hint="eastAsia" w:ascii="宋体" w:hAnsi="宋体" w:eastAsia="宋体" w:cs="宋体"/>
          <w:spacing w:val="-1"/>
          <w:sz w:val="24"/>
          <w:szCs w:val="24"/>
          <w:highlight w:val="none"/>
        </w:rPr>
        <w:t>性和合理性，提升项目建设的科学性。</w:t>
      </w:r>
    </w:p>
    <w:p w14:paraId="795D530C">
      <w:pPr>
        <w:keepNext w:val="0"/>
        <w:keepLines w:val="0"/>
        <w:pageBreakBefore w:val="0"/>
        <w:widowControl w:val="0"/>
        <w:kinsoku/>
        <w:wordWrap/>
        <w:overflowPunct/>
        <w:topLinePunct w:val="0"/>
        <w:autoSpaceDE/>
        <w:autoSpaceDN/>
        <w:bidi w:val="0"/>
        <w:adjustRightInd/>
        <w:snapToGrid/>
        <w:spacing w:after="0" w:line="480" w:lineRule="auto"/>
        <w:ind w:left="592"/>
        <w:textAlignment w:val="auto"/>
        <w:rPr>
          <w:rFonts w:hint="eastAsia" w:ascii="宋体" w:hAnsi="宋体" w:eastAsia="宋体" w:cs="宋体"/>
          <w:sz w:val="24"/>
          <w:szCs w:val="24"/>
          <w:highlight w:val="none"/>
        </w:rPr>
      </w:pPr>
      <w:r>
        <w:rPr>
          <w:rFonts w:hint="eastAsia" w:ascii="宋体" w:hAnsi="宋体" w:eastAsia="宋体" w:cs="宋体"/>
          <w:b/>
          <w:bCs/>
          <w:spacing w:val="-4"/>
          <w:sz w:val="24"/>
          <w:szCs w:val="24"/>
          <w:highlight w:val="none"/>
        </w:rPr>
        <w:t>（3）保护生境、节俭施工</w:t>
      </w:r>
    </w:p>
    <w:p w14:paraId="07609514">
      <w:pPr>
        <w:keepNext w:val="0"/>
        <w:keepLines w:val="0"/>
        <w:pageBreakBefore w:val="0"/>
        <w:widowControl w:val="0"/>
        <w:kinsoku/>
        <w:wordWrap/>
        <w:overflowPunct/>
        <w:topLinePunct w:val="0"/>
        <w:autoSpaceDE/>
        <w:autoSpaceDN/>
        <w:bidi w:val="0"/>
        <w:adjustRightInd/>
        <w:snapToGrid/>
        <w:spacing w:after="0" w:line="480" w:lineRule="auto"/>
        <w:ind w:left="26" w:right="45" w:firstLine="559"/>
        <w:jc w:val="both"/>
        <w:textAlignment w:val="auto"/>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合理确定工程保护措施，加强生物多样性保护，维护原生植被，</w:t>
      </w:r>
      <w:r>
        <w:rPr>
          <w:rFonts w:hint="eastAsia" w:ascii="宋体" w:hAnsi="宋体" w:eastAsia="宋体" w:cs="宋体"/>
          <w:spacing w:val="-4"/>
          <w:sz w:val="24"/>
          <w:szCs w:val="24"/>
          <w:highlight w:val="none"/>
        </w:rPr>
        <w:t>提高水土保持功能，保护野生动物栖息地安全，整地规格、施工方式等要与项目区立地条件、工程建设目标相适应，提高工程建设投资效</w:t>
      </w:r>
      <w:r>
        <w:rPr>
          <w:rFonts w:hint="eastAsia" w:ascii="宋体" w:hAnsi="宋体" w:eastAsia="宋体" w:cs="宋体"/>
          <w:spacing w:val="-1"/>
          <w:sz w:val="24"/>
          <w:szCs w:val="24"/>
          <w:highlight w:val="none"/>
        </w:rPr>
        <w:t>率，科学规范实施项目建设。</w:t>
      </w:r>
    </w:p>
    <w:p w14:paraId="3A680062">
      <w:pPr>
        <w:keepNext w:val="0"/>
        <w:keepLines w:val="0"/>
        <w:pageBreakBefore w:val="0"/>
        <w:widowControl w:val="0"/>
        <w:kinsoku/>
        <w:wordWrap/>
        <w:overflowPunct/>
        <w:topLinePunct w:val="0"/>
        <w:autoSpaceDE/>
        <w:autoSpaceDN/>
        <w:bidi w:val="0"/>
        <w:adjustRightInd/>
        <w:snapToGrid/>
        <w:spacing w:after="0" w:line="480" w:lineRule="auto"/>
        <w:ind w:left="592"/>
        <w:textAlignment w:val="auto"/>
        <w:rPr>
          <w:rFonts w:hint="eastAsia" w:ascii="宋体" w:hAnsi="宋体" w:eastAsia="宋体" w:cs="宋体"/>
          <w:sz w:val="24"/>
          <w:szCs w:val="24"/>
          <w:highlight w:val="none"/>
        </w:rPr>
      </w:pPr>
      <w:r>
        <w:rPr>
          <w:rFonts w:hint="eastAsia" w:ascii="宋体" w:hAnsi="宋体" w:eastAsia="宋体" w:cs="宋体"/>
          <w:b/>
          <w:bCs/>
          <w:spacing w:val="-4"/>
          <w:sz w:val="24"/>
          <w:szCs w:val="24"/>
          <w:highlight w:val="none"/>
        </w:rPr>
        <w:t>（</w:t>
      </w:r>
      <w:r>
        <w:rPr>
          <w:rFonts w:hint="eastAsia" w:ascii="宋体" w:hAnsi="宋体" w:eastAsia="宋体" w:cs="宋体"/>
          <w:b/>
          <w:bCs/>
          <w:spacing w:val="-4"/>
          <w:sz w:val="24"/>
          <w:szCs w:val="24"/>
          <w:highlight w:val="none"/>
          <w:lang w:val="en-US" w:eastAsia="zh-CN"/>
        </w:rPr>
        <w:t>4</w:t>
      </w:r>
      <w:r>
        <w:rPr>
          <w:rFonts w:hint="eastAsia" w:ascii="宋体" w:hAnsi="宋体" w:eastAsia="宋体" w:cs="宋体"/>
          <w:b/>
          <w:bCs/>
          <w:spacing w:val="-4"/>
          <w:sz w:val="24"/>
          <w:szCs w:val="24"/>
          <w:highlight w:val="none"/>
        </w:rPr>
        <w:t>）绿色发展、生态惠民</w:t>
      </w:r>
    </w:p>
    <w:p w14:paraId="59A01886">
      <w:pPr>
        <w:keepNext w:val="0"/>
        <w:keepLines w:val="0"/>
        <w:pageBreakBefore w:val="0"/>
        <w:widowControl w:val="0"/>
        <w:kinsoku/>
        <w:wordWrap/>
        <w:overflowPunct/>
        <w:topLinePunct w:val="0"/>
        <w:autoSpaceDE/>
        <w:autoSpaceDN/>
        <w:bidi w:val="0"/>
        <w:adjustRightInd/>
        <w:snapToGrid/>
        <w:spacing w:after="0" w:line="480" w:lineRule="auto"/>
        <w:ind w:left="26" w:firstLine="558"/>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认真践行绿水青山就是金山银山理念，在生态保护修复的前提</w:t>
      </w:r>
      <w:r>
        <w:rPr>
          <w:rFonts w:hint="eastAsia" w:ascii="宋体" w:hAnsi="宋体" w:eastAsia="宋体" w:cs="宋体"/>
          <w:spacing w:val="-4"/>
          <w:sz w:val="24"/>
          <w:szCs w:val="24"/>
          <w:highlight w:val="none"/>
        </w:rPr>
        <w:t>下，优化资源配置，合理布局，大力发展油茶绿色产业，统筹解决森</w:t>
      </w:r>
      <w:r>
        <w:rPr>
          <w:rFonts w:hint="eastAsia" w:ascii="宋体" w:hAnsi="宋体" w:eastAsia="宋体" w:cs="宋体"/>
          <w:spacing w:val="-10"/>
          <w:sz w:val="24"/>
          <w:szCs w:val="24"/>
          <w:highlight w:val="none"/>
        </w:rPr>
        <w:t>林保护与经济发展的矛盾，持续推进生态惠民、生态利民、生态为民，</w:t>
      </w:r>
      <w:r>
        <w:rPr>
          <w:rFonts w:hint="eastAsia" w:ascii="宋体" w:hAnsi="宋体" w:eastAsia="宋体" w:cs="宋体"/>
          <w:spacing w:val="-1"/>
          <w:sz w:val="24"/>
          <w:szCs w:val="24"/>
          <w:highlight w:val="none"/>
        </w:rPr>
        <w:t>不断满足人民群众对优质生态产品的需求。</w:t>
      </w:r>
    </w:p>
    <w:p w14:paraId="3A531976">
      <w:pPr>
        <w:keepNext w:val="0"/>
        <w:keepLines w:val="0"/>
        <w:pageBreakBefore w:val="0"/>
        <w:widowControl w:val="0"/>
        <w:kinsoku/>
        <w:wordWrap/>
        <w:overflowPunct/>
        <w:topLinePunct w:val="0"/>
        <w:autoSpaceDE/>
        <w:autoSpaceDN/>
        <w:bidi w:val="0"/>
        <w:adjustRightInd/>
        <w:snapToGrid/>
        <w:spacing w:after="0" w:line="480" w:lineRule="auto"/>
        <w:ind w:left="25"/>
        <w:textAlignment w:val="auto"/>
        <w:outlineLvl w:val="1"/>
        <w:rPr>
          <w:rFonts w:hint="eastAsia" w:ascii="宋体" w:hAnsi="宋体" w:eastAsia="宋体" w:cs="宋体"/>
          <w:sz w:val="24"/>
          <w:szCs w:val="24"/>
          <w:highlight w:val="none"/>
        </w:rPr>
      </w:pPr>
      <w:bookmarkStart w:id="120" w:name="bookmark35"/>
      <w:bookmarkEnd w:id="120"/>
      <w:bookmarkStart w:id="121" w:name="bookmark34"/>
      <w:bookmarkEnd w:id="121"/>
      <w:r>
        <w:rPr>
          <w:rFonts w:hint="eastAsia" w:ascii="宋体" w:hAnsi="宋体" w:eastAsia="宋体" w:cs="宋体"/>
          <w:b/>
          <w:bCs/>
          <w:spacing w:val="-4"/>
          <w:sz w:val="24"/>
          <w:szCs w:val="24"/>
          <w:highlight w:val="none"/>
          <w:lang w:val="en-US" w:eastAsia="zh-CN"/>
        </w:rPr>
        <w:t>2</w:t>
      </w:r>
      <w:r>
        <w:rPr>
          <w:rFonts w:hint="eastAsia" w:ascii="宋体" w:hAnsi="宋体" w:eastAsia="宋体" w:cs="宋体"/>
          <w:b/>
          <w:bCs/>
          <w:spacing w:val="-4"/>
          <w:sz w:val="24"/>
          <w:szCs w:val="24"/>
          <w:highlight w:val="none"/>
        </w:rPr>
        <w:t>.3</w:t>
      </w:r>
      <w:r>
        <w:rPr>
          <w:rFonts w:hint="eastAsia" w:ascii="宋体" w:hAnsi="宋体" w:eastAsia="宋体" w:cs="宋体"/>
          <w:spacing w:val="-4"/>
          <w:sz w:val="24"/>
          <w:szCs w:val="24"/>
          <w:highlight w:val="none"/>
        </w:rPr>
        <w:t xml:space="preserve"> </w:t>
      </w:r>
      <w:r>
        <w:rPr>
          <w:rFonts w:hint="eastAsia" w:ascii="宋体" w:hAnsi="宋体" w:eastAsia="宋体" w:cs="宋体"/>
          <w:b/>
          <w:bCs/>
          <w:spacing w:val="-4"/>
          <w:sz w:val="24"/>
          <w:szCs w:val="24"/>
          <w:highlight w:val="none"/>
        </w:rPr>
        <w:t>建设目标</w:t>
      </w:r>
    </w:p>
    <w:p w14:paraId="54DFD6A9">
      <w:pPr>
        <w:pStyle w:val="2"/>
        <w:keepNext w:val="0"/>
        <w:keepLines w:val="0"/>
        <w:pageBreakBefore w:val="0"/>
        <w:widowControl w:val="0"/>
        <w:kinsoku/>
        <w:wordWrap/>
        <w:overflowPunct/>
        <w:topLinePunct w:val="0"/>
        <w:autoSpaceDE/>
        <w:autoSpaceDN/>
        <w:bidi w:val="0"/>
        <w:adjustRightInd/>
        <w:snapToGrid/>
        <w:spacing w:after="0" w:line="480" w:lineRule="auto"/>
        <w:ind w:left="305"/>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2</w:t>
      </w:r>
      <w:r>
        <w:rPr>
          <w:rFonts w:hint="eastAsia" w:ascii="宋体" w:hAnsi="宋体" w:eastAsia="宋体" w:cs="宋体"/>
          <w:b/>
          <w:bCs/>
          <w:spacing w:val="-3"/>
          <w:sz w:val="24"/>
          <w:szCs w:val="24"/>
          <w:highlight w:val="none"/>
        </w:rPr>
        <w:t>.3.1 总体目标</w:t>
      </w:r>
    </w:p>
    <w:p w14:paraId="23726CF7">
      <w:pPr>
        <w:keepNext w:val="0"/>
        <w:keepLines w:val="0"/>
        <w:pageBreakBefore w:val="0"/>
        <w:widowControl w:val="0"/>
        <w:kinsoku/>
        <w:wordWrap/>
        <w:overflowPunct/>
        <w:topLinePunct w:val="0"/>
        <w:autoSpaceDE/>
        <w:autoSpaceDN/>
        <w:bidi w:val="0"/>
        <w:adjustRightInd/>
        <w:snapToGrid/>
        <w:spacing w:after="0" w:line="480" w:lineRule="auto"/>
        <w:ind w:left="25" w:right="23" w:firstLine="559"/>
        <w:jc w:val="both"/>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根据全县退化林现状和生态安全要求，突出退化防护林修复主</w:t>
      </w:r>
      <w:r>
        <w:rPr>
          <w:rFonts w:hint="eastAsia" w:ascii="宋体" w:hAnsi="宋体" w:eastAsia="宋体" w:cs="宋体"/>
          <w:spacing w:val="-4"/>
          <w:sz w:val="24"/>
          <w:szCs w:val="24"/>
          <w:highlight w:val="none"/>
        </w:rPr>
        <w:t>线，通过采取补植补播、森林抚育、人工促进天然更新等措施，促使林分形成正常生长发育趋势，并逐步恢复至接近于退化前状态或向更</w:t>
      </w:r>
      <w:r>
        <w:rPr>
          <w:rFonts w:hint="eastAsia" w:ascii="宋体" w:hAnsi="宋体" w:eastAsia="宋体" w:cs="宋体"/>
          <w:spacing w:val="-2"/>
          <w:sz w:val="24"/>
          <w:szCs w:val="24"/>
          <w:highlight w:val="none"/>
        </w:rPr>
        <w:t>好的地带性森林顶级群落有序发展的森林状态，从而形成结构稳定、</w:t>
      </w:r>
      <w:r>
        <w:rPr>
          <w:rFonts w:hint="eastAsia" w:ascii="宋体" w:hAnsi="宋体" w:eastAsia="宋体" w:cs="宋体"/>
          <w:spacing w:val="-1"/>
          <w:sz w:val="24"/>
          <w:szCs w:val="24"/>
          <w:highlight w:val="none"/>
        </w:rPr>
        <w:t>功能完善，生态、经济、社会效益有机结合的区域性防护林体系。</w:t>
      </w:r>
    </w:p>
    <w:p w14:paraId="4E70023B">
      <w:pPr>
        <w:pStyle w:val="2"/>
        <w:keepNext w:val="0"/>
        <w:keepLines w:val="0"/>
        <w:pageBreakBefore w:val="0"/>
        <w:widowControl w:val="0"/>
        <w:kinsoku/>
        <w:wordWrap/>
        <w:overflowPunct/>
        <w:topLinePunct w:val="0"/>
        <w:autoSpaceDE/>
        <w:autoSpaceDN/>
        <w:bidi w:val="0"/>
        <w:adjustRightInd/>
        <w:snapToGrid/>
        <w:spacing w:after="0" w:line="480" w:lineRule="auto"/>
        <w:ind w:left="305"/>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2</w:t>
      </w:r>
      <w:r>
        <w:rPr>
          <w:rFonts w:hint="eastAsia" w:ascii="宋体" w:hAnsi="宋体" w:eastAsia="宋体" w:cs="宋体"/>
          <w:b/>
          <w:bCs/>
          <w:spacing w:val="-3"/>
          <w:sz w:val="24"/>
          <w:szCs w:val="24"/>
          <w:highlight w:val="none"/>
        </w:rPr>
        <w:t>.3.2 具体目标</w:t>
      </w:r>
    </w:p>
    <w:p w14:paraId="7D823343">
      <w:pPr>
        <w:keepNext w:val="0"/>
        <w:keepLines w:val="0"/>
        <w:pageBreakBefore w:val="0"/>
        <w:widowControl w:val="0"/>
        <w:kinsoku/>
        <w:wordWrap/>
        <w:overflowPunct/>
        <w:topLinePunct w:val="0"/>
        <w:autoSpaceDE/>
        <w:autoSpaceDN/>
        <w:bidi w:val="0"/>
        <w:adjustRightInd/>
        <w:snapToGrid/>
        <w:spacing w:after="0" w:line="480" w:lineRule="auto"/>
        <w:ind w:left="26" w:right="67" w:firstLine="562"/>
        <w:jc w:val="both"/>
        <w:textAlignment w:val="auto"/>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项目完成</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44000</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亩退化林修复任务，达到调整</w:t>
      </w:r>
      <w:r>
        <w:rPr>
          <w:rFonts w:hint="eastAsia" w:ascii="宋体" w:hAnsi="宋体" w:eastAsia="宋体" w:cs="宋体"/>
          <w:spacing w:val="-4"/>
          <w:sz w:val="24"/>
          <w:szCs w:val="24"/>
          <w:highlight w:val="none"/>
        </w:rPr>
        <w:t>树种和林分结构，提高林分质量和林地生产力，增强水源涵养、水土保持等生态服务功能，提高生态产品供给能力，推进实现生态容量有效增加，生态质量显著改善，构建区域健康稳定的森林生态系统，为生态文明建设提供</w:t>
      </w:r>
      <w:r>
        <w:rPr>
          <w:rFonts w:hint="eastAsia" w:ascii="宋体" w:hAnsi="宋体" w:eastAsia="宋体" w:cs="宋体"/>
          <w:spacing w:val="-2"/>
          <w:sz w:val="24"/>
          <w:szCs w:val="24"/>
          <w:highlight w:val="none"/>
        </w:rPr>
        <w:t>良好的生态保障。</w:t>
      </w:r>
    </w:p>
    <w:p w14:paraId="13CDAB33">
      <w:pPr>
        <w:pStyle w:val="2"/>
        <w:keepNext w:val="0"/>
        <w:keepLines w:val="0"/>
        <w:pageBreakBefore w:val="0"/>
        <w:widowControl w:val="0"/>
        <w:kinsoku/>
        <w:wordWrap/>
        <w:overflowPunct/>
        <w:topLinePunct w:val="0"/>
        <w:autoSpaceDE/>
        <w:autoSpaceDN/>
        <w:bidi w:val="0"/>
        <w:adjustRightInd/>
        <w:snapToGrid/>
        <w:spacing w:after="0" w:line="480" w:lineRule="auto"/>
        <w:ind w:left="305"/>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2</w:t>
      </w:r>
      <w:r>
        <w:rPr>
          <w:rFonts w:hint="eastAsia" w:ascii="宋体" w:hAnsi="宋体" w:eastAsia="宋体" w:cs="宋体"/>
          <w:b/>
          <w:bCs/>
          <w:spacing w:val="-3"/>
          <w:sz w:val="24"/>
          <w:szCs w:val="24"/>
          <w:highlight w:val="none"/>
        </w:rPr>
        <w:t>.3.3 经营管理目标</w:t>
      </w:r>
    </w:p>
    <w:p w14:paraId="5B41C9FE">
      <w:pPr>
        <w:keepNext w:val="0"/>
        <w:keepLines w:val="0"/>
        <w:pageBreakBefore w:val="0"/>
        <w:widowControl w:val="0"/>
        <w:kinsoku/>
        <w:wordWrap/>
        <w:overflowPunct/>
        <w:topLinePunct w:val="0"/>
        <w:autoSpaceDE/>
        <w:autoSpaceDN/>
        <w:bidi w:val="0"/>
        <w:adjustRightInd/>
        <w:snapToGrid/>
        <w:spacing w:after="0" w:line="480" w:lineRule="auto"/>
        <w:ind w:left="25" w:right="21" w:firstLine="567"/>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（1）提高林木所有者、林地承包者和经营者的积极性和主</w:t>
      </w:r>
      <w:r>
        <w:rPr>
          <w:rFonts w:hint="eastAsia" w:ascii="宋体" w:hAnsi="宋体" w:eastAsia="宋体" w:cs="宋体"/>
          <w:spacing w:val="-7"/>
          <w:sz w:val="24"/>
          <w:szCs w:val="24"/>
          <w:highlight w:val="none"/>
        </w:rPr>
        <w:t>动性，</w:t>
      </w:r>
      <w:r>
        <w:rPr>
          <w:rFonts w:hint="eastAsia" w:ascii="宋体" w:hAnsi="宋体" w:eastAsia="宋体" w:cs="宋体"/>
          <w:spacing w:val="-2"/>
          <w:sz w:val="24"/>
          <w:szCs w:val="24"/>
          <w:highlight w:val="none"/>
        </w:rPr>
        <w:t>加强监督检查；</w:t>
      </w:r>
    </w:p>
    <w:p w14:paraId="393568EE">
      <w:pPr>
        <w:keepNext w:val="0"/>
        <w:keepLines w:val="0"/>
        <w:pageBreakBefore w:val="0"/>
        <w:widowControl w:val="0"/>
        <w:kinsoku/>
        <w:wordWrap/>
        <w:overflowPunct/>
        <w:topLinePunct w:val="0"/>
        <w:autoSpaceDE/>
        <w:autoSpaceDN/>
        <w:bidi w:val="0"/>
        <w:adjustRightInd/>
        <w:snapToGrid/>
        <w:spacing w:after="0" w:line="480" w:lineRule="auto"/>
        <w:ind w:left="26" w:right="98" w:firstLine="566"/>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（2）建立全县范围内的退化林修复的新型组织形式，以政府主</w:t>
      </w:r>
      <w:r>
        <w:rPr>
          <w:rFonts w:hint="eastAsia" w:ascii="宋体" w:hAnsi="宋体" w:eastAsia="宋体" w:cs="宋体"/>
          <w:spacing w:val="-4"/>
          <w:sz w:val="24"/>
          <w:szCs w:val="24"/>
          <w:highlight w:val="none"/>
        </w:rPr>
        <w:t>导，以项目区群众为主要劳力，大力实施以工代赈促进当地群众就业</w:t>
      </w:r>
      <w:r>
        <w:rPr>
          <w:rFonts w:hint="eastAsia" w:ascii="宋体" w:hAnsi="宋体" w:eastAsia="宋体" w:cs="宋体"/>
          <w:spacing w:val="-1"/>
          <w:sz w:val="24"/>
          <w:szCs w:val="24"/>
          <w:highlight w:val="none"/>
        </w:rPr>
        <w:t>增收，规模化开展退化林修复；</w:t>
      </w:r>
    </w:p>
    <w:p w14:paraId="473473B5">
      <w:pPr>
        <w:keepNext w:val="0"/>
        <w:keepLines w:val="0"/>
        <w:pageBreakBefore w:val="0"/>
        <w:widowControl w:val="0"/>
        <w:kinsoku/>
        <w:wordWrap/>
        <w:overflowPunct/>
        <w:topLinePunct w:val="0"/>
        <w:autoSpaceDE/>
        <w:autoSpaceDN/>
        <w:bidi w:val="0"/>
        <w:adjustRightInd/>
        <w:snapToGrid/>
        <w:spacing w:after="0" w:line="480" w:lineRule="auto"/>
        <w:ind w:left="26" w:right="97" w:firstLine="566"/>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（3）引导当地林木所有者自觉开展退化林分的修复，利用国家</w:t>
      </w:r>
      <w:r>
        <w:rPr>
          <w:rFonts w:hint="eastAsia" w:ascii="宋体" w:hAnsi="宋体" w:eastAsia="宋体" w:cs="宋体"/>
          <w:spacing w:val="-4"/>
          <w:sz w:val="24"/>
          <w:szCs w:val="24"/>
          <w:highlight w:val="none"/>
        </w:rPr>
        <w:t>重点公益林补助资金以及林木所有者和护林员开展退化林修复，以修</w:t>
      </w:r>
      <w:r>
        <w:rPr>
          <w:rFonts w:hint="eastAsia" w:ascii="宋体" w:hAnsi="宋体" w:eastAsia="宋体" w:cs="宋体"/>
          <w:spacing w:val="-1"/>
          <w:sz w:val="24"/>
          <w:szCs w:val="24"/>
          <w:highlight w:val="none"/>
        </w:rPr>
        <w:t>带管，形成互利共赢的利益共同体，加快退化林修复进度。</w:t>
      </w:r>
    </w:p>
    <w:p w14:paraId="59AAA8D1">
      <w:pPr>
        <w:keepNext w:val="0"/>
        <w:keepLines w:val="0"/>
        <w:pageBreakBefore w:val="0"/>
        <w:widowControl w:val="0"/>
        <w:kinsoku/>
        <w:wordWrap/>
        <w:overflowPunct/>
        <w:topLinePunct w:val="0"/>
        <w:autoSpaceDE/>
        <w:autoSpaceDN/>
        <w:bidi w:val="0"/>
        <w:adjustRightInd/>
        <w:snapToGrid/>
        <w:spacing w:after="0" w:line="480" w:lineRule="auto"/>
        <w:ind w:left="25"/>
        <w:textAlignment w:val="auto"/>
        <w:outlineLvl w:val="1"/>
        <w:rPr>
          <w:rFonts w:hint="eastAsia" w:ascii="宋体" w:hAnsi="宋体" w:eastAsia="宋体" w:cs="宋体"/>
          <w:sz w:val="24"/>
          <w:szCs w:val="24"/>
          <w:highlight w:val="none"/>
        </w:rPr>
      </w:pPr>
      <w:bookmarkStart w:id="122" w:name="bookmark36"/>
      <w:bookmarkEnd w:id="122"/>
      <w:bookmarkStart w:id="123" w:name="bookmark37"/>
      <w:bookmarkEnd w:id="123"/>
      <w:r>
        <w:rPr>
          <w:rFonts w:hint="eastAsia" w:ascii="宋体" w:hAnsi="宋体" w:eastAsia="宋体" w:cs="宋体"/>
          <w:b/>
          <w:bCs/>
          <w:spacing w:val="-4"/>
          <w:sz w:val="24"/>
          <w:szCs w:val="24"/>
          <w:highlight w:val="none"/>
          <w:lang w:val="en-US" w:eastAsia="zh-CN"/>
        </w:rPr>
        <w:t>2</w:t>
      </w:r>
      <w:r>
        <w:rPr>
          <w:rFonts w:hint="eastAsia" w:ascii="宋体" w:hAnsi="宋体" w:eastAsia="宋体" w:cs="宋体"/>
          <w:b/>
          <w:bCs/>
          <w:spacing w:val="-4"/>
          <w:sz w:val="24"/>
          <w:szCs w:val="24"/>
          <w:highlight w:val="none"/>
        </w:rPr>
        <w:t>.4</w:t>
      </w:r>
      <w:r>
        <w:rPr>
          <w:rFonts w:hint="eastAsia" w:ascii="宋体" w:hAnsi="宋体" w:eastAsia="宋体" w:cs="宋体"/>
          <w:spacing w:val="-4"/>
          <w:sz w:val="24"/>
          <w:szCs w:val="24"/>
          <w:highlight w:val="none"/>
        </w:rPr>
        <w:t xml:space="preserve"> </w:t>
      </w:r>
      <w:r>
        <w:rPr>
          <w:rFonts w:hint="eastAsia" w:ascii="宋体" w:hAnsi="宋体" w:eastAsia="宋体" w:cs="宋体"/>
          <w:b/>
          <w:bCs/>
          <w:spacing w:val="-4"/>
          <w:sz w:val="24"/>
          <w:szCs w:val="24"/>
          <w:highlight w:val="none"/>
        </w:rPr>
        <w:t>项目布局</w:t>
      </w:r>
    </w:p>
    <w:p w14:paraId="5AD1708A">
      <w:pPr>
        <w:keepNext w:val="0"/>
        <w:keepLines w:val="0"/>
        <w:pageBreakBefore w:val="0"/>
        <w:widowControl w:val="0"/>
        <w:kinsoku/>
        <w:wordWrap/>
        <w:overflowPunct/>
        <w:topLinePunct w:val="0"/>
        <w:autoSpaceDE/>
        <w:autoSpaceDN/>
        <w:bidi w:val="0"/>
        <w:adjustRightInd/>
        <w:snapToGrid/>
        <w:spacing w:after="0" w:line="480" w:lineRule="auto"/>
        <w:ind w:left="26" w:firstLine="558"/>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根据县域退化林分布现状、退化类型和退化程度等因素，按照项目建设原则，优先考虑生态区位重要，退化程度严重，具有典型性和</w:t>
      </w:r>
      <w:r>
        <w:rPr>
          <w:rFonts w:hint="eastAsia" w:ascii="宋体" w:hAnsi="宋体" w:eastAsia="宋体" w:cs="宋体"/>
          <w:spacing w:val="-1"/>
          <w:sz w:val="24"/>
          <w:szCs w:val="24"/>
          <w:highlight w:val="none"/>
        </w:rPr>
        <w:t>示范性的连片区域实施本项目。本年度退化林修复任务</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44000.0</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亩，</w:t>
      </w:r>
      <w:r>
        <w:rPr>
          <w:rFonts w:hint="eastAsia" w:ascii="宋体" w:hAnsi="宋体" w:eastAsia="宋体" w:cs="宋体"/>
          <w:spacing w:val="-2"/>
          <w:sz w:val="24"/>
          <w:szCs w:val="24"/>
          <w:highlight w:val="none"/>
        </w:rPr>
        <w:t>其中40000</w:t>
      </w:r>
      <w:r>
        <w:rPr>
          <w:rFonts w:hint="eastAsia" w:ascii="宋体" w:hAnsi="宋体" w:eastAsia="宋体" w:cs="宋体"/>
          <w:spacing w:val="-43"/>
          <w:sz w:val="24"/>
          <w:szCs w:val="24"/>
          <w:highlight w:val="none"/>
        </w:rPr>
        <w:t xml:space="preserve"> </w:t>
      </w:r>
      <w:r>
        <w:rPr>
          <w:rFonts w:hint="eastAsia" w:ascii="宋体" w:hAnsi="宋体" w:eastAsia="宋体" w:cs="宋体"/>
          <w:spacing w:val="-2"/>
          <w:sz w:val="24"/>
          <w:szCs w:val="24"/>
          <w:highlight w:val="none"/>
        </w:rPr>
        <w:t>亩安排在天竺山镇的三宫殿村、柳山坡村、阳坡村、湾坪</w:t>
      </w:r>
      <w:r>
        <w:rPr>
          <w:rFonts w:hint="eastAsia" w:ascii="宋体" w:hAnsi="宋体" w:eastAsia="宋体" w:cs="宋体"/>
          <w:spacing w:val="-9"/>
          <w:sz w:val="24"/>
          <w:szCs w:val="24"/>
          <w:highlight w:val="none"/>
        </w:rPr>
        <w:t>村、长沟街社区，银花镇寺北沟村、银花社区、</w:t>
      </w:r>
      <w:r>
        <w:rPr>
          <w:rFonts w:hint="eastAsia" w:ascii="宋体" w:hAnsi="宋体" w:eastAsia="宋体" w:cs="宋体"/>
          <w:spacing w:val="-10"/>
          <w:sz w:val="24"/>
          <w:szCs w:val="24"/>
          <w:highlight w:val="none"/>
        </w:rPr>
        <w:t>湘子店村、梅子沟村、</w:t>
      </w:r>
      <w:r>
        <w:rPr>
          <w:rFonts w:hint="eastAsia" w:ascii="宋体" w:hAnsi="宋体" w:eastAsia="宋体" w:cs="宋体"/>
          <w:spacing w:val="-3"/>
          <w:sz w:val="24"/>
          <w:szCs w:val="24"/>
          <w:highlight w:val="none"/>
        </w:rPr>
        <w:t>孙家湾村，4000</w:t>
      </w:r>
      <w:r>
        <w:rPr>
          <w:rFonts w:hint="eastAsia" w:ascii="宋体" w:hAnsi="宋体" w:eastAsia="宋体" w:cs="宋体"/>
          <w:spacing w:val="-53"/>
          <w:sz w:val="24"/>
          <w:szCs w:val="24"/>
          <w:highlight w:val="none"/>
        </w:rPr>
        <w:t xml:space="preserve"> </w:t>
      </w:r>
      <w:r>
        <w:rPr>
          <w:rFonts w:hint="eastAsia" w:ascii="宋体" w:hAnsi="宋体" w:eastAsia="宋体" w:cs="宋体"/>
          <w:spacing w:val="-3"/>
          <w:sz w:val="24"/>
          <w:szCs w:val="24"/>
          <w:highlight w:val="none"/>
        </w:rPr>
        <w:t>亩新造油茶任务安排在延坪镇龙洞沟村、铁炉子村、</w:t>
      </w:r>
      <w:r>
        <w:rPr>
          <w:rFonts w:hint="eastAsia" w:ascii="宋体" w:hAnsi="宋体" w:eastAsia="宋体" w:cs="宋体"/>
          <w:spacing w:val="-2"/>
          <w:sz w:val="24"/>
          <w:szCs w:val="24"/>
          <w:highlight w:val="none"/>
        </w:rPr>
        <w:t>西河村、马家店村、白龙村（社区）。</w:t>
      </w:r>
    </w:p>
    <w:p w14:paraId="638EF979">
      <w:pPr>
        <w:keepNext w:val="0"/>
        <w:keepLines w:val="0"/>
        <w:pageBreakBefore w:val="0"/>
        <w:widowControl w:val="0"/>
        <w:kinsoku/>
        <w:wordWrap/>
        <w:overflowPunct/>
        <w:topLinePunct w:val="0"/>
        <w:autoSpaceDE/>
        <w:autoSpaceDN/>
        <w:bidi w:val="0"/>
        <w:adjustRightInd/>
        <w:snapToGrid/>
        <w:spacing w:after="0" w:line="480" w:lineRule="auto"/>
        <w:ind w:left="28" w:right="97" w:firstLine="560"/>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项目区退化林面积较大，退成程度以轻度退化为主，局部退化较</w:t>
      </w:r>
      <w:r>
        <w:rPr>
          <w:rFonts w:hint="eastAsia" w:ascii="宋体" w:hAnsi="宋体" w:eastAsia="宋体" w:cs="宋体"/>
          <w:spacing w:val="-1"/>
          <w:sz w:val="24"/>
          <w:szCs w:val="24"/>
          <w:highlight w:val="none"/>
        </w:rPr>
        <w:t>为严重，交通条件方便，群众积极性高，适宜开展项目建设。</w:t>
      </w:r>
    </w:p>
    <w:p w14:paraId="06145A14">
      <w:pPr>
        <w:keepNext w:val="0"/>
        <w:keepLines w:val="0"/>
        <w:pageBreakBefore w:val="0"/>
        <w:widowControl w:val="0"/>
        <w:kinsoku/>
        <w:wordWrap/>
        <w:overflowPunct/>
        <w:topLinePunct w:val="0"/>
        <w:autoSpaceDE/>
        <w:autoSpaceDN/>
        <w:bidi w:val="0"/>
        <w:adjustRightInd/>
        <w:snapToGrid/>
        <w:spacing w:after="0" w:line="480" w:lineRule="auto"/>
        <w:ind w:left="25"/>
        <w:textAlignment w:val="auto"/>
        <w:outlineLvl w:val="1"/>
        <w:rPr>
          <w:rFonts w:hint="eastAsia" w:ascii="宋体" w:hAnsi="宋体" w:eastAsia="宋体" w:cs="宋体"/>
          <w:sz w:val="24"/>
          <w:szCs w:val="24"/>
          <w:highlight w:val="none"/>
        </w:rPr>
      </w:pPr>
      <w:bookmarkStart w:id="124" w:name="bookmark38"/>
      <w:bookmarkEnd w:id="124"/>
      <w:bookmarkStart w:id="125" w:name="bookmark39"/>
      <w:bookmarkEnd w:id="125"/>
      <w:r>
        <w:rPr>
          <w:rFonts w:hint="eastAsia" w:ascii="宋体" w:hAnsi="宋体" w:eastAsia="宋体" w:cs="宋体"/>
          <w:b/>
          <w:bCs/>
          <w:spacing w:val="-4"/>
          <w:sz w:val="24"/>
          <w:szCs w:val="24"/>
          <w:highlight w:val="none"/>
          <w:lang w:val="en-US" w:eastAsia="zh-CN"/>
        </w:rPr>
        <w:t>2</w:t>
      </w:r>
      <w:r>
        <w:rPr>
          <w:rFonts w:hint="eastAsia" w:ascii="宋体" w:hAnsi="宋体" w:eastAsia="宋体" w:cs="宋体"/>
          <w:b/>
          <w:bCs/>
          <w:spacing w:val="-4"/>
          <w:sz w:val="24"/>
          <w:szCs w:val="24"/>
          <w:highlight w:val="none"/>
        </w:rPr>
        <w:t>.5</w:t>
      </w:r>
      <w:r>
        <w:rPr>
          <w:rFonts w:hint="eastAsia" w:ascii="宋体" w:hAnsi="宋体" w:eastAsia="宋体" w:cs="宋体"/>
          <w:spacing w:val="-4"/>
          <w:sz w:val="24"/>
          <w:szCs w:val="24"/>
          <w:highlight w:val="none"/>
        </w:rPr>
        <w:t xml:space="preserve"> </w:t>
      </w:r>
      <w:r>
        <w:rPr>
          <w:rFonts w:hint="eastAsia" w:ascii="宋体" w:hAnsi="宋体" w:eastAsia="宋体" w:cs="宋体"/>
          <w:b/>
          <w:bCs/>
          <w:spacing w:val="-4"/>
          <w:sz w:val="24"/>
          <w:szCs w:val="24"/>
          <w:highlight w:val="none"/>
        </w:rPr>
        <w:t>建设任务及内容</w:t>
      </w:r>
    </w:p>
    <w:p w14:paraId="2632A7A0">
      <w:pPr>
        <w:keepNext w:val="0"/>
        <w:keepLines w:val="0"/>
        <w:pageBreakBefore w:val="0"/>
        <w:widowControl w:val="0"/>
        <w:kinsoku/>
        <w:wordWrap/>
        <w:overflowPunct/>
        <w:topLinePunct w:val="0"/>
        <w:autoSpaceDE/>
        <w:autoSpaceDN/>
        <w:bidi w:val="0"/>
        <w:adjustRightInd/>
        <w:snapToGrid/>
        <w:spacing w:after="0" w:line="480" w:lineRule="auto"/>
        <w:ind w:left="23" w:right="97" w:firstLine="562"/>
        <w:jc w:val="both"/>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依据陕西省发展和改革委员会 陕西省林业局《关于下达重点区</w:t>
      </w:r>
      <w:r>
        <w:rPr>
          <w:rFonts w:hint="eastAsia" w:ascii="宋体" w:hAnsi="宋体" w:eastAsia="宋体" w:cs="宋体"/>
          <w:spacing w:val="15"/>
          <w:sz w:val="24"/>
          <w:szCs w:val="24"/>
          <w:highlight w:val="none"/>
        </w:rPr>
        <w:t xml:space="preserve"> </w:t>
      </w:r>
      <w:r>
        <w:rPr>
          <w:rFonts w:hint="eastAsia" w:ascii="宋体" w:hAnsi="宋体" w:eastAsia="宋体" w:cs="宋体"/>
          <w:spacing w:val="-1"/>
          <w:sz w:val="24"/>
          <w:szCs w:val="24"/>
          <w:highlight w:val="none"/>
        </w:rPr>
        <w:t>域生态保护和修复专项</w:t>
      </w:r>
      <w:r>
        <w:rPr>
          <w:rFonts w:hint="eastAsia" w:ascii="宋体" w:hAnsi="宋体" w:eastAsia="宋体" w:cs="宋体"/>
          <w:spacing w:val="-56"/>
          <w:sz w:val="24"/>
          <w:szCs w:val="24"/>
          <w:highlight w:val="none"/>
        </w:rPr>
        <w:t xml:space="preserve"> </w:t>
      </w:r>
      <w:r>
        <w:rPr>
          <w:rFonts w:hint="eastAsia" w:ascii="宋体" w:hAnsi="宋体" w:eastAsia="宋体" w:cs="宋体"/>
          <w:spacing w:val="-1"/>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1"/>
          <w:sz w:val="24"/>
          <w:szCs w:val="24"/>
          <w:highlight w:val="none"/>
        </w:rPr>
        <w:t>年中央预算内投资计划的通知</w:t>
      </w:r>
      <w:r>
        <w:rPr>
          <w:rFonts w:hint="eastAsia" w:ascii="宋体" w:hAnsi="宋体" w:eastAsia="宋体" w:cs="宋体"/>
          <w:spacing w:val="-2"/>
          <w:sz w:val="24"/>
          <w:szCs w:val="24"/>
          <w:highlight w:val="none"/>
        </w:rPr>
        <w:t>》（陕发</w:t>
      </w:r>
      <w:r>
        <w:rPr>
          <w:rFonts w:hint="eastAsia" w:ascii="宋体" w:hAnsi="宋体" w:eastAsia="宋体" w:cs="宋体"/>
          <w:spacing w:val="-1"/>
          <w:sz w:val="24"/>
          <w:szCs w:val="24"/>
          <w:highlight w:val="none"/>
        </w:rPr>
        <w:t>改投资〔2024〕740</w:t>
      </w:r>
      <w:r>
        <w:rPr>
          <w:rFonts w:hint="eastAsia" w:ascii="宋体" w:hAnsi="宋体" w:eastAsia="宋体" w:cs="宋体"/>
          <w:spacing w:val="-49"/>
          <w:sz w:val="24"/>
          <w:szCs w:val="24"/>
          <w:highlight w:val="none"/>
        </w:rPr>
        <w:t xml:space="preserve"> </w:t>
      </w:r>
      <w:r>
        <w:rPr>
          <w:rFonts w:hint="eastAsia" w:ascii="宋体" w:hAnsi="宋体" w:eastAsia="宋体" w:cs="宋体"/>
          <w:spacing w:val="-1"/>
          <w:sz w:val="24"/>
          <w:szCs w:val="24"/>
          <w:highlight w:val="none"/>
        </w:rPr>
        <w:t>号）和商洛市发展和改革委员会商洛市林业局</w:t>
      </w:r>
      <w:r>
        <w:rPr>
          <w:rFonts w:hint="eastAsia" w:ascii="宋体" w:hAnsi="宋体" w:eastAsia="宋体" w:cs="宋体"/>
          <w:sz w:val="24"/>
          <w:szCs w:val="24"/>
          <w:highlight w:val="none"/>
        </w:rPr>
        <w:t xml:space="preserve"> </w:t>
      </w:r>
      <w:r>
        <w:rPr>
          <w:rFonts w:hint="eastAsia" w:ascii="宋体" w:hAnsi="宋体" w:eastAsia="宋体" w:cs="宋体"/>
          <w:spacing w:val="-1"/>
          <w:sz w:val="24"/>
          <w:szCs w:val="24"/>
          <w:highlight w:val="none"/>
        </w:rPr>
        <w:t>《关于下达生态保护和修复专项</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2024</w:t>
      </w:r>
      <w:r>
        <w:rPr>
          <w:rFonts w:hint="eastAsia" w:ascii="宋体" w:hAnsi="宋体" w:eastAsia="宋体" w:cs="宋体"/>
          <w:spacing w:val="-57"/>
          <w:sz w:val="24"/>
          <w:szCs w:val="24"/>
          <w:highlight w:val="none"/>
        </w:rPr>
        <w:t xml:space="preserve"> </w:t>
      </w:r>
      <w:r>
        <w:rPr>
          <w:rFonts w:hint="eastAsia" w:ascii="宋体" w:hAnsi="宋体" w:eastAsia="宋体" w:cs="宋体"/>
          <w:spacing w:val="-1"/>
          <w:sz w:val="24"/>
          <w:szCs w:val="24"/>
          <w:highlight w:val="none"/>
        </w:rPr>
        <w:t>年第一批中央预算内</w:t>
      </w:r>
      <w:r>
        <w:rPr>
          <w:rFonts w:hint="eastAsia" w:ascii="宋体" w:hAnsi="宋体" w:eastAsia="宋体" w:cs="宋体"/>
          <w:spacing w:val="-2"/>
          <w:sz w:val="24"/>
          <w:szCs w:val="24"/>
          <w:highlight w:val="none"/>
        </w:rPr>
        <w:t>投资计划</w:t>
      </w:r>
      <w:r>
        <w:rPr>
          <w:rFonts w:hint="eastAsia" w:ascii="宋体" w:hAnsi="宋体" w:eastAsia="宋体" w:cs="宋体"/>
          <w:sz w:val="24"/>
          <w:szCs w:val="24"/>
          <w:highlight w:val="none"/>
        </w:rPr>
        <w:t xml:space="preserve"> </w:t>
      </w:r>
      <w:r>
        <w:rPr>
          <w:rFonts w:hint="eastAsia" w:ascii="宋体" w:hAnsi="宋体" w:eastAsia="宋体" w:cs="宋体"/>
          <w:spacing w:val="-10"/>
          <w:sz w:val="24"/>
          <w:szCs w:val="24"/>
          <w:highlight w:val="none"/>
        </w:rPr>
        <w:t>的通知》（商发改发〔2024〕179</w:t>
      </w:r>
      <w:r>
        <w:rPr>
          <w:rFonts w:hint="eastAsia" w:ascii="宋体" w:hAnsi="宋体" w:eastAsia="宋体" w:cs="宋体"/>
          <w:spacing w:val="-45"/>
          <w:sz w:val="24"/>
          <w:szCs w:val="24"/>
          <w:highlight w:val="none"/>
        </w:rPr>
        <w:t xml:space="preserve"> </w:t>
      </w:r>
      <w:r>
        <w:rPr>
          <w:rFonts w:hint="eastAsia" w:ascii="宋体" w:hAnsi="宋体" w:eastAsia="宋体" w:cs="宋体"/>
          <w:spacing w:val="-10"/>
          <w:sz w:val="24"/>
          <w:szCs w:val="24"/>
          <w:highlight w:val="none"/>
        </w:rPr>
        <w:t>号）文件精神，商洛市秦岭中段（南</w:t>
      </w:r>
      <w:r>
        <w:rPr>
          <w:rFonts w:hint="eastAsia" w:ascii="宋体" w:hAnsi="宋体" w:eastAsia="宋体" w:cs="宋体"/>
          <w:sz w:val="24"/>
          <w:szCs w:val="24"/>
          <w:highlight w:val="none"/>
        </w:rPr>
        <w:t xml:space="preserve"> </w:t>
      </w:r>
      <w:r>
        <w:rPr>
          <w:rFonts w:hint="eastAsia" w:ascii="宋体" w:hAnsi="宋体" w:eastAsia="宋体" w:cs="宋体"/>
          <w:spacing w:val="-1"/>
          <w:sz w:val="24"/>
          <w:szCs w:val="24"/>
          <w:highlight w:val="none"/>
        </w:rPr>
        <w:t>麓）水源涵养与生物多样性保护恢复项目山阳县</w:t>
      </w:r>
      <w:r>
        <w:rPr>
          <w:rFonts w:hint="eastAsia" w:ascii="宋体" w:hAnsi="宋体" w:eastAsia="宋体" w:cs="宋体"/>
          <w:spacing w:val="-56"/>
          <w:sz w:val="24"/>
          <w:szCs w:val="24"/>
          <w:highlight w:val="none"/>
        </w:rPr>
        <w:t xml:space="preserve"> </w:t>
      </w:r>
      <w:r>
        <w:rPr>
          <w:rFonts w:hint="eastAsia" w:ascii="宋体" w:hAnsi="宋体" w:eastAsia="宋体" w:cs="宋体"/>
          <w:spacing w:val="-1"/>
          <w:sz w:val="24"/>
          <w:szCs w:val="24"/>
          <w:highlight w:val="none"/>
        </w:rPr>
        <w:t>2024</w:t>
      </w:r>
      <w:r>
        <w:rPr>
          <w:rFonts w:hint="eastAsia" w:ascii="宋体" w:hAnsi="宋体" w:eastAsia="宋体" w:cs="宋体"/>
          <w:spacing w:val="-57"/>
          <w:sz w:val="24"/>
          <w:szCs w:val="24"/>
          <w:highlight w:val="none"/>
        </w:rPr>
        <w:t xml:space="preserve"> </w:t>
      </w:r>
      <w:r>
        <w:rPr>
          <w:rFonts w:hint="eastAsia" w:ascii="宋体" w:hAnsi="宋体" w:eastAsia="宋体" w:cs="宋体"/>
          <w:spacing w:val="-2"/>
          <w:sz w:val="24"/>
          <w:szCs w:val="24"/>
          <w:highlight w:val="none"/>
        </w:rPr>
        <w:t>年退化林修复</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任务</w:t>
      </w:r>
      <w:r>
        <w:rPr>
          <w:rFonts w:hint="eastAsia" w:ascii="宋体" w:hAnsi="宋体" w:eastAsia="宋体" w:cs="宋体"/>
          <w:spacing w:val="-46"/>
          <w:sz w:val="24"/>
          <w:szCs w:val="24"/>
          <w:highlight w:val="none"/>
        </w:rPr>
        <w:t xml:space="preserve"> </w:t>
      </w:r>
      <w:r>
        <w:rPr>
          <w:rFonts w:hint="eastAsia" w:ascii="宋体" w:hAnsi="宋体" w:eastAsia="宋体" w:cs="宋体"/>
          <w:spacing w:val="-3"/>
          <w:sz w:val="24"/>
          <w:szCs w:val="24"/>
          <w:highlight w:val="none"/>
        </w:rPr>
        <w:t>44000</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亩，包括新造油茶</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4000</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亩。</w:t>
      </w:r>
    </w:p>
    <w:p w14:paraId="31A48B16">
      <w:pPr>
        <w:keepNext w:val="0"/>
        <w:keepLines w:val="0"/>
        <w:pageBreakBefore w:val="0"/>
        <w:widowControl w:val="0"/>
        <w:kinsoku/>
        <w:wordWrap/>
        <w:overflowPunct/>
        <w:topLinePunct w:val="0"/>
        <w:autoSpaceDE/>
        <w:autoSpaceDN/>
        <w:bidi w:val="0"/>
        <w:adjustRightInd/>
        <w:snapToGrid/>
        <w:spacing w:after="0" w:line="480" w:lineRule="auto"/>
        <w:ind w:left="22" w:right="98" w:firstLine="563"/>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依据项目区退化林实际，退化林修复主要采取补植修复和采伐修复两种方式结合的综合修复，同时对现有林分进行全面抚育和人工促进天然更新。施工时应针对不同的林分特点，采取一种或两种相结合</w:t>
      </w:r>
      <w:r>
        <w:rPr>
          <w:rFonts w:hint="eastAsia" w:ascii="宋体" w:hAnsi="宋体" w:eastAsia="宋体" w:cs="宋体"/>
          <w:spacing w:val="-2"/>
          <w:sz w:val="24"/>
          <w:szCs w:val="24"/>
          <w:highlight w:val="none"/>
        </w:rPr>
        <w:t>的修复方式，对其进行修复改造，提质增效。</w:t>
      </w:r>
    </w:p>
    <w:p w14:paraId="60AF9F2D">
      <w:pPr>
        <w:keepNext w:val="0"/>
        <w:keepLines w:val="0"/>
        <w:pageBreakBefore w:val="0"/>
        <w:widowControl w:val="0"/>
        <w:kinsoku/>
        <w:wordWrap/>
        <w:overflowPunct/>
        <w:topLinePunct w:val="0"/>
        <w:autoSpaceDE/>
        <w:autoSpaceDN/>
        <w:bidi w:val="0"/>
        <w:adjustRightInd/>
        <w:snapToGrid/>
        <w:spacing w:after="0" w:line="480" w:lineRule="auto"/>
        <w:ind w:left="2380"/>
        <w:textAlignment w:val="auto"/>
        <w:outlineLvl w:val="0"/>
        <w:rPr>
          <w:rFonts w:hint="eastAsia" w:ascii="宋体" w:hAnsi="宋体" w:eastAsia="宋体" w:cs="宋体"/>
          <w:b/>
          <w:bCs/>
          <w:spacing w:val="4"/>
          <w:sz w:val="24"/>
          <w:szCs w:val="24"/>
          <w:highlight w:val="none"/>
          <w:lang w:val="en-US" w:eastAsia="zh-CN"/>
        </w:rPr>
      </w:pPr>
      <w:bookmarkStart w:id="126" w:name="bookmark41"/>
      <w:bookmarkEnd w:id="126"/>
      <w:bookmarkStart w:id="127" w:name="bookmark40"/>
      <w:bookmarkEnd w:id="127"/>
      <w:r>
        <w:rPr>
          <w:rFonts w:hint="eastAsia" w:ascii="宋体" w:hAnsi="宋体" w:eastAsia="宋体" w:cs="宋体"/>
          <w:b/>
          <w:bCs/>
          <w:spacing w:val="4"/>
          <w:sz w:val="24"/>
          <w:szCs w:val="24"/>
          <w:highlight w:val="none"/>
          <w:lang w:val="en-US" w:eastAsia="zh-CN"/>
        </w:rPr>
        <w:t>第三节  项目建设方案</w:t>
      </w:r>
    </w:p>
    <w:p w14:paraId="4B7BB3CB">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28" w:name="bookmark42"/>
      <w:bookmarkEnd w:id="128"/>
      <w:bookmarkStart w:id="129" w:name="bookmark43"/>
      <w:bookmarkEnd w:id="129"/>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.1</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作业区选择</w:t>
      </w:r>
    </w:p>
    <w:p w14:paraId="5DD0C94B">
      <w:pPr>
        <w:keepNext w:val="0"/>
        <w:keepLines w:val="0"/>
        <w:pageBreakBefore w:val="0"/>
        <w:widowControl w:val="0"/>
        <w:kinsoku/>
        <w:wordWrap/>
        <w:overflowPunct/>
        <w:topLinePunct w:val="0"/>
        <w:autoSpaceDE/>
        <w:autoSpaceDN/>
        <w:bidi w:val="0"/>
        <w:adjustRightInd/>
        <w:snapToGrid/>
        <w:spacing w:after="0" w:line="480" w:lineRule="auto"/>
        <w:ind w:left="23" w:firstLine="561"/>
        <w:jc w:val="both"/>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本项目退化林修复作业区选择是在现地勘察的基础上在退化林</w:t>
      </w:r>
      <w:r>
        <w:rPr>
          <w:rFonts w:hint="eastAsia" w:ascii="宋体" w:hAnsi="宋体" w:eastAsia="宋体" w:cs="宋体"/>
          <w:spacing w:val="-11"/>
          <w:sz w:val="24"/>
          <w:szCs w:val="24"/>
          <w:highlight w:val="none"/>
        </w:rPr>
        <w:t>评估数据范围内，依据《退化林修复技术规程（试行）》（202</w:t>
      </w:r>
      <w:r>
        <w:rPr>
          <w:rFonts w:hint="eastAsia" w:ascii="宋体" w:hAnsi="宋体" w:eastAsia="宋体" w:cs="宋体"/>
          <w:spacing w:val="-12"/>
          <w:sz w:val="24"/>
          <w:szCs w:val="24"/>
          <w:highlight w:val="none"/>
        </w:rPr>
        <w:t>3</w:t>
      </w:r>
      <w:r>
        <w:rPr>
          <w:rFonts w:hint="eastAsia" w:ascii="宋体" w:hAnsi="宋体" w:eastAsia="宋体" w:cs="宋体"/>
          <w:spacing w:val="-60"/>
          <w:sz w:val="24"/>
          <w:szCs w:val="24"/>
          <w:highlight w:val="none"/>
        </w:rPr>
        <w:t xml:space="preserve"> </w:t>
      </w:r>
      <w:r>
        <w:rPr>
          <w:rFonts w:hint="eastAsia" w:ascii="宋体" w:hAnsi="宋体" w:eastAsia="宋体" w:cs="宋体"/>
          <w:spacing w:val="-12"/>
          <w:sz w:val="24"/>
          <w:szCs w:val="24"/>
          <w:highlight w:val="none"/>
        </w:rPr>
        <w:t>年）、</w:t>
      </w:r>
      <w:r>
        <w:rPr>
          <w:rFonts w:hint="eastAsia" w:ascii="宋体" w:hAnsi="宋体" w:eastAsia="宋体" w:cs="宋体"/>
          <w:spacing w:val="1"/>
          <w:sz w:val="24"/>
          <w:szCs w:val="24"/>
          <w:highlight w:val="none"/>
        </w:rPr>
        <w:t>《退化防护林修复技术规程（</w:t>
      </w:r>
      <w:r>
        <w:rPr>
          <w:rFonts w:hint="eastAsia" w:ascii="宋体" w:hAnsi="宋体" w:eastAsia="宋体" w:cs="宋体"/>
          <w:sz w:val="24"/>
          <w:szCs w:val="24"/>
          <w:highlight w:val="none"/>
        </w:rPr>
        <w:t>LY</w:t>
      </w:r>
      <w:r>
        <w:rPr>
          <w:rFonts w:hint="eastAsia" w:ascii="宋体" w:hAnsi="宋体" w:eastAsia="宋体" w:cs="宋体"/>
          <w:spacing w:val="1"/>
          <w:sz w:val="24"/>
          <w:szCs w:val="24"/>
          <w:highlight w:val="none"/>
        </w:rPr>
        <w:t>/T3179-2020）》、《三北防护林退</w:t>
      </w:r>
      <w:r>
        <w:rPr>
          <w:rFonts w:hint="eastAsia" w:ascii="宋体" w:hAnsi="宋体" w:eastAsia="宋体" w:cs="宋体"/>
          <w:spacing w:val="13"/>
          <w:sz w:val="24"/>
          <w:szCs w:val="24"/>
          <w:highlight w:val="none"/>
        </w:rPr>
        <w:t>化林分修复技术规程（</w:t>
      </w:r>
      <w:r>
        <w:rPr>
          <w:rFonts w:hint="eastAsia" w:ascii="宋体" w:hAnsi="宋体" w:eastAsia="宋体" w:cs="宋体"/>
          <w:sz w:val="24"/>
          <w:szCs w:val="24"/>
          <w:highlight w:val="none"/>
        </w:rPr>
        <w:t>LY</w:t>
      </w:r>
      <w:r>
        <w:rPr>
          <w:rFonts w:hint="eastAsia" w:ascii="宋体" w:hAnsi="宋体" w:eastAsia="宋体" w:cs="宋体"/>
          <w:spacing w:val="13"/>
          <w:sz w:val="24"/>
          <w:szCs w:val="24"/>
          <w:highlight w:val="none"/>
        </w:rPr>
        <w:t>/T2786－</w:t>
      </w:r>
      <w:r>
        <w:rPr>
          <w:rFonts w:hint="eastAsia" w:ascii="宋体" w:hAnsi="宋体" w:eastAsia="宋体" w:cs="宋体"/>
          <w:spacing w:val="-40"/>
          <w:sz w:val="24"/>
          <w:szCs w:val="24"/>
          <w:highlight w:val="none"/>
        </w:rPr>
        <w:t xml:space="preserve"> </w:t>
      </w:r>
      <w:r>
        <w:rPr>
          <w:rFonts w:hint="eastAsia" w:ascii="宋体" w:hAnsi="宋体" w:eastAsia="宋体" w:cs="宋体"/>
          <w:spacing w:val="13"/>
          <w:sz w:val="24"/>
          <w:szCs w:val="24"/>
          <w:highlight w:val="none"/>
        </w:rPr>
        <w:t>2017</w:t>
      </w:r>
      <w:r>
        <w:rPr>
          <w:rFonts w:hint="eastAsia" w:ascii="宋体" w:hAnsi="宋体" w:eastAsia="宋体" w:cs="宋体"/>
          <w:spacing w:val="-65"/>
          <w:sz w:val="24"/>
          <w:szCs w:val="24"/>
          <w:highlight w:val="none"/>
        </w:rPr>
        <w:t xml:space="preserve"> </w:t>
      </w:r>
      <w:r>
        <w:rPr>
          <w:rFonts w:hint="eastAsia" w:ascii="宋体" w:hAnsi="宋体" w:eastAsia="宋体" w:cs="宋体"/>
          <w:spacing w:val="13"/>
          <w:sz w:val="24"/>
          <w:szCs w:val="24"/>
          <w:highlight w:val="none"/>
        </w:rPr>
        <w:t>）</w:t>
      </w:r>
      <w:r>
        <w:rPr>
          <w:rFonts w:hint="eastAsia" w:ascii="宋体" w:hAnsi="宋体" w:eastAsia="宋体" w:cs="宋体"/>
          <w:spacing w:val="-80"/>
          <w:sz w:val="24"/>
          <w:szCs w:val="24"/>
          <w:highlight w:val="none"/>
        </w:rPr>
        <w:t xml:space="preserve"> </w:t>
      </w:r>
      <w:r>
        <w:rPr>
          <w:rFonts w:hint="eastAsia" w:ascii="宋体" w:hAnsi="宋体" w:eastAsia="宋体" w:cs="宋体"/>
          <w:spacing w:val="13"/>
          <w:sz w:val="24"/>
          <w:szCs w:val="24"/>
          <w:highlight w:val="none"/>
        </w:rPr>
        <w:t>》</w:t>
      </w:r>
      <w:r>
        <w:rPr>
          <w:rFonts w:hint="eastAsia" w:ascii="宋体" w:hAnsi="宋体" w:eastAsia="宋体" w:cs="宋体"/>
          <w:spacing w:val="-75"/>
          <w:sz w:val="24"/>
          <w:szCs w:val="24"/>
          <w:highlight w:val="none"/>
        </w:rPr>
        <w:t xml:space="preserve"> </w:t>
      </w:r>
      <w:r>
        <w:rPr>
          <w:rFonts w:hint="eastAsia" w:ascii="宋体" w:hAnsi="宋体" w:eastAsia="宋体" w:cs="宋体"/>
          <w:spacing w:val="13"/>
          <w:sz w:val="24"/>
          <w:szCs w:val="24"/>
          <w:highlight w:val="none"/>
        </w:rPr>
        <w:t>、</w:t>
      </w:r>
      <w:r>
        <w:rPr>
          <w:rFonts w:hint="eastAsia" w:ascii="宋体" w:hAnsi="宋体" w:eastAsia="宋体" w:cs="宋体"/>
          <w:spacing w:val="-108"/>
          <w:sz w:val="24"/>
          <w:szCs w:val="24"/>
          <w:highlight w:val="none"/>
        </w:rPr>
        <w:t xml:space="preserve"> </w:t>
      </w:r>
      <w:r>
        <w:rPr>
          <w:rFonts w:hint="eastAsia" w:ascii="宋体" w:hAnsi="宋体" w:eastAsia="宋体" w:cs="宋体"/>
          <w:spacing w:val="13"/>
          <w:sz w:val="24"/>
          <w:szCs w:val="24"/>
          <w:highlight w:val="none"/>
        </w:rPr>
        <w:t>《造林技术规程</w:t>
      </w:r>
      <w:r>
        <w:rPr>
          <w:rFonts w:hint="eastAsia" w:ascii="宋体" w:hAnsi="宋体" w:eastAsia="宋体" w:cs="宋体"/>
          <w:spacing w:val="-3"/>
          <w:sz w:val="24"/>
          <w:szCs w:val="24"/>
          <w:highlight w:val="none"/>
        </w:rPr>
        <w:t>（GB/T15776-2023）》等技术规程，优先考虑退化程度较严重、地域</w:t>
      </w:r>
      <w:r>
        <w:rPr>
          <w:rFonts w:hint="eastAsia" w:ascii="宋体" w:hAnsi="宋体" w:eastAsia="宋体" w:cs="宋体"/>
          <w:spacing w:val="-4"/>
          <w:sz w:val="24"/>
          <w:szCs w:val="24"/>
          <w:highlight w:val="none"/>
        </w:rPr>
        <w:t>上较为集中连片、可作业面积比重大、群众积极性高、生态区位重要</w:t>
      </w:r>
      <w:r>
        <w:rPr>
          <w:rFonts w:hint="eastAsia" w:ascii="宋体" w:hAnsi="宋体" w:eastAsia="宋体" w:cs="宋体"/>
          <w:spacing w:val="-1"/>
          <w:sz w:val="24"/>
          <w:szCs w:val="24"/>
          <w:highlight w:val="none"/>
        </w:rPr>
        <w:t>的区域为本次退化林修复项目区。</w:t>
      </w:r>
    </w:p>
    <w:p w14:paraId="5985920E">
      <w:pPr>
        <w:keepNext w:val="0"/>
        <w:keepLines w:val="0"/>
        <w:pageBreakBefore w:val="0"/>
        <w:widowControl w:val="0"/>
        <w:kinsoku/>
        <w:wordWrap/>
        <w:overflowPunct/>
        <w:topLinePunct w:val="0"/>
        <w:autoSpaceDE/>
        <w:autoSpaceDN/>
        <w:bidi w:val="0"/>
        <w:adjustRightInd/>
        <w:snapToGrid/>
        <w:spacing w:after="0" w:line="480" w:lineRule="auto"/>
        <w:ind w:left="584"/>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根据项目建设的总体要求，项目区选择应遵循以下要求：</w:t>
      </w:r>
    </w:p>
    <w:p w14:paraId="302C0EFF">
      <w:pPr>
        <w:keepNext w:val="0"/>
        <w:keepLines w:val="0"/>
        <w:pageBreakBefore w:val="0"/>
        <w:widowControl w:val="0"/>
        <w:kinsoku/>
        <w:wordWrap/>
        <w:overflowPunct/>
        <w:topLinePunct w:val="0"/>
        <w:autoSpaceDE/>
        <w:autoSpaceDN/>
        <w:bidi w:val="0"/>
        <w:adjustRightInd/>
        <w:snapToGrid/>
        <w:spacing w:after="0" w:line="480" w:lineRule="auto"/>
        <w:ind w:left="581" w:right="209"/>
        <w:textAlignment w:val="auto"/>
        <w:rPr>
          <w:rFonts w:hint="eastAsia" w:ascii="宋体" w:hAnsi="宋体" w:eastAsia="宋体" w:cs="宋体"/>
          <w:spacing w:val="-4"/>
          <w:sz w:val="24"/>
          <w:szCs w:val="24"/>
          <w:highlight w:val="none"/>
        </w:rPr>
      </w:pPr>
      <w:r>
        <w:rPr>
          <w:rFonts w:hint="eastAsia" w:ascii="宋体" w:hAnsi="宋体" w:eastAsia="宋体" w:cs="宋体"/>
          <w:spacing w:val="-4"/>
          <w:sz w:val="24"/>
          <w:szCs w:val="24"/>
          <w:highlight w:val="none"/>
        </w:rPr>
        <w:t>---充分对接国土“三调</w:t>
      </w:r>
      <w:r>
        <w:rPr>
          <w:rFonts w:hint="eastAsia" w:ascii="宋体" w:hAnsi="宋体" w:eastAsia="宋体" w:cs="宋体"/>
          <w:spacing w:val="-99"/>
          <w:sz w:val="24"/>
          <w:szCs w:val="24"/>
          <w:highlight w:val="none"/>
        </w:rPr>
        <w:t xml:space="preserve"> </w:t>
      </w:r>
      <w:r>
        <w:rPr>
          <w:rFonts w:hint="eastAsia" w:ascii="宋体" w:hAnsi="宋体" w:eastAsia="宋体" w:cs="宋体"/>
          <w:spacing w:val="-4"/>
          <w:sz w:val="24"/>
          <w:szCs w:val="24"/>
          <w:highlight w:val="none"/>
        </w:rPr>
        <w:t>”数据，不占用永久基本农田及耕地；</w:t>
      </w:r>
    </w:p>
    <w:p w14:paraId="5B9ACB80">
      <w:pPr>
        <w:keepNext w:val="0"/>
        <w:keepLines w:val="0"/>
        <w:pageBreakBefore w:val="0"/>
        <w:widowControl w:val="0"/>
        <w:kinsoku/>
        <w:wordWrap/>
        <w:overflowPunct/>
        <w:topLinePunct w:val="0"/>
        <w:autoSpaceDE/>
        <w:autoSpaceDN/>
        <w:bidi w:val="0"/>
        <w:adjustRightInd/>
        <w:snapToGrid/>
        <w:spacing w:after="0" w:line="480" w:lineRule="auto"/>
        <w:ind w:left="581" w:right="209"/>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---林分退化较为严重，急需修复的地块；</w:t>
      </w:r>
    </w:p>
    <w:p w14:paraId="5A2FF2BB">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---集中连片，规模治理，整体推进，全面提升。</w:t>
      </w:r>
    </w:p>
    <w:p w14:paraId="162C50D2">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30" w:name="bookmark44"/>
      <w:bookmarkEnd w:id="130"/>
      <w:bookmarkStart w:id="131" w:name="bookmark45"/>
      <w:bookmarkEnd w:id="131"/>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.2</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作业区调查区划</w:t>
      </w:r>
    </w:p>
    <w:p w14:paraId="59B036BD">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.2.1 调查方法</w:t>
      </w:r>
    </w:p>
    <w:p w14:paraId="7DC27E75">
      <w:pPr>
        <w:keepNext w:val="0"/>
        <w:keepLines w:val="0"/>
        <w:pageBreakBefore w:val="0"/>
        <w:widowControl w:val="0"/>
        <w:kinsoku/>
        <w:wordWrap/>
        <w:overflowPunct/>
        <w:topLinePunct w:val="0"/>
        <w:autoSpaceDE/>
        <w:autoSpaceDN/>
        <w:bidi w:val="0"/>
        <w:adjustRightInd/>
        <w:snapToGrid/>
        <w:spacing w:after="0" w:line="480" w:lineRule="auto"/>
        <w:ind w:left="25" w:right="97" w:firstLine="558"/>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初步判定。依据国土三调及年度变更成果、林草生态综合监测和退化林评估数据库，结合已掌握的退化林分布状况和遥感数据，以林</w:t>
      </w:r>
      <w:r>
        <w:rPr>
          <w:rFonts w:hint="eastAsia" w:ascii="宋体" w:hAnsi="宋体" w:eastAsia="宋体" w:cs="宋体"/>
          <w:spacing w:val="6"/>
          <w:sz w:val="24"/>
          <w:szCs w:val="24"/>
          <w:highlight w:val="none"/>
        </w:rPr>
        <w:t>草生态综合监测数据为底图选取退化林评估数据库范围内图斑作为</w:t>
      </w:r>
      <w:r>
        <w:rPr>
          <w:rFonts w:hint="eastAsia" w:ascii="宋体" w:hAnsi="宋体" w:eastAsia="宋体" w:cs="宋体"/>
          <w:sz w:val="24"/>
          <w:szCs w:val="24"/>
          <w:highlight w:val="none"/>
        </w:rPr>
        <w:t xml:space="preserve"> </w:t>
      </w:r>
      <w:r>
        <w:rPr>
          <w:rFonts w:hint="eastAsia" w:ascii="宋体" w:hAnsi="宋体" w:eastAsia="宋体" w:cs="宋体"/>
          <w:spacing w:val="-1"/>
          <w:sz w:val="24"/>
          <w:szCs w:val="24"/>
          <w:highlight w:val="none"/>
        </w:rPr>
        <w:t>拟定作业设计小班进行现地调查。初步筛选地类为乔木林地。</w:t>
      </w:r>
    </w:p>
    <w:p w14:paraId="51DEEA5C">
      <w:pPr>
        <w:keepNext w:val="0"/>
        <w:keepLines w:val="0"/>
        <w:pageBreakBefore w:val="0"/>
        <w:widowControl w:val="0"/>
        <w:kinsoku/>
        <w:wordWrap/>
        <w:overflowPunct/>
        <w:topLinePunct w:val="0"/>
        <w:autoSpaceDE/>
        <w:autoSpaceDN/>
        <w:bidi w:val="0"/>
        <w:adjustRightInd/>
        <w:snapToGrid/>
        <w:spacing w:after="0" w:line="480" w:lineRule="auto"/>
        <w:ind w:left="23" w:right="98" w:firstLine="562"/>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现地调查。按照退化林界定标准对拟定作业设计小班进行逐块外业调查，现地界定退化林类别、退化等级等，并根据林分退化的现状调整作业设计小班，调查包括地理位置、立地条件、森林类别、生长</w:t>
      </w:r>
      <w:r>
        <w:rPr>
          <w:rFonts w:hint="eastAsia" w:ascii="宋体" w:hAnsi="宋体" w:eastAsia="宋体" w:cs="宋体"/>
          <w:spacing w:val="-3"/>
          <w:sz w:val="24"/>
          <w:szCs w:val="24"/>
          <w:highlight w:val="none"/>
        </w:rPr>
        <w:t>和结构因子、龄组或发育阶段、健康状况、天然更新、退化原因等，</w:t>
      </w:r>
      <w:r>
        <w:rPr>
          <w:rFonts w:hint="eastAsia" w:ascii="宋体" w:hAnsi="宋体" w:eastAsia="宋体" w:cs="宋体"/>
          <w:sz w:val="24"/>
          <w:szCs w:val="24"/>
          <w:highlight w:val="none"/>
        </w:rPr>
        <w:t>主要调查因子按 GB/T 26424</w:t>
      </w:r>
      <w:r>
        <w:rPr>
          <w:rFonts w:hint="eastAsia" w:ascii="宋体" w:hAnsi="宋体" w:eastAsia="宋体" w:cs="宋体"/>
          <w:sz w:val="24"/>
          <w:szCs w:val="24"/>
          <w:highlight w:val="none"/>
          <w:lang w:val="en-US" w:eastAsia="zh-CN"/>
        </w:rPr>
        <w:t xml:space="preserve"> </w:t>
      </w:r>
      <w:r>
        <w:rPr>
          <w:rFonts w:hint="eastAsia" w:ascii="宋体" w:hAnsi="宋体" w:eastAsia="宋体" w:cs="宋体"/>
          <w:sz w:val="24"/>
          <w:szCs w:val="24"/>
          <w:highlight w:val="none"/>
        </w:rPr>
        <w:t>执</w:t>
      </w:r>
      <w:r>
        <w:rPr>
          <w:rFonts w:hint="eastAsia" w:ascii="宋体" w:hAnsi="宋体" w:eastAsia="宋体" w:cs="宋体"/>
          <w:spacing w:val="-1"/>
          <w:sz w:val="24"/>
          <w:szCs w:val="24"/>
          <w:highlight w:val="none"/>
        </w:rPr>
        <w:t>行，并填写现状调查表。</w:t>
      </w:r>
    </w:p>
    <w:p w14:paraId="556E96C2">
      <w:pPr>
        <w:keepNext w:val="0"/>
        <w:keepLines w:val="0"/>
        <w:pageBreakBefore w:val="0"/>
        <w:widowControl w:val="0"/>
        <w:kinsoku/>
        <w:wordWrap/>
        <w:overflowPunct/>
        <w:topLinePunct w:val="0"/>
        <w:autoSpaceDE/>
        <w:autoSpaceDN/>
        <w:bidi w:val="0"/>
        <w:adjustRightInd/>
        <w:snapToGrid/>
        <w:spacing w:after="0" w:line="480" w:lineRule="auto"/>
        <w:ind w:left="25" w:firstLine="558"/>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样地调查。退化林分测树因子等调查采取样地调查方法，样地选择在修复小班中具有代表性的退化林分地段均匀布设，对拟修复小班</w:t>
      </w:r>
      <w:r>
        <w:rPr>
          <w:rFonts w:hint="eastAsia" w:ascii="宋体" w:hAnsi="宋体" w:eastAsia="宋体" w:cs="宋体"/>
          <w:spacing w:val="-7"/>
          <w:sz w:val="24"/>
          <w:szCs w:val="24"/>
          <w:highlight w:val="none"/>
        </w:rPr>
        <w:t>设置面积为</w:t>
      </w:r>
      <w:r>
        <w:rPr>
          <w:rFonts w:hint="eastAsia" w:ascii="宋体" w:hAnsi="宋体" w:eastAsia="宋体" w:cs="宋体"/>
          <w:spacing w:val="-66"/>
          <w:sz w:val="24"/>
          <w:szCs w:val="24"/>
          <w:highlight w:val="none"/>
        </w:rPr>
        <w:t xml:space="preserve"> </w:t>
      </w:r>
      <w:r>
        <w:rPr>
          <w:rFonts w:hint="eastAsia" w:ascii="宋体" w:hAnsi="宋体" w:eastAsia="宋体" w:cs="宋体"/>
          <w:spacing w:val="-7"/>
          <w:sz w:val="24"/>
          <w:szCs w:val="24"/>
          <w:highlight w:val="none"/>
        </w:rPr>
        <w:t>25.0</w:t>
      </w:r>
      <w:r>
        <w:rPr>
          <w:rFonts w:hint="eastAsia" w:ascii="宋体" w:hAnsi="宋体" w:eastAsia="宋体" w:cs="宋体"/>
          <w:spacing w:val="-68"/>
          <w:sz w:val="24"/>
          <w:szCs w:val="24"/>
          <w:highlight w:val="none"/>
        </w:rPr>
        <w:t xml:space="preserve"> </w:t>
      </w:r>
      <w:r>
        <w:rPr>
          <w:rFonts w:hint="eastAsia" w:ascii="宋体" w:hAnsi="宋体" w:eastAsia="宋体" w:cs="宋体"/>
          <w:spacing w:val="-7"/>
          <w:sz w:val="24"/>
          <w:szCs w:val="24"/>
          <w:highlight w:val="none"/>
        </w:rPr>
        <w:t>米×25.0</w:t>
      </w:r>
      <w:r>
        <w:rPr>
          <w:rFonts w:hint="eastAsia" w:ascii="宋体" w:hAnsi="宋体" w:eastAsia="宋体" w:cs="宋体"/>
          <w:spacing w:val="-68"/>
          <w:sz w:val="24"/>
          <w:szCs w:val="24"/>
          <w:highlight w:val="none"/>
        </w:rPr>
        <w:t xml:space="preserve"> </w:t>
      </w:r>
      <w:r>
        <w:rPr>
          <w:rFonts w:hint="eastAsia" w:ascii="宋体" w:hAnsi="宋体" w:eastAsia="宋体" w:cs="宋体"/>
          <w:spacing w:val="-7"/>
          <w:sz w:val="24"/>
          <w:szCs w:val="24"/>
          <w:highlight w:val="none"/>
        </w:rPr>
        <w:t>米的典型标准地，依</w:t>
      </w:r>
      <w:r>
        <w:rPr>
          <w:rFonts w:hint="eastAsia" w:ascii="宋体" w:hAnsi="宋体" w:eastAsia="宋体" w:cs="宋体"/>
          <w:spacing w:val="-8"/>
          <w:sz w:val="24"/>
          <w:szCs w:val="24"/>
          <w:highlight w:val="none"/>
        </w:rPr>
        <w:t>据退化林分小班面积，</w:t>
      </w:r>
      <w:r>
        <w:rPr>
          <w:rFonts w:hint="eastAsia" w:ascii="宋体" w:hAnsi="宋体" w:eastAsia="宋体" w:cs="宋体"/>
          <w:sz w:val="24"/>
          <w:szCs w:val="24"/>
          <w:highlight w:val="none"/>
        </w:rPr>
        <w:t>确定样地数量(小于</w:t>
      </w:r>
      <w:r>
        <w:rPr>
          <w:rFonts w:hint="eastAsia" w:ascii="宋体" w:hAnsi="宋体" w:eastAsia="宋体" w:cs="宋体"/>
          <w:spacing w:val="-32"/>
          <w:sz w:val="24"/>
          <w:szCs w:val="24"/>
          <w:highlight w:val="none"/>
        </w:rPr>
        <w:t xml:space="preserve"> </w:t>
      </w:r>
      <w:r>
        <w:rPr>
          <w:rFonts w:hint="eastAsia" w:ascii="宋体" w:hAnsi="宋体" w:eastAsia="宋体" w:cs="宋体"/>
          <w:sz w:val="24"/>
          <w:szCs w:val="24"/>
          <w:highlight w:val="none"/>
        </w:rPr>
        <w:t>1.0</w:t>
      </w:r>
      <w:r>
        <w:rPr>
          <w:rFonts w:hint="eastAsia" w:ascii="宋体" w:hAnsi="宋体" w:eastAsia="宋体" w:cs="宋体"/>
          <w:spacing w:val="-47"/>
          <w:sz w:val="24"/>
          <w:szCs w:val="24"/>
          <w:highlight w:val="none"/>
        </w:rPr>
        <w:t xml:space="preserve"> </w:t>
      </w:r>
      <w:r>
        <w:rPr>
          <w:rFonts w:hint="eastAsia" w:ascii="宋体" w:hAnsi="宋体" w:eastAsia="宋体" w:cs="宋体"/>
          <w:sz w:val="24"/>
          <w:szCs w:val="24"/>
          <w:highlight w:val="none"/>
        </w:rPr>
        <w:t>公顷1</w:t>
      </w:r>
      <w:r>
        <w:rPr>
          <w:rFonts w:hint="eastAsia" w:ascii="宋体" w:hAnsi="宋体" w:eastAsia="宋体" w:cs="宋体"/>
          <w:spacing w:val="-54"/>
          <w:sz w:val="24"/>
          <w:szCs w:val="24"/>
          <w:highlight w:val="none"/>
        </w:rPr>
        <w:t xml:space="preserve"> </w:t>
      </w:r>
      <w:r>
        <w:rPr>
          <w:rFonts w:hint="eastAsia" w:ascii="宋体" w:hAnsi="宋体" w:eastAsia="宋体" w:cs="宋体"/>
          <w:sz w:val="24"/>
          <w:szCs w:val="24"/>
          <w:highlight w:val="none"/>
        </w:rPr>
        <w:t>块，1.0～5.</w:t>
      </w:r>
      <w:r>
        <w:rPr>
          <w:rFonts w:hint="eastAsia" w:ascii="宋体" w:hAnsi="宋体" w:eastAsia="宋体" w:cs="宋体"/>
          <w:spacing w:val="-1"/>
          <w:sz w:val="24"/>
          <w:szCs w:val="24"/>
          <w:highlight w:val="none"/>
        </w:rPr>
        <w:t>0</w:t>
      </w:r>
      <w:r>
        <w:rPr>
          <w:rFonts w:hint="eastAsia" w:ascii="宋体" w:hAnsi="宋体" w:eastAsia="宋体" w:cs="宋体"/>
          <w:spacing w:val="-44"/>
          <w:sz w:val="24"/>
          <w:szCs w:val="24"/>
          <w:highlight w:val="none"/>
        </w:rPr>
        <w:t xml:space="preserve"> </w:t>
      </w:r>
      <w:r>
        <w:rPr>
          <w:rFonts w:hint="eastAsia" w:ascii="宋体" w:hAnsi="宋体" w:eastAsia="宋体" w:cs="宋体"/>
          <w:spacing w:val="-1"/>
          <w:sz w:val="24"/>
          <w:szCs w:val="24"/>
          <w:highlight w:val="none"/>
        </w:rPr>
        <w:t>公顷 2</w:t>
      </w:r>
      <w:r>
        <w:rPr>
          <w:rFonts w:hint="eastAsia" w:ascii="宋体" w:hAnsi="宋体" w:eastAsia="宋体" w:cs="宋体"/>
          <w:spacing w:val="-54"/>
          <w:sz w:val="24"/>
          <w:szCs w:val="24"/>
          <w:highlight w:val="none"/>
        </w:rPr>
        <w:t xml:space="preserve"> </w:t>
      </w:r>
      <w:r>
        <w:rPr>
          <w:rFonts w:hint="eastAsia" w:ascii="宋体" w:hAnsi="宋体" w:eastAsia="宋体" w:cs="宋体"/>
          <w:spacing w:val="-1"/>
          <w:sz w:val="24"/>
          <w:szCs w:val="24"/>
          <w:highlight w:val="none"/>
        </w:rPr>
        <w:t>块，大于</w:t>
      </w:r>
      <w:r>
        <w:rPr>
          <w:rFonts w:hint="eastAsia" w:ascii="宋体" w:hAnsi="宋体" w:eastAsia="宋体" w:cs="宋体"/>
          <w:spacing w:val="-49"/>
          <w:sz w:val="24"/>
          <w:szCs w:val="24"/>
          <w:highlight w:val="none"/>
        </w:rPr>
        <w:t xml:space="preserve"> </w:t>
      </w:r>
      <w:r>
        <w:rPr>
          <w:rFonts w:hint="eastAsia" w:ascii="宋体" w:hAnsi="宋体" w:eastAsia="宋体" w:cs="宋体"/>
          <w:spacing w:val="-1"/>
          <w:sz w:val="24"/>
          <w:szCs w:val="24"/>
          <w:highlight w:val="none"/>
        </w:rPr>
        <w:t>5.0</w:t>
      </w:r>
      <w:r>
        <w:rPr>
          <w:rFonts w:hint="eastAsia" w:ascii="宋体" w:hAnsi="宋体" w:eastAsia="宋体" w:cs="宋体"/>
          <w:spacing w:val="3"/>
          <w:sz w:val="24"/>
          <w:szCs w:val="24"/>
          <w:highlight w:val="none"/>
        </w:rPr>
        <w:t>公顷3</w:t>
      </w:r>
      <w:r>
        <w:rPr>
          <w:rFonts w:hint="eastAsia" w:ascii="宋体" w:hAnsi="宋体" w:eastAsia="宋体" w:cs="宋体"/>
          <w:spacing w:val="-56"/>
          <w:sz w:val="24"/>
          <w:szCs w:val="24"/>
          <w:highlight w:val="none"/>
        </w:rPr>
        <w:t xml:space="preserve"> </w:t>
      </w:r>
      <w:r>
        <w:rPr>
          <w:rFonts w:hint="eastAsia" w:ascii="宋体" w:hAnsi="宋体" w:eastAsia="宋体" w:cs="宋体"/>
          <w:spacing w:val="3"/>
          <w:sz w:val="24"/>
          <w:szCs w:val="24"/>
          <w:highlight w:val="none"/>
        </w:rPr>
        <w:t>块)，人工林标准地总面积不低于作业设计</w:t>
      </w:r>
      <w:r>
        <w:rPr>
          <w:rFonts w:hint="eastAsia" w:ascii="宋体" w:hAnsi="宋体" w:eastAsia="宋体" w:cs="宋体"/>
          <w:spacing w:val="2"/>
          <w:sz w:val="24"/>
          <w:szCs w:val="24"/>
          <w:highlight w:val="none"/>
        </w:rPr>
        <w:t>小班面积的1%</w:t>
      </w:r>
      <w:r>
        <w:rPr>
          <w:rFonts w:hint="eastAsia" w:ascii="宋体" w:hAnsi="宋体" w:eastAsia="宋体" w:cs="宋体"/>
          <w:spacing w:val="2"/>
          <w:sz w:val="24"/>
          <w:szCs w:val="24"/>
          <w:highlight w:val="none"/>
          <w:lang w:eastAsia="zh-CN"/>
        </w:rPr>
        <w:t>，</w:t>
      </w:r>
      <w:r>
        <w:rPr>
          <w:rFonts w:hint="eastAsia" w:ascii="宋体" w:hAnsi="宋体" w:eastAsia="宋体" w:cs="宋体"/>
          <w:spacing w:val="1"/>
          <w:sz w:val="24"/>
          <w:szCs w:val="24"/>
          <w:highlight w:val="none"/>
        </w:rPr>
        <w:t>天然林标准地总面积不低于作业设计小班面积的1.5%。每个小班至</w:t>
      </w:r>
      <w:r>
        <w:rPr>
          <w:rFonts w:hint="eastAsia" w:ascii="宋体" w:hAnsi="宋体" w:eastAsia="宋体" w:cs="宋体"/>
          <w:spacing w:val="-5"/>
          <w:sz w:val="24"/>
          <w:szCs w:val="24"/>
          <w:highlight w:val="none"/>
        </w:rPr>
        <w:t>少1块标准地。</w:t>
      </w:r>
    </w:p>
    <w:p w14:paraId="795DDD55">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6"/>
          <w:sz w:val="24"/>
          <w:szCs w:val="24"/>
          <w:highlight w:val="none"/>
          <w:lang w:val="en-US" w:eastAsia="zh-CN"/>
        </w:rPr>
        <w:t>3</w:t>
      </w:r>
      <w:r>
        <w:rPr>
          <w:rFonts w:hint="eastAsia" w:ascii="宋体" w:hAnsi="宋体" w:eastAsia="宋体" w:cs="宋体"/>
          <w:b/>
          <w:bCs/>
          <w:spacing w:val="-6"/>
          <w:sz w:val="24"/>
          <w:szCs w:val="24"/>
          <w:highlight w:val="none"/>
        </w:rPr>
        <w:t>.1.2</w:t>
      </w:r>
      <w:r>
        <w:rPr>
          <w:rFonts w:hint="eastAsia" w:ascii="宋体" w:hAnsi="宋体" w:eastAsia="宋体" w:cs="宋体"/>
          <w:b/>
          <w:bCs/>
          <w:spacing w:val="29"/>
          <w:w w:val="101"/>
          <w:sz w:val="24"/>
          <w:szCs w:val="24"/>
          <w:highlight w:val="none"/>
        </w:rPr>
        <w:t xml:space="preserve"> </w:t>
      </w:r>
      <w:r>
        <w:rPr>
          <w:rFonts w:hint="eastAsia" w:ascii="宋体" w:hAnsi="宋体" w:eastAsia="宋体" w:cs="宋体"/>
          <w:b/>
          <w:bCs/>
          <w:spacing w:val="-6"/>
          <w:sz w:val="24"/>
          <w:szCs w:val="24"/>
          <w:highlight w:val="none"/>
        </w:rPr>
        <w:t>区划系统</w:t>
      </w:r>
    </w:p>
    <w:p w14:paraId="2EF27E5F">
      <w:pPr>
        <w:keepNext w:val="0"/>
        <w:keepLines w:val="0"/>
        <w:pageBreakBefore w:val="0"/>
        <w:widowControl w:val="0"/>
        <w:kinsoku/>
        <w:wordWrap/>
        <w:overflowPunct/>
        <w:topLinePunct w:val="0"/>
        <w:autoSpaceDE/>
        <w:autoSpaceDN/>
        <w:bidi w:val="0"/>
        <w:adjustRightInd/>
        <w:snapToGrid/>
        <w:spacing w:after="0" w:line="480" w:lineRule="auto"/>
        <w:ind w:left="23" w:firstLine="561"/>
        <w:jc w:val="both"/>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本次区划采用乡镇-行政村-小班三级区划，以县为单位编制方</w:t>
      </w:r>
      <w:r>
        <w:rPr>
          <w:rFonts w:hint="eastAsia" w:ascii="宋体" w:hAnsi="宋体" w:eastAsia="宋体" w:cs="宋体"/>
          <w:spacing w:val="-4"/>
          <w:sz w:val="24"/>
          <w:szCs w:val="24"/>
          <w:highlight w:val="none"/>
        </w:rPr>
        <w:t>案、组织施工，以行政村为一级统计单位，小班是调查实施和组织施</w:t>
      </w:r>
      <w:r>
        <w:rPr>
          <w:rFonts w:hint="eastAsia" w:ascii="宋体" w:hAnsi="宋体" w:eastAsia="宋体" w:cs="宋体"/>
          <w:spacing w:val="-10"/>
          <w:sz w:val="24"/>
          <w:szCs w:val="24"/>
          <w:highlight w:val="none"/>
        </w:rPr>
        <w:t>工的最小单位。主要以自然小地形为基础，依地类、树种、地形地貌，</w:t>
      </w:r>
      <w:r>
        <w:rPr>
          <w:rFonts w:hint="eastAsia" w:ascii="宋体" w:hAnsi="宋体" w:eastAsia="宋体" w:cs="宋体"/>
          <w:spacing w:val="-4"/>
          <w:sz w:val="24"/>
          <w:szCs w:val="24"/>
          <w:highlight w:val="none"/>
        </w:rPr>
        <w:t>林地类别、林分结构、立地条件等因素，按照林木退化类型和退化程度等区划小班，主要针对不同林分结构、退化类型、退化程度为主要</w:t>
      </w:r>
      <w:r>
        <w:rPr>
          <w:rFonts w:hint="eastAsia" w:ascii="宋体" w:hAnsi="宋体" w:eastAsia="宋体" w:cs="宋体"/>
          <w:spacing w:val="-1"/>
          <w:sz w:val="24"/>
          <w:szCs w:val="24"/>
          <w:highlight w:val="none"/>
        </w:rPr>
        <w:t>区划依据，以行政村为单位对小班进行统一编号。</w:t>
      </w:r>
    </w:p>
    <w:p w14:paraId="42A38390">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5"/>
          <w:sz w:val="24"/>
          <w:szCs w:val="24"/>
          <w:highlight w:val="none"/>
          <w:lang w:val="en-US" w:eastAsia="zh-CN"/>
        </w:rPr>
        <w:t>3</w:t>
      </w:r>
      <w:r>
        <w:rPr>
          <w:rFonts w:hint="eastAsia" w:ascii="宋体" w:hAnsi="宋体" w:eastAsia="宋体" w:cs="宋体"/>
          <w:b/>
          <w:bCs/>
          <w:spacing w:val="-5"/>
          <w:sz w:val="24"/>
          <w:szCs w:val="24"/>
          <w:highlight w:val="none"/>
        </w:rPr>
        <w:t>.1.3</w:t>
      </w:r>
      <w:r>
        <w:rPr>
          <w:rFonts w:hint="eastAsia" w:ascii="宋体" w:hAnsi="宋体" w:eastAsia="宋体" w:cs="宋体"/>
          <w:b/>
          <w:bCs/>
          <w:spacing w:val="20"/>
          <w:w w:val="101"/>
          <w:sz w:val="24"/>
          <w:szCs w:val="24"/>
          <w:highlight w:val="none"/>
        </w:rPr>
        <w:t xml:space="preserve"> </w:t>
      </w:r>
      <w:r>
        <w:rPr>
          <w:rFonts w:hint="eastAsia" w:ascii="宋体" w:hAnsi="宋体" w:eastAsia="宋体" w:cs="宋体"/>
          <w:b/>
          <w:bCs/>
          <w:spacing w:val="-5"/>
          <w:sz w:val="24"/>
          <w:szCs w:val="24"/>
          <w:highlight w:val="none"/>
        </w:rPr>
        <w:t>区划结果</w:t>
      </w:r>
    </w:p>
    <w:p w14:paraId="661BD628">
      <w:pPr>
        <w:keepNext w:val="0"/>
        <w:keepLines w:val="0"/>
        <w:pageBreakBefore w:val="0"/>
        <w:widowControl w:val="0"/>
        <w:kinsoku/>
        <w:wordWrap/>
        <w:overflowPunct/>
        <w:topLinePunct w:val="0"/>
        <w:autoSpaceDE/>
        <w:autoSpaceDN/>
        <w:bidi w:val="0"/>
        <w:adjustRightInd/>
        <w:snapToGrid/>
        <w:spacing w:after="0" w:line="480" w:lineRule="auto"/>
        <w:ind w:left="26" w:right="76" w:firstLine="563"/>
        <w:jc w:val="both"/>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商洛市秦岭中段（南麓）水源涵养与生物多样性保护恢复项目</w:t>
      </w:r>
      <w:r>
        <w:rPr>
          <w:rFonts w:hint="eastAsia" w:ascii="宋体" w:hAnsi="宋体" w:eastAsia="宋体" w:cs="宋体"/>
          <w:spacing w:val="3"/>
          <w:sz w:val="24"/>
          <w:szCs w:val="24"/>
          <w:highlight w:val="none"/>
        </w:rPr>
        <w:t>2024</w:t>
      </w:r>
      <w:r>
        <w:rPr>
          <w:rFonts w:hint="eastAsia" w:ascii="宋体" w:hAnsi="宋体" w:eastAsia="宋体" w:cs="宋体"/>
          <w:spacing w:val="-55"/>
          <w:sz w:val="24"/>
          <w:szCs w:val="24"/>
          <w:highlight w:val="none"/>
        </w:rPr>
        <w:t xml:space="preserve"> </w:t>
      </w:r>
      <w:r>
        <w:rPr>
          <w:rFonts w:hint="eastAsia" w:ascii="宋体" w:hAnsi="宋体" w:eastAsia="宋体" w:cs="宋体"/>
          <w:spacing w:val="3"/>
          <w:sz w:val="24"/>
          <w:szCs w:val="24"/>
          <w:highlight w:val="none"/>
        </w:rPr>
        <w:t>年山阳县退化林修复作业区位于天竺山镇的三宫殿</w:t>
      </w:r>
      <w:r>
        <w:rPr>
          <w:rFonts w:hint="eastAsia" w:ascii="宋体" w:hAnsi="宋体" w:eastAsia="宋体" w:cs="宋体"/>
          <w:spacing w:val="2"/>
          <w:sz w:val="24"/>
          <w:szCs w:val="24"/>
          <w:highlight w:val="none"/>
        </w:rPr>
        <w:t>村、柳山坡</w:t>
      </w:r>
      <w:r>
        <w:rPr>
          <w:rFonts w:hint="eastAsia" w:ascii="宋体" w:hAnsi="宋体" w:eastAsia="宋体" w:cs="宋体"/>
          <w:spacing w:val="-4"/>
          <w:sz w:val="24"/>
          <w:szCs w:val="24"/>
          <w:highlight w:val="none"/>
        </w:rPr>
        <w:t>村、阳坡村、湾坪村、长沟街社区，银花镇寺北沟村、银花社区、湘</w:t>
      </w:r>
      <w:r>
        <w:rPr>
          <w:rFonts w:hint="eastAsia" w:ascii="宋体" w:hAnsi="宋体" w:eastAsia="宋体" w:cs="宋体"/>
          <w:spacing w:val="-9"/>
          <w:sz w:val="24"/>
          <w:szCs w:val="24"/>
          <w:highlight w:val="none"/>
        </w:rPr>
        <w:t>子店村、梅子沟村、孙家湾村，延坪镇龙洞沟村</w:t>
      </w:r>
      <w:r>
        <w:rPr>
          <w:rFonts w:hint="eastAsia" w:ascii="宋体" w:hAnsi="宋体" w:eastAsia="宋体" w:cs="宋体"/>
          <w:spacing w:val="-10"/>
          <w:sz w:val="24"/>
          <w:szCs w:val="24"/>
          <w:highlight w:val="none"/>
        </w:rPr>
        <w:t>、铁炉子村、西河村、</w:t>
      </w:r>
      <w:r>
        <w:rPr>
          <w:rFonts w:hint="eastAsia" w:ascii="宋体" w:hAnsi="宋体" w:eastAsia="宋体" w:cs="宋体"/>
          <w:spacing w:val="-4"/>
          <w:sz w:val="24"/>
          <w:szCs w:val="24"/>
          <w:highlight w:val="none"/>
        </w:rPr>
        <w:t>马家店村、白龙村。共涉及</w:t>
      </w:r>
      <w:r>
        <w:rPr>
          <w:rFonts w:hint="eastAsia" w:ascii="宋体" w:hAnsi="宋体" w:eastAsia="宋体" w:cs="宋体"/>
          <w:spacing w:val="-44"/>
          <w:sz w:val="24"/>
          <w:szCs w:val="24"/>
          <w:highlight w:val="none"/>
        </w:rPr>
        <w:t xml:space="preserve"> </w:t>
      </w:r>
      <w:r>
        <w:rPr>
          <w:rFonts w:hint="eastAsia" w:ascii="宋体" w:hAnsi="宋体" w:eastAsia="宋体" w:cs="宋体"/>
          <w:spacing w:val="-4"/>
          <w:sz w:val="24"/>
          <w:szCs w:val="24"/>
          <w:highlight w:val="none"/>
        </w:rPr>
        <w:t>3</w:t>
      </w:r>
      <w:r>
        <w:rPr>
          <w:rFonts w:hint="eastAsia" w:ascii="宋体" w:hAnsi="宋体" w:eastAsia="宋体" w:cs="宋体"/>
          <w:spacing w:val="-58"/>
          <w:sz w:val="24"/>
          <w:szCs w:val="24"/>
          <w:highlight w:val="none"/>
        </w:rPr>
        <w:t xml:space="preserve"> </w:t>
      </w:r>
      <w:r>
        <w:rPr>
          <w:rFonts w:hint="eastAsia" w:ascii="宋体" w:hAnsi="宋体" w:eastAsia="宋体" w:cs="宋体"/>
          <w:spacing w:val="-4"/>
          <w:sz w:val="24"/>
          <w:szCs w:val="24"/>
          <w:highlight w:val="none"/>
        </w:rPr>
        <w:t>个镇（街办）15</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个行政村（社区）。项目区小班面积</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46125.0</w:t>
      </w:r>
      <w:r>
        <w:rPr>
          <w:rFonts w:hint="eastAsia" w:ascii="宋体" w:hAnsi="宋体" w:eastAsia="宋体" w:cs="宋体"/>
          <w:spacing w:val="-60"/>
          <w:sz w:val="24"/>
          <w:szCs w:val="24"/>
          <w:highlight w:val="none"/>
        </w:rPr>
        <w:t xml:space="preserve"> </w:t>
      </w:r>
      <w:r>
        <w:rPr>
          <w:rFonts w:hint="eastAsia" w:ascii="宋体" w:hAnsi="宋体" w:eastAsia="宋体" w:cs="宋体"/>
          <w:spacing w:val="-4"/>
          <w:sz w:val="24"/>
          <w:szCs w:val="24"/>
          <w:highlight w:val="none"/>
        </w:rPr>
        <w:t>亩，作业面积</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44000</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亩，其中新造油茶</w:t>
      </w:r>
      <w:r>
        <w:rPr>
          <w:rFonts w:hint="eastAsia" w:ascii="宋体" w:hAnsi="宋体" w:eastAsia="宋体" w:cs="宋体"/>
          <w:spacing w:val="-5"/>
          <w:sz w:val="24"/>
          <w:szCs w:val="24"/>
          <w:highlight w:val="none"/>
        </w:rPr>
        <w:t>面积</w:t>
      </w:r>
      <w:r>
        <w:rPr>
          <w:rFonts w:hint="eastAsia" w:ascii="宋体" w:hAnsi="宋体" w:eastAsia="宋体" w:cs="宋体"/>
          <w:spacing w:val="-3"/>
          <w:sz w:val="24"/>
          <w:szCs w:val="24"/>
          <w:highlight w:val="none"/>
        </w:rPr>
        <w:t>4000.0</w:t>
      </w:r>
      <w:r>
        <w:rPr>
          <w:rFonts w:hint="eastAsia" w:ascii="宋体" w:hAnsi="宋体" w:eastAsia="宋体" w:cs="宋体"/>
          <w:spacing w:val="-47"/>
          <w:sz w:val="24"/>
          <w:szCs w:val="24"/>
          <w:highlight w:val="none"/>
        </w:rPr>
        <w:t xml:space="preserve"> </w:t>
      </w:r>
      <w:r>
        <w:rPr>
          <w:rFonts w:hint="eastAsia" w:ascii="宋体" w:hAnsi="宋体" w:eastAsia="宋体" w:cs="宋体"/>
          <w:spacing w:val="-3"/>
          <w:sz w:val="24"/>
          <w:szCs w:val="24"/>
          <w:highlight w:val="none"/>
        </w:rPr>
        <w:t>亩。项目区共区划作业区</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15</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个，作业小班</w:t>
      </w:r>
      <w:r>
        <w:rPr>
          <w:rFonts w:hint="eastAsia" w:ascii="宋体" w:hAnsi="宋体" w:eastAsia="宋体" w:cs="宋体"/>
          <w:spacing w:val="-54"/>
          <w:sz w:val="24"/>
          <w:szCs w:val="24"/>
          <w:highlight w:val="none"/>
        </w:rPr>
        <w:t xml:space="preserve"> </w:t>
      </w:r>
      <w:r>
        <w:rPr>
          <w:rFonts w:hint="eastAsia" w:ascii="宋体" w:hAnsi="宋体" w:eastAsia="宋体" w:cs="宋体"/>
          <w:spacing w:val="-3"/>
          <w:sz w:val="24"/>
          <w:szCs w:val="24"/>
          <w:highlight w:val="none"/>
        </w:rPr>
        <w:t>252</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个，其中：</w:t>
      </w:r>
    </w:p>
    <w:p w14:paraId="6154A37C">
      <w:pPr>
        <w:keepNext w:val="0"/>
        <w:keepLines w:val="0"/>
        <w:pageBreakBefore w:val="0"/>
        <w:widowControl w:val="0"/>
        <w:kinsoku/>
        <w:wordWrap/>
        <w:overflowPunct/>
        <w:topLinePunct w:val="0"/>
        <w:autoSpaceDE/>
        <w:autoSpaceDN/>
        <w:bidi w:val="0"/>
        <w:adjustRightInd/>
        <w:snapToGrid/>
        <w:spacing w:after="0" w:line="480" w:lineRule="auto"/>
        <w:ind w:left="25" w:right="98" w:firstLine="567"/>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（1）天竺山镇：退化林修复任务</w:t>
      </w:r>
      <w:r>
        <w:rPr>
          <w:rFonts w:hint="eastAsia" w:ascii="宋体" w:hAnsi="宋体" w:eastAsia="宋体" w:cs="宋体"/>
          <w:spacing w:val="-24"/>
          <w:sz w:val="24"/>
          <w:szCs w:val="24"/>
          <w:highlight w:val="none"/>
        </w:rPr>
        <w:t xml:space="preserve"> </w:t>
      </w:r>
      <w:r>
        <w:rPr>
          <w:rFonts w:hint="eastAsia" w:ascii="宋体" w:hAnsi="宋体" w:eastAsia="宋体" w:cs="宋体"/>
          <w:spacing w:val="-1"/>
          <w:sz w:val="24"/>
          <w:szCs w:val="24"/>
          <w:highlight w:val="none"/>
        </w:rPr>
        <w:t>10000.0</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亩，其中三宫殿村面</w:t>
      </w:r>
      <w:r>
        <w:rPr>
          <w:rFonts w:hint="eastAsia" w:ascii="宋体" w:hAnsi="宋体" w:eastAsia="宋体" w:cs="宋体"/>
          <w:spacing w:val="-10"/>
          <w:sz w:val="24"/>
          <w:szCs w:val="24"/>
          <w:highlight w:val="none"/>
        </w:rPr>
        <w:t>积</w:t>
      </w:r>
      <w:r>
        <w:rPr>
          <w:rFonts w:hint="eastAsia" w:ascii="宋体" w:hAnsi="宋体" w:eastAsia="宋体" w:cs="宋体"/>
          <w:spacing w:val="-39"/>
          <w:sz w:val="24"/>
          <w:szCs w:val="24"/>
          <w:highlight w:val="none"/>
        </w:rPr>
        <w:t xml:space="preserve"> </w:t>
      </w:r>
      <w:r>
        <w:rPr>
          <w:rFonts w:hint="eastAsia" w:ascii="宋体" w:hAnsi="宋体" w:eastAsia="宋体" w:cs="宋体"/>
          <w:spacing w:val="-10"/>
          <w:sz w:val="24"/>
          <w:szCs w:val="24"/>
          <w:highlight w:val="none"/>
        </w:rPr>
        <w:t>1910.0</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亩、柳山坡村</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4030.0</w:t>
      </w:r>
      <w:r>
        <w:rPr>
          <w:rFonts w:hint="eastAsia" w:ascii="宋体" w:hAnsi="宋体" w:eastAsia="宋体" w:cs="宋体"/>
          <w:spacing w:val="-60"/>
          <w:sz w:val="24"/>
          <w:szCs w:val="24"/>
          <w:highlight w:val="none"/>
        </w:rPr>
        <w:t xml:space="preserve"> </w:t>
      </w:r>
      <w:r>
        <w:rPr>
          <w:rFonts w:hint="eastAsia" w:ascii="宋体" w:hAnsi="宋体" w:eastAsia="宋体" w:cs="宋体"/>
          <w:spacing w:val="-10"/>
          <w:sz w:val="24"/>
          <w:szCs w:val="24"/>
          <w:highlight w:val="none"/>
        </w:rPr>
        <w:t>亩、</w:t>
      </w:r>
      <w:r>
        <w:rPr>
          <w:rFonts w:hint="eastAsia" w:ascii="宋体" w:hAnsi="宋体" w:eastAsia="宋体" w:cs="宋体"/>
          <w:spacing w:val="-11"/>
          <w:sz w:val="24"/>
          <w:szCs w:val="24"/>
          <w:highlight w:val="none"/>
        </w:rPr>
        <w:t>阳坡村</w:t>
      </w:r>
      <w:r>
        <w:rPr>
          <w:rFonts w:hint="eastAsia" w:ascii="宋体" w:hAnsi="宋体" w:eastAsia="宋体" w:cs="宋体"/>
          <w:spacing w:val="-39"/>
          <w:sz w:val="24"/>
          <w:szCs w:val="24"/>
          <w:highlight w:val="none"/>
        </w:rPr>
        <w:t xml:space="preserve"> </w:t>
      </w:r>
      <w:r>
        <w:rPr>
          <w:rFonts w:hint="eastAsia" w:ascii="宋体" w:hAnsi="宋体" w:eastAsia="宋体" w:cs="宋体"/>
          <w:spacing w:val="-11"/>
          <w:sz w:val="24"/>
          <w:szCs w:val="24"/>
          <w:highlight w:val="none"/>
        </w:rPr>
        <w:t>1430.0</w:t>
      </w:r>
      <w:r>
        <w:rPr>
          <w:rFonts w:hint="eastAsia" w:ascii="宋体" w:hAnsi="宋体" w:eastAsia="宋体" w:cs="宋体"/>
          <w:spacing w:val="-61"/>
          <w:sz w:val="24"/>
          <w:szCs w:val="24"/>
          <w:highlight w:val="none"/>
        </w:rPr>
        <w:t xml:space="preserve"> </w:t>
      </w:r>
      <w:r>
        <w:rPr>
          <w:rFonts w:hint="eastAsia" w:ascii="宋体" w:hAnsi="宋体" w:eastAsia="宋体" w:cs="宋体"/>
          <w:spacing w:val="-11"/>
          <w:sz w:val="24"/>
          <w:szCs w:val="24"/>
          <w:highlight w:val="none"/>
        </w:rPr>
        <w:t>亩、湾坪村</w:t>
      </w:r>
      <w:r>
        <w:rPr>
          <w:rFonts w:hint="eastAsia" w:ascii="宋体" w:hAnsi="宋体" w:eastAsia="宋体" w:cs="宋体"/>
          <w:spacing w:val="-56"/>
          <w:sz w:val="24"/>
          <w:szCs w:val="24"/>
          <w:highlight w:val="none"/>
        </w:rPr>
        <w:t xml:space="preserve"> </w:t>
      </w:r>
      <w:r>
        <w:rPr>
          <w:rFonts w:hint="eastAsia" w:ascii="宋体" w:hAnsi="宋体" w:eastAsia="宋体" w:cs="宋体"/>
          <w:spacing w:val="-11"/>
          <w:sz w:val="24"/>
          <w:szCs w:val="24"/>
          <w:highlight w:val="none"/>
        </w:rPr>
        <w:t>2180.0</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亩，长沟街社区</w:t>
      </w:r>
      <w:r>
        <w:rPr>
          <w:rFonts w:hint="eastAsia" w:ascii="宋体" w:hAnsi="宋体" w:eastAsia="宋体" w:cs="宋体"/>
          <w:spacing w:val="-44"/>
          <w:sz w:val="24"/>
          <w:szCs w:val="24"/>
          <w:highlight w:val="none"/>
        </w:rPr>
        <w:t xml:space="preserve"> </w:t>
      </w:r>
      <w:r>
        <w:rPr>
          <w:rFonts w:hint="eastAsia" w:ascii="宋体" w:hAnsi="宋体" w:eastAsia="宋体" w:cs="宋体"/>
          <w:spacing w:val="-2"/>
          <w:sz w:val="24"/>
          <w:szCs w:val="24"/>
          <w:highlight w:val="none"/>
        </w:rPr>
        <w:t>450.0</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亩，全部为退化林修复。</w:t>
      </w:r>
    </w:p>
    <w:p w14:paraId="6B9FACA4">
      <w:pPr>
        <w:keepNext w:val="0"/>
        <w:keepLines w:val="0"/>
        <w:pageBreakBefore w:val="0"/>
        <w:widowControl w:val="0"/>
        <w:kinsoku/>
        <w:wordWrap/>
        <w:overflowPunct/>
        <w:topLinePunct w:val="0"/>
        <w:autoSpaceDE/>
        <w:autoSpaceDN/>
        <w:bidi w:val="0"/>
        <w:adjustRightInd/>
        <w:snapToGrid/>
        <w:spacing w:after="0" w:line="480" w:lineRule="auto"/>
        <w:ind w:left="26" w:right="97" w:firstLine="566"/>
        <w:textAlignment w:val="auto"/>
        <w:rPr>
          <w:rFonts w:hint="eastAsia" w:ascii="宋体" w:hAnsi="宋体" w:eastAsia="宋体" w:cs="宋体"/>
          <w:spacing w:val="-10"/>
          <w:sz w:val="24"/>
          <w:szCs w:val="24"/>
          <w:highlight w:val="none"/>
        </w:rPr>
      </w:pPr>
      <w:r>
        <w:rPr>
          <w:rFonts w:hint="eastAsia" w:ascii="宋体" w:hAnsi="宋体" w:eastAsia="宋体" w:cs="宋体"/>
          <w:spacing w:val="-10"/>
          <w:sz w:val="24"/>
          <w:szCs w:val="24"/>
          <w:highlight w:val="none"/>
        </w:rPr>
        <w:t>（2）银花镇：退化林修复任务 30000.0 亩，其中寺北沟村 2485.0 亩、银花社区 2335.0亩、湘子店村 7380.0 亩，梅子沟村</w:t>
      </w:r>
      <w:r>
        <w:rPr>
          <w:rFonts w:hint="eastAsia" w:ascii="宋体" w:hAnsi="宋体" w:eastAsia="宋体" w:cs="宋体"/>
          <w:spacing w:val="-10"/>
          <w:sz w:val="24"/>
          <w:szCs w:val="24"/>
          <w:highlight w:val="none"/>
          <w:lang w:val="en-US" w:eastAsia="zh-CN"/>
        </w:rPr>
        <w:t>930.0亩，孙家湾村16870.0亩，</w:t>
      </w:r>
      <w:r>
        <w:rPr>
          <w:rFonts w:hint="eastAsia" w:ascii="宋体" w:hAnsi="宋体" w:eastAsia="宋体" w:cs="宋体"/>
          <w:spacing w:val="-10"/>
          <w:sz w:val="24"/>
          <w:szCs w:val="24"/>
          <w:highlight w:val="none"/>
        </w:rPr>
        <w:t>全部为退化林修复。</w:t>
      </w:r>
    </w:p>
    <w:p w14:paraId="5AED39B1">
      <w:pPr>
        <w:keepNext w:val="0"/>
        <w:keepLines w:val="0"/>
        <w:pageBreakBefore w:val="0"/>
        <w:widowControl w:val="0"/>
        <w:kinsoku/>
        <w:wordWrap/>
        <w:overflowPunct/>
        <w:topLinePunct w:val="0"/>
        <w:autoSpaceDE/>
        <w:autoSpaceDN/>
        <w:bidi w:val="0"/>
        <w:adjustRightInd/>
        <w:snapToGrid/>
        <w:spacing w:after="0" w:line="480" w:lineRule="auto"/>
        <w:ind w:left="26" w:right="97" w:firstLine="566"/>
        <w:textAlignment w:val="auto"/>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（3）延坪镇：退化林修复任务（新造油茶）4000.0</w:t>
      </w:r>
      <w:r>
        <w:rPr>
          <w:rFonts w:hint="eastAsia" w:ascii="宋体" w:hAnsi="宋体" w:eastAsia="宋体" w:cs="宋体"/>
          <w:spacing w:val="-51"/>
          <w:sz w:val="24"/>
          <w:szCs w:val="24"/>
          <w:highlight w:val="none"/>
        </w:rPr>
        <w:t xml:space="preserve"> </w:t>
      </w:r>
      <w:r>
        <w:rPr>
          <w:rFonts w:hint="eastAsia" w:ascii="宋体" w:hAnsi="宋体" w:eastAsia="宋体" w:cs="宋体"/>
          <w:spacing w:val="-2"/>
          <w:sz w:val="24"/>
          <w:szCs w:val="24"/>
          <w:highlight w:val="none"/>
        </w:rPr>
        <w:t>亩，其中龙</w:t>
      </w:r>
      <w:r>
        <w:rPr>
          <w:rFonts w:hint="eastAsia" w:ascii="宋体" w:hAnsi="宋体" w:eastAsia="宋体" w:cs="宋体"/>
          <w:spacing w:val="-3"/>
          <w:sz w:val="24"/>
          <w:szCs w:val="24"/>
          <w:highlight w:val="none"/>
        </w:rPr>
        <w:t>洞沟村</w:t>
      </w:r>
      <w:r>
        <w:rPr>
          <w:rFonts w:hint="eastAsia" w:ascii="宋体" w:hAnsi="宋体" w:eastAsia="宋体" w:cs="宋体"/>
          <w:spacing w:val="-28"/>
          <w:sz w:val="24"/>
          <w:szCs w:val="24"/>
          <w:highlight w:val="none"/>
        </w:rPr>
        <w:t xml:space="preserve"> </w:t>
      </w:r>
      <w:r>
        <w:rPr>
          <w:rFonts w:hint="eastAsia" w:ascii="宋体" w:hAnsi="宋体" w:eastAsia="宋体" w:cs="宋体"/>
          <w:spacing w:val="-3"/>
          <w:sz w:val="24"/>
          <w:szCs w:val="24"/>
          <w:highlight w:val="none"/>
        </w:rPr>
        <w:t>1335.0亩、铁炉子村</w:t>
      </w:r>
      <w:r>
        <w:rPr>
          <w:rFonts w:hint="eastAsia" w:ascii="宋体" w:hAnsi="宋体" w:eastAsia="宋体" w:cs="宋体"/>
          <w:spacing w:val="-38"/>
          <w:sz w:val="24"/>
          <w:szCs w:val="24"/>
          <w:highlight w:val="none"/>
        </w:rPr>
        <w:t xml:space="preserve"> </w:t>
      </w:r>
      <w:r>
        <w:rPr>
          <w:rFonts w:hint="eastAsia" w:ascii="宋体" w:hAnsi="宋体" w:eastAsia="宋体" w:cs="宋体"/>
          <w:spacing w:val="-3"/>
          <w:sz w:val="24"/>
          <w:szCs w:val="24"/>
          <w:highlight w:val="none"/>
        </w:rPr>
        <w:t>1120.0</w:t>
      </w:r>
      <w:r>
        <w:rPr>
          <w:rFonts w:hint="eastAsia" w:ascii="宋体" w:hAnsi="宋体" w:eastAsia="宋体" w:cs="宋体"/>
          <w:spacing w:val="-56"/>
          <w:sz w:val="24"/>
          <w:szCs w:val="24"/>
          <w:highlight w:val="none"/>
        </w:rPr>
        <w:t xml:space="preserve"> </w:t>
      </w:r>
      <w:r>
        <w:rPr>
          <w:rFonts w:hint="eastAsia" w:ascii="宋体" w:hAnsi="宋体" w:eastAsia="宋体" w:cs="宋体"/>
          <w:spacing w:val="-3"/>
          <w:sz w:val="24"/>
          <w:szCs w:val="24"/>
          <w:highlight w:val="none"/>
        </w:rPr>
        <w:t>亩、西河村</w:t>
      </w:r>
      <w:r>
        <w:rPr>
          <w:rFonts w:hint="eastAsia" w:ascii="宋体" w:hAnsi="宋体" w:eastAsia="宋体" w:cs="宋体"/>
          <w:spacing w:val="-37"/>
          <w:sz w:val="24"/>
          <w:szCs w:val="24"/>
          <w:highlight w:val="none"/>
        </w:rPr>
        <w:t xml:space="preserve"> </w:t>
      </w:r>
      <w:r>
        <w:rPr>
          <w:rFonts w:hint="eastAsia" w:ascii="宋体" w:hAnsi="宋体" w:eastAsia="宋体" w:cs="宋体"/>
          <w:spacing w:val="-3"/>
          <w:sz w:val="24"/>
          <w:szCs w:val="24"/>
          <w:highlight w:val="none"/>
        </w:rPr>
        <w:t>1220.0</w:t>
      </w:r>
      <w:r>
        <w:rPr>
          <w:rFonts w:hint="eastAsia" w:ascii="宋体" w:hAnsi="宋体" w:eastAsia="宋体" w:cs="宋体"/>
          <w:spacing w:val="-58"/>
          <w:sz w:val="24"/>
          <w:szCs w:val="24"/>
          <w:highlight w:val="none"/>
        </w:rPr>
        <w:t xml:space="preserve"> </w:t>
      </w:r>
      <w:r>
        <w:rPr>
          <w:rFonts w:hint="eastAsia" w:ascii="宋体" w:hAnsi="宋体" w:eastAsia="宋体" w:cs="宋体"/>
          <w:spacing w:val="-3"/>
          <w:sz w:val="24"/>
          <w:szCs w:val="24"/>
          <w:highlight w:val="none"/>
        </w:rPr>
        <w:t>亩、马家店</w:t>
      </w:r>
      <w:r>
        <w:rPr>
          <w:rFonts w:hint="eastAsia" w:ascii="宋体" w:hAnsi="宋体" w:eastAsia="宋体" w:cs="宋体"/>
          <w:spacing w:val="-4"/>
          <w:sz w:val="24"/>
          <w:szCs w:val="24"/>
          <w:highlight w:val="none"/>
        </w:rPr>
        <w:t>村</w:t>
      </w:r>
      <w:r>
        <w:rPr>
          <w:rFonts w:hint="eastAsia" w:ascii="宋体" w:hAnsi="宋体" w:eastAsia="宋体" w:cs="宋体"/>
          <w:spacing w:val="-49"/>
          <w:sz w:val="24"/>
          <w:szCs w:val="24"/>
          <w:highlight w:val="none"/>
        </w:rPr>
        <w:t xml:space="preserve"> </w:t>
      </w:r>
      <w:r>
        <w:rPr>
          <w:rFonts w:hint="eastAsia" w:ascii="宋体" w:hAnsi="宋体" w:eastAsia="宋体" w:cs="宋体"/>
          <w:spacing w:val="-4"/>
          <w:sz w:val="24"/>
          <w:szCs w:val="24"/>
          <w:highlight w:val="none"/>
        </w:rPr>
        <w:t>255.0</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亩、白龙村</w:t>
      </w:r>
      <w:r>
        <w:rPr>
          <w:rFonts w:hint="eastAsia" w:ascii="宋体" w:hAnsi="宋体" w:eastAsia="宋体" w:cs="宋体"/>
          <w:spacing w:val="-55"/>
          <w:sz w:val="24"/>
          <w:szCs w:val="24"/>
          <w:highlight w:val="none"/>
        </w:rPr>
        <w:t xml:space="preserve"> </w:t>
      </w:r>
      <w:r>
        <w:rPr>
          <w:rFonts w:hint="eastAsia" w:ascii="宋体" w:hAnsi="宋体" w:eastAsia="宋体" w:cs="宋体"/>
          <w:spacing w:val="-4"/>
          <w:sz w:val="24"/>
          <w:szCs w:val="24"/>
          <w:highlight w:val="none"/>
        </w:rPr>
        <w:t>70.0</w:t>
      </w:r>
      <w:r>
        <w:rPr>
          <w:rFonts w:hint="eastAsia" w:ascii="宋体" w:hAnsi="宋体" w:eastAsia="宋体" w:cs="宋体"/>
          <w:spacing w:val="-59"/>
          <w:sz w:val="24"/>
          <w:szCs w:val="24"/>
          <w:highlight w:val="none"/>
        </w:rPr>
        <w:t xml:space="preserve"> </w:t>
      </w:r>
      <w:r>
        <w:rPr>
          <w:rFonts w:hint="eastAsia" w:ascii="宋体" w:hAnsi="宋体" w:eastAsia="宋体" w:cs="宋体"/>
          <w:spacing w:val="-4"/>
          <w:sz w:val="24"/>
          <w:szCs w:val="24"/>
          <w:highlight w:val="none"/>
        </w:rPr>
        <w:t>亩。</w:t>
      </w:r>
    </w:p>
    <w:p w14:paraId="2DE753A1">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32" w:name="bookmark46"/>
      <w:bookmarkEnd w:id="132"/>
      <w:bookmarkStart w:id="133" w:name="bookmark47"/>
      <w:bookmarkEnd w:id="133"/>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.3</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退化林状况</w:t>
      </w:r>
    </w:p>
    <w:p w14:paraId="2A577D1F">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.3.1 全县退化林状况</w:t>
      </w:r>
    </w:p>
    <w:p w14:paraId="23C93F7B">
      <w:pPr>
        <w:keepNext w:val="0"/>
        <w:keepLines w:val="0"/>
        <w:pageBreakBefore w:val="0"/>
        <w:widowControl w:val="0"/>
        <w:kinsoku/>
        <w:wordWrap/>
        <w:overflowPunct/>
        <w:topLinePunct w:val="0"/>
        <w:autoSpaceDE/>
        <w:autoSpaceDN/>
        <w:bidi w:val="0"/>
        <w:adjustRightInd/>
        <w:snapToGrid/>
        <w:spacing w:after="0" w:line="480" w:lineRule="auto"/>
        <w:ind w:left="25" w:right="25" w:firstLine="480" w:firstLineChars="200"/>
        <w:jc w:val="both"/>
        <w:textAlignment w:val="auto"/>
        <w:rPr>
          <w:rFonts w:hint="eastAsia" w:ascii="宋体" w:hAnsi="宋体" w:eastAsia="宋体" w:cs="宋体"/>
          <w:sz w:val="24"/>
          <w:szCs w:val="24"/>
          <w:highlight w:val="none"/>
        </w:rPr>
      </w:pPr>
      <w:r>
        <w:rPr>
          <w:rFonts w:hint="eastAsia" w:ascii="宋体" w:hAnsi="宋体" w:eastAsia="宋体" w:cs="宋体"/>
          <w:sz w:val="24"/>
          <w:szCs w:val="24"/>
          <w:highlight w:val="none"/>
        </w:rPr>
        <w:t>据调查山阳县现有退化</w:t>
      </w:r>
      <w:r>
        <w:rPr>
          <w:rFonts w:hint="eastAsia" w:ascii="宋体" w:hAnsi="宋体" w:eastAsia="宋体" w:cs="宋体"/>
          <w:spacing w:val="-54"/>
          <w:sz w:val="24"/>
          <w:szCs w:val="24"/>
          <w:highlight w:val="none"/>
        </w:rPr>
        <w:t xml:space="preserve"> </w:t>
      </w:r>
      <w:r>
        <w:rPr>
          <w:rFonts w:hint="eastAsia" w:ascii="宋体" w:hAnsi="宋体" w:eastAsia="宋体" w:cs="宋体"/>
          <w:sz w:val="24"/>
          <w:szCs w:val="24"/>
          <w:highlight w:val="none"/>
        </w:rPr>
        <w:t>20004.23</w:t>
      </w:r>
      <w:r>
        <w:rPr>
          <w:rFonts w:hint="eastAsia" w:ascii="宋体" w:hAnsi="宋体" w:eastAsia="宋体" w:cs="宋体"/>
          <w:spacing w:val="-50"/>
          <w:sz w:val="24"/>
          <w:szCs w:val="24"/>
          <w:highlight w:val="none"/>
        </w:rPr>
        <w:t xml:space="preserve"> </w:t>
      </w:r>
      <w:r>
        <w:rPr>
          <w:rFonts w:hint="eastAsia" w:ascii="宋体" w:hAnsi="宋体" w:eastAsia="宋体" w:cs="宋体"/>
          <w:sz w:val="24"/>
          <w:szCs w:val="24"/>
          <w:highlight w:val="none"/>
        </w:rPr>
        <w:t>公顷，在全县各个乡镇均有分布，退化林主要以防护林为主，</w:t>
      </w:r>
      <w:r>
        <w:rPr>
          <w:rFonts w:hint="eastAsia" w:ascii="宋体" w:hAnsi="宋体" w:eastAsia="宋体" w:cs="宋体"/>
          <w:spacing w:val="-76"/>
          <w:sz w:val="24"/>
          <w:szCs w:val="24"/>
          <w:highlight w:val="none"/>
        </w:rPr>
        <w:t xml:space="preserve"> </w:t>
      </w:r>
      <w:r>
        <w:rPr>
          <w:rFonts w:hint="eastAsia" w:ascii="宋体" w:hAnsi="宋体" w:eastAsia="宋体" w:cs="宋体"/>
          <w:sz w:val="24"/>
          <w:szCs w:val="24"/>
          <w:highlight w:val="none"/>
        </w:rPr>
        <w:t>占全县退化林(乔木林地、竹林地、</w:t>
      </w:r>
      <w:r>
        <w:rPr>
          <w:rFonts w:hint="eastAsia" w:ascii="宋体" w:hAnsi="宋体" w:eastAsia="宋体" w:cs="宋体"/>
          <w:spacing w:val="-2"/>
          <w:sz w:val="24"/>
          <w:szCs w:val="24"/>
          <w:highlight w:val="none"/>
        </w:rPr>
        <w:t>灌木林地）面积的</w:t>
      </w:r>
      <w:r>
        <w:rPr>
          <w:rFonts w:hint="eastAsia" w:ascii="宋体" w:hAnsi="宋体" w:eastAsia="宋体" w:cs="宋体"/>
          <w:spacing w:val="-42"/>
          <w:sz w:val="24"/>
          <w:szCs w:val="24"/>
          <w:highlight w:val="none"/>
        </w:rPr>
        <w:t xml:space="preserve"> </w:t>
      </w:r>
      <w:r>
        <w:rPr>
          <w:rFonts w:hint="eastAsia" w:ascii="宋体" w:hAnsi="宋体" w:eastAsia="宋体" w:cs="宋体"/>
          <w:spacing w:val="-2"/>
          <w:sz w:val="24"/>
          <w:szCs w:val="24"/>
          <w:highlight w:val="none"/>
        </w:rPr>
        <w:t>7.05%，退化林面积较大、分布范围广、退化程度</w:t>
      </w:r>
      <w:r>
        <w:rPr>
          <w:rFonts w:hint="eastAsia" w:ascii="宋体" w:hAnsi="宋体" w:eastAsia="宋体" w:cs="宋体"/>
          <w:spacing w:val="-4"/>
          <w:sz w:val="24"/>
          <w:szCs w:val="24"/>
          <w:highlight w:val="none"/>
        </w:rPr>
        <w:t>不一，部分区域退化严重。全县退化林以轻度退化为主，占退化林面</w:t>
      </w:r>
      <w:r>
        <w:rPr>
          <w:rFonts w:hint="eastAsia" w:ascii="宋体" w:hAnsi="宋体" w:eastAsia="宋体" w:cs="宋体"/>
          <w:spacing w:val="-2"/>
          <w:sz w:val="24"/>
          <w:szCs w:val="24"/>
          <w:highlight w:val="none"/>
        </w:rPr>
        <w:t>积的</w:t>
      </w:r>
      <w:r>
        <w:rPr>
          <w:rFonts w:hint="eastAsia" w:ascii="宋体" w:hAnsi="宋体" w:eastAsia="宋体" w:cs="宋体"/>
          <w:spacing w:val="-40"/>
          <w:sz w:val="24"/>
          <w:szCs w:val="24"/>
          <w:highlight w:val="none"/>
        </w:rPr>
        <w:t xml:space="preserve"> </w:t>
      </w:r>
      <w:r>
        <w:rPr>
          <w:rFonts w:hint="eastAsia" w:ascii="宋体" w:hAnsi="宋体" w:eastAsia="宋体" w:cs="宋体"/>
          <w:spacing w:val="-2"/>
          <w:sz w:val="24"/>
          <w:szCs w:val="24"/>
          <w:highlight w:val="none"/>
        </w:rPr>
        <w:t>61.57%；中度退化次之，</w:t>
      </w:r>
      <w:r>
        <w:rPr>
          <w:rFonts w:hint="eastAsia" w:ascii="宋体" w:hAnsi="宋体" w:eastAsia="宋体" w:cs="宋体"/>
          <w:spacing w:val="-80"/>
          <w:sz w:val="24"/>
          <w:szCs w:val="24"/>
          <w:highlight w:val="none"/>
        </w:rPr>
        <w:t xml:space="preserve"> </w:t>
      </w:r>
      <w:r>
        <w:rPr>
          <w:rFonts w:hint="eastAsia" w:ascii="宋体" w:hAnsi="宋体" w:eastAsia="宋体" w:cs="宋体"/>
          <w:spacing w:val="-2"/>
          <w:sz w:val="24"/>
          <w:szCs w:val="24"/>
          <w:highlight w:val="none"/>
        </w:rPr>
        <w:t>占退化林面积的</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25.98%；重度退化占</w:t>
      </w:r>
      <w:r>
        <w:rPr>
          <w:rFonts w:hint="eastAsia" w:ascii="宋体" w:hAnsi="宋体" w:eastAsia="宋体" w:cs="宋体"/>
          <w:spacing w:val="-7"/>
          <w:sz w:val="24"/>
          <w:szCs w:val="24"/>
          <w:highlight w:val="none"/>
        </w:rPr>
        <w:t>比最小，占退化林面积的</w:t>
      </w:r>
      <w:r>
        <w:rPr>
          <w:rFonts w:hint="eastAsia" w:ascii="宋体" w:hAnsi="宋体" w:eastAsia="宋体" w:cs="宋体"/>
          <w:spacing w:val="-41"/>
          <w:sz w:val="24"/>
          <w:szCs w:val="24"/>
          <w:highlight w:val="none"/>
        </w:rPr>
        <w:t xml:space="preserve"> </w:t>
      </w:r>
      <w:r>
        <w:rPr>
          <w:rFonts w:hint="eastAsia" w:ascii="宋体" w:hAnsi="宋体" w:eastAsia="宋体" w:cs="宋体"/>
          <w:spacing w:val="-7"/>
          <w:sz w:val="24"/>
          <w:szCs w:val="24"/>
          <w:highlight w:val="none"/>
        </w:rPr>
        <w:t>12.45%。退化树种主要以</w:t>
      </w:r>
      <w:r>
        <w:rPr>
          <w:rFonts w:hint="eastAsia" w:ascii="宋体" w:hAnsi="宋体" w:eastAsia="宋体" w:cs="宋体"/>
          <w:spacing w:val="-8"/>
          <w:sz w:val="24"/>
          <w:szCs w:val="24"/>
          <w:highlight w:val="none"/>
        </w:rPr>
        <w:t>栎类、软(硬）阔、</w:t>
      </w:r>
      <w:r>
        <w:rPr>
          <w:rFonts w:hint="eastAsia" w:ascii="宋体" w:hAnsi="宋体" w:eastAsia="宋体" w:cs="宋体"/>
          <w:spacing w:val="-4"/>
          <w:sz w:val="24"/>
          <w:szCs w:val="24"/>
          <w:highlight w:val="none"/>
        </w:rPr>
        <w:t>松类、柏木等为主，主要表现为部分林间空地过大、或林木稀疏，部分林分密度又较大；林木枯死、濒死、生长不良，个别林木出现逆生</w:t>
      </w:r>
      <w:r>
        <w:rPr>
          <w:rFonts w:hint="eastAsia" w:ascii="宋体" w:hAnsi="宋体" w:eastAsia="宋体" w:cs="宋体"/>
          <w:spacing w:val="-9"/>
          <w:sz w:val="24"/>
          <w:szCs w:val="24"/>
          <w:highlight w:val="none"/>
        </w:rPr>
        <w:t>长，局部枯死木、濒死木株树达到</w:t>
      </w:r>
      <w:r>
        <w:rPr>
          <w:rFonts w:hint="eastAsia" w:ascii="宋体" w:hAnsi="宋体" w:eastAsia="宋体" w:cs="宋体"/>
          <w:spacing w:val="-26"/>
          <w:sz w:val="24"/>
          <w:szCs w:val="24"/>
          <w:highlight w:val="none"/>
        </w:rPr>
        <w:t xml:space="preserve"> </w:t>
      </w:r>
      <w:r>
        <w:rPr>
          <w:rFonts w:hint="eastAsia" w:ascii="宋体" w:hAnsi="宋体" w:eastAsia="宋体" w:cs="宋体"/>
          <w:spacing w:val="-9"/>
          <w:sz w:val="24"/>
          <w:szCs w:val="24"/>
          <w:highlight w:val="none"/>
        </w:rPr>
        <w:t>15%及以上，且有逐年有扩大迹象；</w:t>
      </w:r>
      <w:r>
        <w:rPr>
          <w:rFonts w:hint="eastAsia" w:ascii="宋体" w:hAnsi="宋体" w:eastAsia="宋体" w:cs="宋体"/>
          <w:spacing w:val="-4"/>
          <w:sz w:val="24"/>
          <w:szCs w:val="24"/>
          <w:highlight w:val="none"/>
        </w:rPr>
        <w:t>林间透光性差，卫生状况差，植株个体分化局部较为明显等，林分提前或加速进入衰退阶段。结构失调，稳定性降低，功能下降，且难以自然恢复。退化原因主要由于区域立地条件较差、林木生理衰败；造林初期树种选择、初植密度和经营管护不当；遭受自然灾害、有害生</w:t>
      </w:r>
      <w:r>
        <w:rPr>
          <w:rFonts w:hint="eastAsia" w:ascii="宋体" w:hAnsi="宋体" w:eastAsia="宋体" w:cs="宋体"/>
          <w:spacing w:val="-1"/>
          <w:sz w:val="24"/>
          <w:szCs w:val="24"/>
          <w:highlight w:val="none"/>
        </w:rPr>
        <w:t>物危害等，林分质量下降，生态功能降低。</w:t>
      </w:r>
    </w:p>
    <w:p w14:paraId="6EFE7335">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.3.2 项目区退化林状况</w:t>
      </w:r>
    </w:p>
    <w:p w14:paraId="7641C2E6">
      <w:pPr>
        <w:keepNext w:val="0"/>
        <w:keepLines w:val="0"/>
        <w:pageBreakBefore w:val="0"/>
        <w:widowControl w:val="0"/>
        <w:kinsoku/>
        <w:wordWrap/>
        <w:overflowPunct/>
        <w:topLinePunct w:val="0"/>
        <w:autoSpaceDE/>
        <w:autoSpaceDN/>
        <w:bidi w:val="0"/>
        <w:adjustRightInd/>
        <w:snapToGrid/>
        <w:spacing w:after="0" w:line="480" w:lineRule="auto"/>
        <w:ind w:left="25" w:right="97" w:firstLine="563"/>
        <w:jc w:val="both"/>
        <w:textAlignment w:val="auto"/>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项目区退化林主要以天然起源的栎类、飞播造林起源的油松为</w:t>
      </w:r>
      <w:r>
        <w:rPr>
          <w:rFonts w:hint="eastAsia" w:ascii="宋体" w:hAnsi="宋体" w:eastAsia="宋体" w:cs="宋体"/>
          <w:spacing w:val="-4"/>
          <w:sz w:val="24"/>
          <w:szCs w:val="24"/>
          <w:highlight w:val="none"/>
        </w:rPr>
        <w:t>主，呈块状混交，局部地区分布有柏木、板栗、核桃等，龄组为中龄</w:t>
      </w:r>
      <w:r>
        <w:rPr>
          <w:rFonts w:hint="eastAsia" w:ascii="宋体" w:hAnsi="宋体" w:eastAsia="宋体" w:cs="宋体"/>
          <w:spacing w:val="4"/>
          <w:sz w:val="24"/>
          <w:szCs w:val="24"/>
          <w:highlight w:val="none"/>
        </w:rPr>
        <w:t>林及以上，树高</w:t>
      </w:r>
      <w:r>
        <w:rPr>
          <w:rFonts w:hint="eastAsia" w:ascii="宋体" w:hAnsi="宋体" w:eastAsia="宋体" w:cs="宋体"/>
          <w:spacing w:val="-52"/>
          <w:sz w:val="24"/>
          <w:szCs w:val="24"/>
          <w:highlight w:val="none"/>
        </w:rPr>
        <w:t xml:space="preserve"> </w:t>
      </w:r>
      <w:r>
        <w:rPr>
          <w:rFonts w:hint="eastAsia" w:ascii="宋体" w:hAnsi="宋体" w:eastAsia="宋体" w:cs="宋体"/>
          <w:spacing w:val="4"/>
          <w:sz w:val="24"/>
          <w:szCs w:val="24"/>
          <w:highlight w:val="none"/>
        </w:rPr>
        <w:t>6.5～10.5</w:t>
      </w:r>
      <w:r>
        <w:rPr>
          <w:rFonts w:hint="eastAsia" w:ascii="宋体" w:hAnsi="宋体" w:eastAsia="宋体" w:cs="宋体"/>
          <w:spacing w:val="-56"/>
          <w:sz w:val="24"/>
          <w:szCs w:val="24"/>
          <w:highlight w:val="none"/>
        </w:rPr>
        <w:t xml:space="preserve"> </w:t>
      </w:r>
      <w:r>
        <w:rPr>
          <w:rFonts w:hint="eastAsia" w:ascii="宋体" w:hAnsi="宋体" w:eastAsia="宋体" w:cs="宋体"/>
          <w:spacing w:val="4"/>
          <w:sz w:val="24"/>
          <w:szCs w:val="24"/>
          <w:highlight w:val="none"/>
        </w:rPr>
        <w:t>米，平均胸径</w:t>
      </w:r>
      <w:r>
        <w:rPr>
          <w:rFonts w:hint="eastAsia" w:ascii="宋体" w:hAnsi="宋体" w:eastAsia="宋体" w:cs="宋体"/>
          <w:spacing w:val="-54"/>
          <w:sz w:val="24"/>
          <w:szCs w:val="24"/>
          <w:highlight w:val="none"/>
        </w:rPr>
        <w:t xml:space="preserve"> </w:t>
      </w:r>
      <w:r>
        <w:rPr>
          <w:rFonts w:hint="eastAsia" w:ascii="宋体" w:hAnsi="宋体" w:eastAsia="宋体" w:cs="宋体"/>
          <w:spacing w:val="4"/>
          <w:sz w:val="24"/>
          <w:szCs w:val="24"/>
          <w:highlight w:val="none"/>
        </w:rPr>
        <w:t>8～16</w:t>
      </w:r>
      <w:r>
        <w:rPr>
          <w:rFonts w:hint="eastAsia" w:ascii="宋体" w:hAnsi="宋体" w:eastAsia="宋体" w:cs="宋体"/>
          <w:spacing w:val="-52"/>
          <w:sz w:val="24"/>
          <w:szCs w:val="24"/>
          <w:highlight w:val="none"/>
        </w:rPr>
        <w:t xml:space="preserve"> </w:t>
      </w:r>
      <w:r>
        <w:rPr>
          <w:rFonts w:hint="eastAsia" w:ascii="宋体" w:hAnsi="宋体" w:eastAsia="宋体" w:cs="宋体"/>
          <w:spacing w:val="4"/>
          <w:sz w:val="24"/>
          <w:szCs w:val="24"/>
          <w:highlight w:val="none"/>
        </w:rPr>
        <w:t>厘米,郁闭度</w:t>
      </w:r>
      <w:r>
        <w:rPr>
          <w:rFonts w:hint="eastAsia" w:ascii="宋体" w:hAnsi="宋体" w:eastAsia="宋体" w:cs="宋体"/>
          <w:spacing w:val="-53"/>
          <w:sz w:val="24"/>
          <w:szCs w:val="24"/>
          <w:highlight w:val="none"/>
        </w:rPr>
        <w:t xml:space="preserve"> </w:t>
      </w:r>
      <w:r>
        <w:rPr>
          <w:rFonts w:hint="eastAsia" w:ascii="宋体" w:hAnsi="宋体" w:eastAsia="宋体" w:cs="宋体"/>
          <w:spacing w:val="4"/>
          <w:sz w:val="24"/>
          <w:szCs w:val="24"/>
          <w:highlight w:val="none"/>
        </w:rPr>
        <w:t>0.</w:t>
      </w:r>
      <w:r>
        <w:rPr>
          <w:rFonts w:hint="eastAsia" w:ascii="宋体" w:hAnsi="宋体" w:eastAsia="宋体" w:cs="宋体"/>
          <w:spacing w:val="3"/>
          <w:sz w:val="24"/>
          <w:szCs w:val="24"/>
          <w:highlight w:val="none"/>
        </w:rPr>
        <w:t>3~</w:t>
      </w:r>
      <w:r>
        <w:rPr>
          <w:rFonts w:hint="eastAsia" w:ascii="宋体" w:hAnsi="宋体" w:eastAsia="宋体" w:cs="宋体"/>
          <w:spacing w:val="-10"/>
          <w:sz w:val="24"/>
          <w:szCs w:val="24"/>
          <w:highlight w:val="none"/>
        </w:rPr>
        <w:t>0.55，株数</w:t>
      </w:r>
      <w:r>
        <w:rPr>
          <w:rFonts w:hint="eastAsia" w:ascii="宋体" w:hAnsi="宋体" w:eastAsia="宋体" w:cs="宋体"/>
          <w:spacing w:val="-55"/>
          <w:sz w:val="24"/>
          <w:szCs w:val="24"/>
          <w:highlight w:val="none"/>
        </w:rPr>
        <w:t xml:space="preserve"> </w:t>
      </w:r>
      <w:r>
        <w:rPr>
          <w:rFonts w:hint="eastAsia" w:ascii="宋体" w:hAnsi="宋体" w:eastAsia="宋体" w:cs="宋体"/>
          <w:spacing w:val="-10"/>
          <w:sz w:val="24"/>
          <w:szCs w:val="24"/>
          <w:highlight w:val="none"/>
        </w:rPr>
        <w:t>25～110</w:t>
      </w:r>
      <w:r>
        <w:rPr>
          <w:rFonts w:hint="eastAsia" w:ascii="宋体" w:hAnsi="宋体" w:eastAsia="宋体" w:cs="宋体"/>
          <w:spacing w:val="-61"/>
          <w:sz w:val="24"/>
          <w:szCs w:val="24"/>
          <w:highlight w:val="none"/>
        </w:rPr>
        <w:t xml:space="preserve"> </w:t>
      </w:r>
      <w:r>
        <w:rPr>
          <w:rFonts w:hint="eastAsia" w:ascii="宋体" w:hAnsi="宋体" w:eastAsia="宋体" w:cs="宋体"/>
          <w:spacing w:val="-10"/>
          <w:sz w:val="24"/>
          <w:szCs w:val="24"/>
          <w:highlight w:val="none"/>
        </w:rPr>
        <w:t>株/亩。灌木有黄栌、马桑、盐肤木等，盖度</w:t>
      </w:r>
      <w:r>
        <w:rPr>
          <w:rFonts w:hint="eastAsia" w:ascii="宋体" w:hAnsi="宋体" w:eastAsia="宋体" w:cs="宋体"/>
          <w:spacing w:val="-63"/>
          <w:sz w:val="24"/>
          <w:szCs w:val="24"/>
          <w:highlight w:val="none"/>
        </w:rPr>
        <w:t xml:space="preserve"> </w:t>
      </w:r>
      <w:r>
        <w:rPr>
          <w:rFonts w:hint="eastAsia" w:ascii="宋体" w:hAnsi="宋体" w:eastAsia="宋体" w:cs="宋体"/>
          <w:spacing w:val="-10"/>
          <w:sz w:val="24"/>
          <w:szCs w:val="24"/>
          <w:highlight w:val="none"/>
        </w:rPr>
        <w:t>40%~</w:t>
      </w:r>
      <w:r>
        <w:rPr>
          <w:rFonts w:hint="eastAsia" w:ascii="宋体" w:hAnsi="宋体" w:eastAsia="宋体" w:cs="宋体"/>
          <w:sz w:val="24"/>
          <w:szCs w:val="24"/>
          <w:highlight w:val="none"/>
        </w:rPr>
        <w:t xml:space="preserve"> 60%，多呈块状、团状分布，生长一般；草</w:t>
      </w:r>
      <w:r>
        <w:rPr>
          <w:rFonts w:hint="eastAsia" w:ascii="宋体" w:hAnsi="宋体" w:eastAsia="宋体" w:cs="宋体"/>
          <w:spacing w:val="-1"/>
          <w:sz w:val="24"/>
          <w:szCs w:val="24"/>
          <w:highlight w:val="none"/>
        </w:rPr>
        <w:t>本有蒿类、茅草等，盖度</w:t>
      </w:r>
      <w:r>
        <w:rPr>
          <w:rFonts w:hint="eastAsia" w:ascii="宋体" w:hAnsi="宋体" w:eastAsia="宋体" w:cs="宋体"/>
          <w:spacing w:val="3"/>
          <w:sz w:val="24"/>
          <w:szCs w:val="24"/>
          <w:highlight w:val="none"/>
        </w:rPr>
        <w:t>35%～60%，分布较为均匀。灌草覆盖率</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40%～65%，天然更新不良或</w:t>
      </w:r>
      <w:r>
        <w:rPr>
          <w:rFonts w:hint="eastAsia" w:ascii="宋体" w:hAnsi="宋体" w:eastAsia="宋体" w:cs="宋体"/>
          <w:sz w:val="24"/>
          <w:szCs w:val="24"/>
          <w:highlight w:val="none"/>
        </w:rPr>
        <w:t>中等。林间存在大于</w:t>
      </w:r>
      <w:r>
        <w:rPr>
          <w:rFonts w:hint="eastAsia" w:ascii="宋体" w:hAnsi="宋体" w:eastAsia="宋体" w:cs="宋体"/>
          <w:spacing w:val="-46"/>
          <w:sz w:val="24"/>
          <w:szCs w:val="24"/>
          <w:highlight w:val="none"/>
        </w:rPr>
        <w:t xml:space="preserve"> </w:t>
      </w:r>
      <w:r>
        <w:rPr>
          <w:rFonts w:hint="eastAsia" w:ascii="宋体" w:hAnsi="宋体" w:eastAsia="宋体" w:cs="宋体"/>
          <w:sz w:val="24"/>
          <w:szCs w:val="24"/>
          <w:highlight w:val="none"/>
        </w:rPr>
        <w:t>25</w:t>
      </w:r>
      <w:r>
        <w:rPr>
          <w:rFonts w:hint="eastAsia" w:ascii="宋体" w:hAnsi="宋体" w:eastAsia="宋体" w:cs="宋体"/>
          <w:spacing w:val="-60"/>
          <w:sz w:val="24"/>
          <w:szCs w:val="24"/>
          <w:highlight w:val="none"/>
        </w:rPr>
        <w:t xml:space="preserve"> </w:t>
      </w:r>
      <w:r>
        <w:rPr>
          <w:rFonts w:hint="eastAsia" w:ascii="宋体" w:hAnsi="宋体" w:eastAsia="宋体" w:cs="宋体"/>
          <w:sz w:val="24"/>
          <w:szCs w:val="24"/>
          <w:highlight w:val="none"/>
        </w:rPr>
        <w:t>平方米的林地空地，作业区枯死木、濒死木</w:t>
      </w:r>
      <w:r>
        <w:rPr>
          <w:rFonts w:hint="eastAsia" w:ascii="宋体" w:hAnsi="宋体" w:eastAsia="宋体" w:cs="宋体"/>
          <w:spacing w:val="3"/>
          <w:sz w:val="24"/>
          <w:szCs w:val="24"/>
          <w:highlight w:val="none"/>
        </w:rPr>
        <w:t>株树达到</w:t>
      </w:r>
      <w:r>
        <w:rPr>
          <w:rFonts w:hint="eastAsia" w:ascii="宋体" w:hAnsi="宋体" w:eastAsia="宋体" w:cs="宋体"/>
          <w:spacing w:val="-52"/>
          <w:sz w:val="24"/>
          <w:szCs w:val="24"/>
          <w:highlight w:val="none"/>
        </w:rPr>
        <w:t xml:space="preserve"> </w:t>
      </w:r>
      <w:r>
        <w:rPr>
          <w:rFonts w:hint="eastAsia" w:ascii="宋体" w:hAnsi="宋体" w:eastAsia="宋体" w:cs="宋体"/>
          <w:spacing w:val="3"/>
          <w:sz w:val="24"/>
          <w:szCs w:val="24"/>
          <w:highlight w:val="none"/>
        </w:rPr>
        <w:t>5%-25%，且有逐年扩大的趋势；栎</w:t>
      </w:r>
      <w:r>
        <w:rPr>
          <w:rFonts w:hint="eastAsia" w:ascii="宋体" w:hAnsi="宋体" w:eastAsia="宋体" w:cs="宋体"/>
          <w:spacing w:val="2"/>
          <w:sz w:val="24"/>
          <w:szCs w:val="24"/>
          <w:highlight w:val="none"/>
        </w:rPr>
        <w:t>类等自然整枝不良，纤</w:t>
      </w:r>
      <w:r>
        <w:rPr>
          <w:rFonts w:hint="eastAsia" w:ascii="宋体" w:hAnsi="宋体" w:eastAsia="宋体" w:cs="宋体"/>
          <w:spacing w:val="-1"/>
          <w:sz w:val="24"/>
          <w:szCs w:val="24"/>
          <w:highlight w:val="none"/>
        </w:rPr>
        <w:t>细、发育不良植占比较大，林间卫生状况差。</w:t>
      </w:r>
    </w:p>
    <w:p w14:paraId="3B4F23E0">
      <w:pPr>
        <w:keepNext w:val="0"/>
        <w:keepLines w:val="0"/>
        <w:pageBreakBefore w:val="0"/>
        <w:widowControl w:val="0"/>
        <w:kinsoku/>
        <w:wordWrap/>
        <w:overflowPunct/>
        <w:topLinePunct w:val="0"/>
        <w:autoSpaceDE/>
        <w:autoSpaceDN/>
        <w:bidi w:val="0"/>
        <w:adjustRightInd/>
        <w:snapToGrid/>
        <w:spacing w:after="0" w:line="480" w:lineRule="auto"/>
        <w:ind w:left="25" w:firstLine="560"/>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新造油茶任务位于延坪镇的龙洞沟村、铁炉子村、西河村，马家店村、白龙村，该区域为全县主要森林资源分布区域，现地林分质量</w:t>
      </w:r>
      <w:r>
        <w:rPr>
          <w:rFonts w:hint="eastAsia" w:ascii="宋体" w:hAnsi="宋体" w:eastAsia="宋体" w:cs="宋体"/>
          <w:spacing w:val="-9"/>
          <w:sz w:val="24"/>
          <w:szCs w:val="24"/>
          <w:highlight w:val="none"/>
        </w:rPr>
        <w:t>较差，树高</w:t>
      </w:r>
      <w:r>
        <w:rPr>
          <w:rFonts w:hint="eastAsia" w:ascii="宋体" w:hAnsi="宋体" w:eastAsia="宋体" w:cs="宋体"/>
          <w:spacing w:val="-50"/>
          <w:sz w:val="24"/>
          <w:szCs w:val="24"/>
          <w:highlight w:val="none"/>
        </w:rPr>
        <w:t xml:space="preserve"> </w:t>
      </w:r>
      <w:r>
        <w:rPr>
          <w:rFonts w:hint="eastAsia" w:ascii="宋体" w:hAnsi="宋体" w:eastAsia="宋体" w:cs="宋体"/>
          <w:spacing w:val="-9"/>
          <w:sz w:val="24"/>
          <w:szCs w:val="24"/>
          <w:highlight w:val="none"/>
        </w:rPr>
        <w:t>3.5-8.5</w:t>
      </w:r>
      <w:r>
        <w:rPr>
          <w:rFonts w:hint="eastAsia" w:ascii="宋体" w:hAnsi="宋体" w:eastAsia="宋体" w:cs="宋体"/>
          <w:spacing w:val="-61"/>
          <w:sz w:val="24"/>
          <w:szCs w:val="24"/>
          <w:highlight w:val="none"/>
        </w:rPr>
        <w:t xml:space="preserve"> </w:t>
      </w:r>
      <w:r>
        <w:rPr>
          <w:rFonts w:hint="eastAsia" w:ascii="宋体" w:hAnsi="宋体" w:eastAsia="宋体" w:cs="宋体"/>
          <w:spacing w:val="-9"/>
          <w:sz w:val="24"/>
          <w:szCs w:val="24"/>
          <w:highlight w:val="none"/>
        </w:rPr>
        <w:t>米不等，密度</w:t>
      </w:r>
      <w:r>
        <w:rPr>
          <w:rFonts w:hint="eastAsia" w:ascii="宋体" w:hAnsi="宋体" w:eastAsia="宋体" w:cs="宋体"/>
          <w:spacing w:val="-63"/>
          <w:sz w:val="24"/>
          <w:szCs w:val="24"/>
          <w:highlight w:val="none"/>
        </w:rPr>
        <w:t xml:space="preserve"> </w:t>
      </w:r>
      <w:r>
        <w:rPr>
          <w:rFonts w:hint="eastAsia" w:ascii="宋体" w:hAnsi="宋体" w:eastAsia="宋体" w:cs="宋体"/>
          <w:spacing w:val="-9"/>
          <w:sz w:val="24"/>
          <w:szCs w:val="24"/>
          <w:highlight w:val="none"/>
        </w:rPr>
        <w:t>45-100</w:t>
      </w:r>
      <w:r>
        <w:rPr>
          <w:rFonts w:hint="eastAsia" w:ascii="宋体" w:hAnsi="宋体" w:eastAsia="宋体" w:cs="宋体"/>
          <w:spacing w:val="-61"/>
          <w:sz w:val="24"/>
          <w:szCs w:val="24"/>
          <w:highlight w:val="none"/>
        </w:rPr>
        <w:t xml:space="preserve"> </w:t>
      </w:r>
      <w:r>
        <w:rPr>
          <w:rFonts w:hint="eastAsia" w:ascii="宋体" w:hAnsi="宋体" w:eastAsia="宋体" w:cs="宋体"/>
          <w:spacing w:val="-9"/>
          <w:sz w:val="24"/>
          <w:szCs w:val="24"/>
          <w:highlight w:val="none"/>
        </w:rPr>
        <w:t>株/亩，呈无规则混交状态。项目建设通过人工补植油茶和促进复壮等措施的实</w:t>
      </w:r>
      <w:r>
        <w:rPr>
          <w:rFonts w:hint="eastAsia" w:ascii="宋体" w:hAnsi="宋体" w:eastAsia="宋体" w:cs="宋体"/>
          <w:spacing w:val="-10"/>
          <w:sz w:val="24"/>
          <w:szCs w:val="24"/>
          <w:highlight w:val="none"/>
        </w:rPr>
        <w:t>施，达到“扩规模、</w:t>
      </w:r>
      <w:r>
        <w:rPr>
          <w:rFonts w:hint="eastAsia" w:ascii="宋体" w:hAnsi="宋体" w:eastAsia="宋体" w:cs="宋体"/>
          <w:spacing w:val="-5"/>
          <w:sz w:val="24"/>
          <w:szCs w:val="24"/>
          <w:highlight w:val="none"/>
        </w:rPr>
        <w:t>丰品种、调结构、降成本、提质量</w:t>
      </w:r>
      <w:r>
        <w:rPr>
          <w:rFonts w:hint="eastAsia" w:ascii="宋体" w:hAnsi="宋体" w:eastAsia="宋体" w:cs="宋体"/>
          <w:spacing w:val="-96"/>
          <w:sz w:val="24"/>
          <w:szCs w:val="24"/>
          <w:highlight w:val="none"/>
        </w:rPr>
        <w:t xml:space="preserve"> </w:t>
      </w:r>
      <w:r>
        <w:rPr>
          <w:rFonts w:hint="eastAsia" w:ascii="宋体" w:hAnsi="宋体" w:eastAsia="宋体" w:cs="宋体"/>
          <w:spacing w:val="-5"/>
          <w:sz w:val="24"/>
          <w:szCs w:val="24"/>
          <w:highlight w:val="none"/>
        </w:rPr>
        <w:t>”的目的，以项目区为核心，有效</w:t>
      </w:r>
      <w:r>
        <w:rPr>
          <w:rFonts w:hint="eastAsia" w:ascii="宋体" w:hAnsi="宋体" w:eastAsia="宋体" w:cs="宋体"/>
          <w:spacing w:val="-6"/>
          <w:sz w:val="24"/>
          <w:szCs w:val="24"/>
          <w:highlight w:val="none"/>
        </w:rPr>
        <w:t>促进项目区油茶产业发展向“</w:t>
      </w:r>
      <w:r>
        <w:rPr>
          <w:rFonts w:hint="eastAsia" w:ascii="宋体" w:hAnsi="宋体" w:eastAsia="宋体" w:cs="宋体"/>
          <w:spacing w:val="-103"/>
          <w:sz w:val="24"/>
          <w:szCs w:val="24"/>
          <w:highlight w:val="none"/>
        </w:rPr>
        <w:t xml:space="preserve"> </w:t>
      </w:r>
      <w:r>
        <w:rPr>
          <w:rFonts w:hint="eastAsia" w:ascii="宋体" w:hAnsi="宋体" w:eastAsia="宋体" w:cs="宋体"/>
          <w:spacing w:val="-6"/>
          <w:sz w:val="24"/>
          <w:szCs w:val="24"/>
          <w:highlight w:val="none"/>
        </w:rPr>
        <w:t>园区化</w:t>
      </w:r>
      <w:r>
        <w:rPr>
          <w:rFonts w:hint="eastAsia" w:ascii="宋体" w:hAnsi="宋体" w:eastAsia="宋体" w:cs="宋体"/>
          <w:spacing w:val="-103"/>
          <w:sz w:val="24"/>
          <w:szCs w:val="24"/>
          <w:highlight w:val="none"/>
        </w:rPr>
        <w:t xml:space="preserve"> </w:t>
      </w:r>
      <w:r>
        <w:rPr>
          <w:rFonts w:hint="eastAsia" w:ascii="宋体" w:hAnsi="宋体" w:eastAsia="宋体" w:cs="宋体"/>
          <w:spacing w:val="-6"/>
          <w:sz w:val="24"/>
          <w:szCs w:val="24"/>
          <w:highlight w:val="none"/>
        </w:rPr>
        <w:t>”转型，推动形成油茶种植集中</w:t>
      </w:r>
      <w:r>
        <w:rPr>
          <w:rFonts w:hint="eastAsia" w:ascii="宋体" w:hAnsi="宋体" w:eastAsia="宋体" w:cs="宋体"/>
          <w:spacing w:val="-4"/>
          <w:sz w:val="24"/>
          <w:szCs w:val="24"/>
          <w:highlight w:val="none"/>
        </w:rPr>
        <w:t>连片，集约的产业发展格局，丰富农产品供给结构、助力国家粮</w:t>
      </w:r>
      <w:r>
        <w:rPr>
          <w:rFonts w:hint="eastAsia" w:ascii="宋体" w:hAnsi="宋体" w:eastAsia="宋体" w:cs="宋体"/>
          <w:spacing w:val="13"/>
          <w:sz w:val="24"/>
          <w:szCs w:val="24"/>
          <w:highlight w:val="none"/>
        </w:rPr>
        <w:t xml:space="preserve"> </w:t>
      </w:r>
      <w:r>
        <w:rPr>
          <w:rFonts w:hint="eastAsia" w:ascii="宋体" w:hAnsi="宋体" w:eastAsia="宋体" w:cs="宋体"/>
          <w:spacing w:val="-1"/>
          <w:sz w:val="24"/>
          <w:szCs w:val="24"/>
          <w:highlight w:val="none"/>
        </w:rPr>
        <w:t>油安全、促进林区山区群众稳定增收、实现资源永续利用。</w:t>
      </w:r>
    </w:p>
    <w:p w14:paraId="0CFD52E6">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34" w:name="bookmark49"/>
      <w:bookmarkEnd w:id="134"/>
      <w:bookmarkStart w:id="135" w:name="bookmark48"/>
      <w:bookmarkEnd w:id="135"/>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.4</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补植树种选择</w:t>
      </w:r>
    </w:p>
    <w:p w14:paraId="0648FCCB">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.4.1 选择原则</w:t>
      </w:r>
    </w:p>
    <w:p w14:paraId="080DD020">
      <w:pPr>
        <w:keepNext w:val="0"/>
        <w:keepLines w:val="0"/>
        <w:pageBreakBefore w:val="0"/>
        <w:widowControl w:val="0"/>
        <w:kinsoku/>
        <w:wordWrap/>
        <w:overflowPunct/>
        <w:topLinePunct w:val="0"/>
        <w:autoSpaceDE/>
        <w:autoSpaceDN/>
        <w:bidi w:val="0"/>
        <w:adjustRightInd/>
        <w:snapToGrid/>
        <w:spacing w:after="0" w:line="480" w:lineRule="auto"/>
        <w:ind w:left="26" w:firstLine="558"/>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补植树种选择上，在因地适宜、适地适树的基础上，为了提高林分质量，补植树种应与原有树种不同，优先考虑适宜当地生长的耐干旱优良乡土树种，加大有色树种比例，培育针阔混交林。树种选择上兼顾经济效益和生态效益，重点选择幼龄期耐荫性较强、能够在林冠下能正常发育的树种造林更新。补植修复后形成林分结构稳定、生态功能较强的混交林，改纯林为混交林，改同龄林为异龄林，改单层林</w:t>
      </w:r>
      <w:r>
        <w:rPr>
          <w:rFonts w:hint="eastAsia" w:ascii="宋体" w:hAnsi="宋体" w:eastAsia="宋体" w:cs="宋体"/>
          <w:spacing w:val="13"/>
          <w:sz w:val="24"/>
          <w:szCs w:val="24"/>
          <w:highlight w:val="none"/>
        </w:rPr>
        <w:t xml:space="preserve"> </w:t>
      </w:r>
      <w:r>
        <w:rPr>
          <w:rFonts w:hint="eastAsia" w:ascii="宋体" w:hAnsi="宋体" w:eastAsia="宋体" w:cs="宋体"/>
          <w:spacing w:val="-3"/>
          <w:sz w:val="24"/>
          <w:szCs w:val="24"/>
          <w:highlight w:val="none"/>
        </w:rPr>
        <w:t>为复层林，达到提高林分质量，改善林分结构，增强森林生态功能，</w:t>
      </w:r>
      <w:r>
        <w:rPr>
          <w:rFonts w:hint="eastAsia" w:ascii="宋体" w:hAnsi="宋体" w:eastAsia="宋体" w:cs="宋体"/>
          <w:spacing w:val="-2"/>
          <w:sz w:val="24"/>
          <w:szCs w:val="24"/>
          <w:highlight w:val="none"/>
        </w:rPr>
        <w:t>丰富生物多样性的目的。</w:t>
      </w:r>
    </w:p>
    <w:p w14:paraId="26A6C414">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.4.2 补植树种</w:t>
      </w:r>
    </w:p>
    <w:p w14:paraId="7E4E0935">
      <w:pPr>
        <w:keepNext w:val="0"/>
        <w:keepLines w:val="0"/>
        <w:pageBreakBefore w:val="0"/>
        <w:widowControl w:val="0"/>
        <w:kinsoku/>
        <w:wordWrap/>
        <w:overflowPunct/>
        <w:topLinePunct w:val="0"/>
        <w:autoSpaceDE/>
        <w:autoSpaceDN/>
        <w:bidi w:val="0"/>
        <w:adjustRightInd/>
        <w:snapToGrid/>
        <w:spacing w:after="0" w:line="480" w:lineRule="auto"/>
        <w:ind w:left="25" w:right="30" w:firstLine="559"/>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根据树种选择原则和树种的生物学特性，经过筛选，退化林修复</w:t>
      </w:r>
      <w:r>
        <w:rPr>
          <w:rFonts w:hint="eastAsia" w:ascii="宋体" w:hAnsi="宋体" w:eastAsia="宋体" w:cs="宋体"/>
          <w:spacing w:val="-1"/>
          <w:sz w:val="24"/>
          <w:szCs w:val="24"/>
          <w:highlight w:val="none"/>
        </w:rPr>
        <w:t>补植树种主要为红豆杉、元宝枫、侧柏、油茶和连翘。</w:t>
      </w:r>
    </w:p>
    <w:p w14:paraId="63112DC3">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36" w:name="bookmark50"/>
      <w:bookmarkEnd w:id="136"/>
      <w:bookmarkStart w:id="137" w:name="bookmark51"/>
      <w:bookmarkEnd w:id="137"/>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.5</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修复方案设计</w:t>
      </w:r>
    </w:p>
    <w:p w14:paraId="3E9525AF">
      <w:pPr>
        <w:keepNext w:val="0"/>
        <w:keepLines w:val="0"/>
        <w:pageBreakBefore w:val="0"/>
        <w:widowControl w:val="0"/>
        <w:kinsoku/>
        <w:wordWrap/>
        <w:overflowPunct/>
        <w:topLinePunct w:val="0"/>
        <w:autoSpaceDE/>
        <w:autoSpaceDN/>
        <w:bidi w:val="0"/>
        <w:adjustRightInd/>
        <w:snapToGrid/>
        <w:spacing w:after="0" w:line="480" w:lineRule="auto"/>
        <w:ind w:left="27" w:right="30" w:firstLine="556"/>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根据现地林分特点及项目有关要求，结合林分立体条件、退化类型、退化程度等因素，本项目退化林修复采用补植修复、采伐修复和辅助措施的方式进行，修复方法主要采用补植、择伐、人工促进天然</w:t>
      </w:r>
      <w:r>
        <w:rPr>
          <w:rFonts w:hint="eastAsia" w:ascii="宋体" w:hAnsi="宋体" w:eastAsia="宋体" w:cs="宋体"/>
          <w:spacing w:val="-1"/>
          <w:sz w:val="24"/>
          <w:szCs w:val="24"/>
          <w:highlight w:val="none"/>
        </w:rPr>
        <w:t>更新、修枝等作业方式，提高林分质量。</w:t>
      </w:r>
    </w:p>
    <w:p w14:paraId="15F6F67D">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.5.1 补植补造</w:t>
      </w:r>
    </w:p>
    <w:p w14:paraId="7125CD4D">
      <w:pPr>
        <w:keepNext w:val="0"/>
        <w:keepLines w:val="0"/>
        <w:pageBreakBefore w:val="0"/>
        <w:widowControl w:val="0"/>
        <w:kinsoku/>
        <w:wordWrap/>
        <w:overflowPunct/>
        <w:topLinePunct w:val="0"/>
        <w:autoSpaceDE/>
        <w:autoSpaceDN/>
        <w:bidi w:val="0"/>
        <w:adjustRightInd/>
        <w:snapToGrid/>
        <w:spacing w:after="0" w:line="480" w:lineRule="auto"/>
        <w:ind w:left="25" w:right="13" w:firstLine="559"/>
        <w:textAlignment w:val="auto"/>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适用于退化乔木林、退化指标</w:t>
      </w:r>
      <w:r>
        <w:rPr>
          <w:rFonts w:hint="eastAsia" w:ascii="宋体" w:hAnsi="宋体" w:eastAsia="宋体" w:cs="宋体"/>
          <w:spacing w:val="-39"/>
          <w:sz w:val="24"/>
          <w:szCs w:val="24"/>
          <w:highlight w:val="none"/>
        </w:rPr>
        <w:t xml:space="preserve"> </w:t>
      </w:r>
      <w:r>
        <w:rPr>
          <w:rFonts w:hint="eastAsia" w:ascii="宋体" w:hAnsi="宋体" w:eastAsia="宋体" w:cs="宋体"/>
          <w:spacing w:val="-2"/>
          <w:sz w:val="24"/>
          <w:szCs w:val="24"/>
          <w:highlight w:val="none"/>
        </w:rPr>
        <w:t>1、2、3，退化</w:t>
      </w:r>
      <w:r>
        <w:rPr>
          <w:rFonts w:hint="eastAsia" w:ascii="宋体" w:hAnsi="宋体" w:eastAsia="宋体" w:cs="宋体"/>
          <w:spacing w:val="-3"/>
          <w:sz w:val="24"/>
          <w:szCs w:val="24"/>
          <w:highlight w:val="none"/>
        </w:rPr>
        <w:t>程度一般和严重的</w:t>
      </w:r>
      <w:r>
        <w:rPr>
          <w:rFonts w:hint="eastAsia" w:ascii="宋体" w:hAnsi="宋体" w:eastAsia="宋体" w:cs="宋体"/>
          <w:spacing w:val="-1"/>
          <w:sz w:val="24"/>
          <w:szCs w:val="24"/>
          <w:highlight w:val="none"/>
        </w:rPr>
        <w:t>栎类纯林、栎类+软（硬）阔混交林、栎类+油松（柏木）混交林。</w:t>
      </w:r>
    </w:p>
    <w:p w14:paraId="50E67FF2">
      <w:pPr>
        <w:keepNext w:val="0"/>
        <w:keepLines w:val="0"/>
        <w:pageBreakBefore w:val="0"/>
        <w:widowControl w:val="0"/>
        <w:kinsoku/>
        <w:wordWrap/>
        <w:overflowPunct/>
        <w:topLinePunct w:val="0"/>
        <w:autoSpaceDE/>
        <w:autoSpaceDN/>
        <w:bidi w:val="0"/>
        <w:adjustRightInd/>
        <w:snapToGrid/>
        <w:spacing w:after="0" w:line="480" w:lineRule="auto"/>
        <w:ind w:left="21" w:right="13" w:firstLine="561"/>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对植株株树低于该类未退化林分的合理密度，或择伐后郁闭度小</w:t>
      </w:r>
      <w:r>
        <w:rPr>
          <w:rFonts w:hint="eastAsia" w:ascii="宋体" w:hAnsi="宋体" w:eastAsia="宋体" w:cs="宋体"/>
          <w:spacing w:val="-2"/>
          <w:sz w:val="24"/>
          <w:szCs w:val="24"/>
          <w:highlight w:val="none"/>
        </w:rPr>
        <w:t>于</w:t>
      </w:r>
      <w:r>
        <w:rPr>
          <w:rFonts w:hint="eastAsia" w:ascii="宋体" w:hAnsi="宋体" w:eastAsia="宋体" w:cs="宋体"/>
          <w:spacing w:val="-41"/>
          <w:sz w:val="24"/>
          <w:szCs w:val="24"/>
          <w:highlight w:val="none"/>
        </w:rPr>
        <w:t xml:space="preserve"> </w:t>
      </w:r>
      <w:r>
        <w:rPr>
          <w:rFonts w:hint="eastAsia" w:ascii="宋体" w:hAnsi="宋体" w:eastAsia="宋体" w:cs="宋体"/>
          <w:spacing w:val="-2"/>
          <w:sz w:val="24"/>
          <w:szCs w:val="24"/>
          <w:highlight w:val="none"/>
        </w:rPr>
        <w:t>0.4，仅依靠天然更新难以达到相关密度标准成效要求，或林木分</w:t>
      </w:r>
      <w:r>
        <w:rPr>
          <w:rFonts w:hint="eastAsia" w:ascii="宋体" w:hAnsi="宋体" w:eastAsia="宋体" w:cs="宋体"/>
          <w:sz w:val="24"/>
          <w:szCs w:val="24"/>
          <w:highlight w:val="none"/>
        </w:rPr>
        <w:t>布不均，现地存在大于</w:t>
      </w:r>
      <w:r>
        <w:rPr>
          <w:rFonts w:hint="eastAsia" w:ascii="宋体" w:hAnsi="宋体" w:eastAsia="宋体" w:cs="宋体"/>
          <w:spacing w:val="-43"/>
          <w:sz w:val="24"/>
          <w:szCs w:val="24"/>
          <w:highlight w:val="none"/>
        </w:rPr>
        <w:t xml:space="preserve"> </w:t>
      </w:r>
      <w:r>
        <w:rPr>
          <w:rFonts w:hint="eastAsia" w:ascii="宋体" w:hAnsi="宋体" w:eastAsia="宋体" w:cs="宋体"/>
          <w:sz w:val="24"/>
          <w:szCs w:val="24"/>
          <w:highlight w:val="none"/>
        </w:rPr>
        <w:t>25</w:t>
      </w:r>
      <w:r>
        <w:rPr>
          <w:rFonts w:hint="eastAsia" w:ascii="宋体" w:hAnsi="宋体" w:eastAsia="宋体" w:cs="宋体"/>
          <w:spacing w:val="-60"/>
          <w:sz w:val="24"/>
          <w:szCs w:val="24"/>
          <w:highlight w:val="none"/>
        </w:rPr>
        <w:t xml:space="preserve"> </w:t>
      </w:r>
      <w:r>
        <w:rPr>
          <w:rFonts w:hint="eastAsia" w:ascii="宋体" w:hAnsi="宋体" w:eastAsia="宋体" w:cs="宋体"/>
          <w:sz w:val="24"/>
          <w:szCs w:val="24"/>
          <w:highlight w:val="none"/>
        </w:rPr>
        <w:t>平方米林中空地的修复小班，以补充目的</w:t>
      </w:r>
      <w:r>
        <w:rPr>
          <w:rFonts w:hint="eastAsia" w:ascii="宋体" w:hAnsi="宋体" w:eastAsia="宋体" w:cs="宋体"/>
          <w:spacing w:val="-3"/>
          <w:sz w:val="24"/>
          <w:szCs w:val="24"/>
          <w:highlight w:val="none"/>
        </w:rPr>
        <w:t>树种、调整树种结构为目的，抽针（阔)补阔（针</w:t>
      </w:r>
      <w:r>
        <w:rPr>
          <w:rFonts w:hint="eastAsia" w:ascii="宋体" w:hAnsi="宋体" w:eastAsia="宋体" w:cs="宋体"/>
          <w:spacing w:val="-4"/>
          <w:sz w:val="24"/>
          <w:szCs w:val="24"/>
          <w:highlight w:val="none"/>
        </w:rPr>
        <w:t>）、栽针（阔)保阔（针）的交叉补植法，补植其他目的树种，培育异龄复层混交林。择</w:t>
      </w:r>
      <w:r>
        <w:rPr>
          <w:rFonts w:hint="eastAsia" w:ascii="宋体" w:hAnsi="宋体" w:eastAsia="宋体" w:cs="宋体"/>
          <w:spacing w:val="18"/>
          <w:sz w:val="24"/>
          <w:szCs w:val="24"/>
          <w:highlight w:val="none"/>
        </w:rPr>
        <w:t xml:space="preserve"> </w:t>
      </w:r>
      <w:r>
        <w:rPr>
          <w:rFonts w:hint="eastAsia" w:ascii="宋体" w:hAnsi="宋体" w:eastAsia="宋体" w:cs="宋体"/>
          <w:spacing w:val="-1"/>
          <w:sz w:val="24"/>
          <w:szCs w:val="24"/>
          <w:highlight w:val="none"/>
        </w:rPr>
        <w:t>伐补植修复设计如下：</w:t>
      </w:r>
    </w:p>
    <w:p w14:paraId="7FCC5A87">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——修复方式：补植</w:t>
      </w:r>
    </w:p>
    <w:p w14:paraId="60B206D1">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——修复措施：人工补植</w:t>
      </w:r>
    </w:p>
    <w:p w14:paraId="0E285EA4">
      <w:pPr>
        <w:keepNext w:val="0"/>
        <w:keepLines w:val="0"/>
        <w:pageBreakBefore w:val="0"/>
        <w:widowControl w:val="0"/>
        <w:kinsoku/>
        <w:wordWrap/>
        <w:overflowPunct/>
        <w:topLinePunct w:val="0"/>
        <w:autoSpaceDE/>
        <w:autoSpaceDN/>
        <w:bidi w:val="0"/>
        <w:adjustRightInd/>
        <w:snapToGrid/>
        <w:spacing w:after="0" w:line="480" w:lineRule="auto"/>
        <w:ind w:left="28" w:right="13" w:firstLine="553"/>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——补植树种：采用人工植苗的方式，栽植苗木应均匀分布或群团状分布，具体分布方式根据保留林木分布特征、经营方式和种苗特</w:t>
      </w:r>
      <w:r>
        <w:rPr>
          <w:rFonts w:hint="eastAsia" w:ascii="宋体" w:hAnsi="宋体" w:eastAsia="宋体" w:cs="宋体"/>
          <w:spacing w:val="-1"/>
          <w:sz w:val="24"/>
          <w:szCs w:val="24"/>
          <w:highlight w:val="none"/>
        </w:rPr>
        <w:t>性而定。补植树种为红豆杉、连翘、元宝枫、侧柏和油茶。</w:t>
      </w:r>
    </w:p>
    <w:p w14:paraId="66A74FFC">
      <w:pPr>
        <w:keepNext w:val="0"/>
        <w:keepLines w:val="0"/>
        <w:pageBreakBefore w:val="0"/>
        <w:widowControl w:val="0"/>
        <w:kinsoku/>
        <w:wordWrap/>
        <w:overflowPunct/>
        <w:topLinePunct w:val="0"/>
        <w:autoSpaceDE/>
        <w:autoSpaceDN/>
        <w:bidi w:val="0"/>
        <w:adjustRightInd/>
        <w:snapToGrid/>
        <w:spacing w:after="0" w:line="480" w:lineRule="auto"/>
        <w:ind w:left="30" w:right="13" w:firstLine="551"/>
        <w:textAlignment w:val="auto"/>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——整地形式：鱼鳞坑整地，规格长×宽×深为</w:t>
      </w:r>
      <w:r>
        <w:rPr>
          <w:rFonts w:hint="eastAsia" w:ascii="宋体" w:hAnsi="宋体" w:eastAsia="宋体" w:cs="宋体"/>
          <w:spacing w:val="-44"/>
          <w:sz w:val="24"/>
          <w:szCs w:val="24"/>
          <w:highlight w:val="none"/>
        </w:rPr>
        <w:t xml:space="preserve"> </w:t>
      </w:r>
      <w:r>
        <w:rPr>
          <w:rFonts w:hint="eastAsia" w:ascii="宋体" w:hAnsi="宋体" w:eastAsia="宋体" w:cs="宋体"/>
          <w:spacing w:val="3"/>
          <w:sz w:val="24"/>
          <w:szCs w:val="24"/>
          <w:highlight w:val="none"/>
        </w:rPr>
        <w:t>50</w:t>
      </w:r>
      <w:r>
        <w:rPr>
          <w:rFonts w:hint="eastAsia" w:ascii="宋体" w:hAnsi="宋体" w:eastAsia="宋体" w:cs="宋体"/>
          <w:sz w:val="24"/>
          <w:szCs w:val="24"/>
          <w:highlight w:val="none"/>
        </w:rPr>
        <w:t>cm</w:t>
      </w:r>
      <w:r>
        <w:rPr>
          <w:rFonts w:hint="eastAsia" w:ascii="宋体" w:hAnsi="宋体" w:eastAsia="宋体" w:cs="宋体"/>
          <w:spacing w:val="3"/>
          <w:sz w:val="24"/>
          <w:szCs w:val="24"/>
          <w:highlight w:val="none"/>
        </w:rPr>
        <w:t>×40</w:t>
      </w:r>
      <w:r>
        <w:rPr>
          <w:rFonts w:hint="eastAsia" w:ascii="宋体" w:hAnsi="宋体" w:eastAsia="宋体" w:cs="宋体"/>
          <w:sz w:val="24"/>
          <w:szCs w:val="24"/>
          <w:highlight w:val="none"/>
        </w:rPr>
        <w:t>cm</w:t>
      </w:r>
      <w:r>
        <w:rPr>
          <w:rFonts w:hint="eastAsia" w:ascii="宋体" w:hAnsi="宋体" w:eastAsia="宋体" w:cs="宋体"/>
          <w:spacing w:val="3"/>
          <w:sz w:val="24"/>
          <w:szCs w:val="24"/>
          <w:highlight w:val="none"/>
        </w:rPr>
        <w:t>×</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30cm。</w:t>
      </w:r>
    </w:p>
    <w:p w14:paraId="3562852A">
      <w:pPr>
        <w:keepNext w:val="0"/>
        <w:keepLines w:val="0"/>
        <w:pageBreakBefore w:val="0"/>
        <w:widowControl w:val="0"/>
        <w:kinsoku/>
        <w:wordWrap/>
        <w:overflowPunct/>
        <w:topLinePunct w:val="0"/>
        <w:autoSpaceDE/>
        <w:autoSpaceDN/>
        <w:bidi w:val="0"/>
        <w:adjustRightInd/>
        <w:snapToGrid/>
        <w:spacing w:after="0" w:line="480" w:lineRule="auto"/>
        <w:ind w:left="25" w:right="13" w:firstLine="556"/>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混交方式：与原有栎类、油松、柏类、软（硬）阔等树种形成混交林，品字形配置或自然配置。在大面积林种空地中采用品字形配置，补植树种栽植行沿等高线排列。在有裸露岩石、幼树或较大乔木树种分布中采用自然配置，在保障密度不改变的前提下，灵活布设</w:t>
      </w:r>
      <w:r>
        <w:rPr>
          <w:rFonts w:hint="eastAsia" w:ascii="宋体" w:hAnsi="宋体" w:eastAsia="宋体" w:cs="宋体"/>
          <w:spacing w:val="-3"/>
          <w:sz w:val="24"/>
          <w:szCs w:val="24"/>
          <w:highlight w:val="none"/>
        </w:rPr>
        <w:t>栽植穴。</w:t>
      </w:r>
    </w:p>
    <w:p w14:paraId="5E32D144">
      <w:pPr>
        <w:keepNext w:val="0"/>
        <w:keepLines w:val="0"/>
        <w:pageBreakBefore w:val="0"/>
        <w:widowControl w:val="0"/>
        <w:kinsoku/>
        <w:wordWrap/>
        <w:overflowPunct/>
        <w:topLinePunct w:val="0"/>
        <w:autoSpaceDE/>
        <w:autoSpaceDN/>
        <w:bidi w:val="0"/>
        <w:adjustRightInd/>
        <w:snapToGrid/>
        <w:spacing w:after="0" w:line="480" w:lineRule="auto"/>
        <w:ind w:left="26" w:firstLine="555"/>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——补植密度：株行距采用2×3m-3×4m，具体根据作业小班现</w:t>
      </w:r>
      <w:r>
        <w:rPr>
          <w:rFonts w:hint="eastAsia" w:ascii="宋体" w:hAnsi="宋体" w:eastAsia="宋体" w:cs="宋体"/>
          <w:spacing w:val="-5"/>
          <w:sz w:val="24"/>
          <w:szCs w:val="24"/>
          <w:highlight w:val="none"/>
        </w:rPr>
        <w:t>有林分密度确定，每亩补植株数</w:t>
      </w:r>
      <w:r>
        <w:rPr>
          <w:rFonts w:hint="eastAsia" w:ascii="宋体" w:hAnsi="宋体" w:eastAsia="宋体" w:cs="宋体"/>
          <w:spacing w:val="-26"/>
          <w:sz w:val="24"/>
          <w:szCs w:val="24"/>
          <w:highlight w:val="none"/>
        </w:rPr>
        <w:t xml:space="preserve"> </w:t>
      </w:r>
      <w:r>
        <w:rPr>
          <w:rFonts w:hint="eastAsia" w:ascii="宋体" w:hAnsi="宋体" w:eastAsia="宋体" w:cs="宋体"/>
          <w:spacing w:val="-5"/>
          <w:sz w:val="24"/>
          <w:szCs w:val="24"/>
          <w:highlight w:val="none"/>
        </w:rPr>
        <w:t>10-55</w:t>
      </w:r>
      <w:r>
        <w:rPr>
          <w:rFonts w:hint="eastAsia" w:ascii="宋体" w:hAnsi="宋体" w:eastAsia="宋体" w:cs="宋体"/>
          <w:spacing w:val="-61"/>
          <w:sz w:val="24"/>
          <w:szCs w:val="24"/>
          <w:highlight w:val="none"/>
        </w:rPr>
        <w:t xml:space="preserve"> </w:t>
      </w:r>
      <w:r>
        <w:rPr>
          <w:rFonts w:hint="eastAsia" w:ascii="宋体" w:hAnsi="宋体" w:eastAsia="宋体" w:cs="宋体"/>
          <w:spacing w:val="-5"/>
          <w:sz w:val="24"/>
          <w:szCs w:val="24"/>
          <w:highlight w:val="none"/>
        </w:rPr>
        <w:t>株。现地施工要加强区域生态</w:t>
      </w:r>
      <w:r>
        <w:rPr>
          <w:rFonts w:hint="eastAsia" w:ascii="宋体" w:hAnsi="宋体" w:eastAsia="宋体" w:cs="宋体"/>
          <w:spacing w:val="-9"/>
          <w:sz w:val="24"/>
          <w:szCs w:val="24"/>
          <w:highlight w:val="none"/>
        </w:rPr>
        <w:t>多样性保护，维护原生植被，保护野生动物栖息</w:t>
      </w:r>
      <w:r>
        <w:rPr>
          <w:rFonts w:hint="eastAsia" w:ascii="宋体" w:hAnsi="宋体" w:eastAsia="宋体" w:cs="宋体"/>
          <w:spacing w:val="-10"/>
          <w:sz w:val="24"/>
          <w:szCs w:val="24"/>
          <w:highlight w:val="none"/>
        </w:rPr>
        <w:t>地，避免生境破碎化。</w:t>
      </w:r>
    </w:p>
    <w:p w14:paraId="15D4CDA4">
      <w:pPr>
        <w:keepNext w:val="0"/>
        <w:keepLines w:val="0"/>
        <w:pageBreakBefore w:val="0"/>
        <w:widowControl w:val="0"/>
        <w:kinsoku/>
        <w:wordWrap/>
        <w:overflowPunct/>
        <w:topLinePunct w:val="0"/>
        <w:autoSpaceDE/>
        <w:autoSpaceDN/>
        <w:bidi w:val="0"/>
        <w:adjustRightInd/>
        <w:snapToGrid/>
        <w:spacing w:after="0" w:line="480" w:lineRule="auto"/>
        <w:ind w:left="26" w:right="21" w:firstLine="555"/>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——技术措施：补植小班首先应视林分现状进行林地清理，清除林间分布的枯死、濒死木、死亡的枝条，并沿等高线水平割灌，种植行沿等高线环山排列，按照补植补播栽植穴大小整地。容器苗栽植前</w:t>
      </w:r>
      <w:r>
        <w:rPr>
          <w:rFonts w:hint="eastAsia" w:ascii="宋体" w:hAnsi="宋体" w:eastAsia="宋体" w:cs="宋体"/>
          <w:spacing w:val="13"/>
          <w:sz w:val="24"/>
          <w:szCs w:val="24"/>
          <w:highlight w:val="none"/>
        </w:rPr>
        <w:t xml:space="preserve"> </w:t>
      </w:r>
      <w:r>
        <w:rPr>
          <w:rFonts w:hint="eastAsia" w:ascii="宋体" w:hAnsi="宋体" w:eastAsia="宋体" w:cs="宋体"/>
          <w:spacing w:val="-10"/>
          <w:sz w:val="24"/>
          <w:szCs w:val="24"/>
          <w:highlight w:val="none"/>
        </w:rPr>
        <w:t>用刀划开容器袋，将苗木土坨植于穴中心，做到苗木放正、苗茎挺直，</w:t>
      </w:r>
      <w:r>
        <w:rPr>
          <w:rFonts w:hint="eastAsia" w:ascii="宋体" w:hAnsi="宋体" w:eastAsia="宋体" w:cs="宋体"/>
          <w:spacing w:val="3"/>
          <w:sz w:val="24"/>
          <w:szCs w:val="24"/>
          <w:highlight w:val="none"/>
        </w:rPr>
        <w:t>栽植深度比原容器土面根颈处深1～2</w:t>
      </w:r>
      <w:r>
        <w:rPr>
          <w:rFonts w:hint="eastAsia" w:ascii="宋体" w:hAnsi="宋体" w:eastAsia="宋体" w:cs="宋体"/>
          <w:sz w:val="24"/>
          <w:szCs w:val="24"/>
          <w:highlight w:val="none"/>
        </w:rPr>
        <w:t>cm</w:t>
      </w:r>
      <w:r>
        <w:rPr>
          <w:rFonts w:hint="eastAsia" w:ascii="宋体" w:hAnsi="宋体" w:eastAsia="宋体" w:cs="宋体"/>
          <w:spacing w:val="3"/>
          <w:sz w:val="24"/>
          <w:szCs w:val="24"/>
          <w:highlight w:val="none"/>
        </w:rPr>
        <w:t>。填土时，先将土块捣碎，</w:t>
      </w:r>
      <w:r>
        <w:rPr>
          <w:rFonts w:hint="eastAsia" w:ascii="宋体" w:hAnsi="宋体" w:eastAsia="宋体" w:cs="宋体"/>
          <w:spacing w:val="6"/>
          <w:sz w:val="24"/>
          <w:szCs w:val="24"/>
          <w:highlight w:val="none"/>
        </w:rPr>
        <w:t>回填土粒直径不得大于2</w:t>
      </w:r>
      <w:r>
        <w:rPr>
          <w:rFonts w:hint="eastAsia" w:ascii="宋体" w:hAnsi="宋体" w:eastAsia="宋体" w:cs="宋体"/>
          <w:sz w:val="24"/>
          <w:szCs w:val="24"/>
          <w:highlight w:val="none"/>
        </w:rPr>
        <w:t>cm</w:t>
      </w:r>
      <w:r>
        <w:rPr>
          <w:rFonts w:hint="eastAsia" w:ascii="宋体" w:hAnsi="宋体" w:eastAsia="宋体" w:cs="宋体"/>
          <w:spacing w:val="6"/>
          <w:sz w:val="24"/>
          <w:szCs w:val="24"/>
          <w:highlight w:val="none"/>
        </w:rPr>
        <w:t>，先填表土、壤土，当填土</w:t>
      </w:r>
      <w:r>
        <w:rPr>
          <w:rFonts w:hint="eastAsia" w:ascii="宋体" w:hAnsi="宋体" w:eastAsia="宋体" w:cs="宋体"/>
          <w:spacing w:val="5"/>
          <w:sz w:val="24"/>
          <w:szCs w:val="24"/>
          <w:highlight w:val="none"/>
        </w:rPr>
        <w:t>到土坨2/3左</w:t>
      </w:r>
      <w:r>
        <w:rPr>
          <w:rFonts w:hint="eastAsia" w:ascii="宋体" w:hAnsi="宋体" w:eastAsia="宋体" w:cs="宋体"/>
          <w:spacing w:val="-4"/>
          <w:sz w:val="24"/>
          <w:szCs w:val="24"/>
          <w:highlight w:val="none"/>
        </w:rPr>
        <w:t>右，踩实后填土，分层压实，苗木应随起随运随栽植。栽植后将穴面</w:t>
      </w:r>
      <w:r>
        <w:rPr>
          <w:rFonts w:hint="eastAsia" w:ascii="宋体" w:hAnsi="宋体" w:eastAsia="宋体" w:cs="宋体"/>
          <w:spacing w:val="-1"/>
          <w:sz w:val="24"/>
          <w:szCs w:val="24"/>
          <w:highlight w:val="none"/>
        </w:rPr>
        <w:t>成浅凹状，坡地保持鱼鳞坑外沿土埂的完整性，利于集水抗旱。</w:t>
      </w:r>
    </w:p>
    <w:p w14:paraId="7FD9A202">
      <w:pPr>
        <w:keepNext w:val="0"/>
        <w:keepLines w:val="0"/>
        <w:pageBreakBefore w:val="0"/>
        <w:widowControl w:val="0"/>
        <w:kinsoku/>
        <w:wordWrap/>
        <w:overflowPunct/>
        <w:topLinePunct w:val="0"/>
        <w:autoSpaceDE/>
        <w:autoSpaceDN/>
        <w:bidi w:val="0"/>
        <w:adjustRightInd/>
        <w:snapToGrid/>
        <w:spacing w:after="0" w:line="480" w:lineRule="auto"/>
        <w:ind w:left="26" w:right="98" w:firstLine="555"/>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——森林管护：退化林修复后，由山阳县林业局安排护林员巡山</w:t>
      </w:r>
      <w:r>
        <w:rPr>
          <w:rFonts w:hint="eastAsia" w:ascii="宋体" w:hAnsi="宋体" w:eastAsia="宋体" w:cs="宋体"/>
          <w:spacing w:val="-1"/>
          <w:sz w:val="24"/>
          <w:szCs w:val="24"/>
          <w:highlight w:val="none"/>
        </w:rPr>
        <w:t>护林，保护工程建设成果。</w:t>
      </w:r>
    </w:p>
    <w:p w14:paraId="0EAFF6F8">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.5.2 采伐修复</w:t>
      </w:r>
    </w:p>
    <w:p w14:paraId="4805DB94">
      <w:pPr>
        <w:keepNext w:val="0"/>
        <w:keepLines w:val="0"/>
        <w:pageBreakBefore w:val="0"/>
        <w:widowControl w:val="0"/>
        <w:kinsoku/>
        <w:wordWrap/>
        <w:overflowPunct/>
        <w:topLinePunct w:val="0"/>
        <w:autoSpaceDE/>
        <w:autoSpaceDN/>
        <w:bidi w:val="0"/>
        <w:adjustRightInd/>
        <w:snapToGrid/>
        <w:spacing w:after="0" w:line="480" w:lineRule="auto"/>
        <w:ind w:left="26" w:firstLine="558"/>
        <w:jc w:val="both"/>
        <w:textAlignment w:val="auto"/>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适用于退化天然乔木林，退化指标</w:t>
      </w:r>
      <w:r>
        <w:rPr>
          <w:rFonts w:hint="eastAsia" w:ascii="宋体" w:hAnsi="宋体" w:eastAsia="宋体" w:cs="宋体"/>
          <w:spacing w:val="-39"/>
          <w:sz w:val="24"/>
          <w:szCs w:val="24"/>
          <w:highlight w:val="none"/>
        </w:rPr>
        <w:t xml:space="preserve"> </w:t>
      </w:r>
      <w:r>
        <w:rPr>
          <w:rFonts w:hint="eastAsia" w:ascii="宋体" w:hAnsi="宋体" w:eastAsia="宋体" w:cs="宋体"/>
          <w:spacing w:val="-2"/>
          <w:sz w:val="24"/>
          <w:szCs w:val="24"/>
          <w:highlight w:val="none"/>
        </w:rPr>
        <w:t>1、3、5，</w:t>
      </w:r>
      <w:r>
        <w:rPr>
          <w:rFonts w:hint="eastAsia" w:ascii="宋体" w:hAnsi="宋体" w:eastAsia="宋体" w:cs="宋体"/>
          <w:spacing w:val="-3"/>
          <w:sz w:val="24"/>
          <w:szCs w:val="24"/>
          <w:highlight w:val="none"/>
        </w:rPr>
        <w:t>退化等级一般和严</w:t>
      </w:r>
      <w:r>
        <w:rPr>
          <w:rFonts w:hint="eastAsia" w:ascii="宋体" w:hAnsi="宋体" w:eastAsia="宋体" w:cs="宋体"/>
          <w:spacing w:val="-9"/>
          <w:sz w:val="24"/>
          <w:szCs w:val="24"/>
          <w:highlight w:val="none"/>
        </w:rPr>
        <w:t>重的栎类纯林、栎类+软（硬）阔混交林、栎类+油松（柏木）混交林、</w:t>
      </w:r>
      <w:r>
        <w:rPr>
          <w:rFonts w:hint="eastAsia" w:ascii="宋体" w:hAnsi="宋体" w:eastAsia="宋体" w:cs="宋体"/>
          <w:spacing w:val="-1"/>
          <w:sz w:val="24"/>
          <w:szCs w:val="24"/>
          <w:highlight w:val="none"/>
        </w:rPr>
        <w:t>软（硬）阔+油松（柏木）混交林。</w:t>
      </w:r>
    </w:p>
    <w:p w14:paraId="16D736BB">
      <w:pPr>
        <w:keepNext w:val="0"/>
        <w:keepLines w:val="0"/>
        <w:pageBreakBefore w:val="0"/>
        <w:widowControl w:val="0"/>
        <w:kinsoku/>
        <w:wordWrap/>
        <w:overflowPunct/>
        <w:topLinePunct w:val="0"/>
        <w:autoSpaceDE/>
        <w:autoSpaceDN/>
        <w:bidi w:val="0"/>
        <w:adjustRightInd/>
        <w:snapToGrid/>
        <w:spacing w:after="0" w:line="480" w:lineRule="auto"/>
        <w:ind w:left="18" w:firstLine="564"/>
        <w:jc w:val="both"/>
        <w:textAlignment w:val="auto"/>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对修复小班内的林木进行分类或分级，优先伐除干扰木或IV</w:t>
      </w:r>
      <w:r>
        <w:rPr>
          <w:rFonts w:hint="eastAsia" w:ascii="宋体" w:hAnsi="宋体" w:eastAsia="宋体" w:cs="宋体"/>
          <w:spacing w:val="-56"/>
          <w:sz w:val="24"/>
          <w:szCs w:val="24"/>
          <w:highlight w:val="none"/>
        </w:rPr>
        <w:t xml:space="preserve"> </w:t>
      </w:r>
      <w:r>
        <w:rPr>
          <w:rFonts w:hint="eastAsia" w:ascii="宋体" w:hAnsi="宋体" w:eastAsia="宋体" w:cs="宋体"/>
          <w:spacing w:val="-7"/>
          <w:sz w:val="24"/>
          <w:szCs w:val="24"/>
          <w:highlight w:val="none"/>
        </w:rPr>
        <w:t>级、</w:t>
      </w:r>
      <w:r>
        <w:rPr>
          <w:rFonts w:hint="eastAsia" w:ascii="宋体" w:hAnsi="宋体" w:eastAsia="宋体" w:cs="宋体"/>
          <w:spacing w:val="-5"/>
          <w:sz w:val="24"/>
          <w:szCs w:val="24"/>
          <w:highlight w:val="none"/>
        </w:rPr>
        <w:t>V</w:t>
      </w:r>
      <w:r>
        <w:rPr>
          <w:rFonts w:hint="eastAsia" w:ascii="宋体" w:hAnsi="宋体" w:eastAsia="宋体" w:cs="宋体"/>
          <w:spacing w:val="-41"/>
          <w:sz w:val="24"/>
          <w:szCs w:val="24"/>
          <w:highlight w:val="none"/>
        </w:rPr>
        <w:t xml:space="preserve"> </w:t>
      </w:r>
      <w:r>
        <w:rPr>
          <w:rFonts w:hint="eastAsia" w:ascii="宋体" w:hAnsi="宋体" w:eastAsia="宋体" w:cs="宋体"/>
          <w:spacing w:val="-5"/>
          <w:sz w:val="24"/>
          <w:szCs w:val="24"/>
          <w:highlight w:val="none"/>
        </w:rPr>
        <w:t>级木，一次间伐（择伐、疏伐)强度不超过总株树的</w:t>
      </w:r>
      <w:r>
        <w:rPr>
          <w:rFonts w:hint="eastAsia" w:ascii="宋体" w:hAnsi="宋体" w:eastAsia="宋体" w:cs="宋体"/>
          <w:spacing w:val="-38"/>
          <w:sz w:val="24"/>
          <w:szCs w:val="24"/>
          <w:highlight w:val="none"/>
        </w:rPr>
        <w:t xml:space="preserve"> </w:t>
      </w:r>
      <w:r>
        <w:rPr>
          <w:rFonts w:hint="eastAsia" w:ascii="宋体" w:hAnsi="宋体" w:eastAsia="宋体" w:cs="宋体"/>
          <w:spacing w:val="-5"/>
          <w:sz w:val="24"/>
          <w:szCs w:val="24"/>
          <w:highlight w:val="none"/>
        </w:rPr>
        <w:t>15%，调整林分</w:t>
      </w:r>
      <w:r>
        <w:rPr>
          <w:rFonts w:hint="eastAsia" w:ascii="宋体" w:hAnsi="宋体" w:eastAsia="宋体" w:cs="宋体"/>
          <w:spacing w:val="-3"/>
          <w:sz w:val="24"/>
          <w:szCs w:val="24"/>
          <w:highlight w:val="none"/>
        </w:rPr>
        <w:t>密度、树种组成和林分结构。采伐后要依据林分</w:t>
      </w:r>
      <w:r>
        <w:rPr>
          <w:rFonts w:hint="eastAsia" w:ascii="宋体" w:hAnsi="宋体" w:eastAsia="宋体" w:cs="宋体"/>
          <w:spacing w:val="-4"/>
          <w:sz w:val="24"/>
          <w:szCs w:val="24"/>
          <w:highlight w:val="none"/>
        </w:rPr>
        <w:t>状况和经营目标及时</w:t>
      </w:r>
      <w:r>
        <w:rPr>
          <w:rFonts w:hint="eastAsia" w:ascii="宋体" w:hAnsi="宋体" w:eastAsia="宋体" w:cs="宋体"/>
          <w:spacing w:val="-3"/>
          <w:sz w:val="24"/>
          <w:szCs w:val="24"/>
          <w:highlight w:val="none"/>
        </w:rPr>
        <w:t>补植补播，配以割灌、修枝等措施，培育混交林</w:t>
      </w:r>
      <w:r>
        <w:rPr>
          <w:rFonts w:hint="eastAsia" w:ascii="宋体" w:hAnsi="宋体" w:eastAsia="宋体" w:cs="宋体"/>
          <w:spacing w:val="-4"/>
          <w:sz w:val="24"/>
          <w:szCs w:val="24"/>
          <w:highlight w:val="none"/>
        </w:rPr>
        <w:t>。对有天然落种或萌生能力强，或通过人工措施加强林地管理可恢复正常生产的林地，辅</w:t>
      </w:r>
      <w:r>
        <w:rPr>
          <w:rFonts w:hint="eastAsia" w:ascii="宋体" w:hAnsi="宋体" w:eastAsia="宋体" w:cs="宋体"/>
          <w:spacing w:val="-2"/>
          <w:sz w:val="24"/>
          <w:szCs w:val="24"/>
          <w:highlight w:val="none"/>
        </w:rPr>
        <w:t>之促进复壮。设计如下：</w:t>
      </w:r>
    </w:p>
    <w:p w14:paraId="14AA084C">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——修复方式：采伐修复</w:t>
      </w:r>
    </w:p>
    <w:p w14:paraId="519F180F">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——修复措施：抚育采伐</w:t>
      </w:r>
    </w:p>
    <w:p w14:paraId="409A9D76">
      <w:pPr>
        <w:keepNext w:val="0"/>
        <w:keepLines w:val="0"/>
        <w:pageBreakBefore w:val="0"/>
        <w:widowControl w:val="0"/>
        <w:kinsoku/>
        <w:wordWrap/>
        <w:overflowPunct/>
        <w:topLinePunct w:val="0"/>
        <w:autoSpaceDE/>
        <w:autoSpaceDN/>
        <w:bidi w:val="0"/>
        <w:adjustRightInd/>
        <w:snapToGrid/>
        <w:spacing w:after="0" w:line="480" w:lineRule="auto"/>
        <w:ind w:left="23" w:right="21" w:firstLine="558"/>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——采伐设计：对存在生长竞争关系的不良个体，伐除密度过大</w:t>
      </w:r>
      <w:r>
        <w:rPr>
          <w:rFonts w:hint="eastAsia" w:ascii="宋体" w:hAnsi="宋体" w:eastAsia="宋体" w:cs="宋体"/>
          <w:spacing w:val="-11"/>
          <w:sz w:val="24"/>
          <w:szCs w:val="24"/>
          <w:highlight w:val="none"/>
        </w:rPr>
        <w:t>地块胸径</w:t>
      </w:r>
      <w:r>
        <w:rPr>
          <w:rFonts w:hint="eastAsia" w:ascii="宋体" w:hAnsi="宋体" w:eastAsia="宋体" w:cs="宋体"/>
          <w:spacing w:val="-50"/>
          <w:sz w:val="24"/>
          <w:szCs w:val="24"/>
          <w:highlight w:val="none"/>
        </w:rPr>
        <w:t xml:space="preserve"> </w:t>
      </w:r>
      <w:r>
        <w:rPr>
          <w:rFonts w:hint="eastAsia" w:ascii="宋体" w:hAnsi="宋体" w:eastAsia="宋体" w:cs="宋体"/>
          <w:spacing w:val="-11"/>
          <w:sz w:val="24"/>
          <w:szCs w:val="24"/>
          <w:highlight w:val="none"/>
        </w:rPr>
        <w:t>5</w:t>
      </w:r>
      <w:r>
        <w:rPr>
          <w:rFonts w:hint="eastAsia" w:ascii="宋体" w:hAnsi="宋体" w:eastAsia="宋体" w:cs="宋体"/>
          <w:spacing w:val="-58"/>
          <w:sz w:val="24"/>
          <w:szCs w:val="24"/>
          <w:highlight w:val="none"/>
        </w:rPr>
        <w:t xml:space="preserve"> </w:t>
      </w:r>
      <w:r>
        <w:rPr>
          <w:rFonts w:hint="eastAsia" w:ascii="宋体" w:hAnsi="宋体" w:eastAsia="宋体" w:cs="宋体"/>
          <w:spacing w:val="-11"/>
          <w:sz w:val="24"/>
          <w:szCs w:val="24"/>
          <w:highlight w:val="none"/>
        </w:rPr>
        <w:t>厘米以下纤细个体及不良个体，以栎类、软（硬）阔为主，</w:t>
      </w:r>
      <w:r>
        <w:rPr>
          <w:rFonts w:hint="eastAsia" w:ascii="宋体" w:hAnsi="宋体" w:eastAsia="宋体" w:cs="宋体"/>
          <w:sz w:val="24"/>
          <w:szCs w:val="24"/>
          <w:highlight w:val="none"/>
        </w:rPr>
        <w:t>平均每亩</w:t>
      </w:r>
      <w:r>
        <w:rPr>
          <w:rFonts w:hint="eastAsia" w:ascii="宋体" w:hAnsi="宋体" w:eastAsia="宋体" w:cs="宋体"/>
          <w:spacing w:val="-49"/>
          <w:sz w:val="24"/>
          <w:szCs w:val="24"/>
          <w:highlight w:val="none"/>
        </w:rPr>
        <w:t xml:space="preserve"> </w:t>
      </w:r>
      <w:r>
        <w:rPr>
          <w:rFonts w:hint="eastAsia" w:ascii="宋体" w:hAnsi="宋体" w:eastAsia="宋体" w:cs="宋体"/>
          <w:sz w:val="24"/>
          <w:szCs w:val="24"/>
          <w:highlight w:val="none"/>
        </w:rPr>
        <w:t>4-15</w:t>
      </w:r>
      <w:r>
        <w:rPr>
          <w:rFonts w:hint="eastAsia" w:ascii="宋体" w:hAnsi="宋体" w:eastAsia="宋体" w:cs="宋体"/>
          <w:spacing w:val="-56"/>
          <w:sz w:val="24"/>
          <w:szCs w:val="24"/>
          <w:highlight w:val="none"/>
        </w:rPr>
        <w:t xml:space="preserve"> </w:t>
      </w:r>
      <w:r>
        <w:rPr>
          <w:rFonts w:hint="eastAsia" w:ascii="宋体" w:hAnsi="宋体" w:eastAsia="宋体" w:cs="宋体"/>
          <w:sz w:val="24"/>
          <w:szCs w:val="24"/>
          <w:highlight w:val="none"/>
        </w:rPr>
        <w:t>株；对胸径连年生长量明显下降的不良植株，伐除纤</w:t>
      </w:r>
      <w:r>
        <w:rPr>
          <w:rFonts w:hint="eastAsia" w:ascii="宋体" w:hAnsi="宋体" w:eastAsia="宋体" w:cs="宋体"/>
          <w:spacing w:val="-2"/>
          <w:sz w:val="24"/>
          <w:szCs w:val="24"/>
          <w:highlight w:val="none"/>
        </w:rPr>
        <w:t>细、</w:t>
      </w:r>
      <w:r>
        <w:rPr>
          <w:rFonts w:hint="eastAsia" w:ascii="宋体" w:hAnsi="宋体" w:eastAsia="宋体" w:cs="宋体"/>
          <w:spacing w:val="-80"/>
          <w:sz w:val="24"/>
          <w:szCs w:val="24"/>
          <w:highlight w:val="none"/>
        </w:rPr>
        <w:t xml:space="preserve"> </w:t>
      </w:r>
      <w:r>
        <w:rPr>
          <w:rFonts w:hint="eastAsia" w:ascii="宋体" w:hAnsi="宋体" w:eastAsia="宋体" w:cs="宋体"/>
          <w:spacing w:val="-2"/>
          <w:sz w:val="24"/>
          <w:szCs w:val="24"/>
          <w:highlight w:val="none"/>
        </w:rPr>
        <w:t>自然整枝不良、非目的树种，平均每亩</w:t>
      </w:r>
      <w:r>
        <w:rPr>
          <w:rFonts w:hint="eastAsia" w:ascii="宋体" w:hAnsi="宋体" w:eastAsia="宋体" w:cs="宋体"/>
          <w:spacing w:val="-36"/>
          <w:sz w:val="24"/>
          <w:szCs w:val="24"/>
          <w:highlight w:val="none"/>
        </w:rPr>
        <w:t xml:space="preserve"> </w:t>
      </w:r>
      <w:r>
        <w:rPr>
          <w:rFonts w:hint="eastAsia" w:ascii="宋体" w:hAnsi="宋体" w:eastAsia="宋体" w:cs="宋体"/>
          <w:spacing w:val="-2"/>
          <w:sz w:val="24"/>
          <w:szCs w:val="24"/>
          <w:highlight w:val="none"/>
        </w:rPr>
        <w:t>10</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株</w:t>
      </w:r>
      <w:r>
        <w:rPr>
          <w:rFonts w:hint="eastAsia" w:ascii="宋体" w:hAnsi="宋体" w:eastAsia="宋体" w:cs="宋体"/>
          <w:spacing w:val="-3"/>
          <w:sz w:val="24"/>
          <w:szCs w:val="24"/>
          <w:highlight w:val="none"/>
        </w:rPr>
        <w:t>。对遭受自然灾害</w:t>
      </w:r>
      <w:r>
        <w:rPr>
          <w:rFonts w:hint="eastAsia" w:ascii="宋体" w:hAnsi="宋体" w:eastAsia="宋体" w:cs="宋体"/>
          <w:spacing w:val="-5"/>
          <w:sz w:val="24"/>
          <w:szCs w:val="24"/>
          <w:highlight w:val="none"/>
        </w:rPr>
        <w:t>的林木进行卫生伐，伐除密度过大地块胸径</w:t>
      </w:r>
      <w:r>
        <w:rPr>
          <w:rFonts w:hint="eastAsia" w:ascii="宋体" w:hAnsi="宋体" w:eastAsia="宋体" w:cs="宋体"/>
          <w:spacing w:val="-37"/>
          <w:sz w:val="24"/>
          <w:szCs w:val="24"/>
          <w:highlight w:val="none"/>
        </w:rPr>
        <w:t xml:space="preserve"> </w:t>
      </w:r>
      <w:r>
        <w:rPr>
          <w:rFonts w:hint="eastAsia" w:ascii="宋体" w:hAnsi="宋体" w:eastAsia="宋体" w:cs="宋体"/>
          <w:spacing w:val="-5"/>
          <w:sz w:val="24"/>
          <w:szCs w:val="24"/>
          <w:highlight w:val="none"/>
        </w:rPr>
        <w:t>5</w:t>
      </w:r>
      <w:r>
        <w:rPr>
          <w:rFonts w:hint="eastAsia" w:ascii="宋体" w:hAnsi="宋体" w:eastAsia="宋体" w:cs="宋体"/>
          <w:spacing w:val="-58"/>
          <w:sz w:val="24"/>
          <w:szCs w:val="24"/>
          <w:highlight w:val="none"/>
        </w:rPr>
        <w:t xml:space="preserve"> </w:t>
      </w:r>
      <w:r>
        <w:rPr>
          <w:rFonts w:hint="eastAsia" w:ascii="宋体" w:hAnsi="宋体" w:eastAsia="宋体" w:cs="宋体"/>
          <w:spacing w:val="-5"/>
          <w:sz w:val="24"/>
          <w:szCs w:val="24"/>
          <w:highlight w:val="none"/>
        </w:rPr>
        <w:t>厘米以下纤细个体及枯</w:t>
      </w:r>
      <w:r>
        <w:rPr>
          <w:rFonts w:hint="eastAsia" w:ascii="宋体" w:hAnsi="宋体" w:eastAsia="宋体" w:cs="宋体"/>
          <w:spacing w:val="-2"/>
          <w:sz w:val="24"/>
          <w:szCs w:val="24"/>
          <w:highlight w:val="none"/>
        </w:rPr>
        <w:t>死木、濒死木，以栎类、软（硬）阔为主，平均每亩10-20</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株。</w:t>
      </w:r>
    </w:p>
    <w:p w14:paraId="3EC0F76E">
      <w:pPr>
        <w:keepNext w:val="0"/>
        <w:keepLines w:val="0"/>
        <w:pageBreakBefore w:val="0"/>
        <w:widowControl w:val="0"/>
        <w:kinsoku/>
        <w:wordWrap/>
        <w:overflowPunct/>
        <w:topLinePunct w:val="0"/>
        <w:autoSpaceDE/>
        <w:autoSpaceDN/>
        <w:bidi w:val="0"/>
        <w:adjustRightInd/>
        <w:snapToGrid/>
        <w:spacing w:after="0" w:line="480" w:lineRule="auto"/>
        <w:ind w:left="5" w:right="21" w:firstLine="576"/>
        <w:textAlignment w:val="auto"/>
        <w:rPr>
          <w:rFonts w:hint="eastAsia" w:ascii="宋体" w:hAnsi="宋体" w:eastAsia="宋体" w:cs="宋体"/>
          <w:sz w:val="24"/>
          <w:szCs w:val="24"/>
          <w:highlight w:val="none"/>
        </w:rPr>
      </w:pPr>
      <w:r>
        <w:rPr>
          <w:rFonts w:hint="eastAsia" w:ascii="宋体" w:hAnsi="宋体" w:eastAsia="宋体" w:cs="宋体"/>
          <w:spacing w:val="-11"/>
          <w:sz w:val="24"/>
          <w:szCs w:val="24"/>
          <w:highlight w:val="none"/>
        </w:rPr>
        <w:t>——技术措施：清除林间块状分布的枯死、濒死木、死亡的枝条，</w:t>
      </w:r>
      <w:r>
        <w:rPr>
          <w:rFonts w:hint="eastAsia" w:ascii="宋体" w:hAnsi="宋体" w:eastAsia="宋体" w:cs="宋体"/>
          <w:spacing w:val="-3"/>
          <w:sz w:val="24"/>
          <w:szCs w:val="24"/>
          <w:highlight w:val="none"/>
        </w:rPr>
        <w:t>对遭受自然灾害、存在生长竞争关系、生长量连年下降的不良个体及</w:t>
      </w:r>
      <w:r>
        <w:rPr>
          <w:rFonts w:hint="eastAsia" w:ascii="宋体" w:hAnsi="宋体" w:eastAsia="宋体" w:cs="宋体"/>
          <w:spacing w:val="-1"/>
          <w:sz w:val="24"/>
          <w:szCs w:val="24"/>
          <w:highlight w:val="none"/>
        </w:rPr>
        <w:t>纤细植株进行间伐，强度控制在</w:t>
      </w:r>
      <w:r>
        <w:rPr>
          <w:rFonts w:hint="eastAsia" w:ascii="宋体" w:hAnsi="宋体" w:eastAsia="宋体" w:cs="宋体"/>
          <w:spacing w:val="-56"/>
          <w:sz w:val="24"/>
          <w:szCs w:val="24"/>
          <w:highlight w:val="none"/>
        </w:rPr>
        <w:t xml:space="preserve"> </w:t>
      </w:r>
      <w:r>
        <w:rPr>
          <w:rFonts w:hint="eastAsia" w:ascii="宋体" w:hAnsi="宋体" w:eastAsia="宋体" w:cs="宋体"/>
          <w:spacing w:val="-1"/>
          <w:sz w:val="24"/>
          <w:szCs w:val="24"/>
          <w:highlight w:val="none"/>
        </w:rPr>
        <w:t>20%以内；同时对采伐后密度不足或</w:t>
      </w:r>
      <w:r>
        <w:rPr>
          <w:rFonts w:hint="eastAsia" w:ascii="宋体" w:hAnsi="宋体" w:eastAsia="宋体" w:cs="宋体"/>
          <w:spacing w:val="-3"/>
          <w:sz w:val="24"/>
          <w:szCs w:val="24"/>
          <w:highlight w:val="none"/>
        </w:rPr>
        <w:t>存在林间空地的地块，进行人工补植，营造针阔异龄复层，补植采取</w:t>
      </w:r>
      <w:r>
        <w:rPr>
          <w:rFonts w:hint="eastAsia" w:ascii="宋体" w:hAnsi="宋体" w:eastAsia="宋体" w:cs="宋体"/>
          <w:spacing w:val="-4"/>
          <w:sz w:val="24"/>
          <w:szCs w:val="24"/>
          <w:highlight w:val="none"/>
        </w:rPr>
        <w:t>“见缝插针</w:t>
      </w:r>
      <w:r>
        <w:rPr>
          <w:rFonts w:hint="eastAsia" w:ascii="宋体" w:hAnsi="宋体" w:eastAsia="宋体" w:cs="宋体"/>
          <w:spacing w:val="-106"/>
          <w:sz w:val="24"/>
          <w:szCs w:val="24"/>
          <w:highlight w:val="none"/>
        </w:rPr>
        <w:t xml:space="preserve"> </w:t>
      </w:r>
      <w:r>
        <w:rPr>
          <w:rFonts w:hint="eastAsia" w:ascii="宋体" w:hAnsi="宋体" w:eastAsia="宋体" w:cs="宋体"/>
          <w:spacing w:val="-4"/>
          <w:sz w:val="24"/>
          <w:szCs w:val="24"/>
          <w:highlight w:val="none"/>
        </w:rPr>
        <w:t>”的精准方式，按需补植，保证单位面积的密度达到该类</w:t>
      </w:r>
      <w:r>
        <w:rPr>
          <w:rFonts w:hint="eastAsia" w:ascii="宋体" w:hAnsi="宋体" w:eastAsia="宋体" w:cs="宋体"/>
          <w:spacing w:val="-3"/>
          <w:sz w:val="24"/>
          <w:szCs w:val="24"/>
          <w:highlight w:val="none"/>
        </w:rPr>
        <w:t>林分密度标准；同时对自然整枝不良、枯死的枝条等进行修枝，对林</w:t>
      </w:r>
      <w:r>
        <w:rPr>
          <w:rFonts w:hint="eastAsia" w:ascii="宋体" w:hAnsi="宋体" w:eastAsia="宋体" w:cs="宋体"/>
          <w:spacing w:val="3"/>
          <w:sz w:val="24"/>
          <w:szCs w:val="24"/>
          <w:highlight w:val="none"/>
        </w:rPr>
        <w:t xml:space="preserve"> </w:t>
      </w:r>
      <w:r>
        <w:rPr>
          <w:rFonts w:hint="eastAsia" w:ascii="宋体" w:hAnsi="宋体" w:eastAsia="宋体" w:cs="宋体"/>
          <w:spacing w:val="-3"/>
          <w:sz w:val="24"/>
          <w:szCs w:val="24"/>
          <w:highlight w:val="none"/>
        </w:rPr>
        <w:t>间存在的针叶幼龄林进行扩盘培土，对影响目的树种幼树幼苗的高大</w:t>
      </w:r>
      <w:r>
        <w:rPr>
          <w:rFonts w:hint="eastAsia" w:ascii="宋体" w:hAnsi="宋体" w:eastAsia="宋体" w:cs="宋体"/>
          <w:spacing w:val="-2"/>
          <w:sz w:val="24"/>
          <w:szCs w:val="24"/>
          <w:highlight w:val="none"/>
        </w:rPr>
        <w:t>灌草及缠绕主枝的藤本进行割灌（割藤</w:t>
      </w:r>
      <w:r>
        <w:rPr>
          <w:rFonts w:hint="eastAsia" w:ascii="宋体" w:hAnsi="宋体" w:eastAsia="宋体" w:cs="宋体"/>
          <w:spacing w:val="11"/>
          <w:sz w:val="24"/>
          <w:szCs w:val="24"/>
          <w:highlight w:val="none"/>
        </w:rPr>
        <w:t>），</w:t>
      </w:r>
      <w:r>
        <w:rPr>
          <w:rFonts w:hint="eastAsia" w:ascii="宋体" w:hAnsi="宋体" w:eastAsia="宋体" w:cs="宋体"/>
          <w:spacing w:val="-2"/>
          <w:sz w:val="24"/>
          <w:szCs w:val="24"/>
          <w:highlight w:val="none"/>
        </w:rPr>
        <w:t>促进林木正常生长发育。</w:t>
      </w:r>
    </w:p>
    <w:p w14:paraId="09A332B4">
      <w:pPr>
        <w:keepNext w:val="0"/>
        <w:keepLines w:val="0"/>
        <w:pageBreakBefore w:val="0"/>
        <w:widowControl w:val="0"/>
        <w:kinsoku/>
        <w:wordWrap/>
        <w:overflowPunct/>
        <w:topLinePunct w:val="0"/>
        <w:autoSpaceDE/>
        <w:autoSpaceDN/>
        <w:bidi w:val="0"/>
        <w:adjustRightInd/>
        <w:snapToGrid/>
        <w:spacing w:after="0" w:line="480" w:lineRule="auto"/>
        <w:ind w:left="26" w:firstLine="555"/>
        <w:textAlignment w:val="auto"/>
        <w:rPr>
          <w:rFonts w:hint="eastAsia" w:ascii="宋体" w:hAnsi="宋体" w:eastAsia="宋体" w:cs="宋体"/>
          <w:sz w:val="24"/>
          <w:szCs w:val="24"/>
          <w:highlight w:val="none"/>
        </w:rPr>
      </w:pPr>
      <w:r>
        <w:rPr>
          <w:rFonts w:hint="eastAsia" w:ascii="宋体" w:hAnsi="宋体" w:eastAsia="宋体" w:cs="宋体"/>
          <w:spacing w:val="-10"/>
          <w:sz w:val="24"/>
          <w:szCs w:val="24"/>
          <w:highlight w:val="none"/>
        </w:rPr>
        <w:t>——剩余物处理：对砍除枯死木、濒死木、受害木、树枝、灌木、</w:t>
      </w:r>
      <w:r>
        <w:rPr>
          <w:rFonts w:hint="eastAsia" w:ascii="宋体" w:hAnsi="宋体" w:eastAsia="宋体" w:cs="宋体"/>
          <w:spacing w:val="-8"/>
          <w:sz w:val="24"/>
          <w:szCs w:val="24"/>
          <w:highlight w:val="none"/>
        </w:rPr>
        <w:t>藤本、刺丛等，堆腐于林地内，堆集规格为堆高≤1.2m</w:t>
      </w:r>
      <w:r>
        <w:rPr>
          <w:rFonts w:hint="eastAsia" w:ascii="宋体" w:hAnsi="宋体" w:eastAsia="宋体" w:cs="宋体"/>
          <w:spacing w:val="-9"/>
          <w:sz w:val="24"/>
          <w:szCs w:val="24"/>
          <w:highlight w:val="none"/>
        </w:rPr>
        <w:t>、堆长≤2.0m、</w:t>
      </w:r>
      <w:r>
        <w:rPr>
          <w:rFonts w:hint="eastAsia" w:ascii="宋体" w:hAnsi="宋体" w:eastAsia="宋体" w:cs="宋体"/>
          <w:spacing w:val="-1"/>
          <w:sz w:val="24"/>
          <w:szCs w:val="24"/>
          <w:highlight w:val="none"/>
        </w:rPr>
        <w:t>堆宽≤1.5m，堆与堆间隔≥5m。</w:t>
      </w:r>
    </w:p>
    <w:p w14:paraId="0C3581D9">
      <w:pPr>
        <w:keepNext w:val="0"/>
        <w:keepLines w:val="0"/>
        <w:pageBreakBefore w:val="0"/>
        <w:widowControl w:val="0"/>
        <w:kinsoku/>
        <w:wordWrap/>
        <w:overflowPunct/>
        <w:topLinePunct w:val="0"/>
        <w:autoSpaceDE/>
        <w:autoSpaceDN/>
        <w:bidi w:val="0"/>
        <w:adjustRightInd/>
        <w:snapToGrid/>
        <w:spacing w:after="0" w:line="480" w:lineRule="auto"/>
        <w:ind w:left="21" w:right="67" w:firstLine="561"/>
        <w:jc w:val="both"/>
        <w:textAlignment w:val="auto"/>
        <w:rPr>
          <w:rFonts w:hint="eastAsia" w:ascii="宋体" w:hAnsi="宋体" w:eastAsia="宋体" w:cs="宋体"/>
          <w:sz w:val="24"/>
          <w:szCs w:val="24"/>
          <w:highlight w:val="none"/>
        </w:rPr>
      </w:pPr>
      <w:r>
        <w:rPr>
          <w:rFonts w:hint="eastAsia" w:ascii="宋体" w:hAnsi="宋体" w:eastAsia="宋体" w:cs="宋体"/>
          <w:spacing w:val="-2"/>
          <w:sz w:val="24"/>
          <w:szCs w:val="24"/>
          <w:highlight w:val="none"/>
        </w:rPr>
        <w:t>对于感染林业检疫有害生物及林业补充检疫性有害生物的林木、</w:t>
      </w:r>
      <w:r>
        <w:rPr>
          <w:rFonts w:hint="eastAsia" w:ascii="宋体" w:hAnsi="宋体" w:eastAsia="宋体" w:cs="宋体"/>
          <w:spacing w:val="-4"/>
          <w:sz w:val="24"/>
          <w:szCs w:val="24"/>
          <w:highlight w:val="none"/>
        </w:rPr>
        <w:t>采伐剩余物等，要全株清理出林分、集中烧毁，或集中深埋。该项目伐除疫木时，应严格按照松材线虫疫木除治方法处理，参照松材线虫</w:t>
      </w:r>
      <w:r>
        <w:rPr>
          <w:rFonts w:hint="eastAsia" w:ascii="宋体" w:hAnsi="宋体" w:eastAsia="宋体" w:cs="宋体"/>
          <w:spacing w:val="1"/>
          <w:sz w:val="24"/>
          <w:szCs w:val="24"/>
          <w:highlight w:val="none"/>
        </w:rPr>
        <w:t>病疫木处理技术规范（</w:t>
      </w:r>
      <w:r>
        <w:rPr>
          <w:rFonts w:hint="eastAsia" w:ascii="宋体" w:hAnsi="宋体" w:eastAsia="宋体" w:cs="宋体"/>
          <w:sz w:val="24"/>
          <w:szCs w:val="24"/>
          <w:highlight w:val="none"/>
        </w:rPr>
        <w:t>GB</w:t>
      </w:r>
      <w:r>
        <w:rPr>
          <w:rFonts w:hint="eastAsia" w:ascii="宋体" w:hAnsi="宋体" w:eastAsia="宋体" w:cs="宋体"/>
          <w:spacing w:val="1"/>
          <w:sz w:val="24"/>
          <w:szCs w:val="24"/>
          <w:highlight w:val="none"/>
        </w:rPr>
        <w:t>/T 23477-2009）、松材线虫病疫木清理技</w:t>
      </w:r>
      <w:r>
        <w:rPr>
          <w:rFonts w:hint="eastAsia" w:ascii="宋体" w:hAnsi="宋体" w:eastAsia="宋体" w:cs="宋体"/>
          <w:spacing w:val="-1"/>
          <w:sz w:val="24"/>
          <w:szCs w:val="24"/>
          <w:highlight w:val="none"/>
        </w:rPr>
        <w:t>术规范（LY/T1865-2009）执行。</w:t>
      </w:r>
    </w:p>
    <w:p w14:paraId="50800205">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.5.3 人工促进天然更新</w:t>
      </w:r>
    </w:p>
    <w:p w14:paraId="665A6C41">
      <w:pPr>
        <w:keepNext w:val="0"/>
        <w:keepLines w:val="0"/>
        <w:pageBreakBefore w:val="0"/>
        <w:widowControl w:val="0"/>
        <w:kinsoku/>
        <w:wordWrap/>
        <w:overflowPunct/>
        <w:topLinePunct w:val="0"/>
        <w:autoSpaceDE/>
        <w:autoSpaceDN/>
        <w:bidi w:val="0"/>
        <w:adjustRightInd/>
        <w:snapToGrid/>
        <w:spacing w:after="0" w:line="480" w:lineRule="auto"/>
        <w:ind w:left="28" w:firstLine="555"/>
        <w:textAlignment w:val="auto"/>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适用于天然退化乔木林，退化指标</w:t>
      </w:r>
      <w:r>
        <w:rPr>
          <w:rFonts w:hint="eastAsia" w:ascii="宋体" w:hAnsi="宋体" w:eastAsia="宋体" w:cs="宋体"/>
          <w:spacing w:val="-49"/>
          <w:sz w:val="24"/>
          <w:szCs w:val="24"/>
          <w:highlight w:val="none"/>
        </w:rPr>
        <w:t xml:space="preserve"> </w:t>
      </w:r>
      <w:r>
        <w:rPr>
          <w:rFonts w:hint="eastAsia" w:ascii="宋体" w:hAnsi="宋体" w:eastAsia="宋体" w:cs="宋体"/>
          <w:spacing w:val="3"/>
          <w:sz w:val="24"/>
          <w:szCs w:val="24"/>
          <w:highlight w:val="none"/>
        </w:rPr>
        <w:t>2、5，退化等级一般的栎类</w:t>
      </w:r>
      <w:r>
        <w:rPr>
          <w:rFonts w:hint="eastAsia" w:ascii="宋体" w:hAnsi="宋体" w:eastAsia="宋体" w:cs="宋体"/>
          <w:spacing w:val="-8"/>
          <w:sz w:val="24"/>
          <w:szCs w:val="24"/>
          <w:highlight w:val="none"/>
        </w:rPr>
        <w:t>纯林、栎类+软（硬）阔混交林、栎类+油</w:t>
      </w:r>
      <w:r>
        <w:rPr>
          <w:rFonts w:hint="eastAsia" w:ascii="宋体" w:hAnsi="宋体" w:eastAsia="宋体" w:cs="宋体"/>
          <w:spacing w:val="-9"/>
          <w:sz w:val="24"/>
          <w:szCs w:val="24"/>
          <w:highlight w:val="none"/>
        </w:rPr>
        <w:t>松（柏木）混交林、软（硬）</w:t>
      </w:r>
      <w:r>
        <w:rPr>
          <w:rFonts w:hint="eastAsia" w:ascii="宋体" w:hAnsi="宋体" w:eastAsia="宋体" w:cs="宋体"/>
          <w:spacing w:val="1"/>
          <w:sz w:val="24"/>
          <w:szCs w:val="24"/>
          <w:highlight w:val="none"/>
        </w:rPr>
        <w:t>阔+油松（柏木）混交林，具有天然下种条件，但天然更新等级不良</w:t>
      </w:r>
      <w:r>
        <w:rPr>
          <w:rFonts w:hint="eastAsia" w:ascii="宋体" w:hAnsi="宋体" w:eastAsia="宋体" w:cs="宋体"/>
          <w:spacing w:val="-4"/>
          <w:sz w:val="24"/>
          <w:szCs w:val="24"/>
          <w:highlight w:val="none"/>
        </w:rPr>
        <w:t>的地块。</w:t>
      </w:r>
    </w:p>
    <w:p w14:paraId="655191A9">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——修复方式：人工促进天然更新。</w:t>
      </w:r>
    </w:p>
    <w:p w14:paraId="7355BBE1">
      <w:pPr>
        <w:keepNext w:val="0"/>
        <w:keepLines w:val="0"/>
        <w:pageBreakBefore w:val="0"/>
        <w:widowControl w:val="0"/>
        <w:kinsoku/>
        <w:wordWrap/>
        <w:overflowPunct/>
        <w:topLinePunct w:val="0"/>
        <w:autoSpaceDE/>
        <w:autoSpaceDN/>
        <w:bidi w:val="0"/>
        <w:adjustRightInd/>
        <w:snapToGrid/>
        <w:spacing w:after="0" w:line="480" w:lineRule="auto"/>
        <w:ind w:left="581"/>
        <w:textAlignment w:val="auto"/>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——修复措施：破土、松土除草、割灌割藤。</w:t>
      </w:r>
    </w:p>
    <w:p w14:paraId="4D343F4F">
      <w:pPr>
        <w:keepNext w:val="0"/>
        <w:keepLines w:val="0"/>
        <w:pageBreakBefore w:val="0"/>
        <w:widowControl w:val="0"/>
        <w:kinsoku/>
        <w:wordWrap/>
        <w:overflowPunct/>
        <w:topLinePunct w:val="0"/>
        <w:autoSpaceDE/>
        <w:autoSpaceDN/>
        <w:bidi w:val="0"/>
        <w:adjustRightInd/>
        <w:snapToGrid/>
        <w:spacing w:after="0" w:line="480" w:lineRule="auto"/>
        <w:ind w:left="23" w:right="44" w:firstLine="558"/>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——技术措施：采取破土、松土除草、割灌割藤的方式，围绕目的树种幼苗幼树局部割灌，对于因灌草覆盖度较大，而影响母树天然下种、幼苗幼树生长，需要采用人工促进更新的措施，促进幼苗幼树</w:t>
      </w:r>
      <w:r>
        <w:rPr>
          <w:rFonts w:hint="eastAsia" w:ascii="宋体" w:hAnsi="宋体" w:eastAsia="宋体" w:cs="宋体"/>
          <w:spacing w:val="-10"/>
          <w:sz w:val="24"/>
          <w:szCs w:val="24"/>
          <w:highlight w:val="none"/>
        </w:rPr>
        <w:t>生长。对于灌草生长茂盛，幼苗幼树分布少，种子触土难度大的地块，</w:t>
      </w:r>
      <w:r>
        <w:rPr>
          <w:rFonts w:hint="eastAsia" w:ascii="宋体" w:hAnsi="宋体" w:eastAsia="宋体" w:cs="宋体"/>
          <w:spacing w:val="1"/>
          <w:sz w:val="24"/>
          <w:szCs w:val="24"/>
          <w:highlight w:val="none"/>
        </w:rPr>
        <w:t xml:space="preserve"> </w:t>
      </w:r>
      <w:r>
        <w:rPr>
          <w:rFonts w:hint="eastAsia" w:ascii="宋体" w:hAnsi="宋体" w:eastAsia="宋体" w:cs="宋体"/>
          <w:spacing w:val="-4"/>
          <w:sz w:val="24"/>
          <w:szCs w:val="24"/>
          <w:highlight w:val="none"/>
        </w:rPr>
        <w:t>采取人工带状或块状除草砍灌、破土整地等人为措施，为母树天然下</w:t>
      </w:r>
      <w:r>
        <w:rPr>
          <w:rFonts w:hint="eastAsia" w:ascii="宋体" w:hAnsi="宋体" w:eastAsia="宋体" w:cs="宋体"/>
          <w:spacing w:val="15"/>
          <w:sz w:val="24"/>
          <w:szCs w:val="24"/>
          <w:highlight w:val="none"/>
        </w:rPr>
        <w:t xml:space="preserve"> </w:t>
      </w:r>
      <w:r>
        <w:rPr>
          <w:rFonts w:hint="eastAsia" w:ascii="宋体" w:hAnsi="宋体" w:eastAsia="宋体" w:cs="宋体"/>
          <w:spacing w:val="3"/>
          <w:sz w:val="24"/>
          <w:szCs w:val="24"/>
          <w:highlight w:val="none"/>
        </w:rPr>
        <w:t>种成苗创造条件。破土整地的规格为</w:t>
      </w:r>
      <w:r>
        <w:rPr>
          <w:rFonts w:hint="eastAsia" w:ascii="宋体" w:hAnsi="宋体" w:eastAsia="宋体" w:cs="宋体"/>
          <w:spacing w:val="-52"/>
          <w:sz w:val="24"/>
          <w:szCs w:val="24"/>
          <w:highlight w:val="none"/>
        </w:rPr>
        <w:t xml:space="preserve"> </w:t>
      </w:r>
      <w:r>
        <w:rPr>
          <w:rFonts w:hint="eastAsia" w:ascii="宋体" w:hAnsi="宋体" w:eastAsia="宋体" w:cs="宋体"/>
          <w:spacing w:val="3"/>
          <w:sz w:val="24"/>
          <w:szCs w:val="24"/>
          <w:highlight w:val="none"/>
        </w:rPr>
        <w:t>20</w:t>
      </w:r>
      <w:r>
        <w:rPr>
          <w:rFonts w:hint="eastAsia" w:ascii="宋体" w:hAnsi="宋体" w:eastAsia="宋体" w:cs="宋体"/>
          <w:sz w:val="24"/>
          <w:szCs w:val="24"/>
          <w:highlight w:val="none"/>
        </w:rPr>
        <w:t>cm</w:t>
      </w:r>
      <w:r>
        <w:rPr>
          <w:rFonts w:hint="eastAsia" w:ascii="宋体" w:hAnsi="宋体" w:eastAsia="宋体" w:cs="宋体"/>
          <w:spacing w:val="3"/>
          <w:sz w:val="24"/>
          <w:szCs w:val="24"/>
          <w:highlight w:val="none"/>
        </w:rPr>
        <w:t>×15</w:t>
      </w:r>
      <w:r>
        <w:rPr>
          <w:rFonts w:hint="eastAsia" w:ascii="宋体" w:hAnsi="宋体" w:eastAsia="宋体" w:cs="宋体"/>
          <w:sz w:val="24"/>
          <w:szCs w:val="24"/>
          <w:highlight w:val="none"/>
        </w:rPr>
        <w:t>cm</w:t>
      </w:r>
      <w:r>
        <w:rPr>
          <w:rFonts w:hint="eastAsia" w:ascii="宋体" w:hAnsi="宋体" w:eastAsia="宋体" w:cs="宋体"/>
          <w:spacing w:val="3"/>
          <w:sz w:val="24"/>
          <w:szCs w:val="24"/>
          <w:highlight w:val="none"/>
        </w:rPr>
        <w:t>×10</w:t>
      </w:r>
      <w:r>
        <w:rPr>
          <w:rFonts w:hint="eastAsia" w:ascii="宋体" w:hAnsi="宋体" w:eastAsia="宋体" w:cs="宋体"/>
          <w:sz w:val="24"/>
          <w:szCs w:val="24"/>
          <w:highlight w:val="none"/>
        </w:rPr>
        <w:t>cm</w:t>
      </w:r>
      <w:r>
        <w:rPr>
          <w:rFonts w:hint="eastAsia" w:ascii="宋体" w:hAnsi="宋体" w:eastAsia="宋体" w:cs="宋体"/>
          <w:spacing w:val="3"/>
          <w:sz w:val="24"/>
          <w:szCs w:val="24"/>
          <w:highlight w:val="none"/>
        </w:rPr>
        <w:t>，砍灌、整</w:t>
      </w:r>
      <w:r>
        <w:rPr>
          <w:rFonts w:hint="eastAsia" w:ascii="宋体" w:hAnsi="宋体" w:eastAsia="宋体" w:cs="宋体"/>
          <w:spacing w:val="-4"/>
          <w:sz w:val="24"/>
          <w:szCs w:val="24"/>
          <w:highlight w:val="none"/>
        </w:rPr>
        <w:t>地时要保护好已更新的幼苗幼树。对于林木密度相对较大的局部地段破土规格应不拘于密度的限制，以填空补缺的方式进行。同时结合破土整地在树种组成单一和结构层次简单的作业小班，对影响幼苗幼树</w:t>
      </w:r>
      <w:r>
        <w:rPr>
          <w:rFonts w:hint="eastAsia" w:ascii="宋体" w:hAnsi="宋体" w:eastAsia="宋体" w:cs="宋体"/>
          <w:spacing w:val="-1"/>
          <w:sz w:val="24"/>
          <w:szCs w:val="24"/>
          <w:highlight w:val="none"/>
        </w:rPr>
        <w:t>生长的灌木、杂草等进行局部透光，以利于幼树幼苗。</w:t>
      </w:r>
    </w:p>
    <w:p w14:paraId="108A39EE">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38" w:name="bookmark52"/>
      <w:bookmarkEnd w:id="138"/>
      <w:bookmarkStart w:id="139" w:name="bookmark53"/>
      <w:bookmarkEnd w:id="139"/>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.6</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主要技术措施</w:t>
      </w:r>
    </w:p>
    <w:p w14:paraId="46FA7C21">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.6.1 补植技术措施</w:t>
      </w:r>
    </w:p>
    <w:p w14:paraId="114C20AE">
      <w:pPr>
        <w:keepNext w:val="0"/>
        <w:keepLines w:val="0"/>
        <w:pageBreakBefore w:val="0"/>
        <w:widowControl w:val="0"/>
        <w:kinsoku/>
        <w:wordWrap/>
        <w:overflowPunct/>
        <w:topLinePunct w:val="0"/>
        <w:autoSpaceDE/>
        <w:autoSpaceDN/>
        <w:bidi w:val="0"/>
        <w:adjustRightInd/>
        <w:snapToGrid/>
        <w:spacing w:after="0" w:line="480" w:lineRule="auto"/>
        <w:ind w:left="25" w:right="13" w:firstLine="563"/>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首先定点清除林间内的各类纤细个体、不良个体，及枯死木、濒</w:t>
      </w:r>
      <w:r>
        <w:rPr>
          <w:rFonts w:hint="eastAsia" w:ascii="宋体" w:hAnsi="宋体" w:eastAsia="宋体" w:cs="宋体"/>
          <w:sz w:val="24"/>
          <w:szCs w:val="24"/>
          <w:highlight w:val="none"/>
        </w:rPr>
        <w:t>死木和病原木，然后对作业后的地块及大于</w:t>
      </w:r>
      <w:r>
        <w:rPr>
          <w:rFonts w:hint="eastAsia" w:ascii="宋体" w:hAnsi="宋体" w:eastAsia="宋体" w:cs="宋体"/>
          <w:spacing w:val="-44"/>
          <w:sz w:val="24"/>
          <w:szCs w:val="24"/>
          <w:highlight w:val="none"/>
        </w:rPr>
        <w:t xml:space="preserve"> </w:t>
      </w:r>
      <w:r>
        <w:rPr>
          <w:rFonts w:hint="eastAsia" w:ascii="宋体" w:hAnsi="宋体" w:eastAsia="宋体" w:cs="宋体"/>
          <w:sz w:val="24"/>
          <w:szCs w:val="24"/>
          <w:highlight w:val="none"/>
        </w:rPr>
        <w:t>25</w:t>
      </w:r>
      <w:r>
        <w:rPr>
          <w:rFonts w:hint="eastAsia" w:ascii="宋体" w:hAnsi="宋体" w:eastAsia="宋体" w:cs="宋体"/>
          <w:spacing w:val="-62"/>
          <w:sz w:val="24"/>
          <w:szCs w:val="24"/>
          <w:highlight w:val="none"/>
        </w:rPr>
        <w:t xml:space="preserve"> </w:t>
      </w:r>
      <w:r>
        <w:rPr>
          <w:rFonts w:hint="eastAsia" w:ascii="宋体" w:hAnsi="宋体" w:eastAsia="宋体" w:cs="宋体"/>
          <w:sz w:val="24"/>
          <w:szCs w:val="24"/>
          <w:highlight w:val="none"/>
        </w:rPr>
        <w:t xml:space="preserve">平方米的林间空地进 </w:t>
      </w:r>
      <w:r>
        <w:rPr>
          <w:rFonts w:hint="eastAsia" w:ascii="宋体" w:hAnsi="宋体" w:eastAsia="宋体" w:cs="宋体"/>
          <w:spacing w:val="1"/>
          <w:sz w:val="24"/>
          <w:szCs w:val="24"/>
          <w:highlight w:val="none"/>
        </w:rPr>
        <w:t>行补植补播，补植树种采取更换栽植其他适生树种，遵循抽针（阔)补阔（针）、栽针（阔)保阔（针）的交叉补植原则，形成混交林，</w:t>
      </w:r>
      <w:r>
        <w:rPr>
          <w:rFonts w:hint="eastAsia" w:ascii="宋体" w:hAnsi="宋体" w:eastAsia="宋体" w:cs="宋体"/>
          <w:spacing w:val="-4"/>
          <w:sz w:val="24"/>
          <w:szCs w:val="24"/>
          <w:highlight w:val="none"/>
        </w:rPr>
        <w:t>整地方式采取鱼鳞坑的整地方式，规格长径</w:t>
      </w:r>
      <w:r>
        <w:rPr>
          <w:rFonts w:hint="eastAsia" w:ascii="宋体" w:hAnsi="宋体" w:eastAsia="宋体" w:cs="宋体"/>
          <w:spacing w:val="-55"/>
          <w:sz w:val="24"/>
          <w:szCs w:val="24"/>
          <w:highlight w:val="none"/>
        </w:rPr>
        <w:t xml:space="preserve"> </w:t>
      </w:r>
      <w:r>
        <w:rPr>
          <w:rFonts w:hint="eastAsia" w:ascii="宋体" w:hAnsi="宋体" w:eastAsia="宋体" w:cs="宋体"/>
          <w:spacing w:val="-4"/>
          <w:sz w:val="24"/>
          <w:szCs w:val="24"/>
          <w:highlight w:val="none"/>
        </w:rPr>
        <w:t>50×40×30cm，株行距</w:t>
      </w:r>
      <w:r>
        <w:rPr>
          <w:rFonts w:hint="eastAsia" w:ascii="宋体" w:hAnsi="宋体" w:eastAsia="宋体" w:cs="宋体"/>
          <w:spacing w:val="-56"/>
          <w:sz w:val="24"/>
          <w:szCs w:val="24"/>
          <w:highlight w:val="none"/>
        </w:rPr>
        <w:t xml:space="preserve"> </w:t>
      </w:r>
      <w:r>
        <w:rPr>
          <w:rFonts w:hint="eastAsia" w:ascii="宋体" w:hAnsi="宋体" w:eastAsia="宋体" w:cs="宋体"/>
          <w:spacing w:val="-4"/>
          <w:sz w:val="24"/>
          <w:szCs w:val="24"/>
          <w:highlight w:val="none"/>
        </w:rPr>
        <w:t>2</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×3m-3×4m，保证补植后现地密度</w:t>
      </w:r>
      <w:r>
        <w:rPr>
          <w:rFonts w:hint="eastAsia" w:ascii="宋体" w:hAnsi="宋体" w:eastAsia="宋体" w:cs="宋体"/>
          <w:spacing w:val="-24"/>
          <w:sz w:val="24"/>
          <w:szCs w:val="24"/>
          <w:highlight w:val="none"/>
        </w:rPr>
        <w:t xml:space="preserve"> </w:t>
      </w:r>
      <w:r>
        <w:rPr>
          <w:rFonts w:hint="eastAsia" w:ascii="宋体" w:hAnsi="宋体" w:eastAsia="宋体" w:cs="宋体"/>
          <w:spacing w:val="-2"/>
          <w:sz w:val="24"/>
          <w:szCs w:val="24"/>
          <w:highlight w:val="none"/>
        </w:rPr>
        <w:t>111</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株/亩（含现地原有株数）。</w:t>
      </w:r>
    </w:p>
    <w:p w14:paraId="68CAEB12">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.6.2 采伐修复技术措施</w:t>
      </w:r>
    </w:p>
    <w:p w14:paraId="4A5A8282">
      <w:pPr>
        <w:keepNext w:val="0"/>
        <w:keepLines w:val="0"/>
        <w:pageBreakBefore w:val="0"/>
        <w:widowControl w:val="0"/>
        <w:kinsoku/>
        <w:wordWrap/>
        <w:overflowPunct/>
        <w:topLinePunct w:val="0"/>
        <w:autoSpaceDE/>
        <w:autoSpaceDN/>
        <w:bidi w:val="0"/>
        <w:adjustRightInd/>
        <w:snapToGrid/>
        <w:spacing w:after="0" w:line="480" w:lineRule="auto"/>
        <w:ind w:left="23" w:right="13" w:firstLine="559"/>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在中龄林阶段进行，定点伐除胸径连年生长明显下降的林木，减低对目标树或保留木生长的影响，促进林木径向生长。在中龄林至近</w:t>
      </w:r>
      <w:r>
        <w:rPr>
          <w:rFonts w:hint="eastAsia" w:ascii="宋体" w:hAnsi="宋体" w:eastAsia="宋体" w:cs="宋体"/>
          <w:spacing w:val="15"/>
          <w:sz w:val="24"/>
          <w:szCs w:val="24"/>
          <w:highlight w:val="none"/>
        </w:rPr>
        <w:t xml:space="preserve"> </w:t>
      </w:r>
      <w:r>
        <w:rPr>
          <w:rFonts w:hint="eastAsia" w:ascii="宋体" w:hAnsi="宋体" w:eastAsia="宋体" w:cs="宋体"/>
          <w:spacing w:val="-4"/>
          <w:sz w:val="24"/>
          <w:szCs w:val="24"/>
          <w:highlight w:val="none"/>
        </w:rPr>
        <w:t>成熟林阶段进行，伐除生长过密和生长不良的林木，将立木密度调整</w:t>
      </w:r>
      <w:r>
        <w:rPr>
          <w:rFonts w:hint="eastAsia" w:ascii="宋体" w:hAnsi="宋体" w:eastAsia="宋体" w:cs="宋体"/>
          <w:spacing w:val="15"/>
          <w:sz w:val="24"/>
          <w:szCs w:val="24"/>
          <w:highlight w:val="none"/>
        </w:rPr>
        <w:t xml:space="preserve"> </w:t>
      </w:r>
      <w:r>
        <w:rPr>
          <w:rFonts w:hint="eastAsia" w:ascii="宋体" w:hAnsi="宋体" w:eastAsia="宋体" w:cs="宋体"/>
          <w:spacing w:val="-4"/>
          <w:sz w:val="24"/>
          <w:szCs w:val="24"/>
          <w:highlight w:val="none"/>
        </w:rPr>
        <w:t>合理，使保留木具有较好的营养空间，促进林木的干形生长，培育优良木。对遭受病虫害、风折、风倒、雪压、森林火灾的林分，伐除已</w:t>
      </w:r>
      <w:r>
        <w:rPr>
          <w:rFonts w:hint="eastAsia" w:ascii="宋体" w:hAnsi="宋体" w:eastAsia="宋体" w:cs="宋体"/>
          <w:sz w:val="24"/>
          <w:szCs w:val="24"/>
          <w:highlight w:val="none"/>
        </w:rPr>
        <w:t>被危害、丧失培养前途、难以恢复或危及目</w:t>
      </w:r>
      <w:r>
        <w:rPr>
          <w:rFonts w:hint="eastAsia" w:ascii="宋体" w:hAnsi="宋体" w:eastAsia="宋体" w:cs="宋体"/>
          <w:spacing w:val="-1"/>
          <w:sz w:val="24"/>
          <w:szCs w:val="24"/>
          <w:highlight w:val="none"/>
        </w:rPr>
        <w:t>标树或保留木的林木。</w:t>
      </w:r>
    </w:p>
    <w:p w14:paraId="37EFA34A">
      <w:pPr>
        <w:keepNext w:val="0"/>
        <w:keepLines w:val="0"/>
        <w:pageBreakBefore w:val="0"/>
        <w:widowControl w:val="0"/>
        <w:kinsoku/>
        <w:wordWrap/>
        <w:overflowPunct/>
        <w:topLinePunct w:val="0"/>
        <w:autoSpaceDE/>
        <w:autoSpaceDN/>
        <w:bidi w:val="0"/>
        <w:adjustRightInd/>
        <w:snapToGrid/>
        <w:spacing w:after="0" w:line="480" w:lineRule="auto"/>
        <w:ind w:left="23" w:right="13" w:firstLine="556"/>
        <w:jc w:val="both"/>
        <w:textAlignment w:val="auto"/>
        <w:rPr>
          <w:rFonts w:hint="eastAsia" w:ascii="宋体" w:hAnsi="宋体" w:eastAsia="宋体" w:cs="宋体"/>
          <w:spacing w:val="-2"/>
          <w:sz w:val="24"/>
          <w:szCs w:val="24"/>
          <w:highlight w:val="none"/>
        </w:rPr>
      </w:pPr>
      <w:r>
        <w:rPr>
          <w:rFonts w:hint="eastAsia" w:ascii="宋体" w:hAnsi="宋体" w:eastAsia="宋体" w:cs="宋体"/>
          <w:spacing w:val="-4"/>
          <w:sz w:val="24"/>
          <w:szCs w:val="24"/>
          <w:highlight w:val="none"/>
        </w:rPr>
        <w:t>伐后要及时将可利用的木材运走，同时清理采伐剩余物，可采取</w:t>
      </w:r>
      <w:r>
        <w:rPr>
          <w:rFonts w:hint="eastAsia" w:ascii="宋体" w:hAnsi="宋体" w:eastAsia="宋体" w:cs="宋体"/>
          <w:spacing w:val="10"/>
          <w:sz w:val="24"/>
          <w:szCs w:val="24"/>
          <w:highlight w:val="none"/>
        </w:rPr>
        <w:t xml:space="preserve"> </w:t>
      </w:r>
      <w:r>
        <w:rPr>
          <w:rFonts w:hint="eastAsia" w:ascii="宋体" w:hAnsi="宋体" w:eastAsia="宋体" w:cs="宋体"/>
          <w:spacing w:val="-4"/>
          <w:sz w:val="24"/>
          <w:szCs w:val="24"/>
          <w:highlight w:val="none"/>
        </w:rPr>
        <w:t>运出，或平铺在林内，或按一定间距均匀堆放在林内等方式处理；有条件时，可粉碎后堆放于目标树根部鱼鳞坑中。坡度较大情况下，可在目标树根部做反坡向的水肥坑（鱼鳞坑）并将采伐剩余物适当切碎</w:t>
      </w:r>
      <w:r>
        <w:rPr>
          <w:rFonts w:hint="eastAsia" w:ascii="宋体" w:hAnsi="宋体" w:eastAsia="宋体" w:cs="宋体"/>
          <w:spacing w:val="-2"/>
          <w:sz w:val="24"/>
          <w:szCs w:val="24"/>
          <w:highlight w:val="none"/>
        </w:rPr>
        <w:t>堆埋于坑内。</w:t>
      </w:r>
    </w:p>
    <w:p w14:paraId="7E6C973D">
      <w:pPr>
        <w:keepNext w:val="0"/>
        <w:keepLines w:val="0"/>
        <w:pageBreakBefore w:val="0"/>
        <w:widowControl w:val="0"/>
        <w:kinsoku/>
        <w:wordWrap/>
        <w:overflowPunct/>
        <w:topLinePunct w:val="0"/>
        <w:autoSpaceDE/>
        <w:autoSpaceDN/>
        <w:bidi w:val="0"/>
        <w:adjustRightInd/>
        <w:snapToGrid/>
        <w:spacing w:after="0" w:line="480" w:lineRule="auto"/>
        <w:ind w:left="23" w:right="13" w:firstLine="556"/>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择伐：在中龄林至近成熟林阶段进行，定点伐除生长过密和生长</w:t>
      </w:r>
      <w:r>
        <w:rPr>
          <w:rFonts w:hint="eastAsia" w:ascii="宋体" w:hAnsi="宋体" w:eastAsia="宋体" w:cs="宋体"/>
          <w:spacing w:val="-3"/>
          <w:sz w:val="24"/>
          <w:szCs w:val="24"/>
          <w:highlight w:val="none"/>
        </w:rPr>
        <w:t>不良的林木，将立木密度调整合理，使保留木具有较好的营养空间，</w:t>
      </w:r>
      <w:r>
        <w:rPr>
          <w:rFonts w:hint="eastAsia" w:ascii="宋体" w:hAnsi="宋体" w:eastAsia="宋体" w:cs="宋体"/>
          <w:spacing w:val="1"/>
          <w:sz w:val="24"/>
          <w:szCs w:val="24"/>
          <w:highlight w:val="none"/>
        </w:rPr>
        <w:t>促进林木的干形生长，培育优良木。对坡度小于</w:t>
      </w:r>
      <w:r>
        <w:rPr>
          <w:rFonts w:hint="eastAsia" w:ascii="宋体" w:hAnsi="宋体" w:eastAsia="宋体" w:cs="宋体"/>
          <w:spacing w:val="-38"/>
          <w:sz w:val="24"/>
          <w:szCs w:val="24"/>
          <w:highlight w:val="none"/>
        </w:rPr>
        <w:t xml:space="preserve"> </w:t>
      </w:r>
      <w:r>
        <w:rPr>
          <w:rFonts w:hint="eastAsia" w:ascii="宋体" w:hAnsi="宋体" w:eastAsia="宋体" w:cs="宋体"/>
          <w:spacing w:val="1"/>
          <w:sz w:val="24"/>
          <w:szCs w:val="24"/>
          <w:highlight w:val="none"/>
        </w:rPr>
        <w:t>25</w:t>
      </w:r>
      <w:r>
        <w:rPr>
          <w:rFonts w:hint="eastAsia" w:ascii="宋体" w:hAnsi="宋体" w:eastAsia="宋体" w:cs="宋体"/>
          <w:spacing w:val="-100"/>
          <w:sz w:val="24"/>
          <w:szCs w:val="24"/>
          <w:highlight w:val="none"/>
        </w:rPr>
        <w:t xml:space="preserve"> </w:t>
      </w:r>
      <w:r>
        <w:rPr>
          <w:rFonts w:hint="eastAsia" w:ascii="宋体" w:hAnsi="宋体" w:eastAsia="宋体" w:cs="宋体"/>
          <w:spacing w:val="1"/>
          <w:sz w:val="24"/>
          <w:szCs w:val="24"/>
          <w:highlight w:val="none"/>
        </w:rPr>
        <w:t>°</w:t>
      </w:r>
      <w:r>
        <w:rPr>
          <w:rFonts w:hint="eastAsia" w:ascii="宋体" w:hAnsi="宋体" w:eastAsia="宋体" w:cs="宋体"/>
          <w:spacing w:val="-107"/>
          <w:sz w:val="24"/>
          <w:szCs w:val="24"/>
          <w:highlight w:val="none"/>
        </w:rPr>
        <w:t xml:space="preserve"> </w:t>
      </w:r>
      <w:r>
        <w:rPr>
          <w:rFonts w:hint="eastAsia" w:ascii="宋体" w:hAnsi="宋体" w:eastAsia="宋体" w:cs="宋体"/>
          <w:spacing w:val="1"/>
          <w:sz w:val="24"/>
          <w:szCs w:val="24"/>
          <w:highlight w:val="none"/>
        </w:rPr>
        <w:t>、土层深厚、</w:t>
      </w:r>
      <w:r>
        <w:rPr>
          <w:rFonts w:hint="eastAsia" w:ascii="宋体" w:hAnsi="宋体" w:eastAsia="宋体" w:cs="宋体"/>
          <w:spacing w:val="-4"/>
          <w:sz w:val="24"/>
          <w:szCs w:val="24"/>
          <w:highlight w:val="none"/>
        </w:rPr>
        <w:t>立地条件好，兼有生产用材的防护林采用该方式。对遭受病虫害、风折、风倒、雪压、森林火灾的林分进行清除，主要伐除已被危害、丧失培养前途、难以恢复或危及目标树或保留木的林木。同时定点伐除</w:t>
      </w:r>
      <w:r>
        <w:rPr>
          <w:rFonts w:hint="eastAsia" w:ascii="宋体" w:hAnsi="宋体" w:eastAsia="宋体" w:cs="宋体"/>
          <w:spacing w:val="15"/>
          <w:sz w:val="24"/>
          <w:szCs w:val="24"/>
          <w:highlight w:val="none"/>
        </w:rPr>
        <w:t xml:space="preserve"> </w:t>
      </w:r>
      <w:r>
        <w:rPr>
          <w:rFonts w:hint="eastAsia" w:ascii="宋体" w:hAnsi="宋体" w:eastAsia="宋体" w:cs="宋体"/>
          <w:spacing w:val="-3"/>
          <w:sz w:val="24"/>
          <w:szCs w:val="24"/>
          <w:highlight w:val="none"/>
        </w:rPr>
        <w:t>胸径连年生长明显下降的林木，减低对目标树或保留木生长的影响，</w:t>
      </w:r>
      <w:r>
        <w:rPr>
          <w:rFonts w:hint="eastAsia" w:ascii="宋体" w:hAnsi="宋体" w:eastAsia="宋体" w:cs="宋体"/>
          <w:spacing w:val="-1"/>
          <w:sz w:val="24"/>
          <w:szCs w:val="24"/>
          <w:highlight w:val="none"/>
        </w:rPr>
        <w:t>促进林木径向生长。</w:t>
      </w:r>
    </w:p>
    <w:p w14:paraId="7F3B102B">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.6.3 辅助技术措施</w:t>
      </w:r>
    </w:p>
    <w:p w14:paraId="23E764F2">
      <w:pPr>
        <w:keepNext w:val="0"/>
        <w:keepLines w:val="0"/>
        <w:pageBreakBefore w:val="0"/>
        <w:widowControl w:val="0"/>
        <w:kinsoku/>
        <w:wordWrap/>
        <w:overflowPunct/>
        <w:topLinePunct w:val="0"/>
        <w:autoSpaceDE/>
        <w:autoSpaceDN/>
        <w:bidi w:val="0"/>
        <w:adjustRightInd/>
        <w:snapToGrid/>
        <w:spacing w:after="0" w:line="480" w:lineRule="auto"/>
        <w:ind w:left="27" w:right="97" w:firstLine="559"/>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主要采用人工促进天然更新的方式，现有林分进行修枝、割灌除</w:t>
      </w:r>
      <w:r>
        <w:rPr>
          <w:rFonts w:hint="eastAsia" w:ascii="宋体" w:hAnsi="宋体" w:eastAsia="宋体" w:cs="宋体"/>
          <w:spacing w:val="5"/>
          <w:sz w:val="24"/>
          <w:szCs w:val="24"/>
          <w:highlight w:val="none"/>
        </w:rPr>
        <w:t xml:space="preserve"> </w:t>
      </w:r>
      <w:r>
        <w:rPr>
          <w:rFonts w:hint="eastAsia" w:ascii="宋体" w:hAnsi="宋体" w:eastAsia="宋体" w:cs="宋体"/>
          <w:spacing w:val="-2"/>
          <w:sz w:val="24"/>
          <w:szCs w:val="24"/>
          <w:highlight w:val="none"/>
        </w:rPr>
        <w:t>草、扩盘等。</w:t>
      </w:r>
    </w:p>
    <w:p w14:paraId="113F484F">
      <w:pPr>
        <w:keepNext w:val="0"/>
        <w:keepLines w:val="0"/>
        <w:pageBreakBefore w:val="0"/>
        <w:widowControl w:val="0"/>
        <w:kinsoku/>
        <w:wordWrap/>
        <w:overflowPunct/>
        <w:topLinePunct w:val="0"/>
        <w:autoSpaceDE/>
        <w:autoSpaceDN/>
        <w:bidi w:val="0"/>
        <w:adjustRightInd/>
        <w:snapToGrid/>
        <w:spacing w:after="0" w:line="480" w:lineRule="auto"/>
        <w:ind w:left="23" w:firstLine="560"/>
        <w:jc w:val="both"/>
        <w:textAlignment w:val="auto"/>
        <w:rPr>
          <w:rFonts w:hint="eastAsia" w:ascii="宋体" w:hAnsi="宋体" w:eastAsia="宋体" w:cs="宋体"/>
          <w:sz w:val="24"/>
          <w:szCs w:val="24"/>
          <w:highlight w:val="none"/>
        </w:rPr>
      </w:pPr>
      <w:r>
        <w:rPr>
          <w:rFonts w:hint="eastAsia" w:ascii="宋体" w:hAnsi="宋体" w:eastAsia="宋体" w:cs="宋体"/>
          <w:spacing w:val="-10"/>
          <w:sz w:val="24"/>
          <w:szCs w:val="24"/>
          <w:highlight w:val="none"/>
        </w:rPr>
        <w:t>修枝：主要适用于天然整枝不良的树木；掌握“轻修剪、留大冠、</w:t>
      </w:r>
      <w:r>
        <w:rPr>
          <w:rFonts w:hint="eastAsia" w:ascii="宋体" w:hAnsi="宋体" w:eastAsia="宋体" w:cs="宋体"/>
          <w:spacing w:val="-5"/>
          <w:sz w:val="24"/>
          <w:szCs w:val="24"/>
          <w:highlight w:val="none"/>
        </w:rPr>
        <w:t>控制竞争、利用辅养</w:t>
      </w:r>
      <w:r>
        <w:rPr>
          <w:rFonts w:hint="eastAsia" w:ascii="宋体" w:hAnsi="宋体" w:eastAsia="宋体" w:cs="宋体"/>
          <w:spacing w:val="-95"/>
          <w:sz w:val="24"/>
          <w:szCs w:val="24"/>
          <w:highlight w:val="none"/>
        </w:rPr>
        <w:t xml:space="preserve"> </w:t>
      </w:r>
      <w:r>
        <w:rPr>
          <w:rFonts w:hint="eastAsia" w:ascii="宋体" w:hAnsi="宋体" w:eastAsia="宋体" w:cs="宋体"/>
          <w:spacing w:val="-5"/>
          <w:sz w:val="24"/>
          <w:szCs w:val="24"/>
          <w:highlight w:val="none"/>
        </w:rPr>
        <w:t>”的原则。一般采取平切法，切口平滑，不撕裂</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树皮，重点针对枝条、死枝过多的林木；修去枯死枝和</w:t>
      </w:r>
      <w:r>
        <w:rPr>
          <w:rFonts w:hint="eastAsia" w:ascii="宋体" w:hAnsi="宋体" w:eastAsia="宋体" w:cs="宋体"/>
          <w:spacing w:val="-3"/>
          <w:sz w:val="24"/>
          <w:szCs w:val="24"/>
          <w:highlight w:val="none"/>
        </w:rPr>
        <w:t>树冠下部</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1—</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2</w:t>
      </w:r>
      <w:r>
        <w:rPr>
          <w:rFonts w:hint="eastAsia" w:ascii="宋体" w:hAnsi="宋体" w:eastAsia="宋体" w:cs="宋体"/>
          <w:spacing w:val="-60"/>
          <w:sz w:val="24"/>
          <w:szCs w:val="24"/>
          <w:highlight w:val="none"/>
        </w:rPr>
        <w:t xml:space="preserve"> </w:t>
      </w:r>
      <w:r>
        <w:rPr>
          <w:rFonts w:hint="eastAsia" w:ascii="宋体" w:hAnsi="宋体" w:eastAsia="宋体" w:cs="宋体"/>
          <w:spacing w:val="2"/>
          <w:sz w:val="24"/>
          <w:szCs w:val="24"/>
          <w:highlight w:val="none"/>
        </w:rPr>
        <w:t>轮活枝，幼龄林阶段修枝后保留冠长不低</w:t>
      </w:r>
      <w:r>
        <w:rPr>
          <w:rFonts w:hint="eastAsia" w:ascii="宋体" w:hAnsi="宋体" w:eastAsia="宋体" w:cs="宋体"/>
          <w:spacing w:val="1"/>
          <w:sz w:val="24"/>
          <w:szCs w:val="24"/>
          <w:highlight w:val="none"/>
        </w:rPr>
        <w:t>于树高的2/3、枝桩尽量</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修平，剪口不能伤害树干的韧皮部和木质部，中龄林阶段修枝后保留</w:t>
      </w:r>
      <w:r>
        <w:rPr>
          <w:rFonts w:hint="eastAsia" w:ascii="宋体" w:hAnsi="宋体" w:eastAsia="宋体" w:cs="宋体"/>
          <w:spacing w:val="-2"/>
          <w:sz w:val="24"/>
          <w:szCs w:val="24"/>
          <w:highlight w:val="none"/>
        </w:rPr>
        <w:t>冠长不低于树高的</w:t>
      </w:r>
      <w:r>
        <w:rPr>
          <w:rFonts w:hint="eastAsia" w:ascii="宋体" w:hAnsi="宋体" w:eastAsia="宋体" w:cs="宋体"/>
          <w:spacing w:val="-41"/>
          <w:sz w:val="24"/>
          <w:szCs w:val="24"/>
          <w:highlight w:val="none"/>
        </w:rPr>
        <w:t xml:space="preserve"> </w:t>
      </w:r>
      <w:r>
        <w:rPr>
          <w:rFonts w:hint="eastAsia" w:ascii="宋体" w:hAnsi="宋体" w:eastAsia="宋体" w:cs="宋体"/>
          <w:spacing w:val="-2"/>
          <w:sz w:val="24"/>
          <w:szCs w:val="24"/>
          <w:highlight w:val="none"/>
        </w:rPr>
        <w:t>1/2、枝桩尽量修平，剪口不能伤害树干的韧</w:t>
      </w:r>
      <w:r>
        <w:rPr>
          <w:rFonts w:hint="eastAsia" w:ascii="宋体" w:hAnsi="宋体" w:eastAsia="宋体" w:cs="宋体"/>
          <w:spacing w:val="-3"/>
          <w:sz w:val="24"/>
          <w:szCs w:val="24"/>
          <w:highlight w:val="none"/>
        </w:rPr>
        <w:t>皮部</w:t>
      </w:r>
      <w:r>
        <w:rPr>
          <w:rFonts w:hint="eastAsia" w:ascii="宋体" w:hAnsi="宋体" w:eastAsia="宋体" w:cs="宋体"/>
          <w:spacing w:val="-4"/>
          <w:sz w:val="24"/>
          <w:szCs w:val="24"/>
          <w:highlight w:val="none"/>
        </w:rPr>
        <w:t>和木质部。以免防止一次修枝过重而影响到林木的生长和切口相连造</w:t>
      </w:r>
      <w:r>
        <w:rPr>
          <w:rFonts w:hint="eastAsia" w:ascii="宋体" w:hAnsi="宋体" w:eastAsia="宋体" w:cs="宋体"/>
          <w:spacing w:val="15"/>
          <w:sz w:val="24"/>
          <w:szCs w:val="24"/>
          <w:highlight w:val="none"/>
        </w:rPr>
        <w:t xml:space="preserve"> </w:t>
      </w:r>
      <w:r>
        <w:rPr>
          <w:rFonts w:hint="eastAsia" w:ascii="宋体" w:hAnsi="宋体" w:eastAsia="宋体" w:cs="宋体"/>
          <w:spacing w:val="-2"/>
          <w:sz w:val="24"/>
          <w:szCs w:val="24"/>
          <w:highlight w:val="none"/>
        </w:rPr>
        <w:t>成环状剥皮。</w:t>
      </w:r>
    </w:p>
    <w:p w14:paraId="13E5B99C">
      <w:pPr>
        <w:keepNext w:val="0"/>
        <w:keepLines w:val="0"/>
        <w:pageBreakBefore w:val="0"/>
        <w:widowControl w:val="0"/>
        <w:kinsoku/>
        <w:wordWrap/>
        <w:overflowPunct/>
        <w:topLinePunct w:val="0"/>
        <w:autoSpaceDE/>
        <w:autoSpaceDN/>
        <w:bidi w:val="0"/>
        <w:adjustRightInd/>
        <w:snapToGrid/>
        <w:spacing w:after="0" w:line="480" w:lineRule="auto"/>
        <w:ind w:left="23" w:firstLine="562"/>
        <w:jc w:val="both"/>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割灌除草：对影响目的幼树生长的灌木、草本采取割灌除草的措</w:t>
      </w:r>
      <w:r>
        <w:rPr>
          <w:rFonts w:hint="eastAsia" w:ascii="宋体" w:hAnsi="宋体" w:eastAsia="宋体" w:cs="宋体"/>
          <w:spacing w:val="-5"/>
          <w:sz w:val="24"/>
          <w:szCs w:val="24"/>
          <w:highlight w:val="none"/>
        </w:rPr>
        <w:t>施。采取机割、人割等不同方式，割除目的树种周边</w:t>
      </w:r>
      <w:r>
        <w:rPr>
          <w:rFonts w:hint="eastAsia" w:ascii="宋体" w:hAnsi="宋体" w:eastAsia="宋体" w:cs="宋体"/>
          <w:spacing w:val="-36"/>
          <w:sz w:val="24"/>
          <w:szCs w:val="24"/>
          <w:highlight w:val="none"/>
        </w:rPr>
        <w:t xml:space="preserve"> </w:t>
      </w:r>
      <w:r>
        <w:rPr>
          <w:rFonts w:hint="eastAsia" w:ascii="宋体" w:hAnsi="宋体" w:eastAsia="宋体" w:cs="宋体"/>
          <w:spacing w:val="-5"/>
          <w:sz w:val="24"/>
          <w:szCs w:val="24"/>
          <w:highlight w:val="none"/>
        </w:rPr>
        <w:t>1</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米范围内的灌</w:t>
      </w:r>
      <w:r>
        <w:rPr>
          <w:rFonts w:hint="eastAsia" w:ascii="宋体" w:hAnsi="宋体" w:eastAsia="宋体" w:cs="宋体"/>
          <w:sz w:val="24"/>
          <w:szCs w:val="24"/>
          <w:highlight w:val="none"/>
        </w:rPr>
        <w:t xml:space="preserve"> </w:t>
      </w:r>
      <w:r>
        <w:rPr>
          <w:rFonts w:hint="eastAsia" w:ascii="宋体" w:hAnsi="宋体" w:eastAsia="宋体" w:cs="宋体"/>
          <w:spacing w:val="-9"/>
          <w:sz w:val="24"/>
          <w:szCs w:val="24"/>
          <w:highlight w:val="none"/>
        </w:rPr>
        <w:t>草，不影响树木生长的灌木、藤条、杂草不进行割除</w:t>
      </w:r>
      <w:r>
        <w:rPr>
          <w:rFonts w:hint="eastAsia" w:ascii="宋体" w:hAnsi="宋体" w:eastAsia="宋体" w:cs="宋体"/>
          <w:spacing w:val="-10"/>
          <w:sz w:val="24"/>
          <w:szCs w:val="24"/>
          <w:highlight w:val="none"/>
        </w:rPr>
        <w:t>，避免全面割灌。</w:t>
      </w:r>
    </w:p>
    <w:p w14:paraId="5481F85C">
      <w:pPr>
        <w:keepNext w:val="0"/>
        <w:keepLines w:val="0"/>
        <w:pageBreakBefore w:val="0"/>
        <w:widowControl w:val="0"/>
        <w:kinsoku/>
        <w:wordWrap/>
        <w:overflowPunct/>
        <w:topLinePunct w:val="0"/>
        <w:autoSpaceDE/>
        <w:autoSpaceDN/>
        <w:bidi w:val="0"/>
        <w:adjustRightInd/>
        <w:snapToGrid/>
        <w:spacing w:after="0" w:line="480" w:lineRule="auto"/>
        <w:ind w:left="25" w:right="13" w:firstLine="2"/>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割灌同时进行培梗、扩穴，以促进幼苗幼树的正常生长。割灌后，灌</w:t>
      </w:r>
      <w:r>
        <w:rPr>
          <w:rFonts w:hint="eastAsia" w:ascii="宋体" w:hAnsi="宋体" w:eastAsia="宋体" w:cs="宋体"/>
          <w:spacing w:val="-1"/>
          <w:sz w:val="24"/>
          <w:szCs w:val="24"/>
          <w:highlight w:val="none"/>
        </w:rPr>
        <w:t>根茬高度不得超过</w:t>
      </w:r>
      <w:r>
        <w:rPr>
          <w:rFonts w:hint="eastAsia" w:ascii="宋体" w:hAnsi="宋体" w:eastAsia="宋体" w:cs="宋体"/>
          <w:spacing w:val="-31"/>
          <w:sz w:val="24"/>
          <w:szCs w:val="24"/>
          <w:highlight w:val="none"/>
        </w:rPr>
        <w:t xml:space="preserve"> </w:t>
      </w:r>
      <w:r>
        <w:rPr>
          <w:rFonts w:hint="eastAsia" w:ascii="宋体" w:hAnsi="宋体" w:eastAsia="宋体" w:cs="宋体"/>
          <w:spacing w:val="-1"/>
          <w:sz w:val="24"/>
          <w:szCs w:val="24"/>
          <w:highlight w:val="none"/>
        </w:rPr>
        <w:t>10</w:t>
      </w:r>
      <w:r>
        <w:rPr>
          <w:rFonts w:hint="eastAsia" w:ascii="宋体" w:hAnsi="宋体" w:eastAsia="宋体" w:cs="宋体"/>
          <w:spacing w:val="-58"/>
          <w:sz w:val="24"/>
          <w:szCs w:val="24"/>
          <w:highlight w:val="none"/>
        </w:rPr>
        <w:t xml:space="preserve"> </w:t>
      </w:r>
      <w:r>
        <w:rPr>
          <w:rFonts w:hint="eastAsia" w:ascii="宋体" w:hAnsi="宋体" w:eastAsia="宋体" w:cs="宋体"/>
          <w:spacing w:val="-1"/>
          <w:sz w:val="24"/>
          <w:szCs w:val="24"/>
          <w:highlight w:val="none"/>
        </w:rPr>
        <w:t>厘米。割灌时必须保护好林内的幼树、幼苗，</w:t>
      </w:r>
      <w:r>
        <w:rPr>
          <w:rFonts w:hint="eastAsia" w:ascii="宋体" w:hAnsi="宋体" w:eastAsia="宋体" w:cs="宋体"/>
          <w:spacing w:val="-4"/>
          <w:sz w:val="24"/>
          <w:szCs w:val="24"/>
          <w:highlight w:val="none"/>
        </w:rPr>
        <w:t>为保留木、幼苗和幼树创造良好生长空间。对局部生态脆弱地段如陡</w:t>
      </w:r>
      <w:r>
        <w:rPr>
          <w:rFonts w:hint="eastAsia" w:ascii="宋体" w:hAnsi="宋体" w:eastAsia="宋体" w:cs="宋体"/>
          <w:spacing w:val="-1"/>
          <w:sz w:val="24"/>
          <w:szCs w:val="24"/>
          <w:highlight w:val="none"/>
        </w:rPr>
        <w:t>坡、岩石裸露地及滑坡地段的灌木予以保留。</w:t>
      </w:r>
    </w:p>
    <w:p w14:paraId="16276BAC">
      <w:pPr>
        <w:keepNext w:val="0"/>
        <w:keepLines w:val="0"/>
        <w:pageBreakBefore w:val="0"/>
        <w:widowControl w:val="0"/>
        <w:kinsoku/>
        <w:wordWrap/>
        <w:overflowPunct/>
        <w:topLinePunct w:val="0"/>
        <w:autoSpaceDE/>
        <w:autoSpaceDN/>
        <w:bidi w:val="0"/>
        <w:adjustRightInd/>
        <w:snapToGrid/>
        <w:spacing w:after="0" w:line="480" w:lineRule="auto"/>
        <w:ind w:left="23" w:right="13" w:firstLine="559"/>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在进行割灌、割藤作业时，注重保护珍稀濒危树木，以及有生长</w:t>
      </w:r>
      <w:r>
        <w:rPr>
          <w:rFonts w:hint="eastAsia" w:ascii="宋体" w:hAnsi="宋体" w:eastAsia="宋体" w:cs="宋体"/>
          <w:spacing w:val="-1"/>
          <w:sz w:val="24"/>
          <w:szCs w:val="24"/>
          <w:highlight w:val="none"/>
        </w:rPr>
        <w:t>潜力的幼树、幼苗，以有利调整林分密度和结构。</w:t>
      </w:r>
    </w:p>
    <w:p w14:paraId="6662F4AE">
      <w:pPr>
        <w:keepNext w:val="0"/>
        <w:keepLines w:val="0"/>
        <w:pageBreakBefore w:val="0"/>
        <w:widowControl w:val="0"/>
        <w:kinsoku/>
        <w:wordWrap/>
        <w:overflowPunct/>
        <w:topLinePunct w:val="0"/>
        <w:autoSpaceDE/>
        <w:autoSpaceDN/>
        <w:bidi w:val="0"/>
        <w:adjustRightInd/>
        <w:snapToGrid/>
        <w:spacing w:after="0" w:line="480" w:lineRule="auto"/>
        <w:ind w:left="26" w:right="13" w:firstLine="558"/>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扩盘：与割灌除草同步进行，对林间分布的幼树幼苗，在割灌除草的基础上，进行扩盘培土，给幼树幼苗创造良好的生长条件，同时</w:t>
      </w:r>
      <w:r>
        <w:rPr>
          <w:rFonts w:hint="eastAsia" w:ascii="宋体" w:hAnsi="宋体" w:eastAsia="宋体" w:cs="宋体"/>
          <w:spacing w:val="-2"/>
          <w:sz w:val="24"/>
          <w:szCs w:val="24"/>
          <w:highlight w:val="none"/>
        </w:rPr>
        <w:t>有利于蓄水保墒。</w:t>
      </w:r>
    </w:p>
    <w:p w14:paraId="7D4D780A">
      <w:pPr>
        <w:keepNext w:val="0"/>
        <w:keepLines w:val="0"/>
        <w:pageBreakBefore w:val="0"/>
        <w:widowControl w:val="0"/>
        <w:kinsoku/>
        <w:wordWrap/>
        <w:overflowPunct/>
        <w:topLinePunct w:val="0"/>
        <w:autoSpaceDE/>
        <w:autoSpaceDN/>
        <w:bidi w:val="0"/>
        <w:adjustRightInd/>
        <w:snapToGrid/>
        <w:spacing w:after="0" w:line="480" w:lineRule="auto"/>
        <w:ind w:left="592"/>
        <w:textAlignment w:val="auto"/>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（3）林地清理</w:t>
      </w:r>
    </w:p>
    <w:p w14:paraId="709A4DA4">
      <w:pPr>
        <w:keepNext w:val="0"/>
        <w:keepLines w:val="0"/>
        <w:pageBreakBefore w:val="0"/>
        <w:widowControl w:val="0"/>
        <w:kinsoku/>
        <w:wordWrap/>
        <w:overflowPunct/>
        <w:topLinePunct w:val="0"/>
        <w:autoSpaceDE/>
        <w:autoSpaceDN/>
        <w:bidi w:val="0"/>
        <w:adjustRightInd/>
        <w:snapToGrid/>
        <w:spacing w:after="0" w:line="480" w:lineRule="auto"/>
        <w:ind w:left="23" w:right="13" w:firstLine="556"/>
        <w:textAlignment w:val="auto"/>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伐后要及时将可利用的木材运走，同时清理采伐剩余物，可采取</w:t>
      </w:r>
      <w:r>
        <w:rPr>
          <w:rFonts w:hint="eastAsia" w:ascii="宋体" w:hAnsi="宋体" w:eastAsia="宋体" w:cs="宋体"/>
          <w:spacing w:val="10"/>
          <w:sz w:val="24"/>
          <w:szCs w:val="24"/>
          <w:highlight w:val="none"/>
        </w:rPr>
        <w:t xml:space="preserve"> </w:t>
      </w:r>
      <w:r>
        <w:rPr>
          <w:rFonts w:hint="eastAsia" w:ascii="宋体" w:hAnsi="宋体" w:eastAsia="宋体" w:cs="宋体"/>
          <w:spacing w:val="-4"/>
          <w:sz w:val="24"/>
          <w:szCs w:val="24"/>
          <w:highlight w:val="none"/>
        </w:rPr>
        <w:t>运出，或平铺在林内，或按一定间距均匀堆放在林内等方式处理；有条件时，可粉碎后堆放于目标树根部鱼鳞坑中。坡度较大情况下，可在目标树根部做反坡向的水肥坑（鱼鳞坑）并将采伐剩余物适当切碎堆埋于坑内。对于感染林业检疫性有害生物及林业补充检疫性有害生物的林木、采伐剩余物等，要全株清理出林分，集中烧毁，或集中深</w:t>
      </w:r>
      <w:r>
        <w:rPr>
          <w:rFonts w:hint="eastAsia" w:ascii="宋体" w:hAnsi="宋体" w:eastAsia="宋体" w:cs="宋体"/>
          <w:spacing w:val="-5"/>
          <w:sz w:val="24"/>
          <w:szCs w:val="24"/>
          <w:highlight w:val="none"/>
        </w:rPr>
        <w:t>埋。</w:t>
      </w:r>
    </w:p>
    <w:p w14:paraId="45ECD12D">
      <w:pPr>
        <w:keepNext w:val="0"/>
        <w:keepLines w:val="0"/>
        <w:pageBreakBefore w:val="0"/>
        <w:widowControl w:val="0"/>
        <w:kinsoku/>
        <w:wordWrap/>
        <w:overflowPunct/>
        <w:topLinePunct w:val="0"/>
        <w:autoSpaceDE/>
        <w:autoSpaceDN/>
        <w:bidi w:val="0"/>
        <w:adjustRightInd/>
        <w:snapToGrid/>
        <w:spacing w:after="0" w:line="480" w:lineRule="auto"/>
        <w:ind w:left="17"/>
        <w:textAlignment w:val="auto"/>
        <w:outlineLvl w:val="1"/>
        <w:rPr>
          <w:rFonts w:hint="eastAsia" w:ascii="宋体" w:hAnsi="宋体" w:eastAsia="宋体" w:cs="宋体"/>
          <w:sz w:val="24"/>
          <w:szCs w:val="24"/>
          <w:highlight w:val="none"/>
        </w:rPr>
      </w:pPr>
      <w:bookmarkStart w:id="140" w:name="bookmark54"/>
      <w:bookmarkEnd w:id="140"/>
      <w:bookmarkStart w:id="141" w:name="bookmark55"/>
      <w:bookmarkEnd w:id="141"/>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.7</w:t>
      </w:r>
      <w:r>
        <w:rPr>
          <w:rFonts w:hint="eastAsia" w:ascii="宋体" w:hAnsi="宋体" w:eastAsia="宋体" w:cs="宋体"/>
          <w:spacing w:val="-3"/>
          <w:sz w:val="24"/>
          <w:szCs w:val="24"/>
          <w:highlight w:val="none"/>
        </w:rPr>
        <w:t xml:space="preserve"> </w:t>
      </w:r>
      <w:r>
        <w:rPr>
          <w:rFonts w:hint="eastAsia" w:ascii="宋体" w:hAnsi="宋体" w:eastAsia="宋体" w:cs="宋体"/>
          <w:b/>
          <w:bCs/>
          <w:spacing w:val="-3"/>
          <w:sz w:val="24"/>
          <w:szCs w:val="24"/>
          <w:highlight w:val="none"/>
        </w:rPr>
        <w:t>苗木需要量、用工量及物料量</w:t>
      </w:r>
    </w:p>
    <w:p w14:paraId="47B9C93F">
      <w:pPr>
        <w:pStyle w:val="2"/>
        <w:keepNext w:val="0"/>
        <w:keepLines w:val="0"/>
        <w:pageBreakBefore w:val="0"/>
        <w:widowControl w:val="0"/>
        <w:kinsoku/>
        <w:wordWrap/>
        <w:overflowPunct/>
        <w:topLinePunct w:val="0"/>
        <w:autoSpaceDE/>
        <w:autoSpaceDN/>
        <w:bidi w:val="0"/>
        <w:adjustRightInd/>
        <w:snapToGrid/>
        <w:spacing w:after="0" w:line="480" w:lineRule="auto"/>
        <w:ind w:left="300"/>
        <w:textAlignment w:val="auto"/>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.7.1</w:t>
      </w:r>
      <w:r>
        <w:rPr>
          <w:rFonts w:hint="eastAsia" w:ascii="宋体" w:hAnsi="宋体" w:eastAsia="宋体" w:cs="宋体"/>
          <w:b/>
          <w:bCs/>
          <w:spacing w:val="-3"/>
          <w:sz w:val="24"/>
          <w:szCs w:val="24"/>
          <w:highlight w:val="none"/>
          <w:lang w:val="en-US" w:eastAsia="zh-CN"/>
        </w:rPr>
        <w:t xml:space="preserve"> </w:t>
      </w:r>
      <w:r>
        <w:rPr>
          <w:rFonts w:hint="eastAsia" w:ascii="宋体" w:hAnsi="宋体" w:eastAsia="宋体" w:cs="宋体"/>
          <w:b/>
          <w:bCs/>
          <w:spacing w:val="-3"/>
          <w:sz w:val="24"/>
          <w:szCs w:val="24"/>
          <w:highlight w:val="none"/>
        </w:rPr>
        <w:t>苗木需要量及来源</w:t>
      </w:r>
    </w:p>
    <w:p w14:paraId="4443F2A9">
      <w:pPr>
        <w:spacing w:before="181" w:line="398" w:lineRule="auto"/>
        <w:ind w:left="25" w:right="228"/>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退化林修复补植补植所需苗木全部采用本县内自产苗木，经计</w:t>
      </w:r>
      <w:r>
        <w:rPr>
          <w:rFonts w:hint="eastAsia" w:ascii="宋体" w:hAnsi="宋体" w:eastAsia="宋体" w:cs="宋体"/>
          <w:spacing w:val="16"/>
          <w:sz w:val="24"/>
          <w:szCs w:val="24"/>
          <w:highlight w:val="none"/>
        </w:rPr>
        <w:t xml:space="preserve"> </w:t>
      </w:r>
      <w:r>
        <w:rPr>
          <w:rFonts w:hint="eastAsia" w:ascii="宋体" w:hAnsi="宋体" w:eastAsia="宋体" w:cs="宋体"/>
          <w:spacing w:val="-1"/>
          <w:sz w:val="24"/>
          <w:szCs w:val="24"/>
          <w:highlight w:val="none"/>
        </w:rPr>
        <w:t>算，本项目退化林修复共需各类苗木</w:t>
      </w:r>
      <w:r>
        <w:rPr>
          <w:rFonts w:hint="eastAsia" w:ascii="宋体" w:hAnsi="宋体" w:eastAsia="宋体" w:cs="宋体"/>
          <w:spacing w:val="-61"/>
          <w:sz w:val="24"/>
          <w:szCs w:val="24"/>
          <w:highlight w:val="none"/>
        </w:rPr>
        <w:t xml:space="preserve"> </w:t>
      </w:r>
      <w:r>
        <w:rPr>
          <w:rFonts w:hint="eastAsia" w:ascii="宋体" w:hAnsi="宋体" w:eastAsia="宋体" w:cs="宋体"/>
          <w:spacing w:val="-1"/>
          <w:sz w:val="24"/>
          <w:szCs w:val="24"/>
          <w:highlight w:val="none"/>
        </w:rPr>
        <w:t>472928</w:t>
      </w:r>
      <w:r>
        <w:rPr>
          <w:rFonts w:hint="eastAsia" w:ascii="宋体" w:hAnsi="宋体" w:eastAsia="宋体" w:cs="宋体"/>
          <w:spacing w:val="-60"/>
          <w:sz w:val="24"/>
          <w:szCs w:val="24"/>
          <w:highlight w:val="none"/>
        </w:rPr>
        <w:t xml:space="preserve"> </w:t>
      </w:r>
      <w:r>
        <w:rPr>
          <w:rFonts w:hint="eastAsia" w:ascii="宋体" w:hAnsi="宋体" w:eastAsia="宋体" w:cs="宋体"/>
          <w:spacing w:val="-2"/>
          <w:sz w:val="24"/>
          <w:szCs w:val="24"/>
          <w:highlight w:val="none"/>
        </w:rPr>
        <w:t>株，其中红豆杉</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63014株，元宝枫</w:t>
      </w:r>
      <w:r>
        <w:rPr>
          <w:rFonts w:hint="eastAsia" w:ascii="宋体" w:hAnsi="宋体" w:eastAsia="宋体" w:cs="宋体"/>
          <w:spacing w:val="-63"/>
          <w:sz w:val="24"/>
          <w:szCs w:val="24"/>
          <w:highlight w:val="none"/>
        </w:rPr>
        <w:t xml:space="preserve"> </w:t>
      </w:r>
      <w:r>
        <w:rPr>
          <w:rFonts w:hint="eastAsia" w:ascii="宋体" w:hAnsi="宋体" w:eastAsia="宋体" w:cs="宋体"/>
          <w:spacing w:val="-2"/>
          <w:sz w:val="24"/>
          <w:szCs w:val="24"/>
          <w:highlight w:val="none"/>
        </w:rPr>
        <w:t>44184</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株、侧柏</w:t>
      </w:r>
      <w:r>
        <w:rPr>
          <w:rFonts w:hint="eastAsia" w:ascii="宋体" w:hAnsi="宋体" w:eastAsia="宋体" w:cs="宋体"/>
          <w:spacing w:val="-54"/>
          <w:sz w:val="24"/>
          <w:szCs w:val="24"/>
          <w:highlight w:val="none"/>
        </w:rPr>
        <w:t xml:space="preserve"> </w:t>
      </w:r>
      <w:r>
        <w:rPr>
          <w:rFonts w:hint="eastAsia" w:ascii="宋体" w:hAnsi="宋体" w:eastAsia="宋体" w:cs="宋体"/>
          <w:spacing w:val="-2"/>
          <w:sz w:val="24"/>
          <w:szCs w:val="24"/>
          <w:highlight w:val="none"/>
        </w:rPr>
        <w:t>53084</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株、油茶</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224</w:t>
      </w:r>
      <w:r>
        <w:rPr>
          <w:rFonts w:hint="eastAsia" w:ascii="宋体" w:hAnsi="宋体" w:eastAsia="宋体" w:cs="宋体"/>
          <w:spacing w:val="-3"/>
          <w:sz w:val="24"/>
          <w:szCs w:val="24"/>
          <w:highlight w:val="none"/>
        </w:rPr>
        <w:t>000</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株、连翘</w:t>
      </w:r>
      <w:r>
        <w:rPr>
          <w:rFonts w:hint="eastAsia" w:ascii="宋体" w:hAnsi="宋体" w:eastAsia="宋体" w:cs="宋体"/>
          <w:spacing w:val="-58"/>
          <w:sz w:val="24"/>
          <w:szCs w:val="24"/>
          <w:highlight w:val="none"/>
        </w:rPr>
        <w:t xml:space="preserve"> </w:t>
      </w:r>
      <w:r>
        <w:rPr>
          <w:rFonts w:hint="eastAsia" w:ascii="宋体" w:hAnsi="宋体" w:eastAsia="宋体" w:cs="宋体"/>
          <w:spacing w:val="-3"/>
          <w:sz w:val="24"/>
          <w:szCs w:val="24"/>
          <w:highlight w:val="none"/>
        </w:rPr>
        <w:t>88646</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株。</w:t>
      </w:r>
    </w:p>
    <w:p w14:paraId="1F591E24">
      <w:pPr>
        <w:spacing w:before="41" w:line="405" w:lineRule="auto"/>
        <w:ind w:left="23" w:right="112" w:firstLine="560"/>
        <w:jc w:val="both"/>
        <w:rPr>
          <w:rFonts w:hint="eastAsia" w:ascii="宋体" w:hAnsi="宋体" w:eastAsia="宋体" w:cs="宋体"/>
          <w:sz w:val="24"/>
          <w:szCs w:val="24"/>
          <w:highlight w:val="none"/>
        </w:rPr>
      </w:pPr>
      <w:r>
        <w:rPr>
          <w:rFonts w:hint="eastAsia" w:ascii="宋体" w:hAnsi="宋体" w:eastAsia="宋体" w:cs="宋体"/>
          <w:spacing w:val="-4"/>
          <w:sz w:val="24"/>
          <w:szCs w:val="24"/>
          <w:highlight w:val="none"/>
        </w:rPr>
        <w:t>所需苗木全部采用项目县（区）内自产苗木，不足时统一组织相</w:t>
      </w:r>
      <w:r>
        <w:rPr>
          <w:rFonts w:hint="eastAsia" w:ascii="宋体" w:hAnsi="宋体" w:eastAsia="宋体" w:cs="宋体"/>
          <w:spacing w:val="7"/>
          <w:sz w:val="24"/>
          <w:szCs w:val="24"/>
          <w:highlight w:val="none"/>
        </w:rPr>
        <w:t xml:space="preserve"> </w:t>
      </w:r>
      <w:r>
        <w:rPr>
          <w:rFonts w:hint="eastAsia" w:ascii="宋体" w:hAnsi="宋体" w:eastAsia="宋体" w:cs="宋体"/>
          <w:spacing w:val="-4"/>
          <w:sz w:val="24"/>
          <w:szCs w:val="24"/>
          <w:highlight w:val="none"/>
        </w:rPr>
        <w:t>邻县区协调供给。苗木调拨时尽量选择气候条件、立地条件相近地区</w:t>
      </w:r>
      <w:r>
        <w:rPr>
          <w:rFonts w:hint="eastAsia" w:ascii="宋体" w:hAnsi="宋体" w:eastAsia="宋体" w:cs="宋体"/>
          <w:spacing w:val="15"/>
          <w:sz w:val="24"/>
          <w:szCs w:val="24"/>
          <w:highlight w:val="none"/>
        </w:rPr>
        <w:t xml:space="preserve"> </w:t>
      </w:r>
      <w:r>
        <w:rPr>
          <w:rFonts w:hint="eastAsia" w:ascii="宋体" w:hAnsi="宋体" w:eastAsia="宋体" w:cs="宋体"/>
          <w:spacing w:val="-5"/>
          <w:sz w:val="24"/>
          <w:szCs w:val="24"/>
          <w:highlight w:val="none"/>
        </w:rPr>
        <w:t>的苗木，苗木采用“三证一签</w:t>
      </w:r>
      <w:r>
        <w:rPr>
          <w:rFonts w:hint="eastAsia" w:ascii="宋体" w:hAnsi="宋体" w:eastAsia="宋体" w:cs="宋体"/>
          <w:spacing w:val="-95"/>
          <w:sz w:val="24"/>
          <w:szCs w:val="24"/>
          <w:highlight w:val="none"/>
        </w:rPr>
        <w:t xml:space="preserve"> </w:t>
      </w:r>
      <w:r>
        <w:rPr>
          <w:rFonts w:hint="eastAsia" w:ascii="宋体" w:hAnsi="宋体" w:eastAsia="宋体" w:cs="宋体"/>
          <w:spacing w:val="-5"/>
          <w:sz w:val="24"/>
          <w:szCs w:val="24"/>
          <w:highlight w:val="none"/>
        </w:rPr>
        <w:t>”Ⅱ级及以上优良苗木，苗木规格详见</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下表。</w:t>
      </w:r>
    </w:p>
    <w:p w14:paraId="2A3AB4EE">
      <w:pPr>
        <w:spacing w:before="38" w:line="222" w:lineRule="auto"/>
        <w:ind w:left="2821"/>
        <w:rPr>
          <w:rFonts w:hint="eastAsia" w:ascii="宋体" w:hAnsi="宋体" w:eastAsia="宋体" w:cs="宋体"/>
          <w:sz w:val="24"/>
          <w:szCs w:val="24"/>
          <w:highlight w:val="none"/>
        </w:rPr>
      </w:pPr>
      <w:r>
        <w:rPr>
          <w:rFonts w:hint="eastAsia" w:ascii="宋体" w:hAnsi="宋体" w:eastAsia="宋体" w:cs="宋体"/>
          <w:b/>
          <w:bCs/>
          <w:spacing w:val="-5"/>
          <w:sz w:val="24"/>
          <w:szCs w:val="24"/>
          <w:highlight w:val="none"/>
        </w:rPr>
        <w:t>表</w:t>
      </w:r>
      <w:r>
        <w:rPr>
          <w:rFonts w:hint="eastAsia" w:ascii="宋体" w:hAnsi="宋体" w:eastAsia="宋体" w:cs="宋体"/>
          <w:spacing w:val="-52"/>
          <w:sz w:val="24"/>
          <w:szCs w:val="24"/>
          <w:highlight w:val="none"/>
        </w:rPr>
        <w:t xml:space="preserve"> </w:t>
      </w:r>
      <w:r>
        <w:rPr>
          <w:rFonts w:hint="eastAsia" w:ascii="宋体" w:hAnsi="宋体" w:eastAsia="宋体" w:cs="宋体"/>
          <w:b/>
          <w:bCs/>
          <w:spacing w:val="-5"/>
          <w:sz w:val="24"/>
          <w:szCs w:val="24"/>
          <w:highlight w:val="none"/>
        </w:rPr>
        <w:t>4-1</w:t>
      </w:r>
      <w:r>
        <w:rPr>
          <w:rFonts w:hint="eastAsia" w:ascii="宋体" w:hAnsi="宋体" w:eastAsia="宋体" w:cs="宋体"/>
          <w:spacing w:val="-5"/>
          <w:sz w:val="24"/>
          <w:szCs w:val="24"/>
          <w:highlight w:val="none"/>
        </w:rPr>
        <w:t xml:space="preserve"> </w:t>
      </w:r>
      <w:r>
        <w:rPr>
          <w:rFonts w:hint="eastAsia" w:ascii="宋体" w:hAnsi="宋体" w:eastAsia="宋体" w:cs="宋体"/>
          <w:b/>
          <w:bCs/>
          <w:spacing w:val="-5"/>
          <w:sz w:val="24"/>
          <w:szCs w:val="24"/>
          <w:highlight w:val="none"/>
        </w:rPr>
        <w:t>苗木规格一览表</w:t>
      </w:r>
    </w:p>
    <w:p w14:paraId="406B3423">
      <w:pPr>
        <w:spacing w:line="114" w:lineRule="exact"/>
        <w:rPr>
          <w:rFonts w:hint="eastAsia" w:ascii="宋体" w:hAnsi="宋体" w:eastAsia="宋体" w:cs="宋体"/>
          <w:sz w:val="24"/>
          <w:szCs w:val="24"/>
          <w:highlight w:val="none"/>
        </w:rPr>
      </w:pPr>
    </w:p>
    <w:tbl>
      <w:tblPr>
        <w:tblStyle w:val="56"/>
        <w:tblW w:w="8375" w:type="dxa"/>
        <w:tblInd w:w="54"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1394"/>
        <w:gridCol w:w="4471"/>
        <w:gridCol w:w="2510"/>
      </w:tblGrid>
      <w:tr w14:paraId="68EF636B">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04" w:hRule="atLeast"/>
        </w:trPr>
        <w:tc>
          <w:tcPr>
            <w:tcW w:w="1394" w:type="dxa"/>
            <w:vAlign w:val="top"/>
          </w:tcPr>
          <w:p w14:paraId="290FB521">
            <w:pPr>
              <w:pStyle w:val="55"/>
              <w:spacing w:before="233" w:line="221" w:lineRule="auto"/>
              <w:ind w:left="231"/>
              <w:rPr>
                <w:rFonts w:hint="eastAsia" w:ascii="宋体" w:hAnsi="宋体" w:eastAsia="宋体" w:cs="宋体"/>
                <w:sz w:val="24"/>
                <w:szCs w:val="24"/>
                <w:highlight w:val="none"/>
              </w:rPr>
            </w:pPr>
            <w:r>
              <w:rPr>
                <w:rFonts w:hint="eastAsia" w:ascii="宋体" w:hAnsi="宋体" w:eastAsia="宋体" w:cs="宋体"/>
                <w:b/>
                <w:bCs/>
                <w:spacing w:val="-7"/>
                <w:sz w:val="24"/>
                <w:szCs w:val="24"/>
                <w:highlight w:val="none"/>
              </w:rPr>
              <w:t>苗木名称</w:t>
            </w:r>
          </w:p>
        </w:tc>
        <w:tc>
          <w:tcPr>
            <w:tcW w:w="4471" w:type="dxa"/>
            <w:vAlign w:val="top"/>
          </w:tcPr>
          <w:p w14:paraId="55BF6BFF">
            <w:pPr>
              <w:pStyle w:val="55"/>
              <w:spacing w:before="234" w:line="222" w:lineRule="auto"/>
              <w:ind w:left="1885"/>
              <w:rPr>
                <w:rFonts w:hint="eastAsia" w:ascii="宋体" w:hAnsi="宋体" w:eastAsia="宋体" w:cs="宋体"/>
                <w:sz w:val="24"/>
                <w:szCs w:val="24"/>
                <w:highlight w:val="none"/>
              </w:rPr>
            </w:pPr>
            <w:r>
              <w:rPr>
                <w:rFonts w:hint="eastAsia" w:ascii="宋体" w:hAnsi="宋体" w:eastAsia="宋体" w:cs="宋体"/>
                <w:b/>
                <w:bCs/>
                <w:spacing w:val="-11"/>
                <w:sz w:val="24"/>
                <w:szCs w:val="24"/>
                <w:highlight w:val="none"/>
              </w:rPr>
              <w:t>规</w:t>
            </w:r>
            <w:r>
              <w:rPr>
                <w:rFonts w:hint="eastAsia" w:ascii="宋体" w:hAnsi="宋体" w:eastAsia="宋体" w:cs="宋体"/>
                <w:spacing w:val="9"/>
                <w:sz w:val="24"/>
                <w:szCs w:val="24"/>
                <w:highlight w:val="none"/>
              </w:rPr>
              <w:t xml:space="preserve">  </w:t>
            </w:r>
            <w:r>
              <w:rPr>
                <w:rFonts w:hint="eastAsia" w:ascii="宋体" w:hAnsi="宋体" w:eastAsia="宋体" w:cs="宋体"/>
                <w:b/>
                <w:bCs/>
                <w:spacing w:val="-11"/>
                <w:sz w:val="24"/>
                <w:szCs w:val="24"/>
                <w:highlight w:val="none"/>
              </w:rPr>
              <w:t>格</w:t>
            </w:r>
          </w:p>
        </w:tc>
        <w:tc>
          <w:tcPr>
            <w:tcW w:w="2510" w:type="dxa"/>
            <w:vAlign w:val="top"/>
          </w:tcPr>
          <w:p w14:paraId="2970181B">
            <w:pPr>
              <w:pStyle w:val="55"/>
              <w:spacing w:before="234" w:line="224" w:lineRule="auto"/>
              <w:ind w:left="1028"/>
              <w:rPr>
                <w:rFonts w:hint="eastAsia" w:ascii="宋体" w:hAnsi="宋体" w:eastAsia="宋体" w:cs="宋体"/>
                <w:sz w:val="24"/>
                <w:szCs w:val="24"/>
                <w:highlight w:val="none"/>
              </w:rPr>
            </w:pPr>
            <w:r>
              <w:rPr>
                <w:rFonts w:hint="eastAsia" w:ascii="宋体" w:hAnsi="宋体" w:eastAsia="宋体" w:cs="宋体"/>
                <w:b/>
                <w:bCs/>
                <w:spacing w:val="-12"/>
                <w:sz w:val="24"/>
                <w:szCs w:val="24"/>
                <w:highlight w:val="none"/>
              </w:rPr>
              <w:t>备注</w:t>
            </w:r>
          </w:p>
        </w:tc>
      </w:tr>
      <w:tr w14:paraId="49CBA83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656" w:hRule="atLeast"/>
        </w:trPr>
        <w:tc>
          <w:tcPr>
            <w:tcW w:w="1394" w:type="dxa"/>
            <w:vAlign w:val="top"/>
          </w:tcPr>
          <w:p w14:paraId="41DCD48F">
            <w:pPr>
              <w:pStyle w:val="55"/>
              <w:spacing w:before="209" w:line="222" w:lineRule="auto"/>
              <w:ind w:left="124"/>
              <w:rPr>
                <w:rFonts w:hint="eastAsia" w:ascii="宋体" w:hAnsi="宋体" w:eastAsia="宋体" w:cs="宋体"/>
                <w:sz w:val="24"/>
                <w:szCs w:val="24"/>
                <w:highlight w:val="none"/>
              </w:rPr>
            </w:pPr>
            <w:r>
              <w:rPr>
                <w:rFonts w:hint="eastAsia" w:ascii="宋体" w:hAnsi="宋体" w:eastAsia="宋体" w:cs="宋体"/>
                <w:spacing w:val="-6"/>
                <w:sz w:val="24"/>
                <w:szCs w:val="24"/>
                <w:highlight w:val="none"/>
              </w:rPr>
              <w:t>红豆杉</w:t>
            </w:r>
          </w:p>
        </w:tc>
        <w:tc>
          <w:tcPr>
            <w:tcW w:w="4471" w:type="dxa"/>
            <w:vAlign w:val="top"/>
          </w:tcPr>
          <w:p w14:paraId="597451B6">
            <w:pPr>
              <w:pStyle w:val="55"/>
              <w:spacing w:before="53" w:line="228" w:lineRule="auto"/>
              <w:ind w:left="120" w:right="39"/>
              <w:rPr>
                <w:rFonts w:hint="eastAsia" w:ascii="宋体" w:hAnsi="宋体" w:eastAsia="宋体" w:cs="宋体"/>
                <w:sz w:val="24"/>
                <w:szCs w:val="24"/>
                <w:highlight w:val="none"/>
              </w:rPr>
            </w:pPr>
            <w:r>
              <w:rPr>
                <w:rFonts w:hint="eastAsia" w:ascii="宋体" w:hAnsi="宋体" w:eastAsia="宋体" w:cs="宋体"/>
                <w:spacing w:val="-8"/>
                <w:sz w:val="24"/>
                <w:szCs w:val="24"/>
                <w:highlight w:val="none"/>
              </w:rPr>
              <w:t>红豆杉容器苗，苗龄</w:t>
            </w:r>
            <w:r>
              <w:rPr>
                <w:rFonts w:hint="eastAsia" w:ascii="宋体" w:hAnsi="宋体" w:eastAsia="宋体" w:cs="宋体"/>
                <w:spacing w:val="-48"/>
                <w:sz w:val="24"/>
                <w:szCs w:val="24"/>
                <w:highlight w:val="none"/>
              </w:rPr>
              <w:t xml:space="preserve"> </w:t>
            </w:r>
            <w:r>
              <w:rPr>
                <w:rFonts w:hint="eastAsia" w:ascii="宋体" w:hAnsi="宋体" w:eastAsia="宋体" w:cs="宋体"/>
                <w:spacing w:val="-8"/>
                <w:sz w:val="24"/>
                <w:szCs w:val="24"/>
                <w:highlight w:val="none"/>
              </w:rPr>
              <w:t>2</w:t>
            </w:r>
            <w:r>
              <w:rPr>
                <w:rFonts w:hint="eastAsia" w:ascii="宋体" w:hAnsi="宋体" w:eastAsia="宋体" w:cs="宋体"/>
                <w:spacing w:val="-39"/>
                <w:sz w:val="24"/>
                <w:szCs w:val="24"/>
                <w:highlight w:val="none"/>
              </w:rPr>
              <w:t xml:space="preserve"> </w:t>
            </w:r>
            <w:r>
              <w:rPr>
                <w:rFonts w:hint="eastAsia" w:ascii="宋体" w:hAnsi="宋体" w:eastAsia="宋体" w:cs="宋体"/>
                <w:spacing w:val="-8"/>
                <w:sz w:val="24"/>
                <w:szCs w:val="24"/>
                <w:highlight w:val="none"/>
              </w:rPr>
              <w:t>年，地径≥1.2cm，</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苗高≥80cm，分枝数量大于等于</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5</w:t>
            </w:r>
            <w:r>
              <w:rPr>
                <w:rFonts w:hint="eastAsia" w:ascii="宋体" w:hAnsi="宋体" w:eastAsia="宋体" w:cs="宋体"/>
                <w:spacing w:val="-43"/>
                <w:sz w:val="24"/>
                <w:szCs w:val="24"/>
                <w:highlight w:val="none"/>
              </w:rPr>
              <w:t xml:space="preserve"> </w:t>
            </w:r>
            <w:r>
              <w:rPr>
                <w:rFonts w:hint="eastAsia" w:ascii="宋体" w:hAnsi="宋体" w:eastAsia="宋体" w:cs="宋体"/>
                <w:spacing w:val="-3"/>
                <w:sz w:val="24"/>
                <w:szCs w:val="24"/>
                <w:highlight w:val="none"/>
              </w:rPr>
              <w:t>个。</w:t>
            </w:r>
          </w:p>
        </w:tc>
        <w:tc>
          <w:tcPr>
            <w:tcW w:w="2510" w:type="dxa"/>
            <w:vAlign w:val="top"/>
          </w:tcPr>
          <w:p w14:paraId="3590A4A6">
            <w:pPr>
              <w:pStyle w:val="55"/>
              <w:spacing w:before="53" w:line="228" w:lineRule="auto"/>
              <w:ind w:left="127" w:right="106" w:firstLine="20"/>
              <w:rPr>
                <w:rFonts w:hint="eastAsia" w:ascii="宋体" w:hAnsi="宋体" w:eastAsia="宋体" w:cs="宋体"/>
                <w:sz w:val="24"/>
                <w:szCs w:val="24"/>
                <w:highlight w:val="none"/>
              </w:rPr>
            </w:pPr>
            <w:r>
              <w:rPr>
                <w:rFonts w:hint="eastAsia" w:ascii="宋体" w:hAnsi="宋体" w:eastAsia="宋体" w:cs="宋体"/>
                <w:spacing w:val="-16"/>
                <w:sz w:val="24"/>
                <w:szCs w:val="24"/>
                <w:highlight w:val="none"/>
              </w:rPr>
              <w:t>品种：秦岭红豆杉或南</w:t>
            </w:r>
            <w:r>
              <w:rPr>
                <w:rFonts w:hint="eastAsia" w:ascii="宋体" w:hAnsi="宋体" w:eastAsia="宋体" w:cs="宋体"/>
                <w:spacing w:val="8"/>
                <w:sz w:val="24"/>
                <w:szCs w:val="24"/>
                <w:highlight w:val="none"/>
              </w:rPr>
              <w:t xml:space="preserve"> </w:t>
            </w:r>
            <w:r>
              <w:rPr>
                <w:rFonts w:hint="eastAsia" w:ascii="宋体" w:hAnsi="宋体" w:eastAsia="宋体" w:cs="宋体"/>
                <w:spacing w:val="-5"/>
                <w:sz w:val="24"/>
                <w:szCs w:val="24"/>
                <w:highlight w:val="none"/>
              </w:rPr>
              <w:t>方红豆杉。</w:t>
            </w:r>
          </w:p>
        </w:tc>
      </w:tr>
      <w:tr w14:paraId="1FBE66D2">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0" w:hRule="atLeast"/>
        </w:trPr>
        <w:tc>
          <w:tcPr>
            <w:tcW w:w="1394" w:type="dxa"/>
            <w:vAlign w:val="top"/>
          </w:tcPr>
          <w:p w14:paraId="0E0ED714">
            <w:pPr>
              <w:spacing w:line="272" w:lineRule="auto"/>
              <w:rPr>
                <w:rFonts w:hint="eastAsia" w:ascii="宋体" w:hAnsi="宋体" w:eastAsia="宋体" w:cs="宋体"/>
                <w:sz w:val="24"/>
                <w:szCs w:val="24"/>
                <w:highlight w:val="none"/>
              </w:rPr>
            </w:pPr>
          </w:p>
          <w:p w14:paraId="0D1C645F">
            <w:pPr>
              <w:pStyle w:val="55"/>
              <w:spacing w:before="78" w:line="222" w:lineRule="auto"/>
              <w:ind w:left="127"/>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元宝枫</w:t>
            </w:r>
          </w:p>
        </w:tc>
        <w:tc>
          <w:tcPr>
            <w:tcW w:w="4471" w:type="dxa"/>
            <w:vAlign w:val="top"/>
          </w:tcPr>
          <w:p w14:paraId="0AACE3F7">
            <w:pPr>
              <w:pStyle w:val="55"/>
              <w:spacing w:before="40" w:line="228" w:lineRule="auto"/>
              <w:ind w:left="121" w:right="39" w:firstLine="1"/>
              <w:jc w:val="both"/>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元宝枫播种苗，苗龄</w:t>
            </w:r>
            <w:r>
              <w:rPr>
                <w:rFonts w:hint="eastAsia" w:ascii="宋体" w:hAnsi="宋体" w:eastAsia="宋体" w:cs="宋体"/>
                <w:spacing w:val="-28"/>
                <w:sz w:val="24"/>
                <w:szCs w:val="24"/>
                <w:highlight w:val="none"/>
              </w:rPr>
              <w:t xml:space="preserve"> </w:t>
            </w:r>
            <w:r>
              <w:rPr>
                <w:rFonts w:hint="eastAsia" w:ascii="宋体" w:hAnsi="宋体" w:eastAsia="宋体" w:cs="宋体"/>
                <w:spacing w:val="-5"/>
                <w:sz w:val="24"/>
                <w:szCs w:val="24"/>
                <w:highlight w:val="none"/>
              </w:rPr>
              <w:t>1-2，地径≥0.8cm，</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苗高≥60cm，根系≥25cm，5cm</w:t>
            </w:r>
            <w:r>
              <w:rPr>
                <w:rFonts w:hint="eastAsia" w:ascii="宋体" w:hAnsi="宋体" w:eastAsia="宋体" w:cs="宋体"/>
                <w:spacing w:val="-36"/>
                <w:sz w:val="24"/>
                <w:szCs w:val="24"/>
                <w:highlight w:val="none"/>
              </w:rPr>
              <w:t xml:space="preserve"> </w:t>
            </w:r>
            <w:r>
              <w:rPr>
                <w:rFonts w:hint="eastAsia" w:ascii="宋体" w:hAnsi="宋体" w:eastAsia="宋体" w:cs="宋体"/>
                <w:spacing w:val="-2"/>
                <w:sz w:val="24"/>
                <w:szCs w:val="24"/>
                <w:highlight w:val="none"/>
              </w:rPr>
              <w:t>长度以上</w:t>
            </w:r>
            <w:r>
              <w:rPr>
                <w:rFonts w:hint="eastAsia" w:ascii="宋体" w:hAnsi="宋体" w:eastAsia="宋体" w:cs="宋体"/>
                <w:sz w:val="24"/>
                <w:szCs w:val="24"/>
                <w:highlight w:val="none"/>
              </w:rPr>
              <w:t xml:space="preserve"> </w:t>
            </w:r>
            <w:r>
              <w:rPr>
                <w:rFonts w:hint="eastAsia" w:ascii="宋体" w:hAnsi="宋体" w:eastAsia="宋体" w:cs="宋体"/>
                <w:spacing w:val="-4"/>
                <w:sz w:val="24"/>
                <w:szCs w:val="24"/>
                <w:highlight w:val="none"/>
              </w:rPr>
              <w:t>Ⅰ级侧根数</w:t>
            </w:r>
            <w:r>
              <w:rPr>
                <w:rFonts w:hint="eastAsia" w:ascii="宋体" w:hAnsi="宋体" w:eastAsia="宋体" w:cs="宋体"/>
                <w:spacing w:val="-44"/>
                <w:sz w:val="24"/>
                <w:szCs w:val="24"/>
                <w:highlight w:val="none"/>
              </w:rPr>
              <w:t xml:space="preserve"> </w:t>
            </w:r>
            <w:r>
              <w:rPr>
                <w:rFonts w:hint="eastAsia" w:ascii="宋体" w:hAnsi="宋体" w:eastAsia="宋体" w:cs="宋体"/>
                <w:spacing w:val="-4"/>
                <w:sz w:val="24"/>
                <w:szCs w:val="24"/>
                <w:highlight w:val="none"/>
              </w:rPr>
              <w:t>8</w:t>
            </w:r>
            <w:r>
              <w:rPr>
                <w:rFonts w:hint="eastAsia" w:ascii="宋体" w:hAnsi="宋体" w:eastAsia="宋体" w:cs="宋体"/>
                <w:spacing w:val="-43"/>
                <w:sz w:val="24"/>
                <w:szCs w:val="24"/>
                <w:highlight w:val="none"/>
              </w:rPr>
              <w:t xml:space="preserve"> </w:t>
            </w:r>
            <w:r>
              <w:rPr>
                <w:rFonts w:hint="eastAsia" w:ascii="宋体" w:hAnsi="宋体" w:eastAsia="宋体" w:cs="宋体"/>
                <w:spacing w:val="-4"/>
                <w:sz w:val="24"/>
                <w:szCs w:val="24"/>
                <w:highlight w:val="none"/>
              </w:rPr>
              <w:t>根以上，无损伤</w:t>
            </w:r>
          </w:p>
        </w:tc>
        <w:tc>
          <w:tcPr>
            <w:tcW w:w="2510" w:type="dxa"/>
            <w:vAlign w:val="top"/>
          </w:tcPr>
          <w:p w14:paraId="18C00763">
            <w:pPr>
              <w:rPr>
                <w:rFonts w:hint="eastAsia" w:ascii="宋体" w:hAnsi="宋体" w:eastAsia="宋体" w:cs="宋体"/>
                <w:sz w:val="24"/>
                <w:szCs w:val="24"/>
                <w:highlight w:val="none"/>
              </w:rPr>
            </w:pPr>
          </w:p>
        </w:tc>
      </w:tr>
      <w:tr w14:paraId="2FB40739">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0" w:hRule="atLeast"/>
        </w:trPr>
        <w:tc>
          <w:tcPr>
            <w:tcW w:w="1394" w:type="dxa"/>
            <w:vAlign w:val="top"/>
          </w:tcPr>
          <w:p w14:paraId="32F90EEB">
            <w:pPr>
              <w:pStyle w:val="55"/>
              <w:spacing w:before="271" w:line="222" w:lineRule="auto"/>
              <w:ind w:left="123"/>
              <w:rPr>
                <w:rFonts w:hint="eastAsia" w:ascii="宋体" w:hAnsi="宋体" w:eastAsia="宋体" w:cs="宋体"/>
                <w:sz w:val="24"/>
                <w:szCs w:val="24"/>
                <w:highlight w:val="none"/>
              </w:rPr>
            </w:pPr>
            <w:r>
              <w:rPr>
                <w:rFonts w:hint="eastAsia" w:ascii="宋体" w:hAnsi="宋体" w:eastAsia="宋体" w:cs="宋体"/>
                <w:spacing w:val="-8"/>
                <w:sz w:val="24"/>
                <w:szCs w:val="24"/>
                <w:highlight w:val="none"/>
              </w:rPr>
              <w:t>侧柏</w:t>
            </w:r>
          </w:p>
        </w:tc>
        <w:tc>
          <w:tcPr>
            <w:tcW w:w="4471" w:type="dxa"/>
            <w:vAlign w:val="top"/>
          </w:tcPr>
          <w:p w14:paraId="0E04028B">
            <w:pPr>
              <w:pStyle w:val="55"/>
              <w:spacing w:before="114" w:line="231" w:lineRule="auto"/>
              <w:ind w:left="120" w:right="21" w:hanging="1"/>
              <w:rPr>
                <w:rFonts w:hint="eastAsia" w:ascii="宋体" w:hAnsi="宋体" w:eastAsia="宋体" w:cs="宋体"/>
                <w:sz w:val="24"/>
                <w:szCs w:val="24"/>
                <w:highlight w:val="none"/>
              </w:rPr>
            </w:pPr>
            <w:r>
              <w:rPr>
                <w:rFonts w:hint="eastAsia" w:ascii="宋体" w:hAnsi="宋体" w:eastAsia="宋体" w:cs="宋体"/>
                <w:spacing w:val="-1"/>
                <w:sz w:val="24"/>
                <w:szCs w:val="24"/>
                <w:highlight w:val="none"/>
              </w:rPr>
              <w:t>侧柏容器苗，苗龄</w:t>
            </w:r>
            <w:r>
              <w:rPr>
                <w:rFonts w:hint="eastAsia" w:ascii="宋体" w:hAnsi="宋体" w:eastAsia="宋体" w:cs="宋体"/>
                <w:spacing w:val="-45"/>
                <w:sz w:val="24"/>
                <w:szCs w:val="24"/>
                <w:highlight w:val="none"/>
              </w:rPr>
              <w:t xml:space="preserve"> </w:t>
            </w:r>
            <w:r>
              <w:rPr>
                <w:rFonts w:hint="eastAsia" w:ascii="宋体" w:hAnsi="宋体" w:eastAsia="宋体" w:cs="宋体"/>
                <w:spacing w:val="-1"/>
                <w:sz w:val="24"/>
                <w:szCs w:val="24"/>
                <w:highlight w:val="none"/>
              </w:rPr>
              <w:t>3</w:t>
            </w:r>
            <w:r>
              <w:rPr>
                <w:rFonts w:hint="eastAsia" w:ascii="宋体" w:hAnsi="宋体" w:eastAsia="宋体" w:cs="宋体"/>
                <w:spacing w:val="-39"/>
                <w:sz w:val="24"/>
                <w:szCs w:val="24"/>
                <w:highlight w:val="none"/>
              </w:rPr>
              <w:t xml:space="preserve"> </w:t>
            </w:r>
            <w:r>
              <w:rPr>
                <w:rFonts w:hint="eastAsia" w:ascii="宋体" w:hAnsi="宋体" w:eastAsia="宋体" w:cs="宋体"/>
                <w:spacing w:val="-1"/>
                <w:sz w:val="24"/>
                <w:szCs w:val="24"/>
                <w:highlight w:val="none"/>
              </w:rPr>
              <w:t>年，地径≥1.2cm，</w:t>
            </w:r>
            <w:r>
              <w:rPr>
                <w:rFonts w:hint="eastAsia" w:ascii="宋体" w:hAnsi="宋体" w:eastAsia="宋体" w:cs="宋体"/>
                <w:sz w:val="24"/>
                <w:szCs w:val="24"/>
                <w:highlight w:val="none"/>
              </w:rPr>
              <w:t xml:space="preserve">  </w:t>
            </w:r>
            <w:r>
              <w:rPr>
                <w:rFonts w:hint="eastAsia" w:ascii="宋体" w:hAnsi="宋体" w:eastAsia="宋体" w:cs="宋体"/>
                <w:spacing w:val="-11"/>
                <w:sz w:val="24"/>
                <w:szCs w:val="24"/>
                <w:highlight w:val="none"/>
              </w:rPr>
              <w:t>苗高≥80.0cm，充分木质化，无枯梢现象。</w:t>
            </w:r>
          </w:p>
        </w:tc>
        <w:tc>
          <w:tcPr>
            <w:tcW w:w="2510" w:type="dxa"/>
            <w:vAlign w:val="top"/>
          </w:tcPr>
          <w:p w14:paraId="3A2D273B">
            <w:pPr>
              <w:rPr>
                <w:rFonts w:hint="eastAsia" w:ascii="宋体" w:hAnsi="宋体" w:eastAsia="宋体" w:cs="宋体"/>
                <w:sz w:val="24"/>
                <w:szCs w:val="24"/>
                <w:highlight w:val="none"/>
              </w:rPr>
            </w:pPr>
          </w:p>
        </w:tc>
      </w:tr>
      <w:tr w14:paraId="03C53363">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780" w:hRule="atLeast"/>
        </w:trPr>
        <w:tc>
          <w:tcPr>
            <w:tcW w:w="1394" w:type="dxa"/>
            <w:vAlign w:val="top"/>
          </w:tcPr>
          <w:p w14:paraId="112DC680">
            <w:pPr>
              <w:pStyle w:val="55"/>
              <w:spacing w:before="273" w:line="224" w:lineRule="auto"/>
              <w:ind w:left="124"/>
              <w:rPr>
                <w:rFonts w:hint="eastAsia" w:ascii="宋体" w:hAnsi="宋体" w:eastAsia="宋体" w:cs="宋体"/>
                <w:sz w:val="24"/>
                <w:szCs w:val="24"/>
                <w:highlight w:val="none"/>
              </w:rPr>
            </w:pPr>
            <w:r>
              <w:rPr>
                <w:rFonts w:hint="eastAsia" w:ascii="宋体" w:hAnsi="宋体" w:eastAsia="宋体" w:cs="宋体"/>
                <w:spacing w:val="-9"/>
                <w:sz w:val="24"/>
                <w:szCs w:val="24"/>
                <w:highlight w:val="none"/>
              </w:rPr>
              <w:t>连翘</w:t>
            </w:r>
          </w:p>
        </w:tc>
        <w:tc>
          <w:tcPr>
            <w:tcW w:w="4471" w:type="dxa"/>
            <w:vAlign w:val="top"/>
          </w:tcPr>
          <w:p w14:paraId="2B8D8DFD">
            <w:pPr>
              <w:pStyle w:val="55"/>
              <w:spacing w:before="116" w:line="231" w:lineRule="auto"/>
              <w:ind w:left="121" w:right="85"/>
              <w:rPr>
                <w:rFonts w:hint="eastAsia" w:ascii="宋体" w:hAnsi="宋体" w:eastAsia="宋体" w:cs="宋体"/>
                <w:sz w:val="24"/>
                <w:szCs w:val="24"/>
                <w:highlight w:val="none"/>
              </w:rPr>
            </w:pPr>
            <w:r>
              <w:rPr>
                <w:rFonts w:hint="eastAsia" w:ascii="宋体" w:hAnsi="宋体" w:eastAsia="宋体" w:cs="宋体"/>
                <w:spacing w:val="-5"/>
                <w:sz w:val="24"/>
                <w:szCs w:val="24"/>
                <w:highlight w:val="none"/>
              </w:rPr>
              <w:t>翘采裸根苗，苗龄</w:t>
            </w:r>
            <w:r>
              <w:rPr>
                <w:rFonts w:hint="eastAsia" w:ascii="宋体" w:hAnsi="宋体" w:eastAsia="宋体" w:cs="宋体"/>
                <w:spacing w:val="-38"/>
                <w:sz w:val="24"/>
                <w:szCs w:val="24"/>
                <w:highlight w:val="none"/>
              </w:rPr>
              <w:t xml:space="preserve"> </w:t>
            </w:r>
            <w:r>
              <w:rPr>
                <w:rFonts w:hint="eastAsia" w:ascii="宋体" w:hAnsi="宋体" w:eastAsia="宋体" w:cs="宋体"/>
                <w:spacing w:val="-5"/>
                <w:sz w:val="24"/>
                <w:szCs w:val="24"/>
                <w:highlight w:val="none"/>
              </w:rPr>
              <w:t>2</w:t>
            </w:r>
            <w:r>
              <w:rPr>
                <w:rFonts w:hint="eastAsia" w:ascii="宋体" w:hAnsi="宋体" w:eastAsia="宋体" w:cs="宋体"/>
                <w:spacing w:val="-40"/>
                <w:sz w:val="24"/>
                <w:szCs w:val="24"/>
                <w:highlight w:val="none"/>
              </w:rPr>
              <w:t xml:space="preserve"> </w:t>
            </w:r>
            <w:r>
              <w:rPr>
                <w:rFonts w:hint="eastAsia" w:ascii="宋体" w:hAnsi="宋体" w:eastAsia="宋体" w:cs="宋体"/>
                <w:spacing w:val="-5"/>
                <w:sz w:val="24"/>
                <w:szCs w:val="24"/>
                <w:highlight w:val="none"/>
              </w:rPr>
              <w:t>年，地径≥0.80cm、</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苗高≥80cm，苗木高径比≤120</w:t>
            </w:r>
          </w:p>
        </w:tc>
        <w:tc>
          <w:tcPr>
            <w:tcW w:w="2510" w:type="dxa"/>
            <w:vAlign w:val="top"/>
          </w:tcPr>
          <w:p w14:paraId="14E507AF">
            <w:pPr>
              <w:rPr>
                <w:rFonts w:hint="eastAsia" w:ascii="宋体" w:hAnsi="宋体" w:eastAsia="宋体" w:cs="宋体"/>
                <w:sz w:val="24"/>
                <w:szCs w:val="24"/>
                <w:highlight w:val="none"/>
              </w:rPr>
            </w:pPr>
          </w:p>
        </w:tc>
      </w:tr>
      <w:tr w14:paraId="52725CFC">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945" w:hRule="atLeast"/>
        </w:trPr>
        <w:tc>
          <w:tcPr>
            <w:tcW w:w="1394" w:type="dxa"/>
            <w:vAlign w:val="top"/>
          </w:tcPr>
          <w:p w14:paraId="347CE584">
            <w:pPr>
              <w:spacing w:line="274" w:lineRule="auto"/>
              <w:rPr>
                <w:rFonts w:hint="eastAsia" w:ascii="宋体" w:hAnsi="宋体" w:eastAsia="宋体" w:cs="宋体"/>
                <w:sz w:val="24"/>
                <w:szCs w:val="24"/>
                <w:highlight w:val="none"/>
              </w:rPr>
            </w:pPr>
          </w:p>
          <w:p w14:paraId="020B79BA">
            <w:pPr>
              <w:pStyle w:val="55"/>
              <w:spacing w:before="78" w:line="223" w:lineRule="auto"/>
              <w:ind w:left="129"/>
              <w:rPr>
                <w:rFonts w:hint="eastAsia" w:ascii="宋体" w:hAnsi="宋体" w:eastAsia="宋体" w:cs="宋体"/>
                <w:sz w:val="24"/>
                <w:szCs w:val="24"/>
                <w:highlight w:val="none"/>
              </w:rPr>
            </w:pPr>
            <w:r>
              <w:rPr>
                <w:rFonts w:hint="eastAsia" w:ascii="宋体" w:hAnsi="宋体" w:eastAsia="宋体" w:cs="宋体"/>
                <w:spacing w:val="-11"/>
                <w:sz w:val="24"/>
                <w:szCs w:val="24"/>
                <w:highlight w:val="none"/>
              </w:rPr>
              <w:t>油茶</w:t>
            </w:r>
          </w:p>
        </w:tc>
        <w:tc>
          <w:tcPr>
            <w:tcW w:w="4471" w:type="dxa"/>
            <w:vAlign w:val="top"/>
          </w:tcPr>
          <w:p w14:paraId="21502AB5">
            <w:pPr>
              <w:pStyle w:val="55"/>
              <w:spacing w:before="41" w:line="229" w:lineRule="auto"/>
              <w:ind w:left="121" w:right="104"/>
              <w:jc w:val="both"/>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容器苗，苗龄</w:t>
            </w:r>
            <w:r>
              <w:rPr>
                <w:rFonts w:hint="eastAsia" w:ascii="宋体" w:hAnsi="宋体" w:eastAsia="宋体" w:cs="宋体"/>
                <w:spacing w:val="-41"/>
                <w:sz w:val="24"/>
                <w:szCs w:val="24"/>
                <w:highlight w:val="none"/>
              </w:rPr>
              <w:t xml:space="preserve"> </w:t>
            </w:r>
            <w:r>
              <w:rPr>
                <w:rFonts w:hint="eastAsia" w:ascii="宋体" w:hAnsi="宋体" w:eastAsia="宋体" w:cs="宋体"/>
                <w:spacing w:val="-3"/>
                <w:sz w:val="24"/>
                <w:szCs w:val="24"/>
                <w:highlight w:val="none"/>
              </w:rPr>
              <w:t>4</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年，地径≥0.8cm，苗高</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≥60cm，主根发达，侧根均匀舒展，无机</w:t>
            </w:r>
            <w:r>
              <w:rPr>
                <w:rFonts w:hint="eastAsia" w:ascii="宋体" w:hAnsi="宋体" w:eastAsia="宋体" w:cs="宋体"/>
                <w:spacing w:val="18"/>
                <w:sz w:val="24"/>
                <w:szCs w:val="24"/>
                <w:highlight w:val="none"/>
              </w:rPr>
              <w:t xml:space="preserve"> </w:t>
            </w:r>
            <w:r>
              <w:rPr>
                <w:rFonts w:hint="eastAsia" w:ascii="宋体" w:hAnsi="宋体" w:eastAsia="宋体" w:cs="宋体"/>
                <w:spacing w:val="-5"/>
                <w:sz w:val="24"/>
                <w:szCs w:val="24"/>
                <w:highlight w:val="none"/>
              </w:rPr>
              <w:t>械损伤。</w:t>
            </w:r>
          </w:p>
        </w:tc>
        <w:tc>
          <w:tcPr>
            <w:tcW w:w="2510" w:type="dxa"/>
            <w:vAlign w:val="top"/>
          </w:tcPr>
          <w:p w14:paraId="259DE0C1">
            <w:pPr>
              <w:spacing w:line="274" w:lineRule="auto"/>
              <w:rPr>
                <w:rFonts w:hint="eastAsia" w:ascii="宋体" w:hAnsi="宋体" w:eastAsia="宋体" w:cs="宋体"/>
                <w:sz w:val="24"/>
                <w:szCs w:val="24"/>
                <w:highlight w:val="none"/>
              </w:rPr>
            </w:pPr>
          </w:p>
          <w:p w14:paraId="3A4FE86E">
            <w:pPr>
              <w:pStyle w:val="55"/>
              <w:spacing w:before="78" w:line="221" w:lineRule="auto"/>
              <w:ind w:left="148"/>
              <w:rPr>
                <w:rFonts w:hint="eastAsia" w:ascii="宋体" w:hAnsi="宋体" w:eastAsia="宋体" w:cs="宋体"/>
                <w:sz w:val="24"/>
                <w:szCs w:val="24"/>
                <w:highlight w:val="none"/>
              </w:rPr>
            </w:pPr>
            <w:r>
              <w:rPr>
                <w:rFonts w:hint="eastAsia" w:ascii="宋体" w:hAnsi="宋体" w:eastAsia="宋体" w:cs="宋体"/>
                <w:spacing w:val="-7"/>
                <w:sz w:val="24"/>
                <w:szCs w:val="24"/>
                <w:highlight w:val="none"/>
              </w:rPr>
              <w:t>品种：长林系列</w:t>
            </w:r>
          </w:p>
        </w:tc>
      </w:tr>
    </w:tbl>
    <w:p w14:paraId="2FABB08E">
      <w:pPr>
        <w:pStyle w:val="2"/>
        <w:spacing w:line="248" w:lineRule="auto"/>
        <w:rPr>
          <w:rFonts w:hint="eastAsia" w:ascii="宋体" w:hAnsi="宋体" w:eastAsia="宋体" w:cs="宋体"/>
          <w:sz w:val="24"/>
          <w:szCs w:val="24"/>
          <w:highlight w:val="none"/>
        </w:rPr>
      </w:pPr>
    </w:p>
    <w:p w14:paraId="0CDCAD1C">
      <w:pPr>
        <w:pStyle w:val="2"/>
        <w:spacing w:before="91" w:line="221" w:lineRule="auto"/>
        <w:ind w:left="300"/>
        <w:outlineLvl w:val="2"/>
        <w:rPr>
          <w:rFonts w:hint="eastAsia" w:ascii="宋体" w:hAnsi="宋体" w:eastAsia="宋体" w:cs="宋体"/>
          <w:sz w:val="24"/>
          <w:szCs w:val="24"/>
          <w:highlight w:val="none"/>
        </w:rPr>
      </w:pPr>
      <w:r>
        <w:rPr>
          <w:rFonts w:hint="eastAsia" w:ascii="宋体" w:hAnsi="宋体" w:eastAsia="宋体" w:cs="宋体"/>
          <w:b/>
          <w:bCs/>
          <w:spacing w:val="-3"/>
          <w:sz w:val="24"/>
          <w:szCs w:val="24"/>
          <w:highlight w:val="none"/>
          <w:lang w:val="en-US" w:eastAsia="zh-CN"/>
        </w:rPr>
        <w:t>3</w:t>
      </w:r>
      <w:r>
        <w:rPr>
          <w:rFonts w:hint="eastAsia" w:ascii="宋体" w:hAnsi="宋体" w:eastAsia="宋体" w:cs="宋体"/>
          <w:b/>
          <w:bCs/>
          <w:spacing w:val="-3"/>
          <w:sz w:val="24"/>
          <w:szCs w:val="24"/>
          <w:highlight w:val="none"/>
        </w:rPr>
        <w:t>.7.2 用工量</w:t>
      </w:r>
    </w:p>
    <w:p w14:paraId="3FAC6097">
      <w:pPr>
        <w:spacing w:before="292" w:line="407" w:lineRule="auto"/>
        <w:ind w:left="21" w:firstLine="561"/>
        <w:jc w:val="both"/>
        <w:rPr>
          <w:rFonts w:hint="eastAsia" w:ascii="宋体" w:hAnsi="宋体" w:eastAsia="宋体" w:cs="宋体"/>
          <w:spacing w:val="-2"/>
          <w:sz w:val="24"/>
          <w:szCs w:val="24"/>
          <w:highlight w:val="none"/>
        </w:rPr>
      </w:pPr>
      <w:r>
        <w:rPr>
          <w:rFonts w:hint="eastAsia" w:ascii="宋体" w:hAnsi="宋体" w:eastAsia="宋体" w:cs="宋体"/>
          <w:spacing w:val="-1"/>
          <w:sz w:val="24"/>
          <w:szCs w:val="24"/>
          <w:highlight w:val="none"/>
        </w:rPr>
        <w:t>经计算，退化林修复共需</w:t>
      </w:r>
      <w:r>
        <w:rPr>
          <w:rFonts w:hint="eastAsia" w:ascii="宋体" w:hAnsi="宋体" w:eastAsia="宋体" w:cs="宋体"/>
          <w:spacing w:val="-61"/>
          <w:sz w:val="24"/>
          <w:szCs w:val="24"/>
          <w:highlight w:val="none"/>
        </w:rPr>
        <w:t xml:space="preserve"> </w:t>
      </w:r>
      <w:r>
        <w:rPr>
          <w:rFonts w:hint="eastAsia" w:ascii="宋体" w:hAnsi="宋体" w:eastAsia="宋体" w:cs="宋体"/>
          <w:spacing w:val="-1"/>
          <w:sz w:val="24"/>
          <w:szCs w:val="24"/>
          <w:highlight w:val="none"/>
        </w:rPr>
        <w:t>427766.5</w:t>
      </w:r>
      <w:r>
        <w:rPr>
          <w:rFonts w:hint="eastAsia" w:ascii="宋体" w:hAnsi="宋体" w:eastAsia="宋体" w:cs="宋体"/>
          <w:spacing w:val="-61"/>
          <w:sz w:val="24"/>
          <w:szCs w:val="24"/>
          <w:highlight w:val="none"/>
        </w:rPr>
        <w:t xml:space="preserve"> </w:t>
      </w:r>
      <w:r>
        <w:rPr>
          <w:rFonts w:hint="eastAsia" w:ascii="宋体" w:hAnsi="宋体" w:eastAsia="宋体" w:cs="宋体"/>
          <w:spacing w:val="-1"/>
          <w:sz w:val="24"/>
          <w:szCs w:val="24"/>
          <w:highlight w:val="none"/>
        </w:rPr>
        <w:t>个工日，其中补植修复共需</w:t>
      </w:r>
      <w:r>
        <w:rPr>
          <w:rFonts w:hint="eastAsia" w:ascii="宋体" w:hAnsi="宋体" w:eastAsia="宋体" w:cs="宋体"/>
          <w:sz w:val="24"/>
          <w:szCs w:val="24"/>
          <w:highlight w:val="none"/>
        </w:rPr>
        <w:t xml:space="preserve"> </w:t>
      </w:r>
      <w:r>
        <w:rPr>
          <w:rFonts w:hint="eastAsia" w:ascii="宋体" w:hAnsi="宋体" w:eastAsia="宋体" w:cs="宋体"/>
          <w:spacing w:val="-3"/>
          <w:sz w:val="24"/>
          <w:szCs w:val="24"/>
          <w:highlight w:val="none"/>
        </w:rPr>
        <w:t>33781</w:t>
      </w:r>
      <w:r>
        <w:rPr>
          <w:rFonts w:hint="eastAsia" w:ascii="宋体" w:hAnsi="宋体" w:eastAsia="宋体" w:cs="宋体"/>
          <w:spacing w:val="-61"/>
          <w:sz w:val="24"/>
          <w:szCs w:val="24"/>
          <w:highlight w:val="none"/>
        </w:rPr>
        <w:t xml:space="preserve"> </w:t>
      </w:r>
      <w:r>
        <w:rPr>
          <w:rFonts w:hint="eastAsia" w:ascii="宋体" w:hAnsi="宋体" w:eastAsia="宋体" w:cs="宋体"/>
          <w:spacing w:val="-3"/>
          <w:sz w:val="24"/>
          <w:szCs w:val="24"/>
          <w:highlight w:val="none"/>
        </w:rPr>
        <w:t>个工日（整地</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12667.9</w:t>
      </w:r>
      <w:r>
        <w:rPr>
          <w:rFonts w:hint="eastAsia" w:ascii="宋体" w:hAnsi="宋体" w:eastAsia="宋体" w:cs="宋体"/>
          <w:spacing w:val="-60"/>
          <w:sz w:val="24"/>
          <w:szCs w:val="24"/>
          <w:highlight w:val="none"/>
        </w:rPr>
        <w:t xml:space="preserve"> </w:t>
      </w:r>
      <w:r>
        <w:rPr>
          <w:rFonts w:hint="eastAsia" w:ascii="宋体" w:hAnsi="宋体" w:eastAsia="宋体" w:cs="宋体"/>
          <w:spacing w:val="-3"/>
          <w:sz w:val="24"/>
          <w:szCs w:val="24"/>
          <w:highlight w:val="none"/>
        </w:rPr>
        <w:t>个工日，栽植</w:t>
      </w:r>
      <w:r>
        <w:rPr>
          <w:rFonts w:hint="eastAsia" w:ascii="宋体" w:hAnsi="宋体" w:eastAsia="宋体" w:cs="宋体"/>
          <w:spacing w:val="-39"/>
          <w:sz w:val="24"/>
          <w:szCs w:val="24"/>
          <w:highlight w:val="none"/>
        </w:rPr>
        <w:t xml:space="preserve"> </w:t>
      </w:r>
      <w:r>
        <w:rPr>
          <w:rFonts w:hint="eastAsia" w:ascii="宋体" w:hAnsi="宋体" w:eastAsia="宋体" w:cs="宋体"/>
          <w:spacing w:val="-3"/>
          <w:sz w:val="24"/>
          <w:szCs w:val="24"/>
          <w:highlight w:val="none"/>
        </w:rPr>
        <w:t>16</w:t>
      </w:r>
      <w:r>
        <w:rPr>
          <w:rFonts w:hint="eastAsia" w:ascii="宋体" w:hAnsi="宋体" w:eastAsia="宋体" w:cs="宋体"/>
          <w:spacing w:val="-4"/>
          <w:sz w:val="24"/>
          <w:szCs w:val="24"/>
          <w:highlight w:val="none"/>
        </w:rPr>
        <w:t>890.5</w:t>
      </w:r>
      <w:r>
        <w:rPr>
          <w:rFonts w:hint="eastAsia" w:ascii="宋体" w:hAnsi="宋体" w:eastAsia="宋体" w:cs="宋体"/>
          <w:spacing w:val="-61"/>
          <w:sz w:val="24"/>
          <w:szCs w:val="24"/>
          <w:highlight w:val="none"/>
        </w:rPr>
        <w:t xml:space="preserve"> </w:t>
      </w:r>
      <w:r>
        <w:rPr>
          <w:rFonts w:hint="eastAsia" w:ascii="宋体" w:hAnsi="宋体" w:eastAsia="宋体" w:cs="宋体"/>
          <w:spacing w:val="-4"/>
          <w:sz w:val="24"/>
          <w:szCs w:val="24"/>
          <w:highlight w:val="none"/>
        </w:rPr>
        <w:t>个工日，幼林抚</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育</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4222.6</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个工日</w:t>
      </w:r>
      <w:r>
        <w:rPr>
          <w:rFonts w:hint="eastAsia" w:ascii="宋体" w:hAnsi="宋体" w:eastAsia="宋体" w:cs="宋体"/>
          <w:spacing w:val="4"/>
          <w:sz w:val="24"/>
          <w:szCs w:val="24"/>
          <w:highlight w:val="none"/>
        </w:rPr>
        <w:t>）；</w:t>
      </w:r>
      <w:r>
        <w:rPr>
          <w:rFonts w:hint="eastAsia" w:ascii="宋体" w:hAnsi="宋体" w:eastAsia="宋体" w:cs="宋体"/>
          <w:spacing w:val="-2"/>
          <w:sz w:val="24"/>
          <w:szCs w:val="24"/>
          <w:highlight w:val="none"/>
        </w:rPr>
        <w:t>采伐修复共需</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88000.0</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个工日（择伐</w:t>
      </w:r>
      <w:r>
        <w:rPr>
          <w:rFonts w:hint="eastAsia" w:ascii="宋体" w:hAnsi="宋体" w:eastAsia="宋体" w:cs="宋体"/>
          <w:spacing w:val="-57"/>
          <w:sz w:val="24"/>
          <w:szCs w:val="24"/>
          <w:highlight w:val="none"/>
        </w:rPr>
        <w:t xml:space="preserve"> </w:t>
      </w:r>
      <w:r>
        <w:rPr>
          <w:rFonts w:hint="eastAsia" w:ascii="宋体" w:hAnsi="宋体" w:eastAsia="宋体" w:cs="宋体"/>
          <w:spacing w:val="-2"/>
          <w:sz w:val="24"/>
          <w:szCs w:val="24"/>
          <w:highlight w:val="none"/>
        </w:rPr>
        <w:t>66000.0</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个工日，采伐剩余物清理</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22000.0</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个工日）；辅助措施共需</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44000.0</w:t>
      </w:r>
      <w:r>
        <w:rPr>
          <w:rFonts w:hint="eastAsia" w:ascii="宋体" w:hAnsi="宋体" w:eastAsia="宋体" w:cs="宋体"/>
          <w:sz w:val="24"/>
          <w:szCs w:val="24"/>
          <w:highlight w:val="none"/>
        </w:rPr>
        <w:t xml:space="preserve"> </w:t>
      </w:r>
      <w:r>
        <w:rPr>
          <w:rFonts w:hint="eastAsia" w:ascii="宋体" w:hAnsi="宋体" w:eastAsia="宋体" w:cs="宋体"/>
          <w:spacing w:val="-2"/>
          <w:sz w:val="24"/>
          <w:szCs w:val="24"/>
          <w:highlight w:val="none"/>
        </w:rPr>
        <w:t>个工日(割灌割藤</w:t>
      </w:r>
      <w:r>
        <w:rPr>
          <w:rFonts w:hint="eastAsia" w:ascii="宋体" w:hAnsi="宋体" w:eastAsia="宋体" w:cs="宋体"/>
          <w:spacing w:val="-52"/>
          <w:sz w:val="24"/>
          <w:szCs w:val="24"/>
          <w:highlight w:val="none"/>
        </w:rPr>
        <w:t xml:space="preserve"> </w:t>
      </w:r>
      <w:r>
        <w:rPr>
          <w:rFonts w:hint="eastAsia" w:ascii="宋体" w:hAnsi="宋体" w:eastAsia="宋体" w:cs="宋体"/>
          <w:spacing w:val="-2"/>
          <w:sz w:val="24"/>
          <w:szCs w:val="24"/>
          <w:highlight w:val="none"/>
        </w:rPr>
        <w:t>22000.0</w:t>
      </w:r>
      <w:r>
        <w:rPr>
          <w:rFonts w:hint="eastAsia" w:ascii="宋体" w:hAnsi="宋体" w:eastAsia="宋体" w:cs="宋体"/>
          <w:spacing w:val="-58"/>
          <w:sz w:val="24"/>
          <w:szCs w:val="24"/>
          <w:highlight w:val="none"/>
        </w:rPr>
        <w:t xml:space="preserve"> </w:t>
      </w:r>
      <w:r>
        <w:rPr>
          <w:rFonts w:hint="eastAsia" w:ascii="宋体" w:hAnsi="宋体" w:eastAsia="宋体" w:cs="宋体"/>
          <w:spacing w:val="-2"/>
          <w:sz w:val="24"/>
          <w:szCs w:val="24"/>
          <w:highlight w:val="none"/>
        </w:rPr>
        <w:t>个工日，修枝</w:t>
      </w:r>
      <w:r>
        <w:rPr>
          <w:rFonts w:hint="eastAsia" w:ascii="宋体" w:hAnsi="宋体" w:eastAsia="宋体" w:cs="宋体"/>
          <w:spacing w:val="-56"/>
          <w:sz w:val="24"/>
          <w:szCs w:val="24"/>
          <w:highlight w:val="none"/>
        </w:rPr>
        <w:t xml:space="preserve"> </w:t>
      </w:r>
      <w:r>
        <w:rPr>
          <w:rFonts w:hint="eastAsia" w:ascii="宋体" w:hAnsi="宋体" w:eastAsia="宋体" w:cs="宋体"/>
          <w:spacing w:val="-2"/>
          <w:sz w:val="24"/>
          <w:szCs w:val="24"/>
          <w:highlight w:val="none"/>
        </w:rPr>
        <w:t>22000.0</w:t>
      </w:r>
      <w:r>
        <w:rPr>
          <w:rFonts w:hint="eastAsia" w:ascii="宋体" w:hAnsi="宋体" w:eastAsia="宋体" w:cs="宋体"/>
          <w:spacing w:val="-61"/>
          <w:sz w:val="24"/>
          <w:szCs w:val="24"/>
          <w:highlight w:val="none"/>
        </w:rPr>
        <w:t xml:space="preserve"> </w:t>
      </w:r>
      <w:r>
        <w:rPr>
          <w:rFonts w:hint="eastAsia" w:ascii="宋体" w:hAnsi="宋体" w:eastAsia="宋体" w:cs="宋体"/>
          <w:spacing w:val="-2"/>
          <w:sz w:val="24"/>
          <w:szCs w:val="24"/>
          <w:highlight w:val="none"/>
        </w:rPr>
        <w:t>个工日）。</w:t>
      </w:r>
      <w:bookmarkStart w:id="142" w:name="bookmark92"/>
      <w:bookmarkEnd w:id="142"/>
      <w:bookmarkStart w:id="143" w:name="bookmark56"/>
      <w:bookmarkEnd w:id="143"/>
      <w:bookmarkStart w:id="144" w:name="bookmark102"/>
      <w:bookmarkEnd w:id="144"/>
      <w:bookmarkStart w:id="145" w:name="bookmark93"/>
      <w:bookmarkEnd w:id="145"/>
      <w:bookmarkStart w:id="146" w:name="bookmark83"/>
      <w:bookmarkEnd w:id="146"/>
      <w:bookmarkStart w:id="147" w:name="bookmark57"/>
      <w:bookmarkEnd w:id="147"/>
      <w:bookmarkStart w:id="148" w:name="bookmark62"/>
      <w:bookmarkEnd w:id="148"/>
      <w:bookmarkStart w:id="149" w:name="bookmark103"/>
      <w:bookmarkEnd w:id="149"/>
      <w:bookmarkStart w:id="150" w:name="bookmark63"/>
      <w:bookmarkEnd w:id="150"/>
      <w:bookmarkStart w:id="151" w:name="bookmark82"/>
      <w:bookmarkEnd w:id="151"/>
    </w:p>
    <w:p w14:paraId="658892A3">
      <w:pPr>
        <w:spacing w:before="165" w:line="316" w:lineRule="auto"/>
        <w:ind w:left="76" w:right="28" w:firstLine="223"/>
        <w:rPr>
          <w:rFonts w:hint="eastAsia" w:ascii="宋体" w:hAnsi="宋体" w:eastAsia="宋体" w:cs="宋体"/>
          <w:spacing w:val="3"/>
          <w:sz w:val="24"/>
          <w:szCs w:val="24"/>
          <w:highlight w:val="none"/>
          <w:lang w:val="en-US" w:eastAsia="zh-CN"/>
        </w:rPr>
      </w:pPr>
      <w:r>
        <w:rPr>
          <w:rFonts w:hint="eastAsia" w:ascii="宋体" w:hAnsi="宋体" w:eastAsia="宋体" w:cs="宋体"/>
          <w:spacing w:val="3"/>
          <w:sz w:val="24"/>
          <w:szCs w:val="24"/>
          <w:highlight w:val="none"/>
          <w:lang w:val="en-US" w:eastAsia="zh-CN"/>
        </w:rPr>
        <w:t>工期：210日历天</w:t>
      </w:r>
    </w:p>
    <w:p w14:paraId="46571592">
      <w:pPr>
        <w:spacing w:before="165" w:line="316" w:lineRule="auto"/>
        <w:ind w:left="76" w:right="28" w:firstLine="223"/>
        <w:rPr>
          <w:rFonts w:hint="eastAsia" w:ascii="宋体" w:hAnsi="宋体" w:eastAsia="宋体" w:cs="宋体"/>
          <w:sz w:val="24"/>
          <w:szCs w:val="24"/>
          <w:highlight w:val="none"/>
        </w:rPr>
      </w:pPr>
      <w:r>
        <w:rPr>
          <w:rFonts w:hint="eastAsia" w:ascii="宋体" w:hAnsi="宋体" w:eastAsia="宋体" w:cs="宋体"/>
          <w:spacing w:val="3"/>
          <w:sz w:val="24"/>
          <w:szCs w:val="24"/>
          <w:highlight w:val="none"/>
          <w:lang w:val="en-US" w:eastAsia="zh-CN"/>
        </w:rPr>
        <w:t>质量标准：</w:t>
      </w:r>
      <w:r>
        <w:rPr>
          <w:rFonts w:hint="eastAsia" w:ascii="宋体" w:hAnsi="宋体" w:eastAsia="宋体" w:cs="宋体"/>
          <w:sz w:val="24"/>
          <w:szCs w:val="24"/>
          <w:highlight w:val="none"/>
        </w:rPr>
        <w:t>符合国家现行有关质量验收规范“合格”要求。</w:t>
      </w:r>
    </w:p>
    <w:p w14:paraId="251CF440">
      <w:pPr>
        <w:spacing w:before="165" w:line="316" w:lineRule="auto"/>
        <w:ind w:left="76" w:right="28" w:firstLine="223"/>
        <w:rPr>
          <w:rFonts w:hint="eastAsia" w:ascii="宋体" w:hAnsi="宋体" w:eastAsia="宋体" w:cs="宋体"/>
          <w:sz w:val="24"/>
          <w:szCs w:val="24"/>
          <w:highlight w:val="none"/>
          <w:lang w:val="en-US" w:eastAsia="zh-CN"/>
        </w:rPr>
      </w:pPr>
      <w:r>
        <w:rPr>
          <w:rFonts w:hint="eastAsia" w:ascii="宋体" w:hAnsi="宋体" w:eastAsia="宋体" w:cs="宋体"/>
          <w:sz w:val="24"/>
          <w:szCs w:val="24"/>
          <w:highlight w:val="none"/>
          <w:lang w:val="en-US" w:eastAsia="zh-CN"/>
        </w:rPr>
        <w:t>建设地点：采购人指定地点</w:t>
      </w:r>
    </w:p>
    <w:p w14:paraId="0BA96857">
      <w:pPr>
        <w:spacing w:before="292" w:line="407" w:lineRule="auto"/>
        <w:ind w:left="21" w:firstLine="561"/>
        <w:jc w:val="both"/>
        <w:rPr>
          <w:rFonts w:hint="eastAsia" w:ascii="宋体" w:hAnsi="宋体" w:eastAsia="宋体" w:cs="宋体"/>
          <w:spacing w:val="-2"/>
          <w:sz w:val="24"/>
          <w:szCs w:val="24"/>
          <w:highlight w:val="none"/>
        </w:rPr>
        <w:sectPr>
          <w:footerReference r:id="rId10" w:type="default"/>
          <w:pgSz w:w="11906" w:h="16838"/>
          <w:pgMar w:top="1440" w:right="1800" w:bottom="1440" w:left="1800" w:header="851" w:footer="992" w:gutter="0"/>
          <w:pgNumType w:fmt="decimal"/>
          <w:cols w:space="425" w:num="1"/>
          <w:docGrid w:type="lines" w:linePitch="312" w:charSpace="0"/>
        </w:sectPr>
      </w:pPr>
    </w:p>
    <w:p w14:paraId="74E83C11">
      <w:pPr>
        <w:spacing w:before="165" w:line="316" w:lineRule="auto"/>
        <w:ind w:left="76" w:right="28" w:firstLine="223"/>
        <w:rPr>
          <w:rFonts w:hint="eastAsia" w:ascii="宋体" w:hAnsi="宋体" w:eastAsia="宋体" w:cs="宋体"/>
          <w:spacing w:val="3"/>
          <w:sz w:val="24"/>
          <w:szCs w:val="24"/>
          <w:highlight w:val="none"/>
          <w:lang w:val="en-US" w:eastAsia="zh-CN"/>
        </w:rPr>
      </w:pPr>
      <w:r>
        <w:rPr>
          <w:rFonts w:hint="eastAsia" w:ascii="宋体" w:hAnsi="宋体" w:eastAsia="宋体" w:cs="宋体"/>
          <w:spacing w:val="3"/>
          <w:sz w:val="24"/>
          <w:szCs w:val="24"/>
          <w:highlight w:val="none"/>
          <w:lang w:val="en-US" w:eastAsia="zh-CN"/>
        </w:rPr>
        <w:t>附件：</w:t>
      </w:r>
    </w:p>
    <w:p w14:paraId="0C478A6C">
      <w:pPr>
        <w:spacing w:before="165" w:line="316" w:lineRule="auto"/>
        <w:ind w:right="28"/>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表</w:t>
      </w:r>
      <w:r>
        <w:rPr>
          <w:rFonts w:hint="eastAsia" w:ascii="宋体" w:hAnsi="宋体" w:eastAsia="宋体" w:cs="宋体"/>
          <w:spacing w:val="-35"/>
          <w:sz w:val="24"/>
          <w:szCs w:val="24"/>
          <w:highlight w:val="none"/>
        </w:rPr>
        <w:t xml:space="preserve"> </w:t>
      </w:r>
      <w:r>
        <w:rPr>
          <w:rFonts w:hint="eastAsia" w:ascii="宋体" w:hAnsi="宋体" w:eastAsia="宋体" w:cs="宋体"/>
          <w:spacing w:val="3"/>
          <w:sz w:val="24"/>
          <w:szCs w:val="24"/>
          <w:highlight w:val="none"/>
        </w:rPr>
        <w:t>1. 商洛市秦岭中段（南麓）水源涵养与生物多样性保护恢复项</w:t>
      </w:r>
      <w:r>
        <w:rPr>
          <w:rFonts w:hint="eastAsia" w:ascii="宋体" w:hAnsi="宋体" w:eastAsia="宋体" w:cs="宋体"/>
          <w:spacing w:val="-5"/>
          <w:sz w:val="24"/>
          <w:szCs w:val="24"/>
          <w:highlight w:val="none"/>
        </w:rPr>
        <w:t>目</w:t>
      </w:r>
      <w:r>
        <w:rPr>
          <w:rFonts w:hint="eastAsia" w:ascii="宋体" w:hAnsi="宋体" w:eastAsia="宋体" w:cs="宋体"/>
          <w:spacing w:val="-55"/>
          <w:sz w:val="24"/>
          <w:szCs w:val="24"/>
          <w:highlight w:val="none"/>
        </w:rPr>
        <w:t xml:space="preserve"> </w:t>
      </w:r>
      <w:r>
        <w:rPr>
          <w:rFonts w:hint="eastAsia" w:ascii="宋体" w:hAnsi="宋体" w:eastAsia="宋体" w:cs="宋体"/>
          <w:spacing w:val="-5"/>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年山阳县退化林修复类型表；</w:t>
      </w:r>
    </w:p>
    <w:p w14:paraId="0B23E3CB">
      <w:pPr>
        <w:spacing w:before="41" w:line="317" w:lineRule="auto"/>
        <w:ind w:right="28"/>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表</w:t>
      </w:r>
      <w:r>
        <w:rPr>
          <w:rFonts w:hint="eastAsia" w:ascii="宋体" w:hAnsi="宋体" w:eastAsia="宋体" w:cs="宋体"/>
          <w:spacing w:val="-35"/>
          <w:sz w:val="24"/>
          <w:szCs w:val="24"/>
          <w:highlight w:val="none"/>
        </w:rPr>
        <w:t xml:space="preserve"> </w:t>
      </w:r>
      <w:r>
        <w:rPr>
          <w:rFonts w:hint="eastAsia" w:ascii="宋体" w:hAnsi="宋体" w:eastAsia="宋体" w:cs="宋体"/>
          <w:spacing w:val="3"/>
          <w:sz w:val="24"/>
          <w:szCs w:val="24"/>
          <w:highlight w:val="none"/>
        </w:rPr>
        <w:t>3. 商洛市秦岭中段（南麓）水源涵养与生物多样性保护恢复项</w:t>
      </w:r>
      <w:r>
        <w:rPr>
          <w:rFonts w:hint="eastAsia" w:ascii="宋体" w:hAnsi="宋体" w:eastAsia="宋体" w:cs="宋体"/>
          <w:spacing w:val="-5"/>
          <w:sz w:val="24"/>
          <w:szCs w:val="24"/>
          <w:highlight w:val="none"/>
        </w:rPr>
        <w:t>目</w:t>
      </w:r>
      <w:r>
        <w:rPr>
          <w:rFonts w:hint="eastAsia" w:ascii="宋体" w:hAnsi="宋体" w:eastAsia="宋体" w:cs="宋体"/>
          <w:spacing w:val="-46"/>
          <w:sz w:val="24"/>
          <w:szCs w:val="24"/>
          <w:highlight w:val="none"/>
        </w:rPr>
        <w:t xml:space="preserve"> </w:t>
      </w:r>
      <w:r>
        <w:rPr>
          <w:rFonts w:hint="eastAsia" w:ascii="宋体" w:hAnsi="宋体" w:eastAsia="宋体" w:cs="宋体"/>
          <w:spacing w:val="-5"/>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年山阳县退化林修复设计一览表；</w:t>
      </w:r>
    </w:p>
    <w:p w14:paraId="35E0E9EA">
      <w:pPr>
        <w:spacing w:before="37" w:line="316" w:lineRule="auto"/>
        <w:ind w:right="28"/>
        <w:rPr>
          <w:rFonts w:hint="eastAsia" w:ascii="宋体" w:hAnsi="宋体" w:eastAsia="宋体" w:cs="宋体"/>
          <w:spacing w:val="4"/>
          <w:sz w:val="24"/>
          <w:szCs w:val="24"/>
          <w:highlight w:val="none"/>
          <w:lang w:val="en-US" w:eastAsia="zh-CN"/>
        </w:rPr>
      </w:pPr>
      <w:r>
        <w:rPr>
          <w:rFonts w:hint="eastAsia" w:ascii="宋体" w:hAnsi="宋体" w:eastAsia="宋体" w:cs="宋体"/>
          <w:spacing w:val="4"/>
          <w:sz w:val="24"/>
          <w:szCs w:val="24"/>
          <w:highlight w:val="none"/>
        </w:rPr>
        <w:t>表</w:t>
      </w:r>
      <w:r>
        <w:rPr>
          <w:rFonts w:hint="eastAsia" w:ascii="宋体" w:hAnsi="宋体" w:eastAsia="宋体" w:cs="宋体"/>
          <w:spacing w:val="-56"/>
          <w:sz w:val="24"/>
          <w:szCs w:val="24"/>
          <w:highlight w:val="none"/>
        </w:rPr>
        <w:t xml:space="preserve"> </w:t>
      </w:r>
      <w:r>
        <w:rPr>
          <w:rFonts w:hint="eastAsia" w:ascii="宋体" w:hAnsi="宋体" w:eastAsia="宋体" w:cs="宋体"/>
          <w:spacing w:val="4"/>
          <w:sz w:val="24"/>
          <w:szCs w:val="24"/>
          <w:highlight w:val="none"/>
        </w:rPr>
        <w:t xml:space="preserve">4. </w:t>
      </w:r>
      <w:r>
        <w:rPr>
          <w:rFonts w:hint="eastAsia" w:ascii="宋体" w:hAnsi="宋体" w:eastAsia="宋体" w:cs="宋体"/>
          <w:spacing w:val="4"/>
          <w:sz w:val="24"/>
          <w:szCs w:val="24"/>
          <w:highlight w:val="none"/>
          <w:lang w:val="en-US" w:eastAsia="zh-CN"/>
        </w:rPr>
        <w:t>商洛市秦岭中段（南麓）水源涵养与生物多样性保护恢复项目2024年山阳县退化林修复用苗统计表</w:t>
      </w:r>
    </w:p>
    <w:p w14:paraId="14D3B390">
      <w:pPr>
        <w:spacing w:before="37" w:line="316" w:lineRule="auto"/>
        <w:ind w:right="28"/>
        <w:rPr>
          <w:rFonts w:hint="eastAsia" w:ascii="宋体" w:hAnsi="宋体" w:eastAsia="宋体" w:cs="宋体"/>
          <w:spacing w:val="4"/>
          <w:sz w:val="24"/>
          <w:szCs w:val="24"/>
          <w:highlight w:val="none"/>
          <w:lang w:val="en-US" w:eastAsia="zh-CN"/>
        </w:rPr>
      </w:pPr>
      <w:r>
        <w:rPr>
          <w:rFonts w:hint="eastAsia" w:ascii="宋体" w:hAnsi="宋体" w:eastAsia="宋体" w:cs="宋体"/>
          <w:spacing w:val="4"/>
          <w:sz w:val="24"/>
          <w:szCs w:val="24"/>
          <w:highlight w:val="none"/>
          <w:lang w:val="en-US" w:eastAsia="zh-CN"/>
        </w:rPr>
        <w:t>商洛市秦岭中段（南麓）水源涵养与生物多样性保护恢复项目2024年山阳县退化林修复用工量统计表（续）</w:t>
      </w:r>
    </w:p>
    <w:p w14:paraId="54149FC4">
      <w:pPr>
        <w:spacing w:before="37" w:line="316" w:lineRule="auto"/>
        <w:ind w:right="28"/>
        <w:rPr>
          <w:rFonts w:hint="eastAsia" w:ascii="宋体" w:hAnsi="宋体" w:eastAsia="宋体" w:cs="宋体"/>
          <w:spacing w:val="-4"/>
          <w:sz w:val="24"/>
          <w:szCs w:val="24"/>
          <w:highlight w:val="none"/>
          <w:lang w:val="en-US" w:eastAsia="zh-CN"/>
        </w:rPr>
      </w:pPr>
      <w:r>
        <w:rPr>
          <w:rFonts w:hint="eastAsia" w:ascii="宋体" w:hAnsi="宋体" w:eastAsia="宋体" w:cs="宋体"/>
          <w:spacing w:val="-4"/>
          <w:sz w:val="24"/>
          <w:szCs w:val="24"/>
          <w:highlight w:val="none"/>
          <w:lang w:val="en-US" w:eastAsia="zh-CN"/>
        </w:rPr>
        <w:t xml:space="preserve">表5. </w:t>
      </w:r>
      <w:r>
        <w:rPr>
          <w:rFonts w:hint="eastAsia" w:ascii="宋体" w:hAnsi="宋体" w:eastAsia="宋体" w:cs="宋体"/>
          <w:spacing w:val="3"/>
          <w:sz w:val="24"/>
          <w:szCs w:val="24"/>
          <w:highlight w:val="none"/>
        </w:rPr>
        <w:t>商洛市秦岭中段（南麓）水源涵养与生物多样性保护恢复项</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目</w:t>
      </w:r>
      <w:r>
        <w:rPr>
          <w:rFonts w:hint="eastAsia" w:ascii="宋体" w:hAnsi="宋体" w:eastAsia="宋体" w:cs="宋体"/>
          <w:spacing w:val="-55"/>
          <w:sz w:val="24"/>
          <w:szCs w:val="24"/>
          <w:highlight w:val="none"/>
        </w:rPr>
        <w:t xml:space="preserve"> </w:t>
      </w:r>
      <w:r>
        <w:rPr>
          <w:rFonts w:hint="eastAsia" w:ascii="宋体" w:hAnsi="宋体" w:eastAsia="宋体" w:cs="宋体"/>
          <w:spacing w:val="-5"/>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年山阳县退化林修复</w:t>
      </w:r>
      <w:r>
        <w:rPr>
          <w:rFonts w:hint="eastAsia" w:ascii="宋体" w:hAnsi="宋体" w:eastAsia="宋体" w:cs="宋体"/>
          <w:spacing w:val="-5"/>
          <w:sz w:val="24"/>
          <w:szCs w:val="24"/>
          <w:highlight w:val="none"/>
          <w:lang w:val="en-US" w:eastAsia="zh-CN"/>
        </w:rPr>
        <w:t>面积汇总</w:t>
      </w:r>
    </w:p>
    <w:p w14:paraId="0E4C8774">
      <w:pPr>
        <w:rPr>
          <w:rFonts w:hint="eastAsia" w:ascii="宋体" w:hAnsi="宋体" w:eastAsia="宋体" w:cs="宋体"/>
          <w:spacing w:val="3"/>
          <w:sz w:val="24"/>
          <w:szCs w:val="24"/>
          <w:highlight w:val="none"/>
        </w:rPr>
      </w:pPr>
      <w:r>
        <w:rPr>
          <w:rFonts w:hint="eastAsia" w:ascii="宋体" w:hAnsi="宋体" w:eastAsia="宋体" w:cs="宋体"/>
          <w:spacing w:val="3"/>
          <w:sz w:val="24"/>
          <w:szCs w:val="24"/>
          <w:highlight w:val="none"/>
        </w:rPr>
        <w:br w:type="page"/>
      </w:r>
    </w:p>
    <w:p w14:paraId="6A842E89">
      <w:pPr>
        <w:spacing w:before="165" w:line="316" w:lineRule="auto"/>
        <w:ind w:left="76" w:right="28" w:firstLine="223"/>
        <w:rPr>
          <w:rFonts w:hint="eastAsia" w:ascii="宋体" w:hAnsi="宋体" w:eastAsia="宋体" w:cs="宋体"/>
          <w:sz w:val="24"/>
          <w:szCs w:val="24"/>
          <w:highlight w:val="none"/>
        </w:rPr>
      </w:pPr>
      <w:r>
        <w:rPr>
          <w:rFonts w:hint="eastAsia" w:ascii="宋体" w:hAnsi="宋体" w:eastAsia="宋体" w:cs="宋体"/>
          <w:spacing w:val="3"/>
          <w:sz w:val="24"/>
          <w:szCs w:val="24"/>
          <w:highlight w:val="none"/>
        </w:rPr>
        <w:t>表</w:t>
      </w:r>
      <w:r>
        <w:rPr>
          <w:rFonts w:hint="eastAsia" w:ascii="宋体" w:hAnsi="宋体" w:eastAsia="宋体" w:cs="宋体"/>
          <w:spacing w:val="-35"/>
          <w:sz w:val="24"/>
          <w:szCs w:val="24"/>
          <w:highlight w:val="none"/>
        </w:rPr>
        <w:t xml:space="preserve"> </w:t>
      </w:r>
      <w:r>
        <w:rPr>
          <w:rFonts w:hint="eastAsia" w:ascii="宋体" w:hAnsi="宋体" w:eastAsia="宋体" w:cs="宋体"/>
          <w:spacing w:val="3"/>
          <w:sz w:val="24"/>
          <w:szCs w:val="24"/>
          <w:highlight w:val="none"/>
        </w:rPr>
        <w:t>1. 商洛市秦岭中段（南麓）水源涵养与生物多样性保护恢复项</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目</w:t>
      </w:r>
      <w:r>
        <w:rPr>
          <w:rFonts w:hint="eastAsia" w:ascii="宋体" w:hAnsi="宋体" w:eastAsia="宋体" w:cs="宋体"/>
          <w:spacing w:val="-55"/>
          <w:sz w:val="24"/>
          <w:szCs w:val="24"/>
          <w:highlight w:val="none"/>
        </w:rPr>
        <w:t xml:space="preserve"> </w:t>
      </w:r>
      <w:r>
        <w:rPr>
          <w:rFonts w:hint="eastAsia" w:ascii="宋体" w:hAnsi="宋体" w:eastAsia="宋体" w:cs="宋体"/>
          <w:spacing w:val="-5"/>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年山阳县退化林修复类型表；</w:t>
      </w:r>
    </w:p>
    <w:p w14:paraId="4CCD6355">
      <w:pPr>
        <w:spacing w:before="292" w:line="407" w:lineRule="auto"/>
        <w:ind w:left="21" w:firstLine="561"/>
        <w:jc w:val="both"/>
        <w:rPr>
          <w:rFonts w:hint="eastAsia" w:ascii="宋体" w:hAnsi="宋体" w:eastAsia="宋体" w:cs="宋体"/>
          <w:sz w:val="24"/>
          <w:szCs w:val="24"/>
          <w:highlight w:val="none"/>
        </w:rPr>
      </w:pPr>
      <w:r>
        <w:rPr>
          <w:rFonts w:hint="eastAsia" w:ascii="宋体" w:hAnsi="宋体" w:eastAsia="宋体" w:cs="宋体"/>
          <w:sz w:val="24"/>
          <w:szCs w:val="24"/>
          <w:highlight w:val="none"/>
        </w:rPr>
        <w:drawing>
          <wp:anchor distT="0" distB="0" distL="114300" distR="114300" simplePos="0" relativeHeight="251659264" behindDoc="0" locked="0" layoutInCell="1" allowOverlap="1">
            <wp:simplePos x="0" y="0"/>
            <wp:positionH relativeFrom="column">
              <wp:posOffset>228600</wp:posOffset>
            </wp:positionH>
            <wp:positionV relativeFrom="paragraph">
              <wp:posOffset>257175</wp:posOffset>
            </wp:positionV>
            <wp:extent cx="8084820" cy="4975860"/>
            <wp:effectExtent l="0" t="0" r="11430" b="15240"/>
            <wp:wrapSquare wrapText="bothSides"/>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3"/>
                    <a:stretch>
                      <a:fillRect/>
                    </a:stretch>
                  </pic:blipFill>
                  <pic:spPr>
                    <a:xfrm>
                      <a:off x="0" y="0"/>
                      <a:ext cx="8084820" cy="4975860"/>
                    </a:xfrm>
                    <a:prstGeom prst="rect">
                      <a:avLst/>
                    </a:prstGeom>
                    <a:noFill/>
                    <a:ln>
                      <a:noFill/>
                    </a:ln>
                  </pic:spPr>
                </pic:pic>
              </a:graphicData>
            </a:graphic>
          </wp:anchor>
        </w:drawing>
      </w:r>
    </w:p>
    <w:p w14:paraId="7F3743EE">
      <w:pPr>
        <w:spacing w:before="41" w:line="317" w:lineRule="auto"/>
        <w:ind w:left="76" w:right="28" w:firstLine="223"/>
        <w:jc w:val="center"/>
        <w:rPr>
          <w:rFonts w:hint="eastAsia" w:ascii="宋体" w:hAnsi="宋体" w:eastAsia="宋体" w:cs="宋体"/>
          <w:sz w:val="24"/>
          <w:szCs w:val="24"/>
          <w:highlight w:val="none"/>
        </w:rPr>
      </w:pPr>
      <w:r>
        <w:rPr>
          <w:rFonts w:hint="eastAsia" w:ascii="宋体" w:hAnsi="宋体" w:eastAsia="宋体" w:cs="宋体"/>
          <w:sz w:val="24"/>
          <w:szCs w:val="24"/>
          <w:highlight w:val="none"/>
        </w:rPr>
        <w:br w:type="page"/>
      </w:r>
      <w:r>
        <w:rPr>
          <w:rFonts w:hint="eastAsia" w:ascii="宋体" w:hAnsi="宋体" w:eastAsia="宋体" w:cs="宋体"/>
          <w:spacing w:val="3"/>
          <w:sz w:val="24"/>
          <w:szCs w:val="24"/>
          <w:highlight w:val="none"/>
        </w:rPr>
        <w:t>表</w:t>
      </w:r>
      <w:r>
        <w:rPr>
          <w:rFonts w:hint="eastAsia" w:ascii="宋体" w:hAnsi="宋体" w:eastAsia="宋体" w:cs="宋体"/>
          <w:spacing w:val="-35"/>
          <w:sz w:val="24"/>
          <w:szCs w:val="24"/>
          <w:highlight w:val="none"/>
        </w:rPr>
        <w:t xml:space="preserve"> </w:t>
      </w:r>
      <w:r>
        <w:rPr>
          <w:rFonts w:hint="eastAsia" w:ascii="宋体" w:hAnsi="宋体" w:eastAsia="宋体" w:cs="宋体"/>
          <w:spacing w:val="3"/>
          <w:sz w:val="24"/>
          <w:szCs w:val="24"/>
          <w:highlight w:val="none"/>
        </w:rPr>
        <w:t>3. 商洛市秦岭中段（南麓）水源涵养与生物多样性保护恢复项</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目</w:t>
      </w:r>
      <w:r>
        <w:rPr>
          <w:rFonts w:hint="eastAsia" w:ascii="宋体" w:hAnsi="宋体" w:eastAsia="宋体" w:cs="宋体"/>
          <w:spacing w:val="-46"/>
          <w:sz w:val="24"/>
          <w:szCs w:val="24"/>
          <w:highlight w:val="none"/>
        </w:rPr>
        <w:t xml:space="preserve"> </w:t>
      </w:r>
      <w:r>
        <w:rPr>
          <w:rFonts w:hint="eastAsia" w:ascii="宋体" w:hAnsi="宋体" w:eastAsia="宋体" w:cs="宋体"/>
          <w:spacing w:val="-5"/>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年山阳县退化林修复设计一览表；</w:t>
      </w:r>
    </w:p>
    <w:p w14:paraId="1A775649">
      <w:pPr>
        <w:jc w:val="cente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drawing>
          <wp:anchor distT="0" distB="0" distL="114300" distR="114300" simplePos="0" relativeHeight="251660288" behindDoc="0" locked="0" layoutInCell="1" allowOverlap="1">
            <wp:simplePos x="0" y="0"/>
            <wp:positionH relativeFrom="column">
              <wp:posOffset>177800</wp:posOffset>
            </wp:positionH>
            <wp:positionV relativeFrom="paragraph">
              <wp:posOffset>86360</wp:posOffset>
            </wp:positionV>
            <wp:extent cx="8168005" cy="5196840"/>
            <wp:effectExtent l="0" t="0" r="4445" b="3810"/>
            <wp:wrapSquare wrapText="bothSides"/>
            <wp:docPr id="12" name="图片 12" descr="小班设计一览表-PDF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小班设计一览表-PDF_00"/>
                    <pic:cNvPicPr>
                      <a:picLocks noChangeAspect="1"/>
                    </pic:cNvPicPr>
                  </pic:nvPicPr>
                  <pic:blipFill>
                    <a:blip r:embed="rId14"/>
                    <a:srcRect b="10005"/>
                    <a:stretch>
                      <a:fillRect/>
                    </a:stretch>
                  </pic:blipFill>
                  <pic:spPr>
                    <a:xfrm>
                      <a:off x="0" y="0"/>
                      <a:ext cx="8168005" cy="5196840"/>
                    </a:xfrm>
                    <a:prstGeom prst="rect">
                      <a:avLst/>
                    </a:prstGeom>
                  </pic:spPr>
                </pic:pic>
              </a:graphicData>
            </a:graphic>
          </wp:anchor>
        </w:drawing>
      </w:r>
      <w:r>
        <w:rPr>
          <w:rFonts w:hint="eastAsia" w:ascii="宋体" w:hAnsi="宋体" w:eastAsia="宋体" w:cs="宋体"/>
          <w:sz w:val="24"/>
          <w:szCs w:val="24"/>
          <w:highlight w:val="none"/>
          <w:lang w:eastAsia="zh-CN"/>
        </w:rPr>
        <w:br w:type="page"/>
      </w:r>
    </w:p>
    <w:p w14:paraId="0B6A6940">
      <w:pPr>
        <w:jc w:val="cente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drawing>
          <wp:inline distT="0" distB="0" distL="114300" distR="114300">
            <wp:extent cx="8317865" cy="5257800"/>
            <wp:effectExtent l="0" t="0" r="6985" b="0"/>
            <wp:docPr id="11" name="图片 11" descr="小班设计一览表-PDF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小班设计一览表-PDF_01"/>
                    <pic:cNvPicPr>
                      <a:picLocks noChangeAspect="1"/>
                    </pic:cNvPicPr>
                  </pic:nvPicPr>
                  <pic:blipFill>
                    <a:blip r:embed="rId15"/>
                    <a:srcRect b="10583"/>
                    <a:stretch>
                      <a:fillRect/>
                    </a:stretch>
                  </pic:blipFill>
                  <pic:spPr>
                    <a:xfrm>
                      <a:off x="0" y="0"/>
                      <a:ext cx="8317865" cy="525780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270240" cy="5280660"/>
            <wp:effectExtent l="0" t="0" r="16510" b="15240"/>
            <wp:docPr id="10" name="图片 10" descr="小班设计一览表-PDF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小班设计一览表-PDF_02"/>
                    <pic:cNvPicPr>
                      <a:picLocks noChangeAspect="1"/>
                    </pic:cNvPicPr>
                  </pic:nvPicPr>
                  <pic:blipFill>
                    <a:blip r:embed="rId16"/>
                    <a:srcRect b="9679"/>
                    <a:stretch>
                      <a:fillRect/>
                    </a:stretch>
                  </pic:blipFill>
                  <pic:spPr>
                    <a:xfrm>
                      <a:off x="0" y="0"/>
                      <a:ext cx="8270240" cy="528066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459470" cy="5389880"/>
            <wp:effectExtent l="0" t="0" r="17780" b="1270"/>
            <wp:docPr id="9" name="图片 9" descr="小班设计一览表-PDF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小班设计一览表-PDF_03"/>
                    <pic:cNvPicPr>
                      <a:picLocks noChangeAspect="1"/>
                    </pic:cNvPicPr>
                  </pic:nvPicPr>
                  <pic:blipFill>
                    <a:blip r:embed="rId17"/>
                    <a:srcRect b="9872"/>
                    <a:stretch>
                      <a:fillRect/>
                    </a:stretch>
                  </pic:blipFill>
                  <pic:spPr>
                    <a:xfrm>
                      <a:off x="0" y="0"/>
                      <a:ext cx="8459470" cy="538988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298180" cy="5248275"/>
            <wp:effectExtent l="0" t="0" r="7620" b="9525"/>
            <wp:docPr id="8" name="图片 8" descr="小班设计一览表-PDF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小班设计一览表-PDF_04"/>
                    <pic:cNvPicPr>
                      <a:picLocks noChangeAspect="1"/>
                    </pic:cNvPicPr>
                  </pic:nvPicPr>
                  <pic:blipFill>
                    <a:blip r:embed="rId18"/>
                    <a:srcRect b="10535"/>
                    <a:stretch>
                      <a:fillRect/>
                    </a:stretch>
                  </pic:blipFill>
                  <pic:spPr>
                    <a:xfrm>
                      <a:off x="0" y="0"/>
                      <a:ext cx="8298180" cy="5248275"/>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421370" cy="5383530"/>
            <wp:effectExtent l="0" t="0" r="17780" b="7620"/>
            <wp:docPr id="7" name="图片 7" descr="小班设计一览表-PDF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小班设计一览表-PDF_05"/>
                    <pic:cNvPicPr>
                      <a:picLocks noChangeAspect="1"/>
                    </pic:cNvPicPr>
                  </pic:nvPicPr>
                  <pic:blipFill>
                    <a:blip r:embed="rId19"/>
                    <a:srcRect b="9571"/>
                    <a:stretch>
                      <a:fillRect/>
                    </a:stretch>
                  </pic:blipFill>
                  <pic:spPr>
                    <a:xfrm>
                      <a:off x="0" y="0"/>
                      <a:ext cx="8421370" cy="538353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338185" cy="5365750"/>
            <wp:effectExtent l="0" t="0" r="5715" b="6350"/>
            <wp:docPr id="6" name="图片 6" descr="小班设计一览表-PDF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小班设计一览表-PDF_06"/>
                    <pic:cNvPicPr>
                      <a:picLocks noChangeAspect="1"/>
                    </pic:cNvPicPr>
                  </pic:nvPicPr>
                  <pic:blipFill>
                    <a:blip r:embed="rId20"/>
                    <a:srcRect b="8968"/>
                    <a:stretch>
                      <a:fillRect/>
                    </a:stretch>
                  </pic:blipFill>
                  <pic:spPr>
                    <a:xfrm>
                      <a:off x="0" y="0"/>
                      <a:ext cx="8338185" cy="536575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121015" cy="5203825"/>
            <wp:effectExtent l="0" t="0" r="13335" b="15875"/>
            <wp:docPr id="5" name="图片 5" descr="小班设计一览表-PDF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小班设计一览表-PDF_07"/>
                    <pic:cNvPicPr>
                      <a:picLocks noChangeAspect="1"/>
                    </pic:cNvPicPr>
                  </pic:nvPicPr>
                  <pic:blipFill>
                    <a:blip r:embed="rId21"/>
                    <a:srcRect b="9354"/>
                    <a:stretch>
                      <a:fillRect/>
                    </a:stretch>
                  </pic:blipFill>
                  <pic:spPr>
                    <a:xfrm>
                      <a:off x="0" y="0"/>
                      <a:ext cx="8121015" cy="5203825"/>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045450" cy="5163820"/>
            <wp:effectExtent l="0" t="0" r="12700" b="17780"/>
            <wp:docPr id="4" name="图片 4" descr="小班设计一览表-PDF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小班设计一览表-PDF_08"/>
                    <pic:cNvPicPr>
                      <a:picLocks noChangeAspect="1"/>
                    </pic:cNvPicPr>
                  </pic:nvPicPr>
                  <pic:blipFill>
                    <a:blip r:embed="rId22"/>
                    <a:srcRect b="9209"/>
                    <a:stretch>
                      <a:fillRect/>
                    </a:stretch>
                  </pic:blipFill>
                  <pic:spPr>
                    <a:xfrm>
                      <a:off x="0" y="0"/>
                      <a:ext cx="8045450" cy="516382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277225" cy="5255895"/>
            <wp:effectExtent l="0" t="0" r="9525" b="1905"/>
            <wp:docPr id="3" name="图片 3" descr="小班设计一览表-PDF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小班设计一览表-PDF_09"/>
                    <pic:cNvPicPr>
                      <a:picLocks noChangeAspect="1"/>
                    </pic:cNvPicPr>
                  </pic:nvPicPr>
                  <pic:blipFill>
                    <a:blip r:embed="rId23"/>
                    <a:srcRect b="10174"/>
                    <a:stretch>
                      <a:fillRect/>
                    </a:stretch>
                  </pic:blipFill>
                  <pic:spPr>
                    <a:xfrm>
                      <a:off x="0" y="0"/>
                      <a:ext cx="8277225" cy="5255895"/>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7712075" cy="4954905"/>
            <wp:effectExtent l="0" t="0" r="3175" b="17145"/>
            <wp:docPr id="13" name="图片 13" descr="小班设计一览表-PDF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小班设计一览表-PDF_10"/>
                    <pic:cNvPicPr>
                      <a:picLocks noChangeAspect="1"/>
                    </pic:cNvPicPr>
                  </pic:nvPicPr>
                  <pic:blipFill>
                    <a:blip r:embed="rId24"/>
                    <a:srcRect b="9113"/>
                    <a:stretch>
                      <a:fillRect/>
                    </a:stretch>
                  </pic:blipFill>
                  <pic:spPr>
                    <a:xfrm>
                      <a:off x="0" y="0"/>
                      <a:ext cx="7712075" cy="4954905"/>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081645" cy="5104130"/>
            <wp:effectExtent l="0" t="0" r="14605" b="1270"/>
            <wp:docPr id="14" name="图片 14" descr="小班设计一览表-PDF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小班设计一览表-PDF_11"/>
                    <pic:cNvPicPr>
                      <a:picLocks noChangeAspect="1"/>
                    </pic:cNvPicPr>
                  </pic:nvPicPr>
                  <pic:blipFill>
                    <a:blip r:embed="rId25"/>
                    <a:srcRect b="10656"/>
                    <a:stretch>
                      <a:fillRect/>
                    </a:stretch>
                  </pic:blipFill>
                  <pic:spPr>
                    <a:xfrm>
                      <a:off x="0" y="0"/>
                      <a:ext cx="8081645" cy="5104130"/>
                    </a:xfrm>
                    <a:prstGeom prst="rect">
                      <a:avLst/>
                    </a:prstGeom>
                  </pic:spPr>
                </pic:pic>
              </a:graphicData>
            </a:graphic>
          </wp:inline>
        </w:drawing>
      </w:r>
    </w:p>
    <w:p w14:paraId="5B1161E8">
      <w:pPr>
        <w:spacing w:before="37" w:line="316" w:lineRule="auto"/>
        <w:ind w:right="28"/>
        <w:rPr>
          <w:rFonts w:hint="eastAsia" w:ascii="宋体" w:hAnsi="宋体" w:eastAsia="宋体" w:cs="宋体"/>
          <w:spacing w:val="4"/>
          <w:sz w:val="24"/>
          <w:szCs w:val="24"/>
          <w:highlight w:val="none"/>
          <w:lang w:val="en-US" w:eastAsia="zh-CN"/>
        </w:rPr>
      </w:pPr>
      <w:r>
        <w:rPr>
          <w:rFonts w:hint="eastAsia" w:ascii="宋体" w:hAnsi="宋体" w:eastAsia="宋体" w:cs="宋体"/>
          <w:spacing w:val="4"/>
          <w:sz w:val="24"/>
          <w:szCs w:val="24"/>
          <w:highlight w:val="none"/>
        </w:rPr>
        <w:t>表</w:t>
      </w:r>
      <w:r>
        <w:rPr>
          <w:rFonts w:hint="eastAsia" w:ascii="宋体" w:hAnsi="宋体" w:eastAsia="宋体" w:cs="宋体"/>
          <w:spacing w:val="-56"/>
          <w:sz w:val="24"/>
          <w:szCs w:val="24"/>
          <w:highlight w:val="none"/>
        </w:rPr>
        <w:t xml:space="preserve"> </w:t>
      </w:r>
      <w:r>
        <w:rPr>
          <w:rFonts w:hint="eastAsia" w:ascii="宋体" w:hAnsi="宋体" w:eastAsia="宋体" w:cs="宋体"/>
          <w:spacing w:val="4"/>
          <w:sz w:val="24"/>
          <w:szCs w:val="24"/>
          <w:highlight w:val="none"/>
        </w:rPr>
        <w:t xml:space="preserve">4. </w:t>
      </w:r>
      <w:r>
        <w:rPr>
          <w:rFonts w:hint="eastAsia" w:ascii="宋体" w:hAnsi="宋体" w:eastAsia="宋体" w:cs="宋体"/>
          <w:spacing w:val="4"/>
          <w:sz w:val="24"/>
          <w:szCs w:val="24"/>
          <w:highlight w:val="none"/>
          <w:lang w:val="en-US" w:eastAsia="zh-CN"/>
        </w:rPr>
        <w:t>商洛市秦岭中段（南麓）水源涵养与生物多样性保护恢复项目2024年山阳县退化林修复用苗统计表</w:t>
      </w:r>
    </w:p>
    <w:p w14:paraId="611CBC13">
      <w:pPr>
        <w:spacing w:before="37" w:line="316" w:lineRule="auto"/>
        <w:ind w:right="28"/>
        <w:rPr>
          <w:rFonts w:hint="eastAsia" w:ascii="宋体" w:hAnsi="宋体" w:eastAsia="宋体" w:cs="宋体"/>
          <w:spacing w:val="4"/>
          <w:sz w:val="24"/>
          <w:szCs w:val="24"/>
          <w:highlight w:val="none"/>
          <w:lang w:val="en-US" w:eastAsia="zh-CN"/>
        </w:rPr>
      </w:pPr>
      <w:r>
        <w:rPr>
          <w:rFonts w:hint="eastAsia" w:ascii="宋体" w:hAnsi="宋体" w:eastAsia="宋体" w:cs="宋体"/>
          <w:spacing w:val="4"/>
          <w:sz w:val="24"/>
          <w:szCs w:val="24"/>
          <w:highlight w:val="none"/>
          <w:lang w:val="en-US" w:eastAsia="zh-CN"/>
        </w:rPr>
        <w:t>商洛市秦岭中段（南麓）水源涵养与生物多样性保护恢复项目2024年山阳县退化林修复用工量统计表（续）</w:t>
      </w:r>
    </w:p>
    <w:p w14:paraId="48108D1C">
      <w:pPr>
        <w:jc w:val="cente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drawing>
          <wp:inline distT="0" distB="0" distL="114300" distR="114300">
            <wp:extent cx="7364095" cy="4636770"/>
            <wp:effectExtent l="0" t="0" r="8255" b="11430"/>
            <wp:docPr id="35" name="图片 35" descr="最终版-用苗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最终版-用苗_00"/>
                    <pic:cNvPicPr>
                      <a:picLocks noChangeAspect="1"/>
                    </pic:cNvPicPr>
                  </pic:nvPicPr>
                  <pic:blipFill>
                    <a:blip r:embed="rId26"/>
                    <a:stretch>
                      <a:fillRect/>
                    </a:stretch>
                  </pic:blipFill>
                  <pic:spPr>
                    <a:xfrm>
                      <a:off x="0" y="0"/>
                      <a:ext cx="7364095" cy="4636770"/>
                    </a:xfrm>
                    <a:prstGeom prst="rect">
                      <a:avLst/>
                    </a:prstGeom>
                  </pic:spPr>
                </pic:pic>
              </a:graphicData>
            </a:graphic>
          </wp:inline>
        </w:drawing>
      </w:r>
    </w:p>
    <w:p w14:paraId="0F9D45C9">
      <w:pPr>
        <w:jc w:val="cente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drawing>
          <wp:inline distT="0" distB="0" distL="114300" distR="114300">
            <wp:extent cx="8291195" cy="5595620"/>
            <wp:effectExtent l="0" t="0" r="14605" b="5080"/>
            <wp:docPr id="34" name="图片 34" descr="最终版-用苗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最终版-用苗_01"/>
                    <pic:cNvPicPr>
                      <a:picLocks noChangeAspect="1"/>
                    </pic:cNvPicPr>
                  </pic:nvPicPr>
                  <pic:blipFill>
                    <a:blip r:embed="rId27"/>
                    <a:stretch>
                      <a:fillRect/>
                    </a:stretch>
                  </pic:blipFill>
                  <pic:spPr>
                    <a:xfrm>
                      <a:off x="0" y="0"/>
                      <a:ext cx="8291195" cy="559562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128000" cy="5589270"/>
            <wp:effectExtent l="0" t="0" r="6350" b="11430"/>
            <wp:docPr id="33" name="图片 33" descr="最终版-用苗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最终版-用苗_02"/>
                    <pic:cNvPicPr>
                      <a:picLocks noChangeAspect="1"/>
                    </pic:cNvPicPr>
                  </pic:nvPicPr>
                  <pic:blipFill>
                    <a:blip r:embed="rId28"/>
                    <a:stretch>
                      <a:fillRect/>
                    </a:stretch>
                  </pic:blipFill>
                  <pic:spPr>
                    <a:xfrm>
                      <a:off x="0" y="0"/>
                      <a:ext cx="8128000" cy="558927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212455" cy="5582920"/>
            <wp:effectExtent l="0" t="0" r="17145" b="17780"/>
            <wp:docPr id="32" name="图片 32" descr="最终版-用苗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最终版-用苗_03"/>
                    <pic:cNvPicPr>
                      <a:picLocks noChangeAspect="1"/>
                    </pic:cNvPicPr>
                  </pic:nvPicPr>
                  <pic:blipFill>
                    <a:blip r:embed="rId29"/>
                    <a:stretch>
                      <a:fillRect/>
                    </a:stretch>
                  </pic:blipFill>
                  <pic:spPr>
                    <a:xfrm>
                      <a:off x="0" y="0"/>
                      <a:ext cx="8212455" cy="558292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100060" cy="5552440"/>
            <wp:effectExtent l="0" t="0" r="15240" b="10160"/>
            <wp:docPr id="31" name="图片 31" descr="最终版-用苗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最终版-用苗_04"/>
                    <pic:cNvPicPr>
                      <a:picLocks noChangeAspect="1"/>
                    </pic:cNvPicPr>
                  </pic:nvPicPr>
                  <pic:blipFill>
                    <a:blip r:embed="rId30"/>
                    <a:stretch>
                      <a:fillRect/>
                    </a:stretch>
                  </pic:blipFill>
                  <pic:spPr>
                    <a:xfrm>
                      <a:off x="0" y="0"/>
                      <a:ext cx="8100060" cy="555244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153400" cy="5589270"/>
            <wp:effectExtent l="0" t="0" r="0" b="11430"/>
            <wp:docPr id="30" name="图片 30" descr="最终版-用苗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最终版-用苗_05"/>
                    <pic:cNvPicPr>
                      <a:picLocks noChangeAspect="1"/>
                    </pic:cNvPicPr>
                  </pic:nvPicPr>
                  <pic:blipFill>
                    <a:blip r:embed="rId31"/>
                    <a:stretch>
                      <a:fillRect/>
                    </a:stretch>
                  </pic:blipFill>
                  <pic:spPr>
                    <a:xfrm>
                      <a:off x="0" y="0"/>
                      <a:ext cx="8153400" cy="558927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7830820" cy="5539105"/>
            <wp:effectExtent l="0" t="0" r="17780" b="4445"/>
            <wp:docPr id="29" name="图片 29" descr="最终版-用苗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最终版-用苗_06"/>
                    <pic:cNvPicPr>
                      <a:picLocks noChangeAspect="1"/>
                    </pic:cNvPicPr>
                  </pic:nvPicPr>
                  <pic:blipFill>
                    <a:blip r:embed="rId32"/>
                    <a:stretch>
                      <a:fillRect/>
                    </a:stretch>
                  </pic:blipFill>
                  <pic:spPr>
                    <a:xfrm>
                      <a:off x="0" y="0"/>
                      <a:ext cx="7830820" cy="5539105"/>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075295" cy="5565140"/>
            <wp:effectExtent l="0" t="0" r="1905" b="16510"/>
            <wp:docPr id="28" name="图片 28" descr="最终版-用苗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最终版-用苗_07"/>
                    <pic:cNvPicPr>
                      <a:picLocks noChangeAspect="1"/>
                    </pic:cNvPicPr>
                  </pic:nvPicPr>
                  <pic:blipFill>
                    <a:blip r:embed="rId33"/>
                    <a:stretch>
                      <a:fillRect/>
                    </a:stretch>
                  </pic:blipFill>
                  <pic:spPr>
                    <a:xfrm>
                      <a:off x="0" y="0"/>
                      <a:ext cx="8075295" cy="556514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196580" cy="5595620"/>
            <wp:effectExtent l="0" t="0" r="13970" b="5080"/>
            <wp:docPr id="27" name="图片 27" descr="最终版-用苗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最终版-用苗_08"/>
                    <pic:cNvPicPr>
                      <a:picLocks noChangeAspect="1"/>
                    </pic:cNvPicPr>
                  </pic:nvPicPr>
                  <pic:blipFill>
                    <a:blip r:embed="rId34"/>
                    <a:stretch>
                      <a:fillRect/>
                    </a:stretch>
                  </pic:blipFill>
                  <pic:spPr>
                    <a:xfrm>
                      <a:off x="0" y="0"/>
                      <a:ext cx="8196580" cy="559562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143875" cy="5601970"/>
            <wp:effectExtent l="0" t="0" r="9525" b="17780"/>
            <wp:docPr id="26" name="图片 26" descr="最终版-用苗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最终版-用苗_09"/>
                    <pic:cNvPicPr>
                      <a:picLocks noChangeAspect="1"/>
                    </pic:cNvPicPr>
                  </pic:nvPicPr>
                  <pic:blipFill>
                    <a:blip r:embed="rId35"/>
                    <a:stretch>
                      <a:fillRect/>
                    </a:stretch>
                  </pic:blipFill>
                  <pic:spPr>
                    <a:xfrm>
                      <a:off x="0" y="0"/>
                      <a:ext cx="8143875" cy="5601970"/>
                    </a:xfrm>
                    <a:prstGeom prst="rect">
                      <a:avLst/>
                    </a:prstGeom>
                  </pic:spPr>
                </pic:pic>
              </a:graphicData>
            </a:graphic>
          </wp:inline>
        </w:drawing>
      </w:r>
      <w:r>
        <w:rPr>
          <w:rFonts w:hint="eastAsia" w:ascii="宋体" w:hAnsi="宋体" w:eastAsia="宋体" w:cs="宋体"/>
          <w:sz w:val="24"/>
          <w:szCs w:val="24"/>
          <w:highlight w:val="none"/>
          <w:lang w:eastAsia="zh-CN"/>
        </w:rPr>
        <w:drawing>
          <wp:inline distT="0" distB="0" distL="114300" distR="114300">
            <wp:extent cx="8213090" cy="5591175"/>
            <wp:effectExtent l="0" t="0" r="16510" b="9525"/>
            <wp:docPr id="25" name="图片 25" descr="最终版-用苗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最终版-用苗_10"/>
                    <pic:cNvPicPr>
                      <a:picLocks noChangeAspect="1"/>
                    </pic:cNvPicPr>
                  </pic:nvPicPr>
                  <pic:blipFill>
                    <a:blip r:embed="rId36"/>
                    <a:stretch>
                      <a:fillRect/>
                    </a:stretch>
                  </pic:blipFill>
                  <pic:spPr>
                    <a:xfrm>
                      <a:off x="0" y="0"/>
                      <a:ext cx="8213090" cy="5591175"/>
                    </a:xfrm>
                    <a:prstGeom prst="rect">
                      <a:avLst/>
                    </a:prstGeom>
                  </pic:spPr>
                </pic:pic>
              </a:graphicData>
            </a:graphic>
          </wp:inline>
        </w:drawing>
      </w:r>
    </w:p>
    <w:p w14:paraId="1795DAC0">
      <w:pPr>
        <w:jc w:val="center"/>
        <w:rPr>
          <w:rFonts w:hint="eastAsia" w:ascii="宋体" w:hAnsi="宋体" w:eastAsia="宋体" w:cs="宋体"/>
          <w:sz w:val="24"/>
          <w:szCs w:val="24"/>
          <w:highlight w:val="none"/>
          <w:lang w:eastAsia="zh-CN"/>
        </w:rPr>
        <w:sectPr>
          <w:type w:val="continuous"/>
          <w:pgSz w:w="16838" w:h="11906" w:orient="landscape"/>
          <w:pgMar w:top="1800" w:right="1440" w:bottom="1800" w:left="1440" w:header="851" w:footer="992" w:gutter="0"/>
          <w:pgNumType w:fmt="decimal"/>
          <w:cols w:space="425" w:num="1"/>
          <w:docGrid w:type="lines" w:linePitch="312" w:charSpace="0"/>
        </w:sectPr>
      </w:pPr>
      <w:r>
        <w:rPr>
          <w:rFonts w:hint="eastAsia" w:eastAsiaTheme="minorEastAsia"/>
          <w:lang w:eastAsia="zh-CN"/>
        </w:rPr>
        <w:drawing>
          <wp:inline distT="0" distB="0" distL="114300" distR="114300">
            <wp:extent cx="7636510" cy="5400040"/>
            <wp:effectExtent l="0" t="0" r="2540" b="10160"/>
            <wp:docPr id="1" name="图片 1" descr="用工量-最终版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用工量-最终版_00"/>
                    <pic:cNvPicPr>
                      <a:picLocks noChangeAspect="1"/>
                    </pic:cNvPicPr>
                  </pic:nvPicPr>
                  <pic:blipFill>
                    <a:blip r:embed="rId37"/>
                    <a:stretch>
                      <a:fillRect/>
                    </a:stretch>
                  </pic:blipFill>
                  <pic:spPr>
                    <a:xfrm>
                      <a:off x="0" y="0"/>
                      <a:ext cx="7636510"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15" name="图片 15" descr="用工量-最终版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用工量-最终版_01"/>
                    <pic:cNvPicPr>
                      <a:picLocks noChangeAspect="1"/>
                    </pic:cNvPicPr>
                  </pic:nvPicPr>
                  <pic:blipFill>
                    <a:blip r:embed="rId38"/>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16" name="图片 16" descr="用工量-最终版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用工量-最终版_02"/>
                    <pic:cNvPicPr>
                      <a:picLocks noChangeAspect="1"/>
                    </pic:cNvPicPr>
                  </pic:nvPicPr>
                  <pic:blipFill>
                    <a:blip r:embed="rId39"/>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17" name="图片 17" descr="用工量-最终版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用工量-最终版_03"/>
                    <pic:cNvPicPr>
                      <a:picLocks noChangeAspect="1"/>
                    </pic:cNvPicPr>
                  </pic:nvPicPr>
                  <pic:blipFill>
                    <a:blip r:embed="rId40"/>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18" name="图片 18" descr="用工量-最终版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用工量-最终版_04"/>
                    <pic:cNvPicPr>
                      <a:picLocks noChangeAspect="1"/>
                    </pic:cNvPicPr>
                  </pic:nvPicPr>
                  <pic:blipFill>
                    <a:blip r:embed="rId41"/>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19" name="图片 19" descr="用工量-最终版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用工量-最终版_05"/>
                    <pic:cNvPicPr>
                      <a:picLocks noChangeAspect="1"/>
                    </pic:cNvPicPr>
                  </pic:nvPicPr>
                  <pic:blipFill>
                    <a:blip r:embed="rId42"/>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20" name="图片 20" descr="用工量-最终版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用工量-最终版_06"/>
                    <pic:cNvPicPr>
                      <a:picLocks noChangeAspect="1"/>
                    </pic:cNvPicPr>
                  </pic:nvPicPr>
                  <pic:blipFill>
                    <a:blip r:embed="rId43"/>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21" name="图片 21" descr="用工量-最终版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用工量-最终版_07"/>
                    <pic:cNvPicPr>
                      <a:picLocks noChangeAspect="1"/>
                    </pic:cNvPicPr>
                  </pic:nvPicPr>
                  <pic:blipFill>
                    <a:blip r:embed="rId44"/>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22" name="图片 22" descr="用工量-最终版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用工量-最终版_08"/>
                    <pic:cNvPicPr>
                      <a:picLocks noChangeAspect="1"/>
                    </pic:cNvPicPr>
                  </pic:nvPicPr>
                  <pic:blipFill>
                    <a:blip r:embed="rId45"/>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23" name="图片 23" descr="用工量-最终版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用工量-最终版_09"/>
                    <pic:cNvPicPr>
                      <a:picLocks noChangeAspect="1"/>
                    </pic:cNvPicPr>
                  </pic:nvPicPr>
                  <pic:blipFill>
                    <a:blip r:embed="rId46"/>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24" name="图片 24" descr="用工量-最终版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用工量-最终版_10"/>
                    <pic:cNvPicPr>
                      <a:picLocks noChangeAspect="1"/>
                    </pic:cNvPicPr>
                  </pic:nvPicPr>
                  <pic:blipFill>
                    <a:blip r:embed="rId47"/>
                    <a:stretch>
                      <a:fillRect/>
                    </a:stretch>
                  </pic:blipFill>
                  <pic:spPr>
                    <a:xfrm>
                      <a:off x="0" y="0"/>
                      <a:ext cx="7637145" cy="5400040"/>
                    </a:xfrm>
                    <a:prstGeom prst="rect">
                      <a:avLst/>
                    </a:prstGeom>
                  </pic:spPr>
                </pic:pic>
              </a:graphicData>
            </a:graphic>
          </wp:inline>
        </w:drawing>
      </w:r>
      <w:r>
        <w:rPr>
          <w:rFonts w:hint="eastAsia" w:eastAsiaTheme="minorEastAsia"/>
          <w:lang w:eastAsia="zh-CN"/>
        </w:rPr>
        <w:drawing>
          <wp:inline distT="0" distB="0" distL="114300" distR="114300">
            <wp:extent cx="7637145" cy="5400040"/>
            <wp:effectExtent l="0" t="0" r="1905" b="10160"/>
            <wp:docPr id="36" name="图片 36" descr="用工量-最终版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用工量-最终版_11"/>
                    <pic:cNvPicPr>
                      <a:picLocks noChangeAspect="1"/>
                    </pic:cNvPicPr>
                  </pic:nvPicPr>
                  <pic:blipFill>
                    <a:blip r:embed="rId48"/>
                    <a:stretch>
                      <a:fillRect/>
                    </a:stretch>
                  </pic:blipFill>
                  <pic:spPr>
                    <a:xfrm>
                      <a:off x="0" y="0"/>
                      <a:ext cx="7637145" cy="5400040"/>
                    </a:xfrm>
                    <a:prstGeom prst="rect">
                      <a:avLst/>
                    </a:prstGeom>
                  </pic:spPr>
                </pic:pic>
              </a:graphicData>
            </a:graphic>
          </wp:inline>
        </w:drawing>
      </w:r>
    </w:p>
    <w:p w14:paraId="335B1071">
      <w:pPr>
        <w:jc w:val="center"/>
        <w:rPr>
          <w:rFonts w:hint="eastAsia" w:ascii="宋体" w:hAnsi="宋体" w:eastAsia="宋体" w:cs="宋体"/>
          <w:sz w:val="24"/>
          <w:szCs w:val="24"/>
          <w:highlight w:val="none"/>
          <w:lang w:eastAsia="zh-CN"/>
        </w:rPr>
      </w:pPr>
    </w:p>
    <w:p w14:paraId="6844FCC4">
      <w:pPr>
        <w:spacing w:before="37" w:line="316" w:lineRule="auto"/>
        <w:ind w:right="28"/>
        <w:rPr>
          <w:rFonts w:hint="eastAsia" w:ascii="宋体" w:hAnsi="宋体" w:eastAsia="宋体" w:cs="宋体"/>
          <w:spacing w:val="-4"/>
          <w:sz w:val="24"/>
          <w:szCs w:val="24"/>
          <w:highlight w:val="none"/>
          <w:lang w:val="en-US" w:eastAsia="zh-CN"/>
        </w:rPr>
      </w:pPr>
      <w:r>
        <w:rPr>
          <w:rFonts w:hint="eastAsia" w:ascii="宋体" w:hAnsi="宋体" w:eastAsia="宋体" w:cs="宋体"/>
          <w:spacing w:val="-4"/>
          <w:sz w:val="24"/>
          <w:szCs w:val="24"/>
          <w:highlight w:val="none"/>
          <w:lang w:val="en-US" w:eastAsia="zh-CN"/>
        </w:rPr>
        <w:t xml:space="preserve">表5. </w:t>
      </w:r>
      <w:r>
        <w:rPr>
          <w:rFonts w:hint="eastAsia" w:ascii="宋体" w:hAnsi="宋体" w:eastAsia="宋体" w:cs="宋体"/>
          <w:spacing w:val="3"/>
          <w:sz w:val="24"/>
          <w:szCs w:val="24"/>
          <w:highlight w:val="none"/>
        </w:rPr>
        <w:t>商洛市秦岭中段（南麓）水源涵养与生物多样性保护恢复项</w:t>
      </w:r>
      <w:r>
        <w:rPr>
          <w:rFonts w:hint="eastAsia" w:ascii="宋体" w:hAnsi="宋体" w:eastAsia="宋体" w:cs="宋体"/>
          <w:sz w:val="24"/>
          <w:szCs w:val="24"/>
          <w:highlight w:val="none"/>
        </w:rPr>
        <w:t xml:space="preserve"> </w:t>
      </w:r>
      <w:r>
        <w:rPr>
          <w:rFonts w:hint="eastAsia" w:ascii="宋体" w:hAnsi="宋体" w:eastAsia="宋体" w:cs="宋体"/>
          <w:spacing w:val="-5"/>
          <w:sz w:val="24"/>
          <w:szCs w:val="24"/>
          <w:highlight w:val="none"/>
        </w:rPr>
        <w:t>目</w:t>
      </w:r>
      <w:r>
        <w:rPr>
          <w:rFonts w:hint="eastAsia" w:ascii="宋体" w:hAnsi="宋体" w:eastAsia="宋体" w:cs="宋体"/>
          <w:spacing w:val="-55"/>
          <w:sz w:val="24"/>
          <w:szCs w:val="24"/>
          <w:highlight w:val="none"/>
        </w:rPr>
        <w:t xml:space="preserve"> </w:t>
      </w:r>
      <w:r>
        <w:rPr>
          <w:rFonts w:hint="eastAsia" w:ascii="宋体" w:hAnsi="宋体" w:eastAsia="宋体" w:cs="宋体"/>
          <w:spacing w:val="-5"/>
          <w:sz w:val="24"/>
          <w:szCs w:val="24"/>
          <w:highlight w:val="none"/>
        </w:rPr>
        <w:t>2024</w:t>
      </w:r>
      <w:r>
        <w:rPr>
          <w:rFonts w:hint="eastAsia" w:ascii="宋体" w:hAnsi="宋体" w:eastAsia="宋体" w:cs="宋体"/>
          <w:spacing w:val="-59"/>
          <w:sz w:val="24"/>
          <w:szCs w:val="24"/>
          <w:highlight w:val="none"/>
        </w:rPr>
        <w:t xml:space="preserve"> </w:t>
      </w:r>
      <w:r>
        <w:rPr>
          <w:rFonts w:hint="eastAsia" w:ascii="宋体" w:hAnsi="宋体" w:eastAsia="宋体" w:cs="宋体"/>
          <w:spacing w:val="-5"/>
          <w:sz w:val="24"/>
          <w:szCs w:val="24"/>
          <w:highlight w:val="none"/>
        </w:rPr>
        <w:t>年山阳县退化林修复</w:t>
      </w:r>
      <w:r>
        <w:rPr>
          <w:rFonts w:hint="eastAsia" w:ascii="宋体" w:hAnsi="宋体" w:eastAsia="宋体" w:cs="宋体"/>
          <w:spacing w:val="-5"/>
          <w:sz w:val="24"/>
          <w:szCs w:val="24"/>
          <w:highlight w:val="none"/>
          <w:lang w:val="en-US" w:eastAsia="zh-CN"/>
        </w:rPr>
        <w:t>面积汇总</w:t>
      </w:r>
    </w:p>
    <w:p w14:paraId="6F063BDB">
      <w:pPr>
        <w:rPr>
          <w:rFonts w:hint="eastAsia" w:ascii="宋体" w:hAnsi="宋体" w:eastAsia="宋体" w:cs="宋体"/>
          <w:sz w:val="24"/>
          <w:szCs w:val="24"/>
          <w:highlight w:val="none"/>
          <w:lang w:eastAsia="zh-CN"/>
        </w:rPr>
      </w:pPr>
    </w:p>
    <w:p w14:paraId="27FA8916">
      <w:pPr>
        <w:rPr>
          <w:rFonts w:hint="eastAsia" w:ascii="宋体" w:hAnsi="宋体" w:eastAsia="宋体" w:cs="宋体"/>
          <w:sz w:val="24"/>
          <w:szCs w:val="24"/>
          <w:highlight w:val="none"/>
          <w:lang w:eastAsia="zh-CN"/>
        </w:rPr>
      </w:pPr>
    </w:p>
    <w:p w14:paraId="270676F0">
      <w:pPr>
        <w:jc w:val="cente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drawing>
          <wp:inline distT="0" distB="0" distL="114300" distR="114300">
            <wp:extent cx="5461635" cy="7721600"/>
            <wp:effectExtent l="0" t="0" r="5715" b="12700"/>
            <wp:docPr id="37" name="图片 37" descr="面积汇总统计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面积汇总统计_00"/>
                    <pic:cNvPicPr>
                      <a:picLocks noChangeAspect="1"/>
                    </pic:cNvPicPr>
                  </pic:nvPicPr>
                  <pic:blipFill>
                    <a:blip r:embed="rId49"/>
                    <a:stretch>
                      <a:fillRect/>
                    </a:stretch>
                  </pic:blipFill>
                  <pic:spPr>
                    <a:xfrm>
                      <a:off x="0" y="0"/>
                      <a:ext cx="5461635" cy="7721600"/>
                    </a:xfrm>
                    <a:prstGeom prst="rect">
                      <a:avLst/>
                    </a:prstGeom>
                  </pic:spPr>
                </pic:pic>
              </a:graphicData>
            </a:graphic>
          </wp:inline>
        </w:drawing>
      </w:r>
      <w:r>
        <w:rPr>
          <w:rFonts w:hint="eastAsia" w:ascii="宋体" w:hAnsi="宋体" w:eastAsia="宋体" w:cs="宋体"/>
          <w:sz w:val="24"/>
          <w:szCs w:val="24"/>
          <w:highlight w:val="none"/>
          <w:lang w:eastAsia="zh-CN"/>
        </w:rPr>
        <w:br w:type="page"/>
      </w:r>
    </w:p>
    <w:p w14:paraId="30388035">
      <w:pPr>
        <w:rPr>
          <w:rFonts w:hint="eastAsia" w:ascii="宋体" w:hAnsi="宋体" w:eastAsia="宋体" w:cs="宋体"/>
          <w:sz w:val="24"/>
          <w:szCs w:val="24"/>
          <w:highlight w:val="none"/>
          <w:lang w:eastAsia="zh-CN"/>
        </w:rPr>
      </w:pPr>
      <w:r>
        <w:rPr>
          <w:rFonts w:hint="eastAsia" w:ascii="宋体" w:hAnsi="宋体" w:eastAsia="宋体" w:cs="宋体"/>
          <w:sz w:val="24"/>
          <w:szCs w:val="24"/>
          <w:highlight w:val="none"/>
          <w:lang w:eastAsia="zh-CN"/>
        </w:rPr>
        <w:drawing>
          <wp:inline distT="0" distB="0" distL="114300" distR="114300">
            <wp:extent cx="5910580" cy="8357235"/>
            <wp:effectExtent l="0" t="0" r="13970" b="5715"/>
            <wp:docPr id="40" name="图片 40" descr="面积汇总统计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面积汇总统计_01"/>
                    <pic:cNvPicPr>
                      <a:picLocks noChangeAspect="1"/>
                    </pic:cNvPicPr>
                  </pic:nvPicPr>
                  <pic:blipFill>
                    <a:blip r:embed="rId50"/>
                    <a:stretch>
                      <a:fillRect/>
                    </a:stretch>
                  </pic:blipFill>
                  <pic:spPr>
                    <a:xfrm>
                      <a:off x="0" y="0"/>
                      <a:ext cx="5910580" cy="8357235"/>
                    </a:xfrm>
                    <a:prstGeom prst="rect">
                      <a:avLst/>
                    </a:prstGeom>
                  </pic:spPr>
                </pic:pic>
              </a:graphicData>
            </a:graphic>
          </wp:inline>
        </w:drawing>
      </w:r>
    </w:p>
    <w:p w14:paraId="68B91C51">
      <w:pPr>
        <w:spacing w:line="360" w:lineRule="auto"/>
        <w:ind w:firstLine="720" w:firstLineChars="200"/>
        <w:rPr>
          <w:rFonts w:asciiTheme="minorEastAsia" w:hAnsiTheme="minorEastAsia" w:eastAsiaTheme="minorEastAsia" w:cstheme="minorEastAsia"/>
          <w:bCs/>
          <w:color w:val="000000" w:themeColor="text1"/>
          <w:sz w:val="36"/>
          <w:szCs w:val="36"/>
          <w:highlight w:val="none"/>
        </w:rPr>
      </w:pPr>
      <w:r>
        <w:rPr>
          <w:rFonts w:hint="eastAsia" w:asciiTheme="minorEastAsia" w:hAnsiTheme="minorEastAsia" w:eastAsiaTheme="minorEastAsia" w:cstheme="minorEastAsia"/>
          <w:bCs/>
          <w:color w:val="000000" w:themeColor="text1"/>
          <w:sz w:val="36"/>
          <w:szCs w:val="36"/>
          <w:highlight w:val="none"/>
        </w:rPr>
        <w:br w:type="page"/>
      </w:r>
    </w:p>
    <w:p w14:paraId="273CC360">
      <w:pPr>
        <w:spacing w:line="360" w:lineRule="auto"/>
        <w:ind w:firstLine="720" w:firstLineChars="200"/>
        <w:rPr>
          <w:rFonts w:asciiTheme="minorEastAsia" w:hAnsiTheme="minorEastAsia" w:eastAsiaTheme="minorEastAsia" w:cstheme="minorEastAsia"/>
          <w:bCs/>
          <w:sz w:val="36"/>
          <w:szCs w:val="36"/>
          <w:highlight w:val="none"/>
        </w:rPr>
      </w:pPr>
    </w:p>
    <w:p w14:paraId="009B0627">
      <w:pPr>
        <w:pStyle w:val="4"/>
        <w:spacing w:line="360" w:lineRule="auto"/>
        <w:jc w:val="center"/>
        <w:rPr>
          <w:rFonts w:asciiTheme="minorEastAsia" w:hAnsiTheme="minorEastAsia" w:eastAsiaTheme="minorEastAsia" w:cstheme="minorEastAsia"/>
          <w:bCs/>
          <w:sz w:val="36"/>
          <w:szCs w:val="36"/>
          <w:highlight w:val="none"/>
        </w:rPr>
      </w:pPr>
      <w:bookmarkStart w:id="196" w:name="_GoBack"/>
      <w:bookmarkEnd w:id="196"/>
      <w:bookmarkStart w:id="152" w:name="_Toc24769"/>
      <w:r>
        <w:rPr>
          <w:rFonts w:hint="eastAsia" w:asciiTheme="minorEastAsia" w:hAnsiTheme="minorEastAsia" w:eastAsiaTheme="minorEastAsia" w:cstheme="minorEastAsia"/>
          <w:bCs/>
          <w:sz w:val="36"/>
          <w:szCs w:val="36"/>
          <w:highlight w:val="none"/>
        </w:rPr>
        <w:t>第六章  投标文件构成及格式</w:t>
      </w:r>
      <w:bookmarkEnd w:id="99"/>
      <w:bookmarkEnd w:id="152"/>
    </w:p>
    <w:p w14:paraId="39137423">
      <w:pPr>
        <w:rPr>
          <w:rFonts w:asciiTheme="minorEastAsia" w:hAnsiTheme="minorEastAsia" w:eastAsiaTheme="minorEastAsia" w:cstheme="minorEastAsia"/>
          <w:highlight w:val="none"/>
        </w:rPr>
      </w:pPr>
    </w:p>
    <w:p w14:paraId="35D5D418">
      <w:pPr>
        <w:rPr>
          <w:rFonts w:hint="eastAsia" w:asciiTheme="minorEastAsia" w:hAnsiTheme="minorEastAsia" w:eastAsiaTheme="minorEastAsia" w:cstheme="minorEastAsia"/>
          <w:b/>
          <w:sz w:val="32"/>
          <w:szCs w:val="32"/>
          <w:highlight w:val="none"/>
          <w:lang w:eastAsia="zh-CN"/>
        </w:rPr>
      </w:pPr>
      <w:r>
        <w:rPr>
          <w:rFonts w:hint="eastAsia" w:asciiTheme="minorEastAsia" w:hAnsiTheme="minorEastAsia" w:eastAsiaTheme="minorEastAsia" w:cstheme="minorEastAsia"/>
          <w:b/>
          <w:sz w:val="32"/>
          <w:szCs w:val="32"/>
          <w:highlight w:val="none"/>
        </w:rPr>
        <w:t>项目编号：</w:t>
      </w:r>
      <w:r>
        <w:rPr>
          <w:rFonts w:hint="eastAsia" w:asciiTheme="minorEastAsia" w:hAnsiTheme="minorEastAsia" w:eastAsiaTheme="minorEastAsia" w:cstheme="minorEastAsia"/>
          <w:b/>
          <w:sz w:val="32"/>
          <w:szCs w:val="32"/>
          <w:highlight w:val="none"/>
          <w:lang w:eastAsia="zh-CN"/>
        </w:rPr>
        <w:t>SXZCZB2024-ZCGK-1211</w:t>
      </w:r>
    </w:p>
    <w:p w14:paraId="1E3284E2">
      <w:pPr>
        <w:jc w:val="right"/>
        <w:rPr>
          <w:rFonts w:asciiTheme="minorEastAsia" w:hAnsiTheme="minorEastAsia" w:eastAsiaTheme="minorEastAsia" w:cstheme="minorEastAsia"/>
          <w:b/>
          <w:sz w:val="32"/>
          <w:szCs w:val="32"/>
          <w:highlight w:val="none"/>
        </w:rPr>
      </w:pPr>
      <w:r>
        <w:rPr>
          <w:rFonts w:hint="eastAsia" w:asciiTheme="minorEastAsia" w:hAnsiTheme="minorEastAsia" w:eastAsiaTheme="minorEastAsia" w:cstheme="minorEastAsia"/>
          <w:b/>
          <w:sz w:val="32"/>
          <w:szCs w:val="32"/>
          <w:highlight w:val="none"/>
        </w:rPr>
        <w:t>（正本或副本）</w:t>
      </w:r>
    </w:p>
    <w:p w14:paraId="232D1783">
      <w:pPr>
        <w:jc w:val="center"/>
        <w:rPr>
          <w:rFonts w:asciiTheme="minorEastAsia" w:hAnsiTheme="minorEastAsia" w:eastAsiaTheme="minorEastAsia" w:cstheme="minorEastAsia"/>
          <w:b/>
          <w:sz w:val="36"/>
          <w:szCs w:val="36"/>
          <w:highlight w:val="none"/>
        </w:rPr>
      </w:pPr>
    </w:p>
    <w:p w14:paraId="14192654">
      <w:pPr>
        <w:rPr>
          <w:rFonts w:asciiTheme="minorEastAsia" w:hAnsiTheme="minorEastAsia" w:eastAsiaTheme="minorEastAsia" w:cstheme="minorEastAsia"/>
          <w:b/>
          <w:sz w:val="52"/>
          <w:szCs w:val="52"/>
          <w:highlight w:val="none"/>
        </w:rPr>
      </w:pPr>
    </w:p>
    <w:p w14:paraId="7A718CF2">
      <w:pPr>
        <w:jc w:val="center"/>
        <w:rPr>
          <w:rFonts w:hint="eastAsia" w:asciiTheme="minorEastAsia" w:hAnsiTheme="minorEastAsia" w:eastAsiaTheme="minorEastAsia" w:cstheme="minorEastAsia"/>
          <w:b/>
          <w:sz w:val="36"/>
          <w:szCs w:val="36"/>
          <w:highlight w:val="none"/>
          <w:lang w:eastAsia="zh-CN"/>
        </w:rPr>
      </w:pPr>
      <w:r>
        <w:rPr>
          <w:rFonts w:hint="eastAsia" w:asciiTheme="minorEastAsia" w:hAnsiTheme="minorEastAsia" w:eastAsiaTheme="minorEastAsia" w:cstheme="minorEastAsia"/>
          <w:b/>
          <w:sz w:val="44"/>
          <w:szCs w:val="44"/>
          <w:highlight w:val="none"/>
          <w:lang w:eastAsia="zh-CN"/>
        </w:rPr>
        <w:t>商洛市秦岭中段(南麓)水源涵养与生物多样性保护恢复项目2024年山阳县退化林修复</w:t>
      </w:r>
    </w:p>
    <w:p w14:paraId="587C3E13">
      <w:pPr>
        <w:pStyle w:val="2"/>
        <w:rPr>
          <w:highlight w:val="none"/>
        </w:rPr>
      </w:pPr>
    </w:p>
    <w:p w14:paraId="2163704E">
      <w:pPr>
        <w:jc w:val="center"/>
        <w:rPr>
          <w:rFonts w:asciiTheme="minorEastAsia" w:hAnsiTheme="minorEastAsia" w:eastAsiaTheme="minorEastAsia" w:cstheme="minorEastAsia"/>
          <w:b/>
          <w:sz w:val="48"/>
          <w:szCs w:val="48"/>
          <w:highlight w:val="none"/>
        </w:rPr>
      </w:pPr>
      <w:r>
        <w:rPr>
          <w:rFonts w:hint="eastAsia" w:asciiTheme="minorEastAsia" w:hAnsiTheme="minorEastAsia" w:eastAsiaTheme="minorEastAsia" w:cstheme="minorEastAsia"/>
          <w:b/>
          <w:sz w:val="48"/>
          <w:szCs w:val="48"/>
          <w:highlight w:val="none"/>
        </w:rPr>
        <w:t>（第  包）</w:t>
      </w:r>
    </w:p>
    <w:p w14:paraId="043A8542">
      <w:pPr>
        <w:rPr>
          <w:rFonts w:asciiTheme="minorEastAsia" w:hAnsiTheme="minorEastAsia" w:eastAsiaTheme="minorEastAsia" w:cstheme="minorEastAsia"/>
          <w:highlight w:val="none"/>
        </w:rPr>
      </w:pPr>
    </w:p>
    <w:p w14:paraId="2D3FEB37">
      <w:pPr>
        <w:jc w:val="center"/>
        <w:rPr>
          <w:rFonts w:asciiTheme="minorEastAsia" w:hAnsiTheme="minorEastAsia" w:eastAsiaTheme="minorEastAsia" w:cstheme="minorEastAsia"/>
          <w:b/>
          <w:sz w:val="72"/>
          <w:szCs w:val="72"/>
          <w:highlight w:val="none"/>
        </w:rPr>
      </w:pPr>
      <w:r>
        <w:rPr>
          <w:rFonts w:hint="eastAsia" w:asciiTheme="minorEastAsia" w:hAnsiTheme="minorEastAsia" w:eastAsiaTheme="minorEastAsia" w:cstheme="minorEastAsia"/>
          <w:b/>
          <w:sz w:val="72"/>
          <w:szCs w:val="72"/>
          <w:highlight w:val="none"/>
        </w:rPr>
        <w:t>投 标 文 件</w:t>
      </w:r>
    </w:p>
    <w:p w14:paraId="74A03838">
      <w:pPr>
        <w:jc w:val="center"/>
        <w:rPr>
          <w:rFonts w:asciiTheme="minorEastAsia" w:hAnsiTheme="minorEastAsia" w:eastAsiaTheme="minorEastAsia" w:cstheme="minorEastAsia"/>
          <w:b/>
          <w:sz w:val="72"/>
          <w:szCs w:val="72"/>
          <w:highlight w:val="none"/>
        </w:rPr>
      </w:pPr>
    </w:p>
    <w:p w14:paraId="2A6DB6CB">
      <w:pPr>
        <w:rPr>
          <w:rFonts w:asciiTheme="minorEastAsia" w:hAnsiTheme="minorEastAsia" w:eastAsiaTheme="minorEastAsia" w:cstheme="minorEastAsia"/>
          <w:b/>
          <w:sz w:val="36"/>
          <w:szCs w:val="36"/>
          <w:highlight w:val="none"/>
        </w:rPr>
      </w:pPr>
    </w:p>
    <w:p w14:paraId="58031F12">
      <w:pPr>
        <w:spacing w:line="360" w:lineRule="auto"/>
        <w:rPr>
          <w:rFonts w:asciiTheme="minorEastAsia" w:hAnsiTheme="minorEastAsia" w:eastAsiaTheme="minorEastAsia" w:cstheme="minorEastAsia"/>
          <w:b/>
          <w:bCs/>
          <w:sz w:val="28"/>
          <w:szCs w:val="28"/>
          <w:highlight w:val="none"/>
        </w:rPr>
      </w:pPr>
    </w:p>
    <w:p w14:paraId="6076CCD1">
      <w:pPr>
        <w:spacing w:line="360" w:lineRule="auto"/>
        <w:rPr>
          <w:rFonts w:asciiTheme="minorEastAsia" w:hAnsiTheme="minorEastAsia" w:eastAsiaTheme="minorEastAsia" w:cstheme="minorEastAsia"/>
          <w:b/>
          <w:bCs/>
          <w:sz w:val="28"/>
          <w:szCs w:val="28"/>
          <w:highlight w:val="none"/>
        </w:rPr>
      </w:pPr>
    </w:p>
    <w:p w14:paraId="46A0C720">
      <w:pPr>
        <w:spacing w:line="360" w:lineRule="auto"/>
        <w:rPr>
          <w:rFonts w:asciiTheme="minorEastAsia" w:hAnsiTheme="minorEastAsia" w:eastAsiaTheme="minorEastAsia" w:cstheme="minorEastAsia"/>
          <w:b/>
          <w:bCs/>
          <w:sz w:val="28"/>
          <w:szCs w:val="28"/>
          <w:highlight w:val="none"/>
        </w:rPr>
      </w:pPr>
    </w:p>
    <w:p w14:paraId="734AB6E3">
      <w:pPr>
        <w:spacing w:line="360" w:lineRule="auto"/>
        <w:rPr>
          <w:rFonts w:asciiTheme="minorEastAsia" w:hAnsiTheme="minorEastAsia" w:eastAsiaTheme="minorEastAsia" w:cstheme="minorEastAsia"/>
          <w:b/>
          <w:bCs/>
          <w:sz w:val="28"/>
          <w:szCs w:val="28"/>
          <w:highlight w:val="none"/>
          <w:u w:val="single"/>
        </w:rPr>
      </w:pPr>
      <w:r>
        <w:rPr>
          <w:rFonts w:hint="eastAsia" w:asciiTheme="minorEastAsia" w:hAnsiTheme="minorEastAsia" w:eastAsiaTheme="minorEastAsia" w:cstheme="minorEastAsia"/>
          <w:b/>
          <w:bCs/>
          <w:sz w:val="28"/>
          <w:szCs w:val="28"/>
          <w:highlight w:val="none"/>
        </w:rPr>
        <w:t>投标人名称：（盖章）</w:t>
      </w:r>
      <w:r>
        <w:rPr>
          <w:rFonts w:hint="eastAsia" w:asciiTheme="minorEastAsia" w:hAnsiTheme="minorEastAsia" w:eastAsiaTheme="minorEastAsia" w:cstheme="minorEastAsia"/>
          <w:b/>
          <w:bCs/>
          <w:sz w:val="28"/>
          <w:szCs w:val="28"/>
          <w:highlight w:val="none"/>
          <w:u w:val="single"/>
        </w:rPr>
        <w:t xml:space="preserve">                     </w:t>
      </w:r>
    </w:p>
    <w:p w14:paraId="6A8211A1">
      <w:pPr>
        <w:spacing w:line="360" w:lineRule="auto"/>
        <w:rPr>
          <w:rFonts w:asciiTheme="minorEastAsia" w:hAnsiTheme="minorEastAsia" w:eastAsiaTheme="minorEastAsia" w:cstheme="minorEastAsia"/>
          <w:b/>
          <w:bCs/>
          <w:sz w:val="28"/>
          <w:szCs w:val="28"/>
          <w:highlight w:val="none"/>
        </w:rPr>
      </w:pPr>
      <w:r>
        <w:rPr>
          <w:rFonts w:hint="eastAsia" w:asciiTheme="minorEastAsia" w:hAnsiTheme="minorEastAsia" w:eastAsiaTheme="minorEastAsia" w:cstheme="minorEastAsia"/>
          <w:b/>
          <w:bCs/>
          <w:sz w:val="28"/>
          <w:szCs w:val="28"/>
          <w:highlight w:val="none"/>
        </w:rPr>
        <w:t>法定代表人或其委托代理人：（签字或盖章）</w:t>
      </w:r>
    </w:p>
    <w:p w14:paraId="2049483A">
      <w:pPr>
        <w:spacing w:line="360" w:lineRule="auto"/>
        <w:rPr>
          <w:rFonts w:asciiTheme="minorEastAsia" w:hAnsiTheme="minorEastAsia" w:eastAsiaTheme="minorEastAsia" w:cstheme="minorEastAsia"/>
          <w:b/>
          <w:bCs/>
          <w:sz w:val="28"/>
          <w:szCs w:val="28"/>
          <w:highlight w:val="none"/>
        </w:rPr>
      </w:pPr>
      <w:r>
        <w:rPr>
          <w:rFonts w:hint="eastAsia" w:asciiTheme="minorEastAsia" w:hAnsiTheme="minorEastAsia" w:eastAsiaTheme="minorEastAsia" w:cstheme="minorEastAsia"/>
          <w:b/>
          <w:bCs/>
          <w:sz w:val="28"/>
          <w:szCs w:val="28"/>
          <w:highlight w:val="none"/>
        </w:rPr>
        <w:t xml:space="preserve">                      年      月       日</w:t>
      </w:r>
    </w:p>
    <w:p w14:paraId="3461C004">
      <w:pPr>
        <w:spacing w:line="360" w:lineRule="auto"/>
        <w:rPr>
          <w:rFonts w:asciiTheme="minorEastAsia" w:hAnsiTheme="minorEastAsia" w:eastAsiaTheme="minorEastAsia" w:cstheme="minorEastAsia"/>
          <w:highlight w:val="none"/>
        </w:rPr>
        <w:sectPr>
          <w:footerReference r:id="rId11" w:type="default"/>
          <w:pgSz w:w="11906" w:h="16838"/>
          <w:pgMar w:top="1304" w:right="1361" w:bottom="1304" w:left="1361" w:header="851" w:footer="992" w:gutter="0"/>
          <w:cols w:space="0" w:num="1"/>
          <w:docGrid w:type="lines" w:linePitch="312" w:charSpace="0"/>
        </w:sectPr>
      </w:pPr>
    </w:p>
    <w:p w14:paraId="6EB0919C">
      <w:pPr>
        <w:spacing w:beforeLines="50" w:afterLines="50" w:line="360" w:lineRule="auto"/>
        <w:jc w:val="center"/>
        <w:rPr>
          <w:rFonts w:asciiTheme="minorEastAsia" w:hAnsiTheme="minorEastAsia" w:eastAsiaTheme="minorEastAsia" w:cstheme="minorEastAsia"/>
          <w:b/>
          <w:bCs/>
          <w:spacing w:val="4"/>
          <w:sz w:val="36"/>
          <w:szCs w:val="36"/>
          <w:highlight w:val="none"/>
        </w:rPr>
      </w:pPr>
      <w:r>
        <w:rPr>
          <w:rFonts w:hint="eastAsia" w:asciiTheme="minorEastAsia" w:hAnsiTheme="minorEastAsia" w:eastAsiaTheme="minorEastAsia" w:cstheme="minorEastAsia"/>
          <w:b/>
          <w:bCs/>
          <w:spacing w:val="4"/>
          <w:sz w:val="36"/>
          <w:szCs w:val="36"/>
          <w:highlight w:val="none"/>
        </w:rPr>
        <w:t>目 录</w:t>
      </w:r>
    </w:p>
    <w:p w14:paraId="6F6427E2">
      <w:pPr>
        <w:tabs>
          <w:tab w:val="left" w:pos="7656"/>
        </w:tabs>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（一）投标函</w:t>
      </w:r>
    </w:p>
    <w:p w14:paraId="6D266D4D">
      <w:pPr>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（二）开标一览表</w:t>
      </w:r>
    </w:p>
    <w:p w14:paraId="501FD1C6">
      <w:pPr>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（三）商务响应偏离表</w:t>
      </w:r>
    </w:p>
    <w:p w14:paraId="6983B31A">
      <w:pPr>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（四）投标方案说明书</w:t>
      </w:r>
    </w:p>
    <w:p w14:paraId="1B1E0DD4">
      <w:pPr>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（五）企业类似业绩</w:t>
      </w:r>
    </w:p>
    <w:p w14:paraId="18798E2A">
      <w:pPr>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（六）陕西省政府采购投标人拒绝政府采购领域商业贿赂承诺书</w:t>
      </w:r>
    </w:p>
    <w:p w14:paraId="78BF1B54">
      <w:pPr>
        <w:spacing w:line="48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（七）资格证明文件</w:t>
      </w:r>
    </w:p>
    <w:p w14:paraId="578DB9AA">
      <w:pPr>
        <w:spacing w:line="480" w:lineRule="auto"/>
        <w:ind w:firstLine="496" w:firstLineChars="200"/>
        <w:rPr>
          <w:rFonts w:asciiTheme="minorEastAsia" w:hAnsiTheme="minorEastAsia" w:eastAsiaTheme="minorEastAsia" w:cstheme="minorEastAsia"/>
          <w:spacing w:val="4"/>
          <w:sz w:val="24"/>
          <w:szCs w:val="24"/>
          <w:highlight w:val="none"/>
        </w:rPr>
      </w:pPr>
    </w:p>
    <w:p w14:paraId="723A29E8">
      <w:pPr>
        <w:rPr>
          <w:rFonts w:asciiTheme="minorEastAsia" w:hAnsiTheme="minorEastAsia" w:eastAsiaTheme="minorEastAsia" w:cstheme="minorEastAsia"/>
          <w:sz w:val="28"/>
          <w:highlight w:val="none"/>
        </w:rPr>
      </w:pPr>
      <w:bookmarkStart w:id="153" w:name="_Toc22992"/>
      <w:r>
        <w:rPr>
          <w:rFonts w:hint="eastAsia" w:asciiTheme="minorEastAsia" w:hAnsiTheme="minorEastAsia" w:eastAsiaTheme="minorEastAsia" w:cstheme="minorEastAsia"/>
          <w:sz w:val="28"/>
          <w:highlight w:val="none"/>
        </w:rPr>
        <w:br w:type="page"/>
      </w:r>
    </w:p>
    <w:bookmarkEnd w:id="153"/>
    <w:p w14:paraId="206AB2A1">
      <w:pPr>
        <w:pStyle w:val="7"/>
        <w:spacing w:beforeLines="100" w:line="360" w:lineRule="auto"/>
        <w:rPr>
          <w:rFonts w:asciiTheme="minorEastAsia" w:hAnsiTheme="minorEastAsia" w:eastAsiaTheme="minorEastAsia" w:cstheme="minorEastAsia"/>
          <w:sz w:val="32"/>
          <w:szCs w:val="32"/>
          <w:highlight w:val="none"/>
        </w:rPr>
      </w:pPr>
      <w:bookmarkStart w:id="154" w:name="_Toc29539"/>
      <w:bookmarkStart w:id="155" w:name="_Toc11460"/>
      <w:bookmarkStart w:id="156" w:name="_Toc30488"/>
      <w:bookmarkStart w:id="157" w:name="_Toc6822"/>
      <w:bookmarkStart w:id="158" w:name="_Toc4974"/>
      <w:r>
        <w:rPr>
          <w:rFonts w:hint="eastAsia" w:asciiTheme="minorEastAsia" w:hAnsiTheme="minorEastAsia" w:eastAsiaTheme="minorEastAsia" w:cstheme="minorEastAsia"/>
          <w:sz w:val="32"/>
          <w:szCs w:val="32"/>
          <w:highlight w:val="none"/>
        </w:rPr>
        <w:t>一、投标函</w:t>
      </w:r>
      <w:bookmarkEnd w:id="154"/>
      <w:bookmarkEnd w:id="155"/>
      <w:bookmarkEnd w:id="156"/>
      <w:bookmarkEnd w:id="157"/>
      <w:bookmarkEnd w:id="158"/>
    </w:p>
    <w:p w14:paraId="3BDF0CC4">
      <w:pPr>
        <w:spacing w:line="360" w:lineRule="auto"/>
        <w:jc w:val="left"/>
        <w:rPr>
          <w:rFonts w:asciiTheme="minorEastAsia" w:hAnsiTheme="minorEastAsia" w:eastAsiaTheme="minorEastAsia" w:cstheme="minorEastAsia"/>
          <w:spacing w:val="4"/>
          <w:sz w:val="24"/>
          <w:szCs w:val="24"/>
          <w:highlight w:val="none"/>
          <w:u w:val="single"/>
        </w:rPr>
      </w:pPr>
      <w:r>
        <w:rPr>
          <w:rFonts w:hint="eastAsia" w:asciiTheme="minorEastAsia" w:hAnsiTheme="minorEastAsia" w:eastAsiaTheme="minorEastAsia" w:cstheme="minorEastAsia"/>
          <w:spacing w:val="4"/>
          <w:sz w:val="24"/>
          <w:szCs w:val="24"/>
          <w:highlight w:val="none"/>
        </w:rPr>
        <w:t xml:space="preserve">致：陕西至诚项目管理集团有限公司 </w:t>
      </w:r>
    </w:p>
    <w:p w14:paraId="1DE98B29">
      <w:pPr>
        <w:spacing w:line="360" w:lineRule="auto"/>
        <w:ind w:firstLine="496" w:firstLineChars="200"/>
        <w:rPr>
          <w:rFonts w:asciiTheme="minorEastAsia" w:hAnsiTheme="minorEastAsia" w:eastAsiaTheme="minorEastAsia" w:cstheme="minorEastAsia"/>
          <w:spacing w:val="4"/>
          <w:sz w:val="24"/>
          <w:szCs w:val="24"/>
          <w:highlight w:val="none"/>
          <w:u w:val="single"/>
        </w:rPr>
      </w:pPr>
      <w:r>
        <w:rPr>
          <w:rFonts w:hint="eastAsia" w:asciiTheme="minorEastAsia" w:hAnsiTheme="minorEastAsia" w:eastAsiaTheme="minorEastAsia" w:cstheme="minorEastAsia"/>
          <w:spacing w:val="4"/>
          <w:sz w:val="24"/>
          <w:szCs w:val="24"/>
          <w:highlight w:val="none"/>
        </w:rPr>
        <w:t>根据贵方“</w:t>
      </w:r>
      <w:r>
        <w:rPr>
          <w:rFonts w:hint="eastAsia" w:asciiTheme="minorEastAsia" w:hAnsiTheme="minorEastAsia" w:eastAsiaTheme="minorEastAsia" w:cstheme="minorEastAsia"/>
          <w:spacing w:val="4"/>
          <w:sz w:val="24"/>
          <w:szCs w:val="24"/>
          <w:highlight w:val="none"/>
          <w:u w:val="single"/>
        </w:rPr>
        <w:t xml:space="preserve">                      </w:t>
      </w:r>
      <w:r>
        <w:rPr>
          <w:rFonts w:hint="eastAsia" w:asciiTheme="minorEastAsia" w:hAnsiTheme="minorEastAsia" w:eastAsiaTheme="minorEastAsia" w:cstheme="minorEastAsia"/>
          <w:spacing w:val="4"/>
          <w:sz w:val="24"/>
          <w:szCs w:val="24"/>
          <w:highlight w:val="none"/>
        </w:rPr>
        <w:t>”项目的投标邀请</w:t>
      </w:r>
      <w:r>
        <w:rPr>
          <w:rFonts w:hint="eastAsia" w:asciiTheme="minorEastAsia" w:hAnsiTheme="minorEastAsia" w:eastAsiaTheme="minorEastAsia" w:cstheme="minorEastAsia"/>
          <w:spacing w:val="4"/>
          <w:sz w:val="24"/>
          <w:szCs w:val="24"/>
          <w:highlight w:val="none"/>
          <w:u w:val="single"/>
        </w:rPr>
        <w:t>(编号：     包号：</w:t>
      </w:r>
    </w:p>
    <w:p w14:paraId="734CE352">
      <w:pPr>
        <w:spacing w:line="360" w:lineRule="auto"/>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u w:val="single"/>
        </w:rPr>
        <w:t xml:space="preserve"> 第 包   )</w:t>
      </w:r>
      <w:r>
        <w:rPr>
          <w:rFonts w:hint="eastAsia" w:asciiTheme="minorEastAsia" w:hAnsiTheme="minorEastAsia" w:eastAsiaTheme="minorEastAsia" w:cstheme="minorEastAsia"/>
          <w:spacing w:val="4"/>
          <w:sz w:val="24"/>
          <w:szCs w:val="24"/>
          <w:highlight w:val="none"/>
        </w:rPr>
        <w:t>，签字代表</w:t>
      </w:r>
      <w:r>
        <w:rPr>
          <w:rFonts w:hint="eastAsia" w:asciiTheme="minorEastAsia" w:hAnsiTheme="minorEastAsia" w:eastAsiaTheme="minorEastAsia" w:cstheme="minorEastAsia"/>
          <w:spacing w:val="4"/>
          <w:sz w:val="24"/>
          <w:szCs w:val="24"/>
          <w:highlight w:val="none"/>
          <w:u w:val="single"/>
        </w:rPr>
        <w:t>（全名、职务）</w:t>
      </w:r>
      <w:r>
        <w:rPr>
          <w:rFonts w:hint="eastAsia" w:asciiTheme="minorEastAsia" w:hAnsiTheme="minorEastAsia" w:eastAsiaTheme="minorEastAsia" w:cstheme="minorEastAsia"/>
          <w:spacing w:val="4"/>
          <w:sz w:val="24"/>
          <w:szCs w:val="24"/>
          <w:highlight w:val="none"/>
        </w:rPr>
        <w:t>经正式授权并代表投标人</w:t>
      </w:r>
      <w:r>
        <w:rPr>
          <w:rFonts w:hint="eastAsia" w:asciiTheme="minorEastAsia" w:hAnsiTheme="minorEastAsia" w:eastAsiaTheme="minorEastAsia" w:cstheme="minorEastAsia"/>
          <w:spacing w:val="4"/>
          <w:sz w:val="24"/>
          <w:szCs w:val="24"/>
          <w:highlight w:val="none"/>
          <w:u w:val="single"/>
        </w:rPr>
        <w:t>(投标人名称、地址)</w:t>
      </w:r>
      <w:r>
        <w:rPr>
          <w:rFonts w:hint="eastAsia" w:asciiTheme="minorEastAsia" w:hAnsiTheme="minorEastAsia" w:eastAsiaTheme="minorEastAsia" w:cstheme="minorEastAsia"/>
          <w:spacing w:val="4"/>
          <w:sz w:val="24"/>
          <w:szCs w:val="24"/>
          <w:highlight w:val="none"/>
        </w:rPr>
        <w:t xml:space="preserve"> 提交投标文件正本壹份、副本一式</w:t>
      </w:r>
      <w:r>
        <w:rPr>
          <w:rFonts w:hint="eastAsia" w:asciiTheme="minorEastAsia" w:hAnsiTheme="minorEastAsia" w:eastAsiaTheme="minorEastAsia" w:cstheme="minorEastAsia"/>
          <w:spacing w:val="4"/>
          <w:sz w:val="24"/>
          <w:szCs w:val="24"/>
          <w:highlight w:val="none"/>
          <w:u w:val="single"/>
        </w:rPr>
        <w:t xml:space="preserve">  </w:t>
      </w:r>
      <w:r>
        <w:rPr>
          <w:rFonts w:hint="eastAsia" w:asciiTheme="minorEastAsia" w:hAnsiTheme="minorEastAsia" w:eastAsiaTheme="minorEastAsia" w:cstheme="minorEastAsia"/>
          <w:spacing w:val="4"/>
          <w:sz w:val="24"/>
          <w:szCs w:val="24"/>
          <w:highlight w:val="none"/>
        </w:rPr>
        <w:t>份,电子版</w:t>
      </w:r>
      <w:r>
        <w:rPr>
          <w:rFonts w:hint="eastAsia" w:asciiTheme="minorEastAsia" w:hAnsiTheme="minorEastAsia" w:eastAsiaTheme="minorEastAsia" w:cstheme="minorEastAsia"/>
          <w:spacing w:val="4"/>
          <w:sz w:val="24"/>
          <w:szCs w:val="24"/>
          <w:highlight w:val="none"/>
          <w:u w:val="single"/>
        </w:rPr>
        <w:t xml:space="preserve">    </w:t>
      </w:r>
      <w:r>
        <w:rPr>
          <w:rFonts w:hint="eastAsia" w:asciiTheme="minorEastAsia" w:hAnsiTheme="minorEastAsia" w:eastAsiaTheme="minorEastAsia" w:cstheme="minorEastAsia"/>
          <w:spacing w:val="4"/>
          <w:sz w:val="24"/>
          <w:szCs w:val="24"/>
          <w:highlight w:val="none"/>
        </w:rPr>
        <w:t>份。</w:t>
      </w:r>
    </w:p>
    <w:p w14:paraId="4C2F30E8">
      <w:pPr>
        <w:spacing w:line="360" w:lineRule="auto"/>
        <w:ind w:left="549" w:leftChars="251" w:hanging="22" w:hangingChars="9"/>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我方承诺如下：</w:t>
      </w:r>
    </w:p>
    <w:p w14:paraId="2DE88EB0">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1）投标总价为</w:t>
      </w:r>
      <w:r>
        <w:rPr>
          <w:rFonts w:hint="eastAsia" w:asciiTheme="minorEastAsia" w:hAnsiTheme="minorEastAsia" w:eastAsiaTheme="minorEastAsia" w:cstheme="minorEastAsia"/>
          <w:spacing w:val="4"/>
          <w:sz w:val="24"/>
          <w:szCs w:val="24"/>
          <w:highlight w:val="none"/>
          <w:u w:val="single"/>
        </w:rPr>
        <w:t xml:space="preserve">         </w:t>
      </w:r>
      <w:r>
        <w:rPr>
          <w:rFonts w:hint="eastAsia" w:asciiTheme="minorEastAsia" w:hAnsiTheme="minorEastAsia" w:eastAsiaTheme="minorEastAsia" w:cstheme="minorEastAsia"/>
          <w:spacing w:val="4"/>
          <w:sz w:val="24"/>
          <w:szCs w:val="24"/>
          <w:highlight w:val="none"/>
        </w:rPr>
        <w:t>（人民币）（用文字和数字表示的投标总价）。</w:t>
      </w:r>
    </w:p>
    <w:p w14:paraId="5BFA6B0A">
      <w:pPr>
        <w:tabs>
          <w:tab w:val="left" w:pos="2160"/>
        </w:tabs>
        <w:spacing w:line="360" w:lineRule="auto"/>
        <w:ind w:firstLine="496" w:firstLineChars="200"/>
        <w:jc w:val="left"/>
        <w:rPr>
          <w:rFonts w:hint="eastAsia"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2）如果成交，我们根据公开招标文件的规定，履行合同的责任和义务。</w:t>
      </w:r>
    </w:p>
    <w:p w14:paraId="001851F1">
      <w:pPr>
        <w:pStyle w:val="2"/>
        <w:ind w:firstLine="496" w:firstLineChars="200"/>
        <w:rPr>
          <w:rFonts w:hint="default" w:eastAsiaTheme="minorEastAsia"/>
          <w:highlight w:val="none"/>
          <w:lang w:val="en-US" w:eastAsia="zh-CN"/>
        </w:rPr>
      </w:pPr>
      <w:r>
        <w:rPr>
          <w:rFonts w:hint="eastAsia" w:asciiTheme="minorEastAsia" w:hAnsiTheme="minorEastAsia" w:eastAsiaTheme="minorEastAsia" w:cstheme="minorEastAsia"/>
          <w:spacing w:val="4"/>
          <w:sz w:val="24"/>
          <w:szCs w:val="24"/>
          <w:highlight w:val="none"/>
          <w:lang w:val="en-US" w:eastAsia="zh-CN"/>
        </w:rPr>
        <w:t>3）我公司拟派项目经理姓名：</w:t>
      </w:r>
      <w:r>
        <w:rPr>
          <w:rFonts w:hint="eastAsia" w:asciiTheme="minorEastAsia" w:hAnsiTheme="minorEastAsia" w:eastAsiaTheme="minorEastAsia" w:cstheme="minorEastAsia"/>
          <w:spacing w:val="4"/>
          <w:sz w:val="24"/>
          <w:szCs w:val="24"/>
          <w:highlight w:val="none"/>
          <w:u w:val="single"/>
          <w:lang w:val="en-US" w:eastAsia="zh-CN"/>
        </w:rPr>
        <w:t xml:space="preserve">          </w:t>
      </w:r>
      <w:r>
        <w:rPr>
          <w:rFonts w:hint="eastAsia" w:asciiTheme="minorEastAsia" w:hAnsiTheme="minorEastAsia" w:eastAsiaTheme="minorEastAsia" w:cstheme="minorEastAsia"/>
          <w:spacing w:val="4"/>
          <w:sz w:val="24"/>
          <w:szCs w:val="24"/>
          <w:highlight w:val="none"/>
          <w:u w:val="none"/>
          <w:lang w:val="en-US" w:eastAsia="zh-CN"/>
        </w:rPr>
        <w:t>；执业证书名称：</w:t>
      </w:r>
      <w:r>
        <w:rPr>
          <w:rFonts w:hint="eastAsia" w:asciiTheme="minorEastAsia" w:hAnsiTheme="minorEastAsia" w:eastAsiaTheme="minorEastAsia" w:cstheme="minorEastAsia"/>
          <w:spacing w:val="4"/>
          <w:sz w:val="24"/>
          <w:szCs w:val="24"/>
          <w:highlight w:val="none"/>
          <w:u w:val="single"/>
          <w:lang w:val="en-US" w:eastAsia="zh-CN"/>
        </w:rPr>
        <w:t xml:space="preserve">          </w:t>
      </w:r>
      <w:r>
        <w:rPr>
          <w:rFonts w:hint="eastAsia" w:asciiTheme="minorEastAsia" w:hAnsiTheme="minorEastAsia" w:eastAsiaTheme="minorEastAsia" w:cstheme="minorEastAsia"/>
          <w:spacing w:val="4"/>
          <w:sz w:val="24"/>
          <w:szCs w:val="24"/>
          <w:highlight w:val="none"/>
          <w:u w:val="none"/>
          <w:lang w:val="en-US" w:eastAsia="zh-CN"/>
        </w:rPr>
        <w:t>；执业证书信息（证书编号）：</w:t>
      </w:r>
      <w:r>
        <w:rPr>
          <w:rFonts w:hint="eastAsia" w:asciiTheme="minorEastAsia" w:hAnsiTheme="minorEastAsia" w:eastAsiaTheme="minorEastAsia" w:cstheme="minorEastAsia"/>
          <w:spacing w:val="4"/>
          <w:sz w:val="24"/>
          <w:szCs w:val="24"/>
          <w:highlight w:val="none"/>
          <w:u w:val="single"/>
          <w:lang w:val="en-US" w:eastAsia="zh-CN"/>
        </w:rPr>
        <w:t xml:space="preserve">           </w:t>
      </w:r>
      <w:r>
        <w:rPr>
          <w:rFonts w:hint="eastAsia" w:asciiTheme="minorEastAsia" w:hAnsiTheme="minorEastAsia" w:eastAsiaTheme="minorEastAsia" w:cstheme="minorEastAsia"/>
          <w:spacing w:val="4"/>
          <w:sz w:val="24"/>
          <w:szCs w:val="24"/>
          <w:highlight w:val="none"/>
          <w:u w:val="none"/>
          <w:lang w:val="en-US" w:eastAsia="zh-CN"/>
        </w:rPr>
        <w:t>。</w:t>
      </w:r>
    </w:p>
    <w:p w14:paraId="2ABC0E6B">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lang w:val="en-US" w:eastAsia="zh-CN"/>
        </w:rPr>
        <w:t>4</w:t>
      </w:r>
      <w:r>
        <w:rPr>
          <w:rFonts w:hint="eastAsia" w:asciiTheme="minorEastAsia" w:hAnsiTheme="minorEastAsia" w:eastAsiaTheme="minorEastAsia" w:cstheme="minorEastAsia"/>
          <w:spacing w:val="4"/>
          <w:sz w:val="24"/>
          <w:szCs w:val="24"/>
          <w:highlight w:val="none"/>
        </w:rPr>
        <w:t>）我们已详细阅读和审核全部公开招标文件（含修改部分，如有的话），及有关附件，我们知道必须放弃提出含糊不清或误解的问题的权利。</w:t>
      </w:r>
    </w:p>
    <w:p w14:paraId="72A28F27">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lang w:val="en-US" w:eastAsia="zh-CN"/>
        </w:rPr>
        <w:t>5</w:t>
      </w:r>
      <w:r>
        <w:rPr>
          <w:rFonts w:hint="eastAsia" w:asciiTheme="minorEastAsia" w:hAnsiTheme="minorEastAsia" w:eastAsiaTheme="minorEastAsia" w:cstheme="minorEastAsia"/>
          <w:spacing w:val="4"/>
          <w:sz w:val="24"/>
          <w:szCs w:val="24"/>
          <w:highlight w:val="none"/>
        </w:rPr>
        <w:t>）我们同意在投标有效期内（</w:t>
      </w:r>
      <w:r>
        <w:rPr>
          <w:rFonts w:hint="eastAsia" w:asciiTheme="minorEastAsia" w:hAnsiTheme="minorEastAsia" w:eastAsiaTheme="minorEastAsia" w:cstheme="minorEastAsia"/>
          <w:spacing w:val="4"/>
          <w:sz w:val="24"/>
          <w:szCs w:val="24"/>
          <w:highlight w:val="none"/>
          <w:u w:val="single"/>
        </w:rPr>
        <w:t>自投标之日起  天内</w:t>
      </w:r>
      <w:r>
        <w:rPr>
          <w:rFonts w:hint="eastAsia" w:asciiTheme="minorEastAsia" w:hAnsiTheme="minorEastAsia" w:eastAsiaTheme="minorEastAsia" w:cstheme="minorEastAsia"/>
          <w:spacing w:val="4"/>
          <w:sz w:val="24"/>
          <w:szCs w:val="24"/>
          <w:highlight w:val="none"/>
        </w:rPr>
        <w:t>），本投标函对我方具有约束力。</w:t>
      </w:r>
    </w:p>
    <w:p w14:paraId="65B6C1A4">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lang w:val="en-US" w:eastAsia="zh-CN"/>
        </w:rPr>
        <w:t>6</w:t>
      </w:r>
      <w:r>
        <w:rPr>
          <w:rFonts w:hint="eastAsia" w:asciiTheme="minorEastAsia" w:hAnsiTheme="minorEastAsia" w:eastAsiaTheme="minorEastAsia" w:cstheme="minorEastAsia"/>
          <w:spacing w:val="4"/>
          <w:sz w:val="24"/>
          <w:szCs w:val="24"/>
          <w:highlight w:val="none"/>
        </w:rPr>
        <w:t>）如果在投标后规定的投标有效期内撤回投标，我们的投标保证金可被贵方没收。</w:t>
      </w:r>
    </w:p>
    <w:p w14:paraId="2CEDA9E7">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lang w:val="en-US" w:eastAsia="zh-CN"/>
        </w:rPr>
        <w:t>7</w:t>
      </w:r>
      <w:r>
        <w:rPr>
          <w:rFonts w:hint="eastAsia" w:asciiTheme="minorEastAsia" w:hAnsiTheme="minorEastAsia" w:eastAsiaTheme="minorEastAsia" w:cstheme="minorEastAsia"/>
          <w:spacing w:val="4"/>
          <w:sz w:val="24"/>
          <w:szCs w:val="24"/>
          <w:highlight w:val="none"/>
        </w:rPr>
        <w:t xml:space="preserve">）同意提供贵方可能另外要求的与本投标有关的任何证据和资料。 </w:t>
      </w:r>
    </w:p>
    <w:p w14:paraId="612C210F">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lang w:val="en-US" w:eastAsia="zh-CN"/>
        </w:rPr>
        <w:t>8</w:t>
      </w:r>
      <w:r>
        <w:rPr>
          <w:rFonts w:hint="eastAsia" w:asciiTheme="minorEastAsia" w:hAnsiTheme="minorEastAsia" w:eastAsiaTheme="minorEastAsia" w:cstheme="minorEastAsia"/>
          <w:spacing w:val="4"/>
          <w:sz w:val="24"/>
          <w:szCs w:val="24"/>
          <w:highlight w:val="none"/>
        </w:rPr>
        <w:t>）我们同意，如果成交，向陕西至诚项目管理集团有限公司交纳招标代理服务费。</w:t>
      </w:r>
    </w:p>
    <w:p w14:paraId="26C6997F">
      <w:pPr>
        <w:tabs>
          <w:tab w:val="left" w:pos="2160"/>
        </w:tabs>
        <w:spacing w:line="360" w:lineRule="auto"/>
        <w:ind w:firstLine="496" w:firstLineChars="2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lang w:val="en-US" w:eastAsia="zh-CN"/>
        </w:rPr>
        <w:t>9</w:t>
      </w:r>
      <w:r>
        <w:rPr>
          <w:rFonts w:hint="eastAsia" w:asciiTheme="minorEastAsia" w:hAnsiTheme="minorEastAsia" w:eastAsiaTheme="minorEastAsia" w:cstheme="minorEastAsia"/>
          <w:spacing w:val="4"/>
          <w:sz w:val="24"/>
          <w:szCs w:val="24"/>
          <w:highlight w:val="none"/>
        </w:rPr>
        <w:t>）与本投标有关的一切正式往来通讯为：</w:t>
      </w:r>
    </w:p>
    <w:p w14:paraId="5F12DE69">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联系地址：</w:t>
      </w:r>
    </w:p>
    <w:p w14:paraId="3A56ECE8">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邮政编码：</w:t>
      </w:r>
    </w:p>
    <w:p w14:paraId="6FBCA58A">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电    话：</w:t>
      </w:r>
    </w:p>
    <w:p w14:paraId="00C00A41">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传    真：</w:t>
      </w:r>
    </w:p>
    <w:p w14:paraId="25035DF1">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投标人名称（盖章）：</w:t>
      </w:r>
    </w:p>
    <w:p w14:paraId="56AFAB37">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投标人法定代表人签字或盖章：</w:t>
      </w:r>
    </w:p>
    <w:p w14:paraId="746607B6">
      <w:pPr>
        <w:spacing w:line="360" w:lineRule="auto"/>
        <w:ind w:firstLine="1240" w:firstLineChars="500"/>
        <w:jc w:val="left"/>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t>日    期：</w:t>
      </w:r>
    </w:p>
    <w:p w14:paraId="7A25C940">
      <w:pPr>
        <w:pStyle w:val="7"/>
        <w:spacing w:beforeLines="100"/>
        <w:rPr>
          <w:rFonts w:asciiTheme="minorEastAsia" w:hAnsiTheme="minorEastAsia" w:eastAsiaTheme="minorEastAsia" w:cstheme="minorEastAsia"/>
          <w:sz w:val="32"/>
          <w:szCs w:val="32"/>
          <w:highlight w:val="none"/>
        </w:rPr>
      </w:pPr>
      <w:r>
        <w:rPr>
          <w:rFonts w:hint="eastAsia" w:asciiTheme="minorEastAsia" w:hAnsiTheme="minorEastAsia" w:eastAsiaTheme="minorEastAsia" w:cstheme="minorEastAsia"/>
          <w:highlight w:val="none"/>
        </w:rPr>
        <w:br w:type="page"/>
      </w:r>
      <w:bookmarkStart w:id="159" w:name="_Toc4562"/>
      <w:bookmarkStart w:id="160" w:name="_Toc31119"/>
      <w:bookmarkStart w:id="161" w:name="_Toc13504"/>
      <w:bookmarkStart w:id="162" w:name="_Toc14574"/>
      <w:bookmarkStart w:id="163" w:name="_Toc3285"/>
      <w:r>
        <w:rPr>
          <w:rFonts w:hint="eastAsia" w:asciiTheme="minorEastAsia" w:hAnsiTheme="minorEastAsia" w:eastAsiaTheme="minorEastAsia" w:cstheme="minorEastAsia"/>
          <w:sz w:val="32"/>
          <w:szCs w:val="32"/>
          <w:highlight w:val="none"/>
        </w:rPr>
        <w:t>二、开标一览表</w:t>
      </w:r>
      <w:bookmarkEnd w:id="159"/>
      <w:bookmarkEnd w:id="160"/>
      <w:bookmarkEnd w:id="161"/>
      <w:bookmarkEnd w:id="162"/>
      <w:bookmarkEnd w:id="163"/>
    </w:p>
    <w:p w14:paraId="364CF39E">
      <w:pPr>
        <w:jc w:val="center"/>
        <w:rPr>
          <w:rFonts w:asciiTheme="minorEastAsia" w:hAnsiTheme="minorEastAsia" w:eastAsiaTheme="minorEastAsia" w:cstheme="minorEastAsia"/>
          <w:b/>
          <w:sz w:val="30"/>
          <w:szCs w:val="30"/>
          <w:highlight w:val="none"/>
        </w:rPr>
      </w:pPr>
      <w:r>
        <w:rPr>
          <w:rFonts w:hint="eastAsia" w:asciiTheme="minorEastAsia" w:hAnsiTheme="minorEastAsia" w:eastAsiaTheme="minorEastAsia" w:cstheme="minorEastAsia"/>
          <w:b/>
          <w:sz w:val="30"/>
          <w:szCs w:val="30"/>
          <w:highlight w:val="none"/>
        </w:rPr>
        <w:t>2.1报价一览表</w:t>
      </w:r>
    </w:p>
    <w:p w14:paraId="23CA64BA">
      <w:pPr>
        <w:tabs>
          <w:tab w:val="left" w:pos="7080"/>
          <w:tab w:val="left" w:pos="8504"/>
        </w:tabs>
        <w:spacing w:line="360" w:lineRule="auto"/>
        <w:ind w:right="-1"/>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项目名称：</w:t>
      </w:r>
    </w:p>
    <w:p w14:paraId="723229F0">
      <w:pPr>
        <w:tabs>
          <w:tab w:val="left" w:pos="7080"/>
          <w:tab w:val="left" w:pos="8504"/>
        </w:tabs>
        <w:spacing w:line="360" w:lineRule="auto"/>
        <w:ind w:right="-1"/>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项目编号、包号（第  包）：</w:t>
      </w:r>
    </w:p>
    <w:tbl>
      <w:tblPr>
        <w:tblStyle w:val="27"/>
        <w:tblW w:w="864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47"/>
        <w:gridCol w:w="6593"/>
      </w:tblGrid>
      <w:tr w14:paraId="39CC97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2047" w:type="dxa"/>
            <w:vMerge w:val="restart"/>
            <w:vAlign w:val="center"/>
          </w:tcPr>
          <w:p w14:paraId="36BA1D2D">
            <w:pPr>
              <w:jc w:val="center"/>
              <w:rPr>
                <w:rFonts w:ascii="宋体"/>
                <w:sz w:val="24"/>
                <w:szCs w:val="24"/>
                <w:highlight w:val="none"/>
              </w:rPr>
            </w:pPr>
            <w:r>
              <w:rPr>
                <w:rFonts w:hint="eastAsia" w:ascii="宋体" w:hAnsi="宋体" w:cs="宋体"/>
                <w:sz w:val="24"/>
                <w:szCs w:val="24"/>
                <w:highlight w:val="none"/>
              </w:rPr>
              <w:t>投标总报价（元）</w:t>
            </w:r>
          </w:p>
        </w:tc>
        <w:tc>
          <w:tcPr>
            <w:tcW w:w="6593" w:type="dxa"/>
            <w:vAlign w:val="center"/>
          </w:tcPr>
          <w:p w14:paraId="4A66BDD6">
            <w:pPr>
              <w:rPr>
                <w:rFonts w:ascii="宋体"/>
                <w:sz w:val="24"/>
                <w:szCs w:val="24"/>
                <w:highlight w:val="none"/>
              </w:rPr>
            </w:pPr>
            <w:r>
              <w:rPr>
                <w:rFonts w:hint="eastAsia" w:ascii="宋体" w:hAnsi="宋体" w:cs="宋体"/>
                <w:sz w:val="24"/>
                <w:szCs w:val="24"/>
                <w:highlight w:val="none"/>
              </w:rPr>
              <w:t>小写：</w:t>
            </w:r>
          </w:p>
        </w:tc>
      </w:tr>
      <w:tr w14:paraId="3FA058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2047" w:type="dxa"/>
            <w:vMerge w:val="continue"/>
            <w:vAlign w:val="center"/>
          </w:tcPr>
          <w:p w14:paraId="119E21B6">
            <w:pPr>
              <w:rPr>
                <w:highlight w:val="none"/>
              </w:rPr>
            </w:pPr>
          </w:p>
        </w:tc>
        <w:tc>
          <w:tcPr>
            <w:tcW w:w="6593" w:type="dxa"/>
            <w:vAlign w:val="center"/>
          </w:tcPr>
          <w:p w14:paraId="58E80197">
            <w:pPr>
              <w:rPr>
                <w:rFonts w:ascii="宋体"/>
                <w:sz w:val="24"/>
                <w:szCs w:val="24"/>
                <w:highlight w:val="none"/>
              </w:rPr>
            </w:pPr>
            <w:r>
              <w:rPr>
                <w:rFonts w:hint="eastAsia" w:ascii="宋体" w:hAnsi="宋体" w:cs="宋体"/>
                <w:sz w:val="24"/>
                <w:szCs w:val="24"/>
                <w:highlight w:val="none"/>
              </w:rPr>
              <w:t>大写：</w:t>
            </w:r>
          </w:p>
        </w:tc>
      </w:tr>
      <w:tr w14:paraId="71835D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2047" w:type="dxa"/>
            <w:vAlign w:val="center"/>
          </w:tcPr>
          <w:p w14:paraId="081C1386">
            <w:pPr>
              <w:jc w:val="center"/>
              <w:rPr>
                <w:rFonts w:ascii="宋体" w:hAnsi="宋体" w:cs="宋体"/>
                <w:sz w:val="24"/>
                <w:szCs w:val="24"/>
                <w:highlight w:val="none"/>
              </w:rPr>
            </w:pPr>
            <w:r>
              <w:rPr>
                <w:rFonts w:hint="eastAsia" w:ascii="宋体" w:hAnsi="宋体" w:cs="宋体"/>
                <w:sz w:val="24"/>
                <w:szCs w:val="24"/>
                <w:highlight w:val="none"/>
              </w:rPr>
              <w:t>工期</w:t>
            </w:r>
          </w:p>
        </w:tc>
        <w:tc>
          <w:tcPr>
            <w:tcW w:w="6593" w:type="dxa"/>
            <w:vAlign w:val="center"/>
          </w:tcPr>
          <w:p w14:paraId="3470B54D">
            <w:pPr>
              <w:rPr>
                <w:rFonts w:ascii="宋体"/>
                <w:sz w:val="24"/>
                <w:szCs w:val="24"/>
                <w:highlight w:val="none"/>
              </w:rPr>
            </w:pPr>
          </w:p>
        </w:tc>
      </w:tr>
      <w:tr w14:paraId="5F28C1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2047" w:type="dxa"/>
            <w:vAlign w:val="center"/>
          </w:tcPr>
          <w:p w14:paraId="79FB6C1A">
            <w:pPr>
              <w:jc w:val="center"/>
              <w:rPr>
                <w:rFonts w:ascii="宋体"/>
                <w:sz w:val="24"/>
                <w:szCs w:val="24"/>
                <w:highlight w:val="none"/>
              </w:rPr>
            </w:pPr>
            <w:r>
              <w:rPr>
                <w:rFonts w:hint="eastAsia" w:ascii="宋体" w:hAnsi="宋体" w:cs="宋体"/>
                <w:sz w:val="24"/>
                <w:szCs w:val="24"/>
                <w:highlight w:val="none"/>
              </w:rPr>
              <w:t>质量标准</w:t>
            </w:r>
          </w:p>
        </w:tc>
        <w:tc>
          <w:tcPr>
            <w:tcW w:w="6593" w:type="dxa"/>
            <w:vAlign w:val="center"/>
          </w:tcPr>
          <w:p w14:paraId="75CA4141">
            <w:pPr>
              <w:rPr>
                <w:rFonts w:ascii="宋体"/>
                <w:sz w:val="24"/>
                <w:szCs w:val="24"/>
                <w:highlight w:val="none"/>
              </w:rPr>
            </w:pPr>
          </w:p>
        </w:tc>
      </w:tr>
      <w:tr w14:paraId="6487FD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7" w:hRule="atLeast"/>
          <w:jc w:val="center"/>
        </w:trPr>
        <w:tc>
          <w:tcPr>
            <w:tcW w:w="2047" w:type="dxa"/>
            <w:vAlign w:val="center"/>
          </w:tcPr>
          <w:p w14:paraId="7B7AF755">
            <w:pPr>
              <w:jc w:val="center"/>
              <w:rPr>
                <w:rFonts w:ascii="宋体"/>
                <w:sz w:val="24"/>
                <w:szCs w:val="24"/>
                <w:highlight w:val="none"/>
              </w:rPr>
            </w:pPr>
            <w:r>
              <w:rPr>
                <w:rFonts w:hint="eastAsia" w:ascii="宋体" w:hAnsi="宋体" w:cs="宋体"/>
                <w:sz w:val="24"/>
                <w:szCs w:val="24"/>
                <w:highlight w:val="none"/>
              </w:rPr>
              <w:t>备注</w:t>
            </w:r>
          </w:p>
        </w:tc>
        <w:tc>
          <w:tcPr>
            <w:tcW w:w="6593" w:type="dxa"/>
            <w:vAlign w:val="center"/>
          </w:tcPr>
          <w:p w14:paraId="2EEA5588">
            <w:pPr>
              <w:rPr>
                <w:rFonts w:ascii="宋体"/>
                <w:sz w:val="24"/>
                <w:szCs w:val="24"/>
                <w:highlight w:val="none"/>
              </w:rPr>
            </w:pPr>
          </w:p>
        </w:tc>
      </w:tr>
    </w:tbl>
    <w:p w14:paraId="53EC8B3B">
      <w:pPr>
        <w:spacing w:line="120" w:lineRule="exact"/>
        <w:rPr>
          <w:rFonts w:asciiTheme="minorEastAsia" w:hAnsiTheme="minorEastAsia" w:eastAsiaTheme="minorEastAsia" w:cstheme="minorEastAsia"/>
          <w:sz w:val="24"/>
          <w:szCs w:val="24"/>
          <w:highlight w:val="none"/>
        </w:rPr>
      </w:pPr>
    </w:p>
    <w:p w14:paraId="2AB8D1A5">
      <w:pPr>
        <w:spacing w:line="360" w:lineRule="auto"/>
        <w:rPr>
          <w:rFonts w:asciiTheme="minorEastAsia" w:hAnsiTheme="minorEastAsia" w:eastAsiaTheme="minorEastAsia" w:cstheme="minorEastAsia"/>
          <w:sz w:val="24"/>
          <w:szCs w:val="24"/>
          <w:highlight w:val="none"/>
        </w:rPr>
      </w:pPr>
    </w:p>
    <w:p w14:paraId="6B4AF6B0">
      <w:pPr>
        <w:spacing w:line="480" w:lineRule="auto"/>
        <w:ind w:right="540" w:rightChars="257"/>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投标人名称：</w:t>
      </w:r>
      <w:r>
        <w:rPr>
          <w:rFonts w:hint="eastAsia" w:asciiTheme="minorEastAsia" w:hAnsiTheme="minorEastAsia" w:eastAsiaTheme="minorEastAsia" w:cstheme="minorEastAsia"/>
          <w:sz w:val="24"/>
          <w:szCs w:val="24"/>
          <w:highlight w:val="none"/>
          <w:u w:val="single"/>
        </w:rPr>
        <w:t xml:space="preserve">      （加盖投标人公章）      </w:t>
      </w:r>
    </w:p>
    <w:p w14:paraId="34FCD153">
      <w:pPr>
        <w:spacing w:line="480" w:lineRule="auto"/>
        <w:ind w:right="540" w:rightChars="257"/>
        <w:jc w:val="left"/>
        <w:rPr>
          <w:rFonts w:asciiTheme="minorEastAsia" w:hAnsiTheme="minorEastAsia" w:eastAsiaTheme="minorEastAsia" w:cstheme="minorEastAsia"/>
          <w:sz w:val="24"/>
          <w:szCs w:val="24"/>
          <w:highlight w:val="none"/>
        </w:rPr>
      </w:pPr>
    </w:p>
    <w:p w14:paraId="246CA2B4">
      <w:pPr>
        <w:spacing w:line="480" w:lineRule="auto"/>
        <w:ind w:right="540" w:rightChars="257"/>
        <w:jc w:val="left"/>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法定代表人/或被授权人签字或盖章：</w:t>
      </w:r>
    </w:p>
    <w:p w14:paraId="3643680E">
      <w:pPr>
        <w:spacing w:line="480" w:lineRule="auto"/>
        <w:ind w:right="540" w:rightChars="257"/>
        <w:jc w:val="left"/>
        <w:rPr>
          <w:rFonts w:asciiTheme="minorEastAsia" w:hAnsiTheme="minorEastAsia" w:eastAsiaTheme="minorEastAsia" w:cstheme="minorEastAsia"/>
          <w:sz w:val="24"/>
          <w:szCs w:val="24"/>
          <w:highlight w:val="none"/>
        </w:rPr>
      </w:pPr>
    </w:p>
    <w:p w14:paraId="4900231D">
      <w:pPr>
        <w:spacing w:line="480" w:lineRule="auto"/>
        <w:ind w:right="540" w:rightChars="257"/>
        <w:rPr>
          <w:rFonts w:hint="eastAsia" w:asciiTheme="minorEastAsia" w:hAnsiTheme="minorEastAsia" w:eastAsiaTheme="minorEastAsia" w:cstheme="minorEastAsia"/>
          <w:sz w:val="24"/>
          <w:szCs w:val="24"/>
          <w:highlight w:val="none"/>
        </w:rPr>
        <w:sectPr>
          <w:pgSz w:w="11906" w:h="16838"/>
          <w:pgMar w:top="1304" w:right="1361" w:bottom="1304" w:left="1361" w:header="851" w:footer="992" w:gutter="0"/>
          <w:cols w:space="720" w:num="1"/>
          <w:docGrid w:type="lines" w:linePitch="312" w:charSpace="0"/>
        </w:sectPr>
      </w:pPr>
      <w:r>
        <w:rPr>
          <w:rFonts w:hint="eastAsia" w:asciiTheme="minorEastAsia" w:hAnsiTheme="minorEastAsia" w:eastAsiaTheme="minorEastAsia" w:cstheme="minorEastAsia"/>
          <w:sz w:val="24"/>
          <w:szCs w:val="24"/>
          <w:highlight w:val="none"/>
        </w:rPr>
        <w:t>日    期：</w:t>
      </w:r>
    </w:p>
    <w:p w14:paraId="457A352C">
      <w:pPr>
        <w:jc w:val="center"/>
        <w:rPr>
          <w:rFonts w:hint="eastAsia" w:asciiTheme="minorEastAsia" w:hAnsiTheme="minorEastAsia" w:eastAsiaTheme="minorEastAsia" w:cstheme="minorEastAsia"/>
          <w:b/>
          <w:sz w:val="30"/>
          <w:szCs w:val="30"/>
          <w:highlight w:val="none"/>
          <w:lang w:val="en-US" w:eastAsia="zh-CN"/>
        </w:rPr>
      </w:pPr>
      <w:r>
        <w:rPr>
          <w:rFonts w:hint="eastAsia" w:asciiTheme="minorEastAsia" w:hAnsiTheme="minorEastAsia" w:eastAsiaTheme="minorEastAsia" w:cstheme="minorEastAsia"/>
          <w:b/>
          <w:sz w:val="30"/>
          <w:szCs w:val="30"/>
          <w:highlight w:val="none"/>
          <w:lang w:val="en-US" w:eastAsia="zh-CN"/>
        </w:rPr>
        <w:t>2.2分项报价表</w:t>
      </w:r>
    </w:p>
    <w:p w14:paraId="0858E27B">
      <w:pPr>
        <w:jc w:val="center"/>
        <w:rPr>
          <w:highlight w:val="none"/>
        </w:rPr>
      </w:pPr>
    </w:p>
    <w:p w14:paraId="10AB7D94">
      <w:pPr>
        <w:spacing w:line="312" w:lineRule="auto"/>
        <w:ind w:right="540" w:rightChars="257"/>
        <w:jc w:val="left"/>
        <w:rPr>
          <w:rFonts w:hint="eastAsia" w:asciiTheme="minorEastAsia" w:hAnsiTheme="minorEastAsia" w:eastAsiaTheme="minorEastAsia" w:cstheme="minorEastAsia"/>
          <w:sz w:val="24"/>
          <w:highlight w:val="none"/>
        </w:rPr>
      </w:pPr>
      <w:r>
        <w:rPr>
          <w:highlight w:val="none"/>
        </w:rPr>
        <w:drawing>
          <wp:inline distT="0" distB="0" distL="114300" distR="114300">
            <wp:extent cx="9026525" cy="2934970"/>
            <wp:effectExtent l="0" t="0" r="3175" b="17780"/>
            <wp:docPr id="4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
                    <pic:cNvPicPr>
                      <a:picLocks noChangeAspect="1"/>
                    </pic:cNvPicPr>
                  </pic:nvPicPr>
                  <pic:blipFill>
                    <a:blip r:embed="rId51"/>
                    <a:stretch>
                      <a:fillRect/>
                    </a:stretch>
                  </pic:blipFill>
                  <pic:spPr>
                    <a:xfrm>
                      <a:off x="0" y="0"/>
                      <a:ext cx="9026525" cy="2934970"/>
                    </a:xfrm>
                    <a:prstGeom prst="rect">
                      <a:avLst/>
                    </a:prstGeom>
                    <a:noFill/>
                    <a:ln>
                      <a:noFill/>
                    </a:ln>
                  </pic:spPr>
                </pic:pic>
              </a:graphicData>
            </a:graphic>
          </wp:inline>
        </w:drawing>
      </w:r>
      <w:r>
        <w:rPr>
          <w:rFonts w:hint="eastAsia" w:asciiTheme="minorEastAsia" w:hAnsiTheme="minorEastAsia" w:eastAsiaTheme="minorEastAsia" w:cstheme="minorEastAsia"/>
          <w:sz w:val="24"/>
          <w:highlight w:val="none"/>
        </w:rPr>
        <w:t>投标人名称：</w:t>
      </w:r>
      <w:r>
        <w:rPr>
          <w:rFonts w:hint="eastAsia" w:asciiTheme="minorEastAsia" w:hAnsiTheme="minorEastAsia" w:eastAsiaTheme="minorEastAsia" w:cstheme="minorEastAsia"/>
          <w:sz w:val="24"/>
          <w:highlight w:val="none"/>
          <w:u w:val="single"/>
        </w:rPr>
        <w:t xml:space="preserve">      （加盖投标人公章）      </w:t>
      </w:r>
    </w:p>
    <w:p w14:paraId="700C7DEB">
      <w:pPr>
        <w:spacing w:line="312" w:lineRule="auto"/>
        <w:ind w:right="540" w:rightChars="257"/>
        <w:jc w:val="left"/>
        <w:rPr>
          <w:rFonts w:hint="eastAsia"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日    期：</w:t>
      </w:r>
    </w:p>
    <w:p w14:paraId="3E38EBBB">
      <w:pPr>
        <w:rPr>
          <w:rFonts w:hint="eastAsia"/>
          <w:highlight w:val="none"/>
          <w:lang w:val="en-US" w:eastAsia="zh-CN"/>
        </w:rPr>
      </w:pPr>
      <w:r>
        <w:rPr>
          <w:rFonts w:hint="eastAsia"/>
          <w:highlight w:val="none"/>
          <w:lang w:val="en-US" w:eastAsia="zh-CN"/>
        </w:rPr>
        <w:br w:type="page"/>
      </w:r>
      <w:r>
        <w:rPr>
          <w:rFonts w:hint="eastAsia"/>
          <w:highlight w:val="none"/>
          <w:lang w:val="en-US" w:eastAsia="zh-CN"/>
        </w:rPr>
        <w:t>举例如下：</w:t>
      </w:r>
    </w:p>
    <w:p w14:paraId="713E9662">
      <w:pPr>
        <w:rPr>
          <w:rFonts w:hint="eastAsia"/>
          <w:highlight w:val="none"/>
          <w:lang w:val="en-US" w:eastAsia="zh-CN"/>
        </w:rPr>
      </w:pPr>
      <w:r>
        <w:rPr>
          <w:highlight w:val="none"/>
        </w:rPr>
        <w:drawing>
          <wp:inline distT="0" distB="0" distL="114300" distR="114300">
            <wp:extent cx="9034780" cy="2797810"/>
            <wp:effectExtent l="0" t="0" r="13970" b="2540"/>
            <wp:docPr id="4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
                    <pic:cNvPicPr>
                      <a:picLocks noChangeAspect="1"/>
                    </pic:cNvPicPr>
                  </pic:nvPicPr>
                  <pic:blipFill>
                    <a:blip r:embed="rId52"/>
                    <a:stretch>
                      <a:fillRect/>
                    </a:stretch>
                  </pic:blipFill>
                  <pic:spPr>
                    <a:xfrm>
                      <a:off x="0" y="0"/>
                      <a:ext cx="9034780" cy="2797810"/>
                    </a:xfrm>
                    <a:prstGeom prst="rect">
                      <a:avLst/>
                    </a:prstGeom>
                    <a:noFill/>
                    <a:ln>
                      <a:noFill/>
                    </a:ln>
                  </pic:spPr>
                </pic:pic>
              </a:graphicData>
            </a:graphic>
          </wp:inline>
        </w:drawing>
      </w:r>
    </w:p>
    <w:p w14:paraId="42C731CA">
      <w:pPr>
        <w:rPr>
          <w:rFonts w:hint="eastAsia" w:asciiTheme="minorEastAsia" w:hAnsiTheme="minorEastAsia" w:eastAsiaTheme="minorEastAsia" w:cstheme="minorEastAsia"/>
          <w:b/>
          <w:sz w:val="30"/>
          <w:szCs w:val="30"/>
          <w:highlight w:val="none"/>
          <w:lang w:val="en-US" w:eastAsia="zh-CN"/>
        </w:rPr>
        <w:sectPr>
          <w:type w:val="continuous"/>
          <w:pgSz w:w="16838" w:h="11906" w:orient="landscape"/>
          <w:pgMar w:top="1361" w:right="1304" w:bottom="1361" w:left="1304" w:header="851" w:footer="992" w:gutter="0"/>
          <w:cols w:space="720" w:num="1"/>
          <w:docGrid w:type="lines" w:linePitch="312" w:charSpace="0"/>
        </w:sectPr>
      </w:pPr>
    </w:p>
    <w:p w14:paraId="0B5F3E4A">
      <w:pPr>
        <w:spacing w:beforeLines="50" w:afterLines="50" w:line="480" w:lineRule="auto"/>
        <w:jc w:val="center"/>
        <w:rPr>
          <w:rFonts w:asciiTheme="minorEastAsia" w:hAnsiTheme="minorEastAsia" w:eastAsiaTheme="minorEastAsia" w:cstheme="minorEastAsia"/>
          <w:b/>
          <w:bCs/>
          <w:sz w:val="30"/>
          <w:szCs w:val="30"/>
          <w:highlight w:val="none"/>
        </w:rPr>
      </w:pPr>
    </w:p>
    <w:p w14:paraId="65480518">
      <w:pPr>
        <w:pStyle w:val="7"/>
        <w:tabs>
          <w:tab w:val="left" w:pos="4860"/>
        </w:tabs>
        <w:spacing w:beforeLines="0" w:afterLines="50"/>
        <w:rPr>
          <w:rFonts w:asciiTheme="minorEastAsia" w:hAnsiTheme="minorEastAsia" w:eastAsiaTheme="minorEastAsia" w:cstheme="minorEastAsia"/>
          <w:sz w:val="32"/>
          <w:szCs w:val="32"/>
          <w:highlight w:val="none"/>
        </w:rPr>
      </w:pPr>
      <w:bookmarkStart w:id="164" w:name="_Toc10537"/>
      <w:bookmarkStart w:id="165" w:name="_Toc6360"/>
      <w:bookmarkStart w:id="166" w:name="_Toc31089"/>
      <w:bookmarkStart w:id="167" w:name="_Toc2477"/>
      <w:bookmarkStart w:id="168" w:name="_Toc344572163"/>
      <w:r>
        <w:rPr>
          <w:rFonts w:hint="eastAsia" w:asciiTheme="minorEastAsia" w:hAnsiTheme="minorEastAsia" w:eastAsiaTheme="minorEastAsia" w:cstheme="minorEastAsia"/>
          <w:sz w:val="30"/>
          <w:szCs w:val="30"/>
          <w:highlight w:val="none"/>
        </w:rPr>
        <w:t>三、</w:t>
      </w:r>
      <w:r>
        <w:rPr>
          <w:rFonts w:hint="eastAsia" w:asciiTheme="minorEastAsia" w:hAnsiTheme="minorEastAsia" w:eastAsiaTheme="minorEastAsia" w:cstheme="minorEastAsia"/>
          <w:sz w:val="32"/>
          <w:szCs w:val="32"/>
          <w:highlight w:val="none"/>
        </w:rPr>
        <w:t>商务响应偏离表</w:t>
      </w:r>
      <w:bookmarkEnd w:id="164"/>
      <w:bookmarkEnd w:id="165"/>
      <w:bookmarkEnd w:id="166"/>
      <w:bookmarkEnd w:id="167"/>
    </w:p>
    <w:p w14:paraId="556A3171">
      <w:pPr>
        <w:spacing w:after="120" w:line="276" w:lineRule="auto"/>
        <w:rPr>
          <w:rFonts w:asciiTheme="minorEastAsia" w:hAnsiTheme="minorEastAsia" w:eastAsiaTheme="minorEastAsia" w:cstheme="minorEastAsia"/>
          <w:sz w:val="24"/>
          <w:szCs w:val="32"/>
          <w:highlight w:val="none"/>
        </w:rPr>
      </w:pPr>
      <w:r>
        <w:rPr>
          <w:rFonts w:hint="eastAsia" w:asciiTheme="minorEastAsia" w:hAnsiTheme="minorEastAsia" w:eastAsiaTheme="minorEastAsia" w:cstheme="minorEastAsia"/>
          <w:sz w:val="24"/>
          <w:szCs w:val="32"/>
          <w:highlight w:val="none"/>
        </w:rPr>
        <w:t>项目名称</w:t>
      </w:r>
    </w:p>
    <w:p w14:paraId="66C78F94">
      <w:pPr>
        <w:spacing w:after="120" w:line="276" w:lineRule="auto"/>
        <w:rPr>
          <w:rFonts w:asciiTheme="minorEastAsia" w:hAnsiTheme="minorEastAsia" w:eastAsiaTheme="minorEastAsia" w:cstheme="minorEastAsia"/>
          <w:sz w:val="24"/>
          <w:szCs w:val="32"/>
          <w:highlight w:val="none"/>
        </w:rPr>
      </w:pPr>
      <w:r>
        <w:rPr>
          <w:rFonts w:hint="eastAsia" w:asciiTheme="minorEastAsia" w:hAnsiTheme="minorEastAsia" w:eastAsiaTheme="minorEastAsia" w:cstheme="minorEastAsia"/>
          <w:sz w:val="24"/>
          <w:szCs w:val="32"/>
          <w:highlight w:val="none"/>
        </w:rPr>
        <w:t>项目编号、包号（第  包）：</w:t>
      </w:r>
    </w:p>
    <w:tbl>
      <w:tblPr>
        <w:tblStyle w:val="27"/>
        <w:tblW w:w="8792" w:type="dxa"/>
        <w:jc w:val="cente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Layout w:type="fixed"/>
        <w:tblCellMar>
          <w:top w:w="0" w:type="dxa"/>
          <w:left w:w="28" w:type="dxa"/>
          <w:bottom w:w="0" w:type="dxa"/>
          <w:right w:w="28" w:type="dxa"/>
        </w:tblCellMar>
      </w:tblPr>
      <w:tblGrid>
        <w:gridCol w:w="1890"/>
        <w:gridCol w:w="1995"/>
        <w:gridCol w:w="2688"/>
        <w:gridCol w:w="1212"/>
        <w:gridCol w:w="1007"/>
      </w:tblGrid>
      <w:tr w14:paraId="71BAED4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trHeight w:val="620" w:hRule="atLeast"/>
          <w:jc w:val="center"/>
        </w:trPr>
        <w:tc>
          <w:tcPr>
            <w:tcW w:w="1890" w:type="dxa"/>
            <w:vAlign w:val="center"/>
          </w:tcPr>
          <w:p w14:paraId="45E2FAC0">
            <w:pPr>
              <w:spacing w:line="360" w:lineRule="auto"/>
              <w:jc w:val="center"/>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名称</w:t>
            </w:r>
          </w:p>
        </w:tc>
        <w:tc>
          <w:tcPr>
            <w:tcW w:w="1995" w:type="dxa"/>
            <w:vAlign w:val="center"/>
          </w:tcPr>
          <w:p w14:paraId="0524C64B">
            <w:pPr>
              <w:spacing w:line="360" w:lineRule="auto"/>
              <w:jc w:val="center"/>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招标文件商务要求</w:t>
            </w:r>
          </w:p>
        </w:tc>
        <w:tc>
          <w:tcPr>
            <w:tcW w:w="2688" w:type="dxa"/>
            <w:vAlign w:val="center"/>
          </w:tcPr>
          <w:p w14:paraId="5D6DBF4C">
            <w:pPr>
              <w:spacing w:line="360" w:lineRule="auto"/>
              <w:jc w:val="center"/>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投标文件商务响应</w:t>
            </w:r>
          </w:p>
        </w:tc>
        <w:tc>
          <w:tcPr>
            <w:tcW w:w="1212" w:type="dxa"/>
            <w:vAlign w:val="center"/>
          </w:tcPr>
          <w:p w14:paraId="01BA4F2A">
            <w:pPr>
              <w:spacing w:line="360" w:lineRule="auto"/>
              <w:jc w:val="center"/>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偏离</w:t>
            </w:r>
          </w:p>
        </w:tc>
        <w:tc>
          <w:tcPr>
            <w:tcW w:w="1007" w:type="dxa"/>
            <w:vAlign w:val="center"/>
          </w:tcPr>
          <w:p w14:paraId="11CC1057">
            <w:pPr>
              <w:spacing w:line="360" w:lineRule="auto"/>
              <w:jc w:val="center"/>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说明</w:t>
            </w:r>
          </w:p>
        </w:tc>
      </w:tr>
      <w:tr w14:paraId="2F109816">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890" w:type="dxa"/>
          </w:tcPr>
          <w:p w14:paraId="57B7B159">
            <w:pPr>
              <w:spacing w:line="360" w:lineRule="auto"/>
              <w:jc w:val="center"/>
              <w:rPr>
                <w:rFonts w:asciiTheme="minorEastAsia" w:hAnsiTheme="minorEastAsia" w:eastAsiaTheme="minorEastAsia" w:cstheme="minorEastAsia"/>
                <w:sz w:val="24"/>
                <w:szCs w:val="24"/>
                <w:highlight w:val="none"/>
              </w:rPr>
            </w:pPr>
          </w:p>
        </w:tc>
        <w:tc>
          <w:tcPr>
            <w:tcW w:w="1995" w:type="dxa"/>
          </w:tcPr>
          <w:p w14:paraId="6267BD43">
            <w:pPr>
              <w:spacing w:line="360" w:lineRule="auto"/>
              <w:jc w:val="center"/>
              <w:rPr>
                <w:rFonts w:asciiTheme="minorEastAsia" w:hAnsiTheme="minorEastAsia" w:eastAsiaTheme="minorEastAsia" w:cstheme="minorEastAsia"/>
                <w:sz w:val="24"/>
                <w:szCs w:val="24"/>
                <w:highlight w:val="none"/>
              </w:rPr>
            </w:pPr>
          </w:p>
        </w:tc>
        <w:tc>
          <w:tcPr>
            <w:tcW w:w="2688" w:type="dxa"/>
          </w:tcPr>
          <w:p w14:paraId="75FA201B">
            <w:pPr>
              <w:spacing w:line="360" w:lineRule="auto"/>
              <w:jc w:val="center"/>
              <w:rPr>
                <w:rFonts w:asciiTheme="minorEastAsia" w:hAnsiTheme="minorEastAsia" w:eastAsiaTheme="minorEastAsia" w:cstheme="minorEastAsia"/>
                <w:sz w:val="24"/>
                <w:szCs w:val="24"/>
                <w:highlight w:val="none"/>
              </w:rPr>
            </w:pPr>
          </w:p>
        </w:tc>
        <w:tc>
          <w:tcPr>
            <w:tcW w:w="1212" w:type="dxa"/>
          </w:tcPr>
          <w:p w14:paraId="240343E0">
            <w:pPr>
              <w:spacing w:line="360" w:lineRule="auto"/>
              <w:jc w:val="center"/>
              <w:rPr>
                <w:rFonts w:asciiTheme="minorEastAsia" w:hAnsiTheme="minorEastAsia" w:eastAsiaTheme="minorEastAsia" w:cstheme="minorEastAsia"/>
                <w:sz w:val="24"/>
                <w:szCs w:val="24"/>
                <w:highlight w:val="none"/>
              </w:rPr>
            </w:pPr>
          </w:p>
        </w:tc>
        <w:tc>
          <w:tcPr>
            <w:tcW w:w="1007" w:type="dxa"/>
          </w:tcPr>
          <w:p w14:paraId="080DB314">
            <w:pPr>
              <w:spacing w:line="360" w:lineRule="auto"/>
              <w:jc w:val="center"/>
              <w:rPr>
                <w:rFonts w:asciiTheme="minorEastAsia" w:hAnsiTheme="minorEastAsia" w:eastAsiaTheme="minorEastAsia" w:cstheme="minorEastAsia"/>
                <w:sz w:val="24"/>
                <w:szCs w:val="24"/>
                <w:highlight w:val="none"/>
              </w:rPr>
            </w:pPr>
          </w:p>
        </w:tc>
      </w:tr>
      <w:tr w14:paraId="7895DEEC">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890" w:type="dxa"/>
          </w:tcPr>
          <w:p w14:paraId="31B96C07">
            <w:pPr>
              <w:spacing w:line="360" w:lineRule="auto"/>
              <w:jc w:val="center"/>
              <w:rPr>
                <w:rFonts w:asciiTheme="minorEastAsia" w:hAnsiTheme="minorEastAsia" w:eastAsiaTheme="minorEastAsia" w:cstheme="minorEastAsia"/>
                <w:sz w:val="24"/>
                <w:szCs w:val="24"/>
                <w:highlight w:val="none"/>
              </w:rPr>
            </w:pPr>
          </w:p>
        </w:tc>
        <w:tc>
          <w:tcPr>
            <w:tcW w:w="1995" w:type="dxa"/>
          </w:tcPr>
          <w:p w14:paraId="65E2EEF5">
            <w:pPr>
              <w:spacing w:line="360" w:lineRule="auto"/>
              <w:jc w:val="center"/>
              <w:rPr>
                <w:rFonts w:asciiTheme="minorEastAsia" w:hAnsiTheme="minorEastAsia" w:eastAsiaTheme="minorEastAsia" w:cstheme="minorEastAsia"/>
                <w:sz w:val="24"/>
                <w:szCs w:val="24"/>
                <w:highlight w:val="none"/>
              </w:rPr>
            </w:pPr>
          </w:p>
        </w:tc>
        <w:tc>
          <w:tcPr>
            <w:tcW w:w="2688" w:type="dxa"/>
          </w:tcPr>
          <w:p w14:paraId="0DACDA27">
            <w:pPr>
              <w:spacing w:line="360" w:lineRule="auto"/>
              <w:jc w:val="center"/>
              <w:rPr>
                <w:rFonts w:asciiTheme="minorEastAsia" w:hAnsiTheme="minorEastAsia" w:eastAsiaTheme="minorEastAsia" w:cstheme="minorEastAsia"/>
                <w:sz w:val="24"/>
                <w:szCs w:val="24"/>
                <w:highlight w:val="none"/>
              </w:rPr>
            </w:pPr>
          </w:p>
        </w:tc>
        <w:tc>
          <w:tcPr>
            <w:tcW w:w="1212" w:type="dxa"/>
          </w:tcPr>
          <w:p w14:paraId="103FE8FC">
            <w:pPr>
              <w:spacing w:line="360" w:lineRule="auto"/>
              <w:jc w:val="center"/>
              <w:rPr>
                <w:rFonts w:asciiTheme="minorEastAsia" w:hAnsiTheme="minorEastAsia" w:eastAsiaTheme="minorEastAsia" w:cstheme="minorEastAsia"/>
                <w:sz w:val="24"/>
                <w:szCs w:val="24"/>
                <w:highlight w:val="none"/>
              </w:rPr>
            </w:pPr>
          </w:p>
        </w:tc>
        <w:tc>
          <w:tcPr>
            <w:tcW w:w="1007" w:type="dxa"/>
          </w:tcPr>
          <w:p w14:paraId="0DE984DF">
            <w:pPr>
              <w:spacing w:line="360" w:lineRule="auto"/>
              <w:jc w:val="center"/>
              <w:rPr>
                <w:rFonts w:asciiTheme="minorEastAsia" w:hAnsiTheme="minorEastAsia" w:eastAsiaTheme="minorEastAsia" w:cstheme="minorEastAsia"/>
                <w:sz w:val="24"/>
                <w:szCs w:val="24"/>
                <w:highlight w:val="none"/>
              </w:rPr>
            </w:pPr>
          </w:p>
        </w:tc>
      </w:tr>
      <w:tr w14:paraId="491232B7">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890" w:type="dxa"/>
          </w:tcPr>
          <w:p w14:paraId="77BD3894">
            <w:pPr>
              <w:spacing w:line="360" w:lineRule="auto"/>
              <w:jc w:val="center"/>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w:t>
            </w:r>
          </w:p>
        </w:tc>
        <w:tc>
          <w:tcPr>
            <w:tcW w:w="1995" w:type="dxa"/>
          </w:tcPr>
          <w:p w14:paraId="2160C751">
            <w:pPr>
              <w:spacing w:line="360" w:lineRule="auto"/>
              <w:jc w:val="center"/>
              <w:rPr>
                <w:rFonts w:asciiTheme="minorEastAsia" w:hAnsiTheme="minorEastAsia" w:eastAsiaTheme="minorEastAsia" w:cstheme="minorEastAsia"/>
                <w:sz w:val="24"/>
                <w:szCs w:val="24"/>
                <w:highlight w:val="none"/>
              </w:rPr>
            </w:pPr>
          </w:p>
        </w:tc>
        <w:tc>
          <w:tcPr>
            <w:tcW w:w="2688" w:type="dxa"/>
          </w:tcPr>
          <w:p w14:paraId="081019E6">
            <w:pPr>
              <w:spacing w:line="360" w:lineRule="auto"/>
              <w:jc w:val="center"/>
              <w:rPr>
                <w:rFonts w:asciiTheme="minorEastAsia" w:hAnsiTheme="minorEastAsia" w:eastAsiaTheme="minorEastAsia" w:cstheme="minorEastAsia"/>
                <w:sz w:val="24"/>
                <w:szCs w:val="24"/>
                <w:highlight w:val="none"/>
              </w:rPr>
            </w:pPr>
          </w:p>
        </w:tc>
        <w:tc>
          <w:tcPr>
            <w:tcW w:w="1212" w:type="dxa"/>
          </w:tcPr>
          <w:p w14:paraId="6EFED46B">
            <w:pPr>
              <w:spacing w:line="360" w:lineRule="auto"/>
              <w:jc w:val="center"/>
              <w:rPr>
                <w:rFonts w:asciiTheme="minorEastAsia" w:hAnsiTheme="minorEastAsia" w:eastAsiaTheme="minorEastAsia" w:cstheme="minorEastAsia"/>
                <w:sz w:val="24"/>
                <w:szCs w:val="24"/>
                <w:highlight w:val="none"/>
              </w:rPr>
            </w:pPr>
          </w:p>
        </w:tc>
        <w:tc>
          <w:tcPr>
            <w:tcW w:w="1007" w:type="dxa"/>
          </w:tcPr>
          <w:p w14:paraId="4DCC41FD">
            <w:pPr>
              <w:spacing w:line="360" w:lineRule="auto"/>
              <w:jc w:val="center"/>
              <w:rPr>
                <w:rFonts w:asciiTheme="minorEastAsia" w:hAnsiTheme="minorEastAsia" w:eastAsiaTheme="minorEastAsia" w:cstheme="minorEastAsia"/>
                <w:sz w:val="24"/>
                <w:szCs w:val="24"/>
                <w:highlight w:val="none"/>
              </w:rPr>
            </w:pPr>
          </w:p>
        </w:tc>
      </w:tr>
      <w:tr w14:paraId="1EF33E3E">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890" w:type="dxa"/>
          </w:tcPr>
          <w:p w14:paraId="36C272BB">
            <w:pPr>
              <w:spacing w:line="360" w:lineRule="auto"/>
              <w:jc w:val="center"/>
              <w:rPr>
                <w:rFonts w:asciiTheme="minorEastAsia" w:hAnsiTheme="minorEastAsia" w:eastAsiaTheme="minorEastAsia" w:cstheme="minorEastAsia"/>
                <w:sz w:val="24"/>
                <w:szCs w:val="24"/>
                <w:highlight w:val="none"/>
              </w:rPr>
            </w:pPr>
          </w:p>
        </w:tc>
        <w:tc>
          <w:tcPr>
            <w:tcW w:w="1995" w:type="dxa"/>
          </w:tcPr>
          <w:p w14:paraId="6648A8B8">
            <w:pPr>
              <w:spacing w:line="360" w:lineRule="auto"/>
              <w:jc w:val="center"/>
              <w:rPr>
                <w:rFonts w:asciiTheme="minorEastAsia" w:hAnsiTheme="minorEastAsia" w:eastAsiaTheme="minorEastAsia" w:cstheme="minorEastAsia"/>
                <w:sz w:val="24"/>
                <w:szCs w:val="24"/>
                <w:highlight w:val="none"/>
              </w:rPr>
            </w:pPr>
          </w:p>
        </w:tc>
        <w:tc>
          <w:tcPr>
            <w:tcW w:w="2688" w:type="dxa"/>
          </w:tcPr>
          <w:p w14:paraId="556CDEDD">
            <w:pPr>
              <w:spacing w:line="360" w:lineRule="auto"/>
              <w:jc w:val="center"/>
              <w:rPr>
                <w:rFonts w:asciiTheme="minorEastAsia" w:hAnsiTheme="minorEastAsia" w:eastAsiaTheme="minorEastAsia" w:cstheme="minorEastAsia"/>
                <w:sz w:val="24"/>
                <w:szCs w:val="24"/>
                <w:highlight w:val="none"/>
              </w:rPr>
            </w:pPr>
          </w:p>
        </w:tc>
        <w:tc>
          <w:tcPr>
            <w:tcW w:w="1212" w:type="dxa"/>
          </w:tcPr>
          <w:p w14:paraId="54E68272">
            <w:pPr>
              <w:spacing w:line="360" w:lineRule="auto"/>
              <w:jc w:val="center"/>
              <w:rPr>
                <w:rFonts w:asciiTheme="minorEastAsia" w:hAnsiTheme="minorEastAsia" w:eastAsiaTheme="minorEastAsia" w:cstheme="minorEastAsia"/>
                <w:sz w:val="24"/>
                <w:szCs w:val="24"/>
                <w:highlight w:val="none"/>
              </w:rPr>
            </w:pPr>
          </w:p>
        </w:tc>
        <w:tc>
          <w:tcPr>
            <w:tcW w:w="1007" w:type="dxa"/>
          </w:tcPr>
          <w:p w14:paraId="37E2ABB2">
            <w:pPr>
              <w:spacing w:line="360" w:lineRule="auto"/>
              <w:jc w:val="center"/>
              <w:rPr>
                <w:rFonts w:asciiTheme="minorEastAsia" w:hAnsiTheme="minorEastAsia" w:eastAsiaTheme="minorEastAsia" w:cstheme="minorEastAsia"/>
                <w:sz w:val="24"/>
                <w:szCs w:val="24"/>
                <w:highlight w:val="none"/>
              </w:rPr>
            </w:pPr>
          </w:p>
        </w:tc>
      </w:tr>
      <w:tr w14:paraId="349533D2">
        <w:tblPrEx>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28" w:type="dxa"/>
            <w:bottom w:w="0" w:type="dxa"/>
            <w:right w:w="28" w:type="dxa"/>
          </w:tblCellMar>
        </w:tblPrEx>
        <w:trPr>
          <w:cantSplit/>
          <w:trHeight w:val="620" w:hRule="atLeast"/>
          <w:jc w:val="center"/>
        </w:trPr>
        <w:tc>
          <w:tcPr>
            <w:tcW w:w="1890" w:type="dxa"/>
          </w:tcPr>
          <w:p w14:paraId="76DD5D94">
            <w:pPr>
              <w:spacing w:line="360" w:lineRule="auto"/>
              <w:jc w:val="center"/>
              <w:rPr>
                <w:rFonts w:asciiTheme="minorEastAsia" w:hAnsiTheme="minorEastAsia" w:eastAsiaTheme="minorEastAsia" w:cstheme="minorEastAsia"/>
                <w:sz w:val="24"/>
                <w:szCs w:val="24"/>
                <w:highlight w:val="none"/>
              </w:rPr>
            </w:pPr>
          </w:p>
        </w:tc>
        <w:tc>
          <w:tcPr>
            <w:tcW w:w="1995" w:type="dxa"/>
          </w:tcPr>
          <w:p w14:paraId="1F8BC2FE">
            <w:pPr>
              <w:spacing w:line="360" w:lineRule="auto"/>
              <w:jc w:val="center"/>
              <w:rPr>
                <w:rFonts w:asciiTheme="minorEastAsia" w:hAnsiTheme="minorEastAsia" w:eastAsiaTheme="minorEastAsia" w:cstheme="minorEastAsia"/>
                <w:sz w:val="24"/>
                <w:szCs w:val="24"/>
                <w:highlight w:val="none"/>
              </w:rPr>
            </w:pPr>
          </w:p>
        </w:tc>
        <w:tc>
          <w:tcPr>
            <w:tcW w:w="2688" w:type="dxa"/>
          </w:tcPr>
          <w:p w14:paraId="188B0A6A">
            <w:pPr>
              <w:spacing w:line="360" w:lineRule="auto"/>
              <w:jc w:val="center"/>
              <w:rPr>
                <w:rFonts w:asciiTheme="minorEastAsia" w:hAnsiTheme="minorEastAsia" w:eastAsiaTheme="minorEastAsia" w:cstheme="minorEastAsia"/>
                <w:sz w:val="24"/>
                <w:szCs w:val="24"/>
                <w:highlight w:val="none"/>
              </w:rPr>
            </w:pPr>
          </w:p>
        </w:tc>
        <w:tc>
          <w:tcPr>
            <w:tcW w:w="1212" w:type="dxa"/>
          </w:tcPr>
          <w:p w14:paraId="432C326B">
            <w:pPr>
              <w:spacing w:line="360" w:lineRule="auto"/>
              <w:jc w:val="center"/>
              <w:rPr>
                <w:rFonts w:asciiTheme="minorEastAsia" w:hAnsiTheme="minorEastAsia" w:eastAsiaTheme="minorEastAsia" w:cstheme="minorEastAsia"/>
                <w:sz w:val="24"/>
                <w:szCs w:val="24"/>
                <w:highlight w:val="none"/>
              </w:rPr>
            </w:pPr>
          </w:p>
        </w:tc>
        <w:tc>
          <w:tcPr>
            <w:tcW w:w="1007" w:type="dxa"/>
          </w:tcPr>
          <w:p w14:paraId="4F2231FD">
            <w:pPr>
              <w:spacing w:line="360" w:lineRule="auto"/>
              <w:jc w:val="center"/>
              <w:rPr>
                <w:rFonts w:asciiTheme="minorEastAsia" w:hAnsiTheme="minorEastAsia" w:eastAsiaTheme="minorEastAsia" w:cstheme="minorEastAsia"/>
                <w:sz w:val="24"/>
                <w:szCs w:val="24"/>
                <w:highlight w:val="none"/>
              </w:rPr>
            </w:pPr>
          </w:p>
        </w:tc>
      </w:tr>
    </w:tbl>
    <w:p w14:paraId="66D83B84">
      <w:pPr>
        <w:spacing w:line="360" w:lineRule="auto"/>
        <w:ind w:firstLine="48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声明：除本商务偏离表中所列的偏离项目外，其它所有商务均完全响应“招标文件”中的要求。</w:t>
      </w:r>
    </w:p>
    <w:bookmarkEnd w:id="168"/>
    <w:p w14:paraId="10CC7332">
      <w:pPr>
        <w:spacing w:line="312" w:lineRule="auto"/>
        <w:ind w:right="540" w:rightChars="257"/>
        <w:jc w:val="left"/>
        <w:rPr>
          <w:rFonts w:asciiTheme="minorEastAsia" w:hAnsiTheme="minorEastAsia" w:eastAsiaTheme="minorEastAsia" w:cstheme="minorEastAsia"/>
          <w:sz w:val="24"/>
          <w:highlight w:val="none"/>
        </w:rPr>
      </w:pPr>
    </w:p>
    <w:p w14:paraId="60D2AD37">
      <w:pPr>
        <w:spacing w:line="312" w:lineRule="auto"/>
        <w:ind w:right="540" w:rightChars="257"/>
        <w:jc w:val="left"/>
        <w:rPr>
          <w:rFonts w:asciiTheme="minorEastAsia" w:hAnsiTheme="minorEastAsia" w:eastAsiaTheme="minorEastAsia" w:cstheme="minorEastAsia"/>
          <w:sz w:val="24"/>
          <w:highlight w:val="none"/>
          <w:u w:val="single"/>
        </w:rPr>
      </w:pPr>
      <w:r>
        <w:rPr>
          <w:rFonts w:hint="eastAsia" w:asciiTheme="minorEastAsia" w:hAnsiTheme="minorEastAsia" w:eastAsiaTheme="minorEastAsia" w:cstheme="minorEastAsia"/>
          <w:sz w:val="24"/>
          <w:highlight w:val="none"/>
        </w:rPr>
        <w:t>投标人名称：</w:t>
      </w:r>
      <w:r>
        <w:rPr>
          <w:rFonts w:hint="eastAsia" w:asciiTheme="minorEastAsia" w:hAnsiTheme="minorEastAsia" w:eastAsiaTheme="minorEastAsia" w:cstheme="minorEastAsia"/>
          <w:sz w:val="24"/>
          <w:highlight w:val="none"/>
          <w:u w:val="single"/>
        </w:rPr>
        <w:t xml:space="preserve">      （加盖投标人公章）      </w:t>
      </w:r>
    </w:p>
    <w:p w14:paraId="4134CB08">
      <w:pPr>
        <w:spacing w:line="312" w:lineRule="auto"/>
        <w:ind w:right="540" w:rightChars="257"/>
        <w:jc w:val="left"/>
        <w:rPr>
          <w:rFonts w:asciiTheme="minorEastAsia" w:hAnsiTheme="minorEastAsia" w:eastAsiaTheme="minorEastAsia" w:cstheme="minorEastAsia"/>
          <w:sz w:val="24"/>
          <w:highlight w:val="none"/>
          <w:u w:val="single"/>
        </w:rPr>
      </w:pPr>
    </w:p>
    <w:p w14:paraId="7EB5C86D">
      <w:pPr>
        <w:spacing w:line="312" w:lineRule="auto"/>
        <w:ind w:right="540" w:rightChars="257"/>
        <w:jc w:val="left"/>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法定代表人或被授权人签字或盖章：</w:t>
      </w:r>
    </w:p>
    <w:p w14:paraId="1645167C">
      <w:pPr>
        <w:spacing w:line="312" w:lineRule="auto"/>
        <w:ind w:right="540" w:rightChars="257"/>
        <w:jc w:val="left"/>
        <w:rPr>
          <w:rFonts w:asciiTheme="minorEastAsia" w:hAnsiTheme="minorEastAsia" w:eastAsiaTheme="minorEastAsia" w:cstheme="minorEastAsia"/>
          <w:sz w:val="24"/>
          <w:highlight w:val="none"/>
        </w:rPr>
      </w:pPr>
    </w:p>
    <w:p w14:paraId="0202FF18">
      <w:pPr>
        <w:spacing w:line="312" w:lineRule="auto"/>
        <w:ind w:right="540" w:rightChars="257"/>
        <w:rPr>
          <w:rFonts w:asciiTheme="minorEastAsia" w:hAnsiTheme="minorEastAsia" w:eastAsiaTheme="minorEastAsia" w:cstheme="minorEastAsia"/>
          <w:sz w:val="24"/>
          <w:highlight w:val="none"/>
        </w:rPr>
      </w:pPr>
      <w:r>
        <w:rPr>
          <w:rFonts w:hint="eastAsia" w:asciiTheme="minorEastAsia" w:hAnsiTheme="minorEastAsia" w:eastAsiaTheme="minorEastAsia" w:cstheme="minorEastAsia"/>
          <w:sz w:val="24"/>
          <w:highlight w:val="none"/>
        </w:rPr>
        <w:t>日    期：</w:t>
      </w:r>
    </w:p>
    <w:p w14:paraId="08C3A8D0">
      <w:pPr>
        <w:pStyle w:val="24"/>
        <w:rPr>
          <w:rFonts w:asciiTheme="minorEastAsia" w:hAnsiTheme="minorEastAsia" w:eastAsiaTheme="minorEastAsia" w:cstheme="minorEastAsia"/>
          <w:color w:val="auto"/>
          <w:highlight w:val="none"/>
        </w:rPr>
      </w:pPr>
    </w:p>
    <w:p w14:paraId="6A84E314">
      <w:pPr>
        <w:pStyle w:val="24"/>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说明：</w:t>
      </w:r>
    </w:p>
    <w:p w14:paraId="57A4262D">
      <w:pPr>
        <w:pStyle w:val="24"/>
        <w:ind w:firstLine="480" w:firstLineChars="200"/>
        <w:jc w:val="both"/>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1.本表只填写投标文件中与招标文件有偏离（包括正偏离和负偏离）的内容，投标文件中商务响应与招标文件要求完全一致的，不用在此表中列出，但必须提交空白表。</w:t>
      </w:r>
    </w:p>
    <w:p w14:paraId="24C8B602">
      <w:pPr>
        <w:pStyle w:val="24"/>
        <w:ind w:firstLine="480" w:firstLineChars="200"/>
        <w:rPr>
          <w:rFonts w:asciiTheme="minorEastAsia" w:hAnsiTheme="minorEastAsia" w:eastAsiaTheme="minorEastAsia" w:cstheme="minorEastAsia"/>
          <w:color w:val="auto"/>
          <w:highlight w:val="none"/>
        </w:rPr>
      </w:pPr>
      <w:r>
        <w:rPr>
          <w:rFonts w:hint="eastAsia" w:asciiTheme="minorEastAsia" w:hAnsiTheme="minorEastAsia" w:eastAsiaTheme="minorEastAsia" w:cstheme="minorEastAsia"/>
          <w:color w:val="auto"/>
          <w:highlight w:val="none"/>
        </w:rPr>
        <w:t>2.投标人必须据实填写，不得虚假响应，否则将取消其投标或中标资格，并按有关规定进处罚。</w:t>
      </w:r>
    </w:p>
    <w:p w14:paraId="3F10CD1C">
      <w:pPr>
        <w:pStyle w:val="24"/>
        <w:rPr>
          <w:rFonts w:asciiTheme="minorEastAsia" w:hAnsiTheme="minorEastAsia" w:eastAsiaTheme="minorEastAsia" w:cstheme="minorEastAsia"/>
          <w:color w:val="auto"/>
          <w:highlight w:val="none"/>
        </w:rPr>
      </w:pPr>
    </w:p>
    <w:p w14:paraId="62A5628F">
      <w:pPr>
        <w:rPr>
          <w:rFonts w:asciiTheme="minorEastAsia" w:hAnsiTheme="minorEastAsia" w:eastAsiaTheme="minorEastAsia" w:cstheme="minorEastAsia"/>
          <w:sz w:val="24"/>
          <w:highlight w:val="none"/>
        </w:rPr>
      </w:pPr>
    </w:p>
    <w:p w14:paraId="5145B85D">
      <w:pPr>
        <w:pStyle w:val="7"/>
        <w:spacing w:beforeLines="100"/>
        <w:rPr>
          <w:rFonts w:asciiTheme="minorEastAsia" w:hAnsiTheme="minorEastAsia" w:eastAsiaTheme="minorEastAsia" w:cstheme="minorEastAsia"/>
          <w:b w:val="0"/>
          <w:highlight w:val="none"/>
        </w:rPr>
      </w:pPr>
      <w:r>
        <w:rPr>
          <w:rFonts w:hint="eastAsia" w:asciiTheme="minorEastAsia" w:hAnsiTheme="minorEastAsia" w:eastAsiaTheme="minorEastAsia" w:cstheme="minorEastAsia"/>
          <w:sz w:val="32"/>
          <w:szCs w:val="32"/>
          <w:highlight w:val="none"/>
        </w:rPr>
        <w:br w:type="page"/>
      </w:r>
      <w:bookmarkStart w:id="169" w:name="_Toc28513"/>
      <w:bookmarkStart w:id="170" w:name="_Toc11699"/>
      <w:bookmarkStart w:id="171" w:name="_Toc9782"/>
      <w:bookmarkStart w:id="172" w:name="_Toc27879"/>
      <w:bookmarkStart w:id="173" w:name="_Toc400"/>
      <w:r>
        <w:rPr>
          <w:rFonts w:hint="eastAsia" w:asciiTheme="minorEastAsia" w:hAnsiTheme="minorEastAsia" w:eastAsiaTheme="minorEastAsia" w:cstheme="minorEastAsia"/>
          <w:sz w:val="32"/>
          <w:szCs w:val="32"/>
          <w:highlight w:val="none"/>
        </w:rPr>
        <w:t>四、投标方案说明书</w:t>
      </w:r>
      <w:bookmarkEnd w:id="169"/>
      <w:bookmarkEnd w:id="170"/>
      <w:bookmarkEnd w:id="171"/>
      <w:bookmarkEnd w:id="172"/>
      <w:bookmarkEnd w:id="173"/>
    </w:p>
    <w:p w14:paraId="175A746E">
      <w:pPr>
        <w:rPr>
          <w:rFonts w:asciiTheme="minorEastAsia" w:hAnsiTheme="minorEastAsia" w:eastAsiaTheme="minorEastAsia" w:cstheme="minorEastAsia"/>
          <w:highlight w:val="none"/>
        </w:rPr>
      </w:pPr>
    </w:p>
    <w:p w14:paraId="42C9854A">
      <w:pPr>
        <w:adjustRightInd w:val="0"/>
        <w:spacing w:after="120" w:line="440" w:lineRule="exact"/>
        <w:ind w:firstLine="480" w:firstLineChars="200"/>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按照招标文件的要求编制，根据评审办法进行编制，主要内容包含但不限于以下内容：</w:t>
      </w:r>
    </w:p>
    <w:p w14:paraId="2BC3A83E">
      <w:pPr>
        <w:spacing w:line="480" w:lineRule="auto"/>
        <w:ind w:firstLine="480" w:firstLineChars="200"/>
        <w:rPr>
          <w:rFonts w:hint="default" w:ascii="宋体" w:hAnsi="宋体" w:eastAsia="宋体" w:cs="宋体"/>
          <w:sz w:val="24"/>
          <w:szCs w:val="24"/>
          <w:highlight w:val="none"/>
          <w:lang w:val="en-US" w:eastAsia="zh-CN"/>
        </w:rPr>
      </w:pPr>
      <w:r>
        <w:rPr>
          <w:rFonts w:hint="eastAsia" w:ascii="宋体" w:hAnsi="宋体" w:cs="宋体"/>
          <w:sz w:val="24"/>
          <w:szCs w:val="24"/>
          <w:highlight w:val="none"/>
        </w:rPr>
        <w:t>①项目管理部门及人员配备</w:t>
      </w:r>
    </w:p>
    <w:p w14:paraId="72001733">
      <w:pPr>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②项目实施方案</w:t>
      </w:r>
    </w:p>
    <w:p w14:paraId="4FD9E9AF">
      <w:pPr>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③工程进度计划与保障措施</w:t>
      </w:r>
    </w:p>
    <w:p w14:paraId="163ADF66">
      <w:pPr>
        <w:pStyle w:val="26"/>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④确保工程质量</w:t>
      </w:r>
      <w:r>
        <w:rPr>
          <w:rFonts w:hint="eastAsia" w:hAnsi="宋体" w:cs="宋体"/>
          <w:sz w:val="24"/>
          <w:szCs w:val="24"/>
          <w:highlight w:val="none"/>
        </w:rPr>
        <w:t>的</w:t>
      </w:r>
      <w:r>
        <w:rPr>
          <w:rFonts w:hint="eastAsia" w:ascii="宋体" w:hAnsi="宋体" w:cs="宋体"/>
          <w:sz w:val="24"/>
          <w:szCs w:val="24"/>
          <w:highlight w:val="none"/>
        </w:rPr>
        <w:t>组织措施</w:t>
      </w:r>
    </w:p>
    <w:p w14:paraId="6FA1DC4D">
      <w:pPr>
        <w:pStyle w:val="26"/>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⑤文明施工、环境保护管理体系与措施</w:t>
      </w:r>
    </w:p>
    <w:p w14:paraId="2447B572">
      <w:pPr>
        <w:pStyle w:val="26"/>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⑥主要机具、设备和劳动力配备情况</w:t>
      </w:r>
    </w:p>
    <w:p w14:paraId="42845197">
      <w:pPr>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⑦安全保障方案及应急措施</w:t>
      </w:r>
    </w:p>
    <w:p w14:paraId="196AC796">
      <w:pPr>
        <w:spacing w:line="480" w:lineRule="auto"/>
        <w:ind w:firstLine="480" w:firstLineChars="200"/>
        <w:rPr>
          <w:rFonts w:ascii="宋体" w:hAnsi="宋体" w:cs="宋体"/>
          <w:sz w:val="24"/>
          <w:szCs w:val="24"/>
          <w:highlight w:val="none"/>
        </w:rPr>
      </w:pPr>
      <w:r>
        <w:rPr>
          <w:rFonts w:hint="eastAsia" w:ascii="宋体" w:hAnsi="宋体" w:cs="宋体"/>
          <w:sz w:val="24"/>
          <w:szCs w:val="24"/>
          <w:highlight w:val="none"/>
        </w:rPr>
        <w:t>⑧质量承诺</w:t>
      </w:r>
    </w:p>
    <w:p w14:paraId="52A77A79">
      <w:pPr>
        <w:spacing w:line="580" w:lineRule="exact"/>
        <w:ind w:firstLine="480" w:firstLineChars="200"/>
        <w:rPr>
          <w:rFonts w:asciiTheme="minorEastAsia" w:hAnsiTheme="minorEastAsia" w:eastAsiaTheme="minorEastAsia" w:cstheme="minorEastAsia"/>
          <w:sz w:val="24"/>
          <w:szCs w:val="24"/>
          <w:highlight w:val="none"/>
        </w:rPr>
      </w:pPr>
    </w:p>
    <w:p w14:paraId="4B0C126B">
      <w:pPr>
        <w:spacing w:line="580" w:lineRule="exact"/>
        <w:ind w:firstLine="480" w:firstLineChars="200"/>
        <w:rPr>
          <w:rFonts w:hint="default" w:asciiTheme="minorEastAsia" w:hAnsiTheme="minorEastAsia" w:eastAsiaTheme="minorEastAsia" w:cstheme="minorEastAsia"/>
          <w:sz w:val="24"/>
          <w:szCs w:val="24"/>
          <w:highlight w:val="none"/>
          <w:lang w:val="en-US" w:eastAsia="zh-CN"/>
        </w:rPr>
      </w:pPr>
    </w:p>
    <w:p w14:paraId="08C73B0B">
      <w:pPr>
        <w:kinsoku w:val="0"/>
        <w:spacing w:line="580" w:lineRule="exact"/>
        <w:rPr>
          <w:rFonts w:asciiTheme="minorEastAsia" w:hAnsiTheme="minorEastAsia" w:eastAsiaTheme="minorEastAsia" w:cstheme="minorEastAsia"/>
          <w:sz w:val="24"/>
          <w:szCs w:val="24"/>
          <w:highlight w:val="none"/>
        </w:rPr>
      </w:pPr>
    </w:p>
    <w:p w14:paraId="0D983724">
      <w:pPr>
        <w:spacing w:line="440" w:lineRule="exact"/>
        <w:ind w:left="3259" w:leftChars="1552"/>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法定代表人/或被授权人签字或盖章：</w:t>
      </w:r>
    </w:p>
    <w:p w14:paraId="2FF1FBB0">
      <w:pPr>
        <w:spacing w:line="440" w:lineRule="exact"/>
        <w:ind w:left="3259" w:leftChars="1552"/>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公      章：</w:t>
      </w:r>
    </w:p>
    <w:p w14:paraId="14F9E8C0">
      <w:pPr>
        <w:spacing w:line="440" w:lineRule="exact"/>
        <w:ind w:firstLine="3259" w:firstLineChars="1358"/>
        <w:rPr>
          <w:rFonts w:asciiTheme="minorEastAsia" w:hAnsiTheme="minorEastAsia" w:eastAsiaTheme="minorEastAsia" w:cstheme="minorEastAsia"/>
          <w:sz w:val="24"/>
          <w:szCs w:val="24"/>
          <w:highlight w:val="none"/>
        </w:rPr>
      </w:pPr>
      <w:r>
        <w:rPr>
          <w:rFonts w:hint="eastAsia" w:asciiTheme="minorEastAsia" w:hAnsiTheme="minorEastAsia" w:eastAsiaTheme="minorEastAsia" w:cstheme="minorEastAsia"/>
          <w:sz w:val="24"/>
          <w:szCs w:val="24"/>
          <w:highlight w:val="none"/>
        </w:rPr>
        <w:t>日      期：</w:t>
      </w:r>
    </w:p>
    <w:p w14:paraId="7F966F06">
      <w:pPr>
        <w:spacing w:line="440" w:lineRule="exact"/>
        <w:rPr>
          <w:rFonts w:asciiTheme="minorEastAsia" w:hAnsiTheme="minorEastAsia" w:eastAsiaTheme="minorEastAsia" w:cstheme="minorEastAsia"/>
          <w:sz w:val="24"/>
          <w:szCs w:val="24"/>
          <w:highlight w:val="none"/>
        </w:rPr>
      </w:pPr>
    </w:p>
    <w:p w14:paraId="41FE8E08">
      <w:pPr>
        <w:rPr>
          <w:rFonts w:asciiTheme="minorEastAsia" w:hAnsiTheme="minorEastAsia" w:eastAsiaTheme="minorEastAsia" w:cstheme="minorEastAsia"/>
          <w:highlight w:val="none"/>
        </w:rPr>
      </w:pPr>
    </w:p>
    <w:p w14:paraId="2F28F29A">
      <w:pPr>
        <w:spacing w:line="580" w:lineRule="exact"/>
        <w:rPr>
          <w:rFonts w:asciiTheme="minorEastAsia" w:hAnsiTheme="minorEastAsia" w:eastAsiaTheme="minorEastAsia" w:cstheme="minorEastAsia"/>
          <w:sz w:val="24"/>
          <w:szCs w:val="24"/>
          <w:highlight w:val="none"/>
        </w:rPr>
      </w:pPr>
    </w:p>
    <w:p w14:paraId="1CA77FF4">
      <w:pPr>
        <w:rPr>
          <w:rFonts w:asciiTheme="minorEastAsia" w:hAnsiTheme="minorEastAsia" w:eastAsiaTheme="minorEastAsia" w:cstheme="minorEastAsia"/>
          <w:highlight w:val="none"/>
        </w:rPr>
      </w:pPr>
    </w:p>
    <w:p w14:paraId="79F575E7">
      <w:pPr>
        <w:rPr>
          <w:rFonts w:asciiTheme="minorEastAsia" w:hAnsiTheme="minorEastAsia" w:eastAsiaTheme="minorEastAsia" w:cstheme="minorEastAsia"/>
          <w:highlight w:val="none"/>
        </w:rPr>
      </w:pPr>
      <w:r>
        <w:rPr>
          <w:rFonts w:hint="eastAsia" w:asciiTheme="minorEastAsia" w:hAnsiTheme="minorEastAsia" w:eastAsiaTheme="minorEastAsia" w:cstheme="minorEastAsia"/>
          <w:b/>
          <w:sz w:val="36"/>
          <w:highlight w:val="none"/>
        </w:rPr>
        <w:br w:type="page"/>
      </w:r>
    </w:p>
    <w:p w14:paraId="0B22CEAF">
      <w:pPr>
        <w:pStyle w:val="7"/>
        <w:spacing w:beforeLines="100"/>
        <w:rPr>
          <w:rFonts w:asciiTheme="minorEastAsia" w:hAnsiTheme="minorEastAsia" w:eastAsiaTheme="minorEastAsia" w:cstheme="minorEastAsia"/>
          <w:spacing w:val="4"/>
          <w:sz w:val="28"/>
          <w:szCs w:val="28"/>
          <w:highlight w:val="none"/>
        </w:rPr>
      </w:pPr>
      <w:bookmarkStart w:id="174" w:name="_Toc21059"/>
      <w:bookmarkStart w:id="175" w:name="_Toc29611"/>
      <w:bookmarkStart w:id="176" w:name="_Toc13827"/>
      <w:bookmarkStart w:id="177" w:name="_Toc14604"/>
      <w:r>
        <w:rPr>
          <w:rFonts w:hint="eastAsia" w:asciiTheme="minorEastAsia" w:hAnsiTheme="minorEastAsia" w:eastAsiaTheme="minorEastAsia" w:cstheme="minorEastAsia"/>
          <w:spacing w:val="4"/>
          <w:sz w:val="28"/>
          <w:szCs w:val="28"/>
          <w:highlight w:val="none"/>
        </w:rPr>
        <w:t>五、企业类似业绩</w:t>
      </w:r>
      <w:bookmarkEnd w:id="174"/>
      <w:bookmarkEnd w:id="175"/>
      <w:bookmarkEnd w:id="176"/>
      <w:bookmarkEnd w:id="177"/>
    </w:p>
    <w:p w14:paraId="1E3985FB">
      <w:pPr>
        <w:autoSpaceDE w:val="0"/>
        <w:autoSpaceDN w:val="0"/>
        <w:adjustRightInd w:val="0"/>
        <w:snapToGrid w:val="0"/>
        <w:spacing w:after="100" w:afterAutospacing="1" w:line="360" w:lineRule="exact"/>
        <w:rPr>
          <w:rFonts w:asciiTheme="minorEastAsia" w:hAnsiTheme="minorEastAsia" w:eastAsiaTheme="minorEastAsia" w:cstheme="minorEastAsia"/>
          <w:szCs w:val="21"/>
          <w:highlight w:val="none"/>
        </w:rPr>
      </w:pPr>
    </w:p>
    <w:p w14:paraId="6D79ECEF">
      <w:pPr>
        <w:rPr>
          <w:rFonts w:asciiTheme="minorEastAsia" w:hAnsiTheme="minorEastAsia" w:eastAsiaTheme="minorEastAsia" w:cstheme="minorEastAsia"/>
          <w:b/>
          <w:spacing w:val="4"/>
          <w:sz w:val="28"/>
          <w:szCs w:val="28"/>
          <w:highlight w:val="none"/>
        </w:rPr>
      </w:pPr>
      <w:r>
        <w:rPr>
          <w:rFonts w:hint="eastAsia" w:ascii="宋体" w:hAnsi="宋体" w:cs="宋体"/>
          <w:sz w:val="24"/>
          <w:szCs w:val="24"/>
          <w:highlight w:val="none"/>
        </w:rPr>
        <w:t>提供202</w:t>
      </w:r>
      <w:r>
        <w:rPr>
          <w:rFonts w:hint="eastAsia" w:ascii="宋体" w:hAnsi="宋体" w:cs="宋体"/>
          <w:sz w:val="24"/>
          <w:szCs w:val="24"/>
          <w:highlight w:val="none"/>
          <w:lang w:val="en-US" w:eastAsia="zh-CN"/>
        </w:rPr>
        <w:t>1</w:t>
      </w:r>
      <w:r>
        <w:rPr>
          <w:rFonts w:hint="eastAsia" w:ascii="宋体" w:hAnsi="宋体" w:cs="宋体"/>
          <w:sz w:val="24"/>
          <w:szCs w:val="24"/>
          <w:highlight w:val="none"/>
        </w:rPr>
        <w:t>年以后得类似工程施工业绩（业绩以合同复印件或中标通知书为依据）。</w:t>
      </w:r>
    </w:p>
    <w:p w14:paraId="50B032B6">
      <w:pPr>
        <w:rPr>
          <w:rFonts w:asciiTheme="minorEastAsia" w:hAnsiTheme="minorEastAsia" w:eastAsiaTheme="minorEastAsia" w:cstheme="minorEastAsia"/>
          <w:b/>
          <w:sz w:val="28"/>
          <w:highlight w:val="none"/>
        </w:rPr>
      </w:pPr>
      <w:bookmarkStart w:id="178" w:name="_Toc26309"/>
      <w:bookmarkStart w:id="179" w:name="_Toc15893"/>
      <w:bookmarkStart w:id="180" w:name="_Toc27577"/>
      <w:bookmarkStart w:id="181" w:name="_Toc24879"/>
      <w:r>
        <w:rPr>
          <w:rFonts w:hint="eastAsia" w:asciiTheme="minorEastAsia" w:hAnsiTheme="minorEastAsia" w:eastAsiaTheme="minorEastAsia" w:cstheme="minorEastAsia"/>
          <w:b/>
          <w:sz w:val="28"/>
          <w:highlight w:val="none"/>
        </w:rPr>
        <w:br w:type="page"/>
      </w:r>
    </w:p>
    <w:p w14:paraId="4AFE4E50">
      <w:pPr>
        <w:pStyle w:val="7"/>
        <w:spacing w:beforeLines="100"/>
        <w:rPr>
          <w:rFonts w:asciiTheme="minorEastAsia" w:hAnsiTheme="minorEastAsia" w:eastAsiaTheme="minorEastAsia" w:cstheme="minorEastAsia"/>
          <w:sz w:val="28"/>
          <w:highlight w:val="none"/>
        </w:rPr>
      </w:pPr>
      <w:r>
        <w:rPr>
          <w:rFonts w:hint="eastAsia" w:asciiTheme="minorEastAsia" w:hAnsiTheme="minorEastAsia" w:eastAsiaTheme="minorEastAsia" w:cstheme="minorEastAsia"/>
          <w:sz w:val="28"/>
          <w:highlight w:val="none"/>
        </w:rPr>
        <w:t>六、陕西省政府采购投标人</w:t>
      </w:r>
      <w:r>
        <w:rPr>
          <w:rFonts w:hint="eastAsia" w:asciiTheme="minorEastAsia" w:hAnsiTheme="minorEastAsia" w:eastAsiaTheme="minorEastAsia" w:cstheme="minorEastAsia"/>
          <w:spacing w:val="4"/>
          <w:sz w:val="28"/>
          <w:szCs w:val="28"/>
          <w:highlight w:val="none"/>
        </w:rPr>
        <w:t>拒绝政府采购领域商业贿赂承诺书</w:t>
      </w:r>
      <w:bookmarkEnd w:id="178"/>
      <w:bookmarkEnd w:id="179"/>
      <w:bookmarkEnd w:id="180"/>
      <w:bookmarkEnd w:id="181"/>
    </w:p>
    <w:p w14:paraId="598457DC">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为响应党中央、国务院关于治理政府采购领域商业贿赂行为的号召，我公司在此庄严承诺：</w:t>
      </w:r>
    </w:p>
    <w:p w14:paraId="2DE83C53">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1、在参与政府采购活动中遵纪守法、诚信经营、公平竞标。</w:t>
      </w:r>
    </w:p>
    <w:p w14:paraId="75BFD6DF">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2、不向政府采购人、采购代理机构和政府采购评审专家进行任何形式的商业贿赂以谋取交易机会。</w:t>
      </w:r>
    </w:p>
    <w:p w14:paraId="4654FE9E">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3、不向政府采购代理机构和采购人提供虚假资质文件或采用虚假应标方式参与政府采购市场竞争并谋取成交、成交。</w:t>
      </w:r>
    </w:p>
    <w:p w14:paraId="5F9221E3">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4、不采取“围标、陪标”等商业欺诈手段获得政府采购定单。</w:t>
      </w:r>
    </w:p>
    <w:p w14:paraId="7120F81F">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5、不采取不正当手段诋毁、排挤其他投标人。</w:t>
      </w:r>
    </w:p>
    <w:p w14:paraId="33D01006">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6、不在提供商品和服务时“偷梁换柱、以次充好”损害采购人的合法权益。</w:t>
      </w:r>
    </w:p>
    <w:p w14:paraId="797DC768">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7、不与采购人、采购代理机构政府采购评审专家或其它投标人恶意串通，进行质疑和投诉，维护政府采购市场秩序。</w:t>
      </w:r>
    </w:p>
    <w:p w14:paraId="2FFFB9FD">
      <w:pPr>
        <w:spacing w:line="600" w:lineRule="exact"/>
        <w:ind w:firstLine="480" w:firstLineChars="20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8、尊重和接受政府采购监督管理部门的监督和政府采购代理机构招标采购要求，承担因违约行为给采购人造成的损失。</w:t>
      </w:r>
    </w:p>
    <w:p w14:paraId="121AD28C">
      <w:pPr>
        <w:spacing w:line="600" w:lineRule="exact"/>
        <w:ind w:left="681" w:leftChars="267" w:hanging="120" w:hangingChars="50"/>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9、不发生其他有悖于政府采购公开、公平、公正和诚信原则的行为。</w:t>
      </w:r>
      <w:r>
        <w:rPr>
          <w:rFonts w:hint="eastAsia" w:asciiTheme="minorEastAsia" w:hAnsiTheme="minorEastAsia" w:eastAsiaTheme="minorEastAsia" w:cstheme="minorEastAsia"/>
          <w:kern w:val="0"/>
          <w:sz w:val="24"/>
          <w:szCs w:val="24"/>
          <w:highlight w:val="none"/>
        </w:rPr>
        <w:br w:type="textWrapping"/>
      </w:r>
      <w:r>
        <w:rPr>
          <w:rFonts w:hint="eastAsia" w:asciiTheme="minorEastAsia" w:hAnsiTheme="minorEastAsia" w:eastAsiaTheme="minorEastAsia" w:cstheme="minorEastAsia"/>
          <w:kern w:val="0"/>
          <w:sz w:val="24"/>
          <w:szCs w:val="24"/>
          <w:highlight w:val="none"/>
        </w:rPr>
        <w:t>承诺单位（盖章）：</w:t>
      </w:r>
    </w:p>
    <w:p w14:paraId="3AA982D0">
      <w:pPr>
        <w:spacing w:line="600" w:lineRule="exact"/>
        <w:ind w:left="701" w:leftChars="334"/>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被授权代表（签字或盖章）：</w:t>
      </w:r>
    </w:p>
    <w:p w14:paraId="239C5D82">
      <w:pPr>
        <w:spacing w:line="600" w:lineRule="exact"/>
        <w:ind w:left="701" w:leftChars="334"/>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地    址：</w:t>
      </w:r>
    </w:p>
    <w:p w14:paraId="2BAA04FE">
      <w:pPr>
        <w:spacing w:line="600" w:lineRule="exact"/>
        <w:ind w:left="659" w:leftChars="314"/>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邮    编：</w:t>
      </w:r>
    </w:p>
    <w:p w14:paraId="0E26EF48">
      <w:pPr>
        <w:spacing w:line="600" w:lineRule="exact"/>
        <w:ind w:left="659" w:leftChars="314"/>
        <w:jc w:val="lef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电    话：</w:t>
      </w:r>
    </w:p>
    <w:p w14:paraId="1802372B">
      <w:pPr>
        <w:spacing w:line="600" w:lineRule="exact"/>
        <w:ind w:left="659" w:leftChars="314"/>
        <w:jc w:val="right"/>
        <w:rPr>
          <w:rFonts w:asciiTheme="minorEastAsia" w:hAnsiTheme="minorEastAsia" w:eastAsiaTheme="minorEastAsia" w:cstheme="minorEastAsia"/>
          <w:kern w:val="0"/>
          <w:sz w:val="24"/>
          <w:szCs w:val="24"/>
          <w:highlight w:val="none"/>
        </w:rPr>
      </w:pPr>
      <w:r>
        <w:rPr>
          <w:rFonts w:hint="eastAsia" w:asciiTheme="minorEastAsia" w:hAnsiTheme="minorEastAsia" w:eastAsiaTheme="minorEastAsia" w:cstheme="minorEastAsia"/>
          <w:kern w:val="0"/>
          <w:sz w:val="24"/>
          <w:szCs w:val="24"/>
          <w:highlight w:val="none"/>
        </w:rPr>
        <w:t>年     月     日</w:t>
      </w:r>
    </w:p>
    <w:p w14:paraId="7518148A">
      <w:pPr>
        <w:spacing w:line="360" w:lineRule="auto"/>
        <w:rPr>
          <w:rFonts w:asciiTheme="minorEastAsia" w:hAnsiTheme="minorEastAsia" w:eastAsiaTheme="minorEastAsia" w:cstheme="minorEastAsia"/>
          <w:b/>
          <w:kern w:val="0"/>
          <w:sz w:val="24"/>
          <w:szCs w:val="24"/>
          <w:highlight w:val="none"/>
        </w:rPr>
      </w:pPr>
    </w:p>
    <w:p w14:paraId="30678DFF">
      <w:pPr>
        <w:rPr>
          <w:rFonts w:asciiTheme="minorEastAsia" w:hAnsiTheme="minorEastAsia" w:eastAsiaTheme="minorEastAsia" w:cstheme="minorEastAsia"/>
          <w:spacing w:val="4"/>
          <w:sz w:val="24"/>
          <w:szCs w:val="24"/>
          <w:highlight w:val="none"/>
        </w:rPr>
      </w:pPr>
      <w:r>
        <w:rPr>
          <w:rFonts w:hint="eastAsia" w:asciiTheme="minorEastAsia" w:hAnsiTheme="minorEastAsia" w:eastAsiaTheme="minorEastAsia" w:cstheme="minorEastAsia"/>
          <w:spacing w:val="4"/>
          <w:sz w:val="24"/>
          <w:szCs w:val="24"/>
          <w:highlight w:val="none"/>
        </w:rPr>
        <w:br w:type="page"/>
      </w:r>
    </w:p>
    <w:p w14:paraId="54FD2968">
      <w:pPr>
        <w:pStyle w:val="7"/>
        <w:spacing w:beforeLines="100" w:afterLines="100"/>
        <w:rPr>
          <w:rFonts w:asciiTheme="minorEastAsia" w:hAnsiTheme="minorEastAsia" w:eastAsiaTheme="minorEastAsia" w:cstheme="minorEastAsia"/>
          <w:sz w:val="32"/>
          <w:szCs w:val="32"/>
          <w:highlight w:val="none"/>
        </w:rPr>
      </w:pPr>
      <w:bookmarkStart w:id="182" w:name="_Toc24556"/>
      <w:bookmarkStart w:id="183" w:name="_Toc16808"/>
      <w:bookmarkStart w:id="184" w:name="_Toc12945"/>
      <w:bookmarkStart w:id="185" w:name="_Toc11841"/>
      <w:r>
        <w:rPr>
          <w:rFonts w:hint="eastAsia" w:asciiTheme="minorEastAsia" w:hAnsiTheme="minorEastAsia" w:eastAsiaTheme="minorEastAsia" w:cstheme="minorEastAsia"/>
          <w:sz w:val="32"/>
          <w:szCs w:val="32"/>
          <w:highlight w:val="none"/>
        </w:rPr>
        <w:t>七、资格证明文件</w:t>
      </w:r>
      <w:bookmarkEnd w:id="182"/>
      <w:bookmarkEnd w:id="183"/>
      <w:bookmarkEnd w:id="184"/>
      <w:bookmarkEnd w:id="185"/>
    </w:p>
    <w:p w14:paraId="054F58BB">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（1）提供合格有效的法人或者其他组织的营业执照等证明文件，自然人的身份证明；</w:t>
      </w:r>
    </w:p>
    <w:p w14:paraId="14ED808E">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（2）提供法定代表人授权书（附法定代表人、被授权人身份证复印件，法定代表人直接参加投标，须提供法定代表人身份证明及身份证复印件）；</w:t>
      </w:r>
    </w:p>
    <w:p w14:paraId="309CF73B">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（3）提供2023年度的财务审计报告（成立时间至提交投标文件截止时间不足一年的可提供成立后任意时段的资产负债表）或开标时间前六个月内银行出具的资信证明；</w:t>
      </w:r>
    </w:p>
    <w:p w14:paraId="47351A8B">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（4）税收缴纳证明：提供投标截止日前近一年内任意一个月的纳税证明或完税证明（任意税种），依法免税的单位应提供相关证明材料；</w:t>
      </w:r>
    </w:p>
    <w:p w14:paraId="7B57389D">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（5）社会保障资金缴纳证明：提供投标截止日前近一年内任意一个月的社会保障资金缴存单据或社保机构开具的社会保险参保缴费情况证明，依法不需要缴纳社会保障资金的单位应提供相关证明材料；</w:t>
      </w:r>
    </w:p>
    <w:p w14:paraId="5E00BCE2">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（6）提供具有履行本合同所必需的设备和专业技术能力的说明及承诺书；</w:t>
      </w:r>
    </w:p>
    <w:p w14:paraId="7D1FF7DC">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（7）供应商通过“信用中国”网站(www.creditchina.gov.cn)、中国政府采购网(www.ccgp.gov.cn)等查询相关主体信用记录；</w:t>
      </w:r>
    </w:p>
    <w:p w14:paraId="1F7F5C73">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（8）参加政府采购活动前3年内，在经营活动中没有重大违法记录的书面声明；</w:t>
      </w:r>
    </w:p>
    <w:p w14:paraId="6A2C005D">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hint="eastAsia"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（9）提供中小企业声明函；</w:t>
      </w:r>
    </w:p>
    <w:p w14:paraId="37C7551B">
      <w:pPr>
        <w:pStyle w:val="24"/>
        <w:keepNext w:val="0"/>
        <w:keepLines w:val="0"/>
        <w:pageBreakBefore w:val="0"/>
        <w:widowControl/>
        <w:kinsoku/>
        <w:wordWrap/>
        <w:overflowPunct/>
        <w:topLinePunct w:val="0"/>
        <w:autoSpaceDE/>
        <w:autoSpaceDN/>
        <w:bidi w:val="0"/>
        <w:adjustRightInd/>
        <w:snapToGrid/>
        <w:spacing w:line="480" w:lineRule="auto"/>
        <w:ind w:firstLine="480" w:firstLineChars="200"/>
        <w:textAlignment w:val="auto"/>
        <w:rPr>
          <w:rFonts w:ascii="宋体" w:hAnsi="宋体" w:cs="宋体"/>
          <w:color w:val="auto"/>
          <w:szCs w:val="24"/>
          <w:highlight w:val="none"/>
          <w:shd w:val="clear" w:color="auto" w:fill="FFFFFF"/>
        </w:rPr>
      </w:pPr>
      <w:r>
        <w:rPr>
          <w:rFonts w:hint="eastAsia" w:ascii="宋体" w:hAnsi="宋体" w:cs="宋体"/>
          <w:color w:val="auto"/>
          <w:szCs w:val="24"/>
          <w:highlight w:val="none"/>
          <w:shd w:val="clear" w:color="auto" w:fill="FFFFFF"/>
        </w:rPr>
        <w:t>（10）本项目不接受联合体投标（提供承诺书）。</w:t>
      </w:r>
    </w:p>
    <w:p w14:paraId="1466B91E">
      <w:pPr>
        <w:spacing w:line="560" w:lineRule="exact"/>
        <w:rPr>
          <w:rFonts w:asciiTheme="minorEastAsia" w:hAnsiTheme="minorEastAsia" w:eastAsiaTheme="minorEastAsia" w:cstheme="minorEastAsia"/>
          <w:b/>
          <w:bCs/>
          <w:sz w:val="28"/>
          <w:szCs w:val="28"/>
          <w:highlight w:val="none"/>
        </w:rPr>
      </w:pPr>
      <w:r>
        <w:rPr>
          <w:rFonts w:hint="eastAsia" w:asciiTheme="minorEastAsia" w:hAnsiTheme="minorEastAsia" w:eastAsiaTheme="minorEastAsia" w:cstheme="minorEastAsia"/>
          <w:b/>
          <w:bCs/>
          <w:sz w:val="28"/>
          <w:szCs w:val="28"/>
          <w:highlight w:val="none"/>
        </w:rPr>
        <w:t>后附相关格式：</w:t>
      </w:r>
    </w:p>
    <w:p w14:paraId="51A60042">
      <w:pPr>
        <w:rPr>
          <w:rFonts w:asciiTheme="minorEastAsia" w:hAnsiTheme="minorEastAsia" w:eastAsiaTheme="minorEastAsia" w:cstheme="minorEastAsia"/>
          <w:b/>
          <w:bCs/>
          <w:sz w:val="30"/>
          <w:szCs w:val="30"/>
          <w:highlight w:val="none"/>
        </w:rPr>
      </w:pPr>
      <w:bookmarkStart w:id="186" w:name="_Toc25348"/>
      <w:bookmarkStart w:id="187" w:name="_Toc16097"/>
      <w:bookmarkStart w:id="188" w:name="_Toc363474028"/>
      <w:bookmarkStart w:id="189" w:name="_Toc403077649"/>
      <w:bookmarkStart w:id="190" w:name="_Toc30210"/>
      <w:bookmarkStart w:id="191" w:name="_Toc19075"/>
      <w:bookmarkStart w:id="192" w:name="_Toc4867"/>
      <w:bookmarkStart w:id="193" w:name="_Toc426457701"/>
      <w:r>
        <w:rPr>
          <w:rFonts w:hint="eastAsia" w:asciiTheme="minorEastAsia" w:hAnsiTheme="minorEastAsia" w:eastAsiaTheme="minorEastAsia" w:cstheme="minorEastAsia"/>
          <w:b/>
          <w:bCs/>
          <w:sz w:val="30"/>
          <w:szCs w:val="30"/>
          <w:highlight w:val="none"/>
        </w:rPr>
        <w:br w:type="page"/>
      </w:r>
    </w:p>
    <w:p w14:paraId="13AAA563">
      <w:pPr>
        <w:pStyle w:val="2"/>
        <w:rPr>
          <w:rFonts w:asciiTheme="minorEastAsia" w:hAnsiTheme="minorEastAsia" w:eastAsiaTheme="minorEastAsia" w:cstheme="minorEastAsia"/>
          <w:b/>
          <w:bCs/>
          <w:szCs w:val="28"/>
          <w:highlight w:val="none"/>
        </w:rPr>
      </w:pPr>
      <w:r>
        <w:rPr>
          <w:rFonts w:hint="eastAsia" w:asciiTheme="minorEastAsia" w:hAnsiTheme="minorEastAsia" w:eastAsiaTheme="minorEastAsia" w:cstheme="minorEastAsia"/>
          <w:b/>
          <w:bCs/>
          <w:szCs w:val="28"/>
          <w:highlight w:val="none"/>
        </w:rPr>
        <w:t>附件1：</w:t>
      </w:r>
    </w:p>
    <w:p w14:paraId="05946D5B">
      <w:pPr>
        <w:spacing w:beforeLines="100"/>
        <w:jc w:val="center"/>
        <w:rPr>
          <w:rFonts w:asciiTheme="minorEastAsia" w:hAnsiTheme="minorEastAsia" w:eastAsiaTheme="minorEastAsia" w:cstheme="minorEastAsia"/>
          <w:sz w:val="30"/>
          <w:szCs w:val="30"/>
          <w:highlight w:val="none"/>
        </w:rPr>
      </w:pPr>
      <w:r>
        <w:rPr>
          <w:rFonts w:hint="eastAsia" w:asciiTheme="minorEastAsia" w:hAnsiTheme="minorEastAsia" w:eastAsiaTheme="minorEastAsia" w:cstheme="minorEastAsia"/>
          <w:sz w:val="30"/>
          <w:szCs w:val="30"/>
          <w:highlight w:val="none"/>
        </w:rPr>
        <w:t>法定代表人身份证明/法定代表人授权书</w:t>
      </w:r>
    </w:p>
    <w:p w14:paraId="6E7852CA">
      <w:pPr>
        <w:pStyle w:val="2"/>
        <w:spacing w:beforeLines="50"/>
        <w:jc w:val="center"/>
        <w:rPr>
          <w:rFonts w:asciiTheme="minorEastAsia" w:hAnsiTheme="minorEastAsia" w:eastAsiaTheme="minorEastAsia" w:cstheme="minorEastAsia"/>
          <w:b/>
          <w:bCs/>
          <w:sz w:val="30"/>
          <w:szCs w:val="30"/>
          <w:highlight w:val="none"/>
        </w:rPr>
      </w:pPr>
      <w:r>
        <w:rPr>
          <w:rFonts w:hint="eastAsia" w:asciiTheme="minorEastAsia" w:hAnsiTheme="minorEastAsia" w:eastAsiaTheme="minorEastAsia" w:cstheme="minorEastAsia"/>
          <w:b/>
          <w:bCs/>
          <w:sz w:val="30"/>
          <w:szCs w:val="30"/>
          <w:highlight w:val="none"/>
        </w:rPr>
        <w:t>法定代表人身份证明</w:t>
      </w:r>
    </w:p>
    <w:p w14:paraId="75E1BDC3">
      <w:pPr>
        <w:autoSpaceDE w:val="0"/>
        <w:autoSpaceDN w:val="0"/>
        <w:adjustRightInd w:val="0"/>
        <w:snapToGrid w:val="0"/>
        <w:spacing w:beforeLines="50" w:line="360" w:lineRule="auto"/>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投标人名称：</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 xml:space="preserve"> </w:t>
      </w:r>
    </w:p>
    <w:p w14:paraId="393548BF">
      <w:pPr>
        <w:autoSpaceDE w:val="0"/>
        <w:autoSpaceDN w:val="0"/>
        <w:adjustRightInd w:val="0"/>
        <w:snapToGrid w:val="0"/>
        <w:spacing w:beforeLines="50" w:line="360" w:lineRule="auto"/>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统一社会信用代码：</w:t>
      </w:r>
      <w:r>
        <w:rPr>
          <w:rFonts w:hint="eastAsia" w:asciiTheme="minorEastAsia" w:hAnsiTheme="minorEastAsia" w:eastAsiaTheme="minorEastAsia" w:cstheme="minorEastAsia"/>
          <w:highlight w:val="none"/>
          <w:u w:val="single"/>
        </w:rPr>
        <w:t xml:space="preserve">                </w:t>
      </w:r>
    </w:p>
    <w:p w14:paraId="45AC3F7F">
      <w:pPr>
        <w:autoSpaceDE w:val="0"/>
        <w:autoSpaceDN w:val="0"/>
        <w:adjustRightInd w:val="0"/>
        <w:snapToGrid w:val="0"/>
        <w:spacing w:beforeLines="50" w:line="360" w:lineRule="auto"/>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注册地址：</w:t>
      </w:r>
      <w:r>
        <w:rPr>
          <w:rFonts w:hint="eastAsia" w:asciiTheme="minorEastAsia" w:hAnsiTheme="minorEastAsia" w:eastAsiaTheme="minorEastAsia" w:cstheme="minorEastAsia"/>
          <w:highlight w:val="none"/>
          <w:u w:val="single"/>
        </w:rPr>
        <w:t xml:space="preserve">                        </w:t>
      </w:r>
    </w:p>
    <w:p w14:paraId="0FDD8BD3">
      <w:pPr>
        <w:autoSpaceDE w:val="0"/>
        <w:autoSpaceDN w:val="0"/>
        <w:adjustRightInd w:val="0"/>
        <w:snapToGrid w:val="0"/>
        <w:spacing w:beforeLines="50" w:line="360" w:lineRule="auto"/>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成立时间：</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年</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月</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日</w:t>
      </w:r>
    </w:p>
    <w:p w14:paraId="3E7687F0">
      <w:pPr>
        <w:autoSpaceDE w:val="0"/>
        <w:autoSpaceDN w:val="0"/>
        <w:adjustRightInd w:val="0"/>
        <w:snapToGrid w:val="0"/>
        <w:spacing w:beforeLines="50" w:line="360" w:lineRule="auto"/>
        <w:jc w:val="left"/>
        <w:rPr>
          <w:rFonts w:asciiTheme="minorEastAsia" w:hAnsiTheme="minorEastAsia" w:eastAsiaTheme="minorEastAsia" w:cstheme="minorEastAsia"/>
          <w:highlight w:val="none"/>
          <w:u w:val="single"/>
        </w:rPr>
      </w:pPr>
      <w:r>
        <w:rPr>
          <w:rFonts w:hint="eastAsia" w:asciiTheme="minorEastAsia" w:hAnsiTheme="minorEastAsia" w:eastAsiaTheme="minorEastAsia" w:cstheme="minorEastAsia"/>
          <w:highlight w:val="none"/>
        </w:rPr>
        <w:t>经营期限：</w:t>
      </w:r>
      <w:r>
        <w:rPr>
          <w:rFonts w:hint="eastAsia" w:asciiTheme="minorEastAsia" w:hAnsiTheme="minorEastAsia" w:eastAsiaTheme="minorEastAsia" w:cstheme="minorEastAsia"/>
          <w:highlight w:val="none"/>
          <w:u w:val="single"/>
        </w:rPr>
        <w:t xml:space="preserve">                  </w:t>
      </w:r>
    </w:p>
    <w:p w14:paraId="73D01F95">
      <w:pPr>
        <w:autoSpaceDE w:val="0"/>
        <w:autoSpaceDN w:val="0"/>
        <w:adjustRightInd w:val="0"/>
        <w:snapToGrid w:val="0"/>
        <w:spacing w:beforeLines="50" w:line="360" w:lineRule="auto"/>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姓名：</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性别：</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年龄：</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系</w:t>
      </w:r>
      <w:r>
        <w:rPr>
          <w:rFonts w:hint="eastAsia" w:asciiTheme="minorEastAsia" w:hAnsiTheme="minorEastAsia" w:eastAsiaTheme="minorEastAsia" w:cstheme="minorEastAsia"/>
          <w:highlight w:val="none"/>
          <w:u w:val="single"/>
        </w:rPr>
        <w:t xml:space="preserve">            </w:t>
      </w:r>
      <w:r>
        <w:rPr>
          <w:rFonts w:hint="eastAsia" w:asciiTheme="minorEastAsia" w:hAnsiTheme="minorEastAsia" w:eastAsiaTheme="minorEastAsia" w:cstheme="minorEastAsia"/>
          <w:highlight w:val="none"/>
        </w:rPr>
        <w:t>（投标人名称）的法定代表人。</w:t>
      </w:r>
    </w:p>
    <w:p w14:paraId="6922F6C8">
      <w:pPr>
        <w:autoSpaceDE w:val="0"/>
        <w:autoSpaceDN w:val="0"/>
        <w:adjustRightInd w:val="0"/>
        <w:snapToGrid w:val="0"/>
        <w:spacing w:beforeLines="50" w:line="360" w:lineRule="auto"/>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特此证明。</w:t>
      </w:r>
    </w:p>
    <w:p w14:paraId="1CD261F1">
      <w:pPr>
        <w:autoSpaceDE w:val="0"/>
        <w:autoSpaceDN w:val="0"/>
        <w:adjustRightInd w:val="0"/>
        <w:snapToGrid w:val="0"/>
        <w:spacing w:beforeLines="50" w:line="360" w:lineRule="auto"/>
        <w:jc w:val="left"/>
        <w:rPr>
          <w:rFonts w:asciiTheme="minorEastAsia" w:hAnsiTheme="minorEastAsia" w:eastAsiaTheme="minorEastAsia" w:cstheme="minorEastAsia"/>
          <w:szCs w:val="21"/>
          <w:highlight w:val="none"/>
        </w:rPr>
      </w:pPr>
      <w:r>
        <w:rPr>
          <w:rFonts w:hint="eastAsia" w:asciiTheme="minorEastAsia" w:hAnsiTheme="minorEastAsia" w:eastAsiaTheme="minorEastAsia" w:cstheme="minorEastAsia"/>
          <w:szCs w:val="21"/>
          <w:highlight w:val="none"/>
        </w:rPr>
        <w:t>附：法定代表人身份证复印件</w:t>
      </w:r>
    </w:p>
    <w:tbl>
      <w:tblPr>
        <w:tblStyle w:val="28"/>
        <w:tblpPr w:leftFromText="180" w:rightFromText="180" w:vertAnchor="text" w:horzAnchor="margin" w:tblpXSpec="center" w:tblpY="104"/>
        <w:tblW w:w="586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868"/>
      </w:tblGrid>
      <w:tr w14:paraId="44222D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55" w:hRule="atLeast"/>
        </w:trPr>
        <w:tc>
          <w:tcPr>
            <w:tcW w:w="5868" w:type="dxa"/>
            <w:vAlign w:val="center"/>
          </w:tcPr>
          <w:p w14:paraId="524FA547">
            <w:pPr>
              <w:snapToGrid w:val="0"/>
              <w:spacing w:line="480" w:lineRule="auto"/>
              <w:jc w:val="center"/>
              <w:rPr>
                <w:rFonts w:asciiTheme="minorEastAsia" w:hAnsiTheme="minorEastAsia" w:eastAsiaTheme="minorEastAsia" w:cstheme="minorEastAsia"/>
                <w:szCs w:val="21"/>
                <w:highlight w:val="none"/>
              </w:rPr>
            </w:pPr>
          </w:p>
          <w:p w14:paraId="4AB22D55">
            <w:pPr>
              <w:snapToGrid w:val="0"/>
              <w:spacing w:line="480" w:lineRule="auto"/>
              <w:jc w:val="center"/>
              <w:rPr>
                <w:rFonts w:asciiTheme="minorEastAsia" w:hAnsiTheme="minorEastAsia" w:eastAsiaTheme="minorEastAsia" w:cstheme="minorEastAsia"/>
                <w:szCs w:val="21"/>
                <w:highlight w:val="none"/>
              </w:rPr>
            </w:pPr>
          </w:p>
          <w:p w14:paraId="1B21F638">
            <w:pPr>
              <w:autoSpaceDE w:val="0"/>
              <w:autoSpaceDN w:val="0"/>
              <w:adjustRightInd w:val="0"/>
              <w:snapToGrid w:val="0"/>
              <w:spacing w:beforeLines="50" w:line="360" w:lineRule="auto"/>
              <w:jc w:val="center"/>
              <w:rPr>
                <w:rFonts w:asciiTheme="minorEastAsia" w:hAnsiTheme="minorEastAsia" w:eastAsiaTheme="minorEastAsia" w:cstheme="minorEastAsia"/>
                <w:szCs w:val="21"/>
                <w:highlight w:val="none"/>
              </w:rPr>
            </w:pPr>
            <w:r>
              <w:rPr>
                <w:rFonts w:hint="eastAsia" w:asciiTheme="minorEastAsia" w:hAnsiTheme="minorEastAsia" w:eastAsiaTheme="minorEastAsia" w:cstheme="minorEastAsia"/>
                <w:szCs w:val="21"/>
                <w:highlight w:val="none"/>
              </w:rPr>
              <w:t>法定代表人身份证复印件粘贴处</w:t>
            </w:r>
          </w:p>
          <w:p w14:paraId="33DA6CDA">
            <w:pPr>
              <w:pStyle w:val="2"/>
              <w:jc w:val="center"/>
              <w:rPr>
                <w:rFonts w:asciiTheme="minorEastAsia" w:hAnsiTheme="minorEastAsia" w:eastAsiaTheme="minorEastAsia" w:cstheme="minorEastAsia"/>
                <w:highlight w:val="none"/>
              </w:rPr>
            </w:pPr>
            <w:r>
              <w:rPr>
                <w:rFonts w:hint="eastAsia" w:asciiTheme="minorEastAsia" w:hAnsiTheme="minorEastAsia" w:eastAsiaTheme="minorEastAsia" w:cstheme="minorEastAsia"/>
                <w:szCs w:val="21"/>
                <w:highlight w:val="none"/>
              </w:rPr>
              <w:t>（正反面）</w:t>
            </w:r>
          </w:p>
          <w:p w14:paraId="3BE79C94">
            <w:pPr>
              <w:snapToGrid w:val="0"/>
              <w:spacing w:line="480" w:lineRule="auto"/>
              <w:jc w:val="center"/>
              <w:rPr>
                <w:rFonts w:asciiTheme="minorEastAsia" w:hAnsiTheme="minorEastAsia" w:eastAsiaTheme="minorEastAsia" w:cstheme="minorEastAsia"/>
                <w:szCs w:val="21"/>
                <w:highlight w:val="none"/>
              </w:rPr>
            </w:pPr>
          </w:p>
          <w:p w14:paraId="6B19F8AA">
            <w:pPr>
              <w:snapToGrid w:val="0"/>
              <w:spacing w:line="480" w:lineRule="auto"/>
              <w:jc w:val="center"/>
              <w:rPr>
                <w:rFonts w:asciiTheme="minorEastAsia" w:hAnsiTheme="minorEastAsia" w:eastAsiaTheme="minorEastAsia" w:cstheme="minorEastAsia"/>
                <w:szCs w:val="21"/>
                <w:highlight w:val="none"/>
              </w:rPr>
            </w:pPr>
          </w:p>
        </w:tc>
      </w:tr>
    </w:tbl>
    <w:p w14:paraId="1D72A57A">
      <w:pPr>
        <w:snapToGrid w:val="0"/>
        <w:spacing w:line="480" w:lineRule="auto"/>
        <w:rPr>
          <w:rFonts w:asciiTheme="minorEastAsia" w:hAnsiTheme="minorEastAsia" w:eastAsiaTheme="minorEastAsia" w:cstheme="minorEastAsia"/>
          <w:szCs w:val="21"/>
          <w:highlight w:val="none"/>
        </w:rPr>
      </w:pPr>
    </w:p>
    <w:p w14:paraId="3BC7AF5B">
      <w:pPr>
        <w:snapToGrid w:val="0"/>
        <w:rPr>
          <w:rFonts w:asciiTheme="minorEastAsia" w:hAnsiTheme="minorEastAsia" w:eastAsiaTheme="minorEastAsia" w:cstheme="minorEastAsia"/>
          <w:szCs w:val="21"/>
          <w:highlight w:val="none"/>
        </w:rPr>
      </w:pPr>
    </w:p>
    <w:p w14:paraId="7C555501">
      <w:pPr>
        <w:snapToGrid w:val="0"/>
        <w:rPr>
          <w:rFonts w:asciiTheme="minorEastAsia" w:hAnsiTheme="minorEastAsia" w:eastAsiaTheme="minorEastAsia" w:cstheme="minorEastAsia"/>
          <w:szCs w:val="21"/>
          <w:highlight w:val="none"/>
        </w:rPr>
      </w:pPr>
    </w:p>
    <w:p w14:paraId="198B540E">
      <w:pPr>
        <w:snapToGrid w:val="0"/>
        <w:rPr>
          <w:rFonts w:asciiTheme="minorEastAsia" w:hAnsiTheme="minorEastAsia" w:eastAsiaTheme="minorEastAsia" w:cstheme="minorEastAsia"/>
          <w:szCs w:val="21"/>
          <w:highlight w:val="none"/>
        </w:rPr>
      </w:pPr>
    </w:p>
    <w:p w14:paraId="6D257D80">
      <w:pPr>
        <w:snapToGrid w:val="0"/>
        <w:rPr>
          <w:rFonts w:asciiTheme="minorEastAsia" w:hAnsiTheme="minorEastAsia" w:eastAsiaTheme="minorEastAsia" w:cstheme="minorEastAsia"/>
          <w:szCs w:val="21"/>
          <w:highlight w:val="none"/>
        </w:rPr>
      </w:pPr>
    </w:p>
    <w:p w14:paraId="3213F1AF">
      <w:pPr>
        <w:adjustRightInd w:val="0"/>
        <w:snapToGrid w:val="0"/>
        <w:spacing w:line="360" w:lineRule="auto"/>
        <w:rPr>
          <w:rFonts w:asciiTheme="minorEastAsia" w:hAnsiTheme="minorEastAsia" w:eastAsiaTheme="minorEastAsia" w:cstheme="minorEastAsia"/>
          <w:highlight w:val="none"/>
        </w:rPr>
      </w:pPr>
    </w:p>
    <w:p w14:paraId="0BDC218A">
      <w:pPr>
        <w:adjustRightInd w:val="0"/>
        <w:snapToGrid w:val="0"/>
        <w:spacing w:line="360" w:lineRule="auto"/>
        <w:ind w:right="420"/>
        <w:rPr>
          <w:rFonts w:asciiTheme="minorEastAsia" w:hAnsiTheme="minorEastAsia" w:eastAsiaTheme="minorEastAsia" w:cstheme="minorEastAsia"/>
          <w:highlight w:val="none"/>
        </w:rPr>
      </w:pPr>
    </w:p>
    <w:p w14:paraId="53ACD3D1">
      <w:pPr>
        <w:adjustRightInd w:val="0"/>
        <w:snapToGrid w:val="0"/>
        <w:spacing w:line="360" w:lineRule="auto"/>
        <w:ind w:right="420"/>
        <w:rPr>
          <w:rFonts w:asciiTheme="minorEastAsia" w:hAnsiTheme="minorEastAsia" w:eastAsiaTheme="minorEastAsia" w:cstheme="minorEastAsia"/>
          <w:highlight w:val="none"/>
        </w:rPr>
      </w:pPr>
    </w:p>
    <w:p w14:paraId="650225D3">
      <w:pPr>
        <w:adjustRightInd w:val="0"/>
        <w:snapToGrid w:val="0"/>
        <w:spacing w:line="360" w:lineRule="auto"/>
        <w:ind w:right="420"/>
        <w:rPr>
          <w:rFonts w:asciiTheme="minorEastAsia" w:hAnsiTheme="minorEastAsia" w:eastAsiaTheme="minorEastAsia" w:cstheme="minorEastAsia"/>
          <w:highlight w:val="none"/>
        </w:rPr>
      </w:pPr>
    </w:p>
    <w:p w14:paraId="1F432B52">
      <w:pPr>
        <w:adjustRightInd w:val="0"/>
        <w:snapToGrid w:val="0"/>
        <w:spacing w:line="360" w:lineRule="auto"/>
        <w:ind w:right="420"/>
        <w:rPr>
          <w:rFonts w:asciiTheme="minorEastAsia" w:hAnsiTheme="minorEastAsia" w:eastAsiaTheme="minorEastAsia" w:cstheme="minorEastAsia"/>
          <w:highlight w:val="none"/>
        </w:rPr>
      </w:pPr>
    </w:p>
    <w:p w14:paraId="2CC7B93F">
      <w:pPr>
        <w:adjustRightInd w:val="0"/>
        <w:snapToGrid w:val="0"/>
        <w:spacing w:line="360" w:lineRule="auto"/>
        <w:ind w:right="420"/>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投标人名称（公章）：</w:t>
      </w:r>
    </w:p>
    <w:p w14:paraId="683583A1">
      <w:pPr>
        <w:adjustRightInd w:val="0"/>
        <w:snapToGrid w:val="0"/>
        <w:spacing w:line="360" w:lineRule="auto"/>
        <w:ind w:right="420"/>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日期：    年  月  日</w:t>
      </w:r>
    </w:p>
    <w:p w14:paraId="245E7D55">
      <w:pPr>
        <w:adjustRightInd w:val="0"/>
        <w:snapToGrid w:val="0"/>
        <w:spacing w:line="360" w:lineRule="auto"/>
        <w:ind w:right="420"/>
        <w:rPr>
          <w:rFonts w:asciiTheme="minorEastAsia" w:hAnsiTheme="minorEastAsia" w:eastAsiaTheme="minorEastAsia" w:cstheme="minorEastAsia"/>
          <w:highlight w:val="none"/>
        </w:rPr>
      </w:pPr>
    </w:p>
    <w:p w14:paraId="6CE5F95B">
      <w:pPr>
        <w:rPr>
          <w:rFonts w:asciiTheme="minorEastAsia" w:hAnsiTheme="minorEastAsia" w:eastAsiaTheme="minorEastAsia" w:cstheme="minorEastAsia"/>
          <w:sz w:val="32"/>
          <w:szCs w:val="32"/>
          <w:highlight w:val="none"/>
        </w:rPr>
      </w:pPr>
      <w:r>
        <w:rPr>
          <w:rFonts w:hint="eastAsia" w:asciiTheme="minorEastAsia" w:hAnsiTheme="minorEastAsia" w:eastAsiaTheme="minorEastAsia" w:cstheme="minorEastAsia"/>
          <w:sz w:val="32"/>
          <w:szCs w:val="32"/>
          <w:highlight w:val="none"/>
        </w:rPr>
        <w:br w:type="page"/>
      </w:r>
    </w:p>
    <w:p w14:paraId="14F73E7F">
      <w:pPr>
        <w:keepNext/>
        <w:spacing w:beforeLines="100"/>
        <w:jc w:val="center"/>
        <w:rPr>
          <w:rFonts w:asciiTheme="minorEastAsia" w:hAnsiTheme="minorEastAsia" w:eastAsiaTheme="minorEastAsia" w:cstheme="minorEastAsia"/>
          <w:sz w:val="32"/>
          <w:szCs w:val="32"/>
          <w:highlight w:val="none"/>
        </w:rPr>
      </w:pPr>
      <w:r>
        <w:rPr>
          <w:rFonts w:hint="eastAsia" w:asciiTheme="minorEastAsia" w:hAnsiTheme="minorEastAsia" w:eastAsiaTheme="minorEastAsia" w:cstheme="minorEastAsia"/>
          <w:sz w:val="32"/>
          <w:szCs w:val="32"/>
          <w:highlight w:val="none"/>
        </w:rPr>
        <w:t>法定代表人授权书</w:t>
      </w:r>
      <w:bookmarkEnd w:id="186"/>
      <w:bookmarkEnd w:id="187"/>
      <w:bookmarkEnd w:id="188"/>
      <w:bookmarkEnd w:id="189"/>
      <w:bookmarkEnd w:id="190"/>
      <w:bookmarkEnd w:id="191"/>
      <w:bookmarkEnd w:id="192"/>
      <w:bookmarkEnd w:id="193"/>
    </w:p>
    <w:p w14:paraId="6F850C6F">
      <w:pPr>
        <w:rPr>
          <w:rFonts w:asciiTheme="minorEastAsia" w:hAnsiTheme="minorEastAsia" w:eastAsiaTheme="minorEastAsia" w:cstheme="minorEastAsia"/>
          <w:b/>
          <w:bCs/>
          <w:szCs w:val="32"/>
          <w:highlight w:val="none"/>
        </w:rPr>
      </w:pPr>
      <w:r>
        <w:rPr>
          <w:rFonts w:hint="eastAsia" w:asciiTheme="minorEastAsia" w:hAnsiTheme="minorEastAsia" w:eastAsiaTheme="minorEastAsia" w:cstheme="minorEastAsia"/>
          <w:highlight w:val="none"/>
        </w:rPr>
        <w:t xml:space="preserve">      </w:t>
      </w:r>
      <w:r>
        <w:rPr>
          <w:rFonts w:hint="eastAsia" w:asciiTheme="minorEastAsia" w:hAnsiTheme="minorEastAsia" w:eastAsiaTheme="minorEastAsia" w:cstheme="minorEastAsia"/>
          <w:szCs w:val="32"/>
          <w:highlight w:val="none"/>
        </w:rPr>
        <w:t xml:space="preserve"> </w:t>
      </w:r>
    </w:p>
    <w:p w14:paraId="43603CD6">
      <w:pPr>
        <w:spacing w:line="560" w:lineRule="exact"/>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b/>
          <w:spacing w:val="4"/>
          <w:szCs w:val="24"/>
          <w:highlight w:val="none"/>
        </w:rPr>
        <w:t>致：</w:t>
      </w:r>
      <w:r>
        <w:rPr>
          <w:rFonts w:hint="eastAsia" w:asciiTheme="minorEastAsia" w:hAnsiTheme="minorEastAsia" w:eastAsiaTheme="minorEastAsia" w:cstheme="minorEastAsia"/>
          <w:b/>
          <w:spacing w:val="4"/>
          <w:szCs w:val="24"/>
          <w:highlight w:val="none"/>
          <w:u w:val="single"/>
        </w:rPr>
        <w:t>陕西至诚项目管理集团有限公司</w:t>
      </w:r>
    </w:p>
    <w:p w14:paraId="6D5527B8">
      <w:pPr>
        <w:spacing w:line="560" w:lineRule="exact"/>
        <w:ind w:firstLine="436" w:firstLineChars="200"/>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u w:val="single"/>
        </w:rPr>
        <w:t xml:space="preserve">(投标人名称)   </w:t>
      </w:r>
      <w:r>
        <w:rPr>
          <w:rFonts w:hint="eastAsia" w:asciiTheme="minorEastAsia" w:hAnsiTheme="minorEastAsia" w:eastAsiaTheme="minorEastAsia" w:cstheme="minorEastAsia"/>
          <w:spacing w:val="4"/>
          <w:szCs w:val="24"/>
          <w:highlight w:val="none"/>
        </w:rPr>
        <w:t>按中华人民共和国法律于</w:t>
      </w:r>
      <w:r>
        <w:rPr>
          <w:rFonts w:hint="eastAsia" w:asciiTheme="minorEastAsia" w:hAnsiTheme="minorEastAsia" w:eastAsiaTheme="minorEastAsia" w:cstheme="minorEastAsia"/>
          <w:spacing w:val="4"/>
          <w:szCs w:val="24"/>
          <w:highlight w:val="none"/>
          <w:u w:val="single"/>
        </w:rPr>
        <w:t xml:space="preserve">（  年  月  日 ）  </w:t>
      </w:r>
      <w:r>
        <w:rPr>
          <w:rFonts w:hint="eastAsia" w:asciiTheme="minorEastAsia" w:hAnsiTheme="minorEastAsia" w:eastAsiaTheme="minorEastAsia" w:cstheme="minorEastAsia"/>
          <w:spacing w:val="4"/>
          <w:szCs w:val="24"/>
          <w:highlight w:val="none"/>
        </w:rPr>
        <w:t>成立。</w:t>
      </w:r>
      <w:r>
        <w:rPr>
          <w:rFonts w:hint="eastAsia" w:asciiTheme="minorEastAsia" w:hAnsiTheme="minorEastAsia" w:eastAsiaTheme="minorEastAsia" w:cstheme="minorEastAsia"/>
          <w:spacing w:val="4"/>
          <w:szCs w:val="24"/>
          <w:highlight w:val="none"/>
          <w:u w:val="single"/>
        </w:rPr>
        <w:t>(</w:t>
      </w:r>
      <w:r>
        <w:rPr>
          <w:rFonts w:hint="eastAsia" w:asciiTheme="minorEastAsia" w:hAnsiTheme="minorEastAsia" w:eastAsiaTheme="minorEastAsia" w:cstheme="minorEastAsia"/>
          <w:szCs w:val="24"/>
          <w:highlight w:val="none"/>
          <w:u w:val="single"/>
        </w:rPr>
        <w:t>法定代表人</w:t>
      </w:r>
      <w:r>
        <w:rPr>
          <w:rFonts w:hint="eastAsia" w:asciiTheme="minorEastAsia" w:hAnsiTheme="minorEastAsia" w:eastAsiaTheme="minorEastAsia" w:cstheme="minorEastAsia"/>
          <w:spacing w:val="4"/>
          <w:szCs w:val="24"/>
          <w:highlight w:val="none"/>
          <w:u w:val="single"/>
        </w:rPr>
        <w:t>姓名)</w:t>
      </w:r>
      <w:r>
        <w:rPr>
          <w:rFonts w:hint="eastAsia" w:asciiTheme="minorEastAsia" w:hAnsiTheme="minorEastAsia" w:eastAsiaTheme="minorEastAsia" w:cstheme="minorEastAsia"/>
          <w:spacing w:val="4"/>
          <w:szCs w:val="24"/>
          <w:highlight w:val="none"/>
        </w:rPr>
        <w:t>特授权</w:t>
      </w:r>
      <w:r>
        <w:rPr>
          <w:rFonts w:hint="eastAsia" w:asciiTheme="minorEastAsia" w:hAnsiTheme="minorEastAsia" w:eastAsiaTheme="minorEastAsia" w:cstheme="minorEastAsia"/>
          <w:spacing w:val="4"/>
          <w:szCs w:val="24"/>
          <w:highlight w:val="none"/>
          <w:u w:val="single"/>
        </w:rPr>
        <w:t xml:space="preserve">（ </w:t>
      </w:r>
      <w:r>
        <w:rPr>
          <w:rFonts w:hint="eastAsia" w:asciiTheme="minorEastAsia" w:hAnsiTheme="minorEastAsia" w:eastAsiaTheme="minorEastAsia" w:cstheme="minorEastAsia"/>
          <w:szCs w:val="24"/>
          <w:highlight w:val="none"/>
          <w:u w:val="single"/>
        </w:rPr>
        <w:t>授权代表</w:t>
      </w:r>
      <w:r>
        <w:rPr>
          <w:rFonts w:hint="eastAsia" w:asciiTheme="minorEastAsia" w:hAnsiTheme="minorEastAsia" w:eastAsiaTheme="minorEastAsia" w:cstheme="minorEastAsia"/>
          <w:spacing w:val="4"/>
          <w:szCs w:val="24"/>
          <w:highlight w:val="none"/>
          <w:u w:val="single"/>
        </w:rPr>
        <w:t>姓名 ）</w:t>
      </w:r>
      <w:r>
        <w:rPr>
          <w:rFonts w:hint="eastAsia" w:asciiTheme="minorEastAsia" w:hAnsiTheme="minorEastAsia" w:eastAsiaTheme="minorEastAsia" w:cstheme="minorEastAsia"/>
          <w:spacing w:val="4"/>
          <w:szCs w:val="24"/>
          <w:highlight w:val="none"/>
        </w:rPr>
        <w:t xml:space="preserve">代表我公司全权办理针对本次 </w:t>
      </w:r>
      <w:r>
        <w:rPr>
          <w:rFonts w:hint="eastAsia" w:asciiTheme="minorEastAsia" w:hAnsiTheme="minorEastAsia" w:eastAsiaTheme="minorEastAsia" w:cstheme="minorEastAsia"/>
          <w:spacing w:val="4"/>
          <w:szCs w:val="24"/>
          <w:highlight w:val="none"/>
          <w:u w:val="single"/>
        </w:rPr>
        <w:t xml:space="preserve">（项目名称、项目编号、包号：第  包）    </w:t>
      </w:r>
      <w:r>
        <w:rPr>
          <w:rFonts w:hint="eastAsia" w:asciiTheme="minorEastAsia" w:hAnsiTheme="minorEastAsia" w:eastAsiaTheme="minorEastAsia" w:cstheme="minorEastAsia"/>
          <w:spacing w:val="4"/>
          <w:szCs w:val="24"/>
          <w:highlight w:val="none"/>
        </w:rPr>
        <w:t>投标、谈判、签约等具体工作，并签署全部有关的文件、协议及合同。</w:t>
      </w:r>
    </w:p>
    <w:p w14:paraId="526AE6BB">
      <w:pPr>
        <w:spacing w:line="560" w:lineRule="exact"/>
        <w:ind w:firstLine="436" w:firstLineChars="200"/>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rPr>
        <w:t>我公司对</w:t>
      </w:r>
      <w:r>
        <w:rPr>
          <w:rFonts w:hint="eastAsia" w:asciiTheme="minorEastAsia" w:hAnsiTheme="minorEastAsia" w:eastAsiaTheme="minorEastAsia" w:cstheme="minorEastAsia"/>
          <w:szCs w:val="24"/>
          <w:highlight w:val="none"/>
        </w:rPr>
        <w:t>授权代表</w:t>
      </w:r>
      <w:r>
        <w:rPr>
          <w:rFonts w:hint="eastAsia" w:asciiTheme="minorEastAsia" w:hAnsiTheme="minorEastAsia" w:eastAsiaTheme="minorEastAsia" w:cstheme="minorEastAsia"/>
          <w:spacing w:val="4"/>
          <w:szCs w:val="24"/>
          <w:highlight w:val="none"/>
        </w:rPr>
        <w:t>的签名负全部责任。</w:t>
      </w:r>
    </w:p>
    <w:p w14:paraId="65A0CC0E">
      <w:pPr>
        <w:spacing w:line="560" w:lineRule="exact"/>
        <w:ind w:right="540" w:rightChars="257" w:firstLine="420" w:firstLineChars="200"/>
        <w:jc w:val="left"/>
        <w:rPr>
          <w:rFonts w:asciiTheme="minorEastAsia" w:hAnsiTheme="minorEastAsia" w:eastAsiaTheme="minorEastAsia" w:cstheme="minorEastAsia"/>
          <w:szCs w:val="24"/>
          <w:highlight w:val="none"/>
        </w:rPr>
      </w:pPr>
      <w:r>
        <w:rPr>
          <w:rFonts w:hint="eastAsia" w:asciiTheme="minorEastAsia" w:hAnsiTheme="minorEastAsia" w:eastAsiaTheme="minorEastAsia" w:cstheme="minorEastAsia"/>
          <w:szCs w:val="24"/>
          <w:highlight w:val="none"/>
        </w:rPr>
        <w:t>委托期限：</w:t>
      </w:r>
      <w:r>
        <w:rPr>
          <w:rFonts w:hint="eastAsia" w:asciiTheme="minorEastAsia" w:hAnsiTheme="minorEastAsia" w:eastAsiaTheme="minorEastAsia" w:cstheme="minorEastAsia"/>
          <w:highlight w:val="none"/>
          <w:lang w:val="zh-CN"/>
        </w:rPr>
        <w:t>自开标之日起</w:t>
      </w:r>
      <w:r>
        <w:rPr>
          <w:rFonts w:hint="eastAsia" w:asciiTheme="minorEastAsia" w:hAnsiTheme="minorEastAsia" w:eastAsiaTheme="minorEastAsia" w:cstheme="minorEastAsia"/>
          <w:highlight w:val="none"/>
        </w:rPr>
        <w:t>90</w:t>
      </w:r>
      <w:r>
        <w:rPr>
          <w:rFonts w:hint="eastAsia" w:asciiTheme="minorEastAsia" w:hAnsiTheme="minorEastAsia" w:eastAsiaTheme="minorEastAsia" w:cstheme="minorEastAsia"/>
          <w:highlight w:val="none"/>
          <w:lang w:val="zh-CN"/>
        </w:rPr>
        <w:t>天。</w:t>
      </w:r>
    </w:p>
    <w:p w14:paraId="58FFC81F">
      <w:pPr>
        <w:spacing w:line="560" w:lineRule="exact"/>
        <w:ind w:firstLine="436" w:firstLineChars="200"/>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rPr>
        <w:t>本授权书于</w:t>
      </w:r>
      <w:r>
        <w:rPr>
          <w:rFonts w:hint="eastAsia" w:asciiTheme="minorEastAsia" w:hAnsiTheme="minorEastAsia" w:eastAsiaTheme="minorEastAsia" w:cstheme="minorEastAsia"/>
          <w:spacing w:val="4"/>
          <w:szCs w:val="24"/>
          <w:highlight w:val="none"/>
          <w:u w:val="single"/>
        </w:rPr>
        <w:t xml:space="preserve">      年   月   日</w:t>
      </w:r>
      <w:r>
        <w:rPr>
          <w:rFonts w:hint="eastAsia" w:asciiTheme="minorEastAsia" w:hAnsiTheme="minorEastAsia" w:eastAsiaTheme="minorEastAsia" w:cstheme="minorEastAsia"/>
          <w:spacing w:val="4"/>
          <w:szCs w:val="24"/>
          <w:highlight w:val="none"/>
        </w:rPr>
        <w:t>签章生效，特此证明。</w:t>
      </w:r>
    </w:p>
    <w:tbl>
      <w:tblPr>
        <w:tblStyle w:val="27"/>
        <w:tblW w:w="8190" w:type="dxa"/>
        <w:tblInd w:w="633" w:type="dxa"/>
        <w:tblLayout w:type="fixed"/>
        <w:tblCellMar>
          <w:top w:w="0" w:type="dxa"/>
          <w:left w:w="108" w:type="dxa"/>
          <w:bottom w:w="0" w:type="dxa"/>
          <w:right w:w="108" w:type="dxa"/>
        </w:tblCellMar>
      </w:tblPr>
      <w:tblGrid>
        <w:gridCol w:w="4200"/>
        <w:gridCol w:w="3990"/>
      </w:tblGrid>
      <w:tr w14:paraId="1226277D">
        <w:tblPrEx>
          <w:tblCellMar>
            <w:top w:w="0" w:type="dxa"/>
            <w:left w:w="108" w:type="dxa"/>
            <w:bottom w:w="0" w:type="dxa"/>
            <w:right w:w="108" w:type="dxa"/>
          </w:tblCellMar>
        </w:tblPrEx>
        <w:trPr>
          <w:trHeight w:val="600" w:hRule="atLeast"/>
        </w:trPr>
        <w:tc>
          <w:tcPr>
            <w:tcW w:w="4200" w:type="dxa"/>
          </w:tcPr>
          <w:p w14:paraId="588A936D">
            <w:pPr>
              <w:spacing w:line="520" w:lineRule="exact"/>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rPr>
              <w:t>被授权人签字或盖章：</w:t>
            </w:r>
          </w:p>
        </w:tc>
        <w:tc>
          <w:tcPr>
            <w:tcW w:w="3990" w:type="dxa"/>
          </w:tcPr>
          <w:p w14:paraId="6C507D18">
            <w:pPr>
              <w:spacing w:line="520" w:lineRule="exact"/>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zCs w:val="24"/>
                <w:highlight w:val="none"/>
              </w:rPr>
              <w:t>法定代表人</w:t>
            </w:r>
            <w:r>
              <w:rPr>
                <w:rFonts w:hint="eastAsia" w:asciiTheme="minorEastAsia" w:hAnsiTheme="minorEastAsia" w:eastAsiaTheme="minorEastAsia" w:cstheme="minorEastAsia"/>
                <w:spacing w:val="4"/>
                <w:szCs w:val="24"/>
                <w:highlight w:val="none"/>
              </w:rPr>
              <w:t>签字或盖章：</w:t>
            </w:r>
          </w:p>
        </w:tc>
      </w:tr>
      <w:tr w14:paraId="0A3A4A70">
        <w:tblPrEx>
          <w:tblCellMar>
            <w:top w:w="0" w:type="dxa"/>
            <w:left w:w="108" w:type="dxa"/>
            <w:bottom w:w="0" w:type="dxa"/>
            <w:right w:w="108" w:type="dxa"/>
          </w:tblCellMar>
        </w:tblPrEx>
        <w:trPr>
          <w:trHeight w:val="600" w:hRule="atLeast"/>
        </w:trPr>
        <w:tc>
          <w:tcPr>
            <w:tcW w:w="4200" w:type="dxa"/>
          </w:tcPr>
          <w:p w14:paraId="58EE654D">
            <w:pPr>
              <w:spacing w:line="520" w:lineRule="exact"/>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rPr>
              <w:t>职务：</w:t>
            </w:r>
          </w:p>
        </w:tc>
        <w:tc>
          <w:tcPr>
            <w:tcW w:w="3990" w:type="dxa"/>
          </w:tcPr>
          <w:p w14:paraId="4B3A0184">
            <w:pPr>
              <w:spacing w:line="520" w:lineRule="exact"/>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rPr>
              <w:t>职务：</w:t>
            </w:r>
          </w:p>
        </w:tc>
      </w:tr>
      <w:tr w14:paraId="2085275F">
        <w:tblPrEx>
          <w:tblCellMar>
            <w:top w:w="0" w:type="dxa"/>
            <w:left w:w="108" w:type="dxa"/>
            <w:bottom w:w="0" w:type="dxa"/>
            <w:right w:w="108" w:type="dxa"/>
          </w:tblCellMar>
        </w:tblPrEx>
        <w:trPr>
          <w:trHeight w:val="600" w:hRule="atLeast"/>
        </w:trPr>
        <w:tc>
          <w:tcPr>
            <w:tcW w:w="4200" w:type="dxa"/>
          </w:tcPr>
          <w:p w14:paraId="0D2CFE34">
            <w:pPr>
              <w:spacing w:line="520" w:lineRule="exact"/>
              <w:jc w:val="left"/>
              <w:rPr>
                <w:rFonts w:asciiTheme="minorEastAsia" w:hAnsiTheme="minorEastAsia" w:eastAsiaTheme="minorEastAsia" w:cstheme="minorEastAsia"/>
                <w:spacing w:val="4"/>
                <w:szCs w:val="24"/>
                <w:highlight w:val="none"/>
              </w:rPr>
            </w:pPr>
            <w:r>
              <w:rPr>
                <w:rFonts w:hint="eastAsia" w:asciiTheme="minorEastAsia" w:hAnsiTheme="minorEastAsia" w:eastAsiaTheme="minorEastAsia" w:cstheme="minorEastAsia"/>
                <w:spacing w:val="4"/>
                <w:szCs w:val="24"/>
                <w:highlight w:val="none"/>
              </w:rPr>
              <w:t>所在部门：</w:t>
            </w:r>
          </w:p>
        </w:tc>
        <w:tc>
          <w:tcPr>
            <w:tcW w:w="3990" w:type="dxa"/>
          </w:tcPr>
          <w:p w14:paraId="0C35AA7C">
            <w:pPr>
              <w:spacing w:line="520" w:lineRule="exact"/>
              <w:jc w:val="left"/>
              <w:rPr>
                <w:rFonts w:asciiTheme="minorEastAsia" w:hAnsiTheme="minorEastAsia" w:eastAsiaTheme="minorEastAsia" w:cstheme="minorEastAsia"/>
                <w:spacing w:val="4"/>
                <w:szCs w:val="24"/>
                <w:highlight w:val="none"/>
              </w:rPr>
            </w:pPr>
          </w:p>
        </w:tc>
      </w:tr>
    </w:tbl>
    <w:p w14:paraId="7551BBD0">
      <w:pPr>
        <w:spacing w:line="520" w:lineRule="exact"/>
        <w:ind w:firstLine="436" w:firstLineChars="200"/>
        <w:jc w:val="left"/>
        <w:rPr>
          <w:rFonts w:asciiTheme="minorEastAsia" w:hAnsiTheme="minorEastAsia" w:eastAsiaTheme="minorEastAsia" w:cstheme="minorEastAsia"/>
          <w:spacing w:val="4"/>
          <w:szCs w:val="24"/>
          <w:highlight w:val="none"/>
        </w:rPr>
      </w:pPr>
    </w:p>
    <w:p w14:paraId="16FC1AE6">
      <w:pPr>
        <w:spacing w:before="240" w:line="360" w:lineRule="auto"/>
        <w:ind w:firstLine="840" w:firstLineChars="400"/>
        <w:rPr>
          <w:rFonts w:asciiTheme="minorEastAsia" w:hAnsiTheme="minorEastAsia" w:eastAsiaTheme="minorEastAsia" w:cstheme="minorEastAsia"/>
          <w:highlight w:val="none"/>
          <w:u w:val="single"/>
        </w:rPr>
      </w:pPr>
      <w:r>
        <w:rPr>
          <w:rFonts w:hint="eastAsia" w:asciiTheme="minorEastAsia" w:hAnsiTheme="minorEastAsia" w:eastAsiaTheme="minorEastAsia" w:cstheme="minorEastAsia"/>
          <w:highlight w:val="none"/>
          <w:lang w:val="zh-CN"/>
        </w:rPr>
        <w:t>附法定代表人</w:t>
      </w:r>
      <w:r>
        <w:rPr>
          <w:rFonts w:hint="eastAsia" w:asciiTheme="minorEastAsia" w:hAnsiTheme="minorEastAsia" w:eastAsiaTheme="minorEastAsia" w:cstheme="minorEastAsia"/>
          <w:highlight w:val="none"/>
        </w:rPr>
        <w:t>、</w:t>
      </w:r>
      <w:r>
        <w:rPr>
          <w:rFonts w:hint="eastAsia" w:asciiTheme="minorEastAsia" w:hAnsiTheme="minorEastAsia" w:eastAsiaTheme="minorEastAsia" w:cstheme="minorEastAsia"/>
          <w:highlight w:val="none"/>
          <w:lang w:val="zh-CN"/>
        </w:rPr>
        <w:t>授权代表身份证复印件</w:t>
      </w:r>
    </w:p>
    <w:tbl>
      <w:tblPr>
        <w:tblStyle w:val="27"/>
        <w:tblW w:w="8357" w:type="dxa"/>
        <w:tblInd w:w="540" w:type="dxa"/>
        <w:tblLayout w:type="fixed"/>
        <w:tblCellMar>
          <w:top w:w="0" w:type="dxa"/>
          <w:left w:w="108" w:type="dxa"/>
          <w:bottom w:w="0" w:type="dxa"/>
          <w:right w:w="108" w:type="dxa"/>
        </w:tblCellMar>
      </w:tblPr>
      <w:tblGrid>
        <w:gridCol w:w="4246"/>
        <w:gridCol w:w="4111"/>
      </w:tblGrid>
      <w:tr w14:paraId="54CA3848">
        <w:tblPrEx>
          <w:tblCellMar>
            <w:top w:w="0" w:type="dxa"/>
            <w:left w:w="108" w:type="dxa"/>
            <w:bottom w:w="0" w:type="dxa"/>
            <w:right w:w="108" w:type="dxa"/>
          </w:tblCellMar>
        </w:tblPrEx>
        <w:trPr>
          <w:trHeight w:val="2818" w:hRule="atLeast"/>
        </w:trPr>
        <w:tc>
          <w:tcPr>
            <w:tcW w:w="4246" w:type="dxa"/>
            <w:tcBorders>
              <w:top w:val="single" w:color="auto" w:sz="6" w:space="0"/>
              <w:left w:val="single" w:color="auto" w:sz="6" w:space="0"/>
              <w:bottom w:val="single" w:color="auto" w:sz="6" w:space="0"/>
              <w:right w:val="single" w:color="auto" w:sz="6" w:space="0"/>
            </w:tcBorders>
            <w:vAlign w:val="center"/>
          </w:tcPr>
          <w:p w14:paraId="5E88E64B">
            <w:pPr>
              <w:spacing w:line="360" w:lineRule="auto"/>
              <w:jc w:val="center"/>
              <w:rPr>
                <w:rFonts w:asciiTheme="minorEastAsia" w:hAnsiTheme="minorEastAsia" w:eastAsiaTheme="minorEastAsia" w:cstheme="minorEastAsia"/>
                <w:szCs w:val="21"/>
                <w:highlight w:val="none"/>
                <w:lang w:val="zh-CN"/>
              </w:rPr>
            </w:pPr>
            <w:r>
              <w:rPr>
                <w:rFonts w:hint="eastAsia" w:asciiTheme="minorEastAsia" w:hAnsiTheme="minorEastAsia" w:eastAsiaTheme="minorEastAsia" w:cstheme="minorEastAsia"/>
                <w:szCs w:val="21"/>
                <w:highlight w:val="none"/>
                <w:lang w:val="zh-CN"/>
              </w:rPr>
              <w:t>法定代表人身份证复印件粘贴处</w:t>
            </w:r>
          </w:p>
          <w:p w14:paraId="459EDE37">
            <w:pPr>
              <w:spacing w:line="360" w:lineRule="auto"/>
              <w:jc w:val="center"/>
              <w:rPr>
                <w:rFonts w:asciiTheme="minorEastAsia" w:hAnsiTheme="minorEastAsia" w:eastAsiaTheme="minorEastAsia" w:cstheme="minorEastAsia"/>
                <w:szCs w:val="21"/>
                <w:highlight w:val="none"/>
                <w:u w:val="single"/>
              </w:rPr>
            </w:pPr>
            <w:r>
              <w:rPr>
                <w:rFonts w:hint="eastAsia" w:asciiTheme="minorEastAsia" w:hAnsiTheme="minorEastAsia" w:eastAsiaTheme="minorEastAsia" w:cstheme="minorEastAsia"/>
                <w:szCs w:val="21"/>
                <w:highlight w:val="none"/>
                <w:lang w:val="zh-CN"/>
              </w:rPr>
              <w:t>（正反面）</w:t>
            </w:r>
          </w:p>
        </w:tc>
        <w:tc>
          <w:tcPr>
            <w:tcW w:w="4111" w:type="dxa"/>
            <w:tcBorders>
              <w:top w:val="single" w:color="auto" w:sz="6" w:space="0"/>
              <w:left w:val="single" w:color="auto" w:sz="6" w:space="0"/>
              <w:bottom w:val="single" w:color="auto" w:sz="6" w:space="0"/>
              <w:right w:val="single" w:color="auto" w:sz="6" w:space="0"/>
            </w:tcBorders>
            <w:vAlign w:val="center"/>
          </w:tcPr>
          <w:p w14:paraId="63A08F3F">
            <w:pPr>
              <w:autoSpaceDE w:val="0"/>
              <w:autoSpaceDN w:val="0"/>
              <w:adjustRightInd w:val="0"/>
              <w:snapToGrid w:val="0"/>
              <w:spacing w:beforeLines="50" w:line="360" w:lineRule="auto"/>
              <w:jc w:val="center"/>
              <w:rPr>
                <w:rFonts w:asciiTheme="minorEastAsia" w:hAnsiTheme="minorEastAsia" w:eastAsiaTheme="minorEastAsia" w:cstheme="minorEastAsia"/>
                <w:szCs w:val="21"/>
                <w:highlight w:val="none"/>
              </w:rPr>
            </w:pPr>
            <w:r>
              <w:rPr>
                <w:rFonts w:hint="eastAsia" w:asciiTheme="minorEastAsia" w:hAnsiTheme="minorEastAsia" w:eastAsiaTheme="minorEastAsia" w:cstheme="minorEastAsia"/>
                <w:szCs w:val="24"/>
                <w:highlight w:val="none"/>
              </w:rPr>
              <w:t>授权代表</w:t>
            </w:r>
            <w:r>
              <w:rPr>
                <w:rFonts w:hint="eastAsia" w:asciiTheme="minorEastAsia" w:hAnsiTheme="minorEastAsia" w:eastAsiaTheme="minorEastAsia" w:cstheme="minorEastAsia"/>
                <w:szCs w:val="21"/>
                <w:highlight w:val="none"/>
              </w:rPr>
              <w:t>身份证复印件粘贴处</w:t>
            </w:r>
          </w:p>
          <w:p w14:paraId="30560EEF">
            <w:pPr>
              <w:autoSpaceDE w:val="0"/>
              <w:autoSpaceDN w:val="0"/>
              <w:adjustRightInd w:val="0"/>
              <w:snapToGrid w:val="0"/>
              <w:spacing w:beforeLines="50" w:line="360" w:lineRule="auto"/>
              <w:jc w:val="center"/>
              <w:rPr>
                <w:rFonts w:asciiTheme="minorEastAsia" w:hAnsiTheme="minorEastAsia" w:eastAsiaTheme="minorEastAsia" w:cstheme="minorEastAsia"/>
                <w:highlight w:val="none"/>
                <w:u w:val="single"/>
              </w:rPr>
            </w:pPr>
            <w:r>
              <w:rPr>
                <w:rFonts w:hint="eastAsia" w:asciiTheme="minorEastAsia" w:hAnsiTheme="minorEastAsia" w:eastAsiaTheme="minorEastAsia" w:cstheme="minorEastAsia"/>
                <w:szCs w:val="21"/>
                <w:highlight w:val="none"/>
              </w:rPr>
              <w:t>（正反面）</w:t>
            </w:r>
          </w:p>
        </w:tc>
      </w:tr>
    </w:tbl>
    <w:p w14:paraId="41866F23">
      <w:pPr>
        <w:spacing w:line="480" w:lineRule="auto"/>
        <w:ind w:left="424" w:leftChars="202" w:right="540" w:rightChars="257"/>
        <w:jc w:val="left"/>
        <w:rPr>
          <w:rFonts w:asciiTheme="minorEastAsia" w:hAnsiTheme="minorEastAsia" w:eastAsiaTheme="minorEastAsia" w:cstheme="minorEastAsia"/>
          <w:highlight w:val="none"/>
        </w:rPr>
      </w:pPr>
      <w:r>
        <w:rPr>
          <w:rFonts w:hint="eastAsia" w:asciiTheme="minorEastAsia" w:hAnsiTheme="minorEastAsia" w:eastAsiaTheme="minorEastAsia" w:cstheme="minorEastAsia"/>
          <w:highlight w:val="none"/>
        </w:rPr>
        <w:t>投标人名称：</w:t>
      </w:r>
      <w:r>
        <w:rPr>
          <w:rFonts w:hint="eastAsia" w:asciiTheme="minorEastAsia" w:hAnsiTheme="minorEastAsia" w:eastAsiaTheme="minorEastAsia" w:cstheme="minorEastAsia"/>
          <w:highlight w:val="none"/>
          <w:u w:val="single"/>
        </w:rPr>
        <w:t xml:space="preserve">      （加盖单位公章）      </w:t>
      </w:r>
    </w:p>
    <w:p w14:paraId="6A29A47E">
      <w:pPr>
        <w:spacing w:line="440" w:lineRule="exact"/>
        <w:ind w:left="424" w:leftChars="202"/>
        <w:rPr>
          <w:rFonts w:asciiTheme="minorEastAsia" w:hAnsiTheme="minorEastAsia" w:eastAsiaTheme="minorEastAsia" w:cstheme="minorEastAsia"/>
          <w:spacing w:val="4"/>
          <w:szCs w:val="30"/>
          <w:highlight w:val="none"/>
        </w:rPr>
      </w:pPr>
      <w:r>
        <w:rPr>
          <w:rFonts w:hint="eastAsia" w:asciiTheme="minorEastAsia" w:hAnsiTheme="minorEastAsia" w:eastAsiaTheme="minorEastAsia" w:cstheme="minorEastAsia"/>
          <w:spacing w:val="4"/>
          <w:szCs w:val="30"/>
          <w:highlight w:val="none"/>
        </w:rPr>
        <w:t>日   期：</w:t>
      </w:r>
    </w:p>
    <w:p w14:paraId="54B8EB47">
      <w:pPr>
        <w:ind w:firstLine="422" w:firstLineChars="200"/>
        <w:rPr>
          <w:rFonts w:asciiTheme="minorEastAsia" w:hAnsiTheme="minorEastAsia" w:eastAsiaTheme="minorEastAsia" w:cstheme="minorEastAsia"/>
          <w:b/>
          <w:bCs/>
          <w:highlight w:val="none"/>
          <w:lang w:val="zh-CN"/>
        </w:rPr>
      </w:pPr>
    </w:p>
    <w:p w14:paraId="6B47FBA9">
      <w:pPr>
        <w:ind w:firstLine="436" w:firstLineChars="200"/>
        <w:rPr>
          <w:rFonts w:asciiTheme="minorEastAsia" w:hAnsiTheme="minorEastAsia" w:eastAsiaTheme="minorEastAsia" w:cstheme="minorEastAsia"/>
          <w:highlight w:val="none"/>
        </w:rPr>
      </w:pPr>
      <w:bookmarkStart w:id="194" w:name="_Toc25905"/>
      <w:r>
        <w:rPr>
          <w:rFonts w:hint="eastAsia" w:asciiTheme="minorEastAsia" w:hAnsiTheme="minorEastAsia" w:eastAsiaTheme="minorEastAsia" w:cstheme="minorEastAsia"/>
          <w:spacing w:val="4"/>
          <w:szCs w:val="30"/>
          <w:highlight w:val="none"/>
        </w:rPr>
        <w:br w:type="page"/>
      </w:r>
      <w:bookmarkEnd w:id="194"/>
    </w:p>
    <w:p w14:paraId="0547DADC">
      <w:pPr>
        <w:widowControl/>
        <w:spacing w:line="360" w:lineRule="auto"/>
        <w:ind w:left="1" w:firstLine="281" w:firstLineChars="100"/>
        <w:rPr>
          <w:rFonts w:ascii="宋体" w:hAnsi="宋体" w:cs="宋体"/>
          <w:b/>
          <w:kern w:val="0"/>
          <w:sz w:val="28"/>
          <w:szCs w:val="28"/>
          <w:highlight w:val="none"/>
        </w:rPr>
      </w:pPr>
    </w:p>
    <w:p w14:paraId="78D736F0">
      <w:pPr>
        <w:widowControl/>
        <w:spacing w:line="360" w:lineRule="auto"/>
        <w:ind w:left="1" w:firstLine="241" w:firstLineChars="100"/>
        <w:jc w:val="center"/>
        <w:rPr>
          <w:rFonts w:ascii="宋体" w:hAnsi="宋体" w:cs="宋体"/>
          <w:b/>
          <w:kern w:val="0"/>
          <w:sz w:val="24"/>
          <w:szCs w:val="24"/>
          <w:highlight w:val="none"/>
        </w:rPr>
      </w:pPr>
      <w:r>
        <w:rPr>
          <w:rFonts w:hint="eastAsia" w:ascii="宋体" w:hAnsi="宋体" w:cs="宋体"/>
          <w:b/>
          <w:kern w:val="0"/>
          <w:sz w:val="24"/>
          <w:szCs w:val="24"/>
          <w:highlight w:val="none"/>
        </w:rPr>
        <w:t>参加政府采购活动前3年内在经营活动中没有重大违法纪录的书面声明</w:t>
      </w:r>
    </w:p>
    <w:p w14:paraId="34E29AD7">
      <w:pPr>
        <w:widowControl/>
        <w:spacing w:line="360" w:lineRule="auto"/>
        <w:ind w:left="1"/>
        <w:jc w:val="center"/>
        <w:rPr>
          <w:rFonts w:ascii="宋体" w:hAnsi="宋体" w:cs="宋体"/>
          <w:b/>
          <w:kern w:val="0"/>
          <w:sz w:val="28"/>
          <w:szCs w:val="28"/>
          <w:highlight w:val="none"/>
        </w:rPr>
      </w:pPr>
      <w:r>
        <w:rPr>
          <w:rFonts w:hint="eastAsia" w:ascii="宋体" w:hAnsi="宋体" w:cs="宋体"/>
          <w:b/>
          <w:kern w:val="0"/>
          <w:sz w:val="28"/>
          <w:szCs w:val="28"/>
          <w:highlight w:val="none"/>
        </w:rPr>
        <w:t>（格式）</w:t>
      </w:r>
    </w:p>
    <w:p w14:paraId="23CB8B35">
      <w:pPr>
        <w:pStyle w:val="24"/>
        <w:wordWrap w:val="0"/>
        <w:spacing w:line="560" w:lineRule="exact"/>
        <w:rPr>
          <w:rFonts w:ascii="宋体" w:hAnsi="宋体" w:cs="宋体"/>
          <w:color w:val="auto"/>
          <w:highlight w:val="none"/>
          <w:u w:val="single"/>
          <w:shd w:val="clear" w:color="auto" w:fill="FFFFFF"/>
        </w:rPr>
      </w:pPr>
      <w:r>
        <w:rPr>
          <w:rFonts w:hint="eastAsia" w:ascii="宋体" w:hAnsi="宋体" w:cs="宋体"/>
          <w:color w:val="auto"/>
          <w:highlight w:val="none"/>
          <w:u w:val="single"/>
          <w:shd w:val="clear" w:color="auto" w:fill="FFFFFF"/>
        </w:rPr>
        <w:t xml:space="preserve">      （采购人）           ：</w:t>
      </w:r>
    </w:p>
    <w:p w14:paraId="01884C6F">
      <w:pPr>
        <w:pStyle w:val="24"/>
        <w:wordWrap w:val="0"/>
        <w:spacing w:line="560" w:lineRule="exact"/>
        <w:ind w:firstLine="640"/>
        <w:rPr>
          <w:rFonts w:ascii="宋体" w:hAnsi="宋体" w:cs="宋体"/>
          <w:color w:val="auto"/>
          <w:highlight w:val="none"/>
        </w:rPr>
      </w:pPr>
      <w:r>
        <w:rPr>
          <w:rFonts w:hint="eastAsia" w:ascii="宋体" w:hAnsi="宋体" w:cs="宋体"/>
          <w:color w:val="auto"/>
          <w:highlight w:val="none"/>
          <w:shd w:val="clear" w:color="auto" w:fill="FFFFFF"/>
        </w:rPr>
        <w:t>我方作为项目名称</w:t>
      </w:r>
      <w:r>
        <w:rPr>
          <w:rFonts w:hint="eastAsia" w:ascii="宋体" w:hAnsi="宋体" w:cs="宋体"/>
          <w:color w:val="auto"/>
          <w:highlight w:val="none"/>
          <w:u w:val="single"/>
          <w:shd w:val="clear" w:color="auto" w:fill="FFFFFF"/>
        </w:rPr>
        <w:t xml:space="preserve">             </w:t>
      </w:r>
      <w:r>
        <w:rPr>
          <w:rFonts w:hint="eastAsia" w:ascii="宋体" w:hAnsi="宋体" w:cs="宋体"/>
          <w:color w:val="auto"/>
          <w:highlight w:val="none"/>
          <w:shd w:val="clear" w:color="auto" w:fill="FFFFFF"/>
        </w:rPr>
        <w:t>（项目编号</w:t>
      </w:r>
      <w:r>
        <w:rPr>
          <w:rFonts w:hint="eastAsia" w:cs="宋体"/>
          <w:color w:val="auto"/>
          <w:highlight w:val="none"/>
          <w:shd w:val="clear" w:color="auto" w:fill="FFFFFF"/>
        </w:rPr>
        <w:t>、包号</w:t>
      </w:r>
      <w:r>
        <w:rPr>
          <w:rFonts w:hint="eastAsia" w:ascii="宋体" w:hAnsi="宋体" w:cs="宋体"/>
          <w:color w:val="auto"/>
          <w:highlight w:val="none"/>
          <w:shd w:val="clear" w:color="auto" w:fill="FFFFFF"/>
        </w:rPr>
        <w:t>：</w:t>
      </w:r>
      <w:r>
        <w:rPr>
          <w:rFonts w:hint="eastAsia" w:ascii="宋体" w:hAnsi="宋体" w:cs="宋体"/>
          <w:i/>
          <w:iCs/>
          <w:color w:val="auto"/>
          <w:highlight w:val="none"/>
          <w:u w:val="single"/>
          <w:shd w:val="clear" w:color="auto" w:fill="FFFFFF"/>
        </w:rPr>
        <w:t xml:space="preserve">          </w:t>
      </w:r>
      <w:r>
        <w:rPr>
          <w:rFonts w:hint="eastAsia" w:ascii="宋体" w:hAnsi="宋体" w:cs="宋体"/>
          <w:color w:val="auto"/>
          <w:highlight w:val="none"/>
          <w:shd w:val="clear" w:color="auto" w:fill="FFFFFF"/>
        </w:rPr>
        <w:t xml:space="preserve">）的供应商，在此郑重声明： </w:t>
      </w:r>
    </w:p>
    <w:p w14:paraId="50E8DB57">
      <w:pPr>
        <w:pStyle w:val="24"/>
        <w:wordWrap w:val="0"/>
        <w:spacing w:line="560" w:lineRule="exact"/>
        <w:ind w:firstLine="420"/>
        <w:rPr>
          <w:rFonts w:ascii="宋体" w:hAnsi="宋体" w:cs="宋体"/>
          <w:color w:val="auto"/>
          <w:highlight w:val="none"/>
        </w:rPr>
      </w:pPr>
      <w:r>
        <w:rPr>
          <w:rFonts w:hint="eastAsia" w:ascii="宋体" w:hAnsi="宋体" w:cs="宋体"/>
          <w:color w:val="auto"/>
          <w:highlight w:val="none"/>
          <w:shd w:val="clear" w:color="auto" w:fill="FFFFFF"/>
        </w:rPr>
        <w:t>在参加本次政府采购活动前3年内的经营活动中</w:t>
      </w:r>
      <w:r>
        <w:rPr>
          <w:rFonts w:hint="eastAsia" w:ascii="宋体" w:hAnsi="宋体" w:cs="宋体"/>
          <w:color w:val="auto"/>
          <w:highlight w:val="none"/>
          <w:u w:val="single"/>
          <w:shd w:val="clear" w:color="auto" w:fill="FFFFFF"/>
        </w:rPr>
        <w:t xml:space="preserve">          </w:t>
      </w:r>
      <w:r>
        <w:rPr>
          <w:rFonts w:hint="eastAsia" w:ascii="宋体" w:hAnsi="宋体" w:cs="宋体"/>
          <w:color w:val="auto"/>
          <w:highlight w:val="none"/>
          <w:shd w:val="clear" w:color="auto" w:fill="FFFFFF"/>
        </w:rPr>
        <w:t xml:space="preserve">（填“没有”或“有”）重大违法记录。供应商在参加政府采购活动前3年内因违法经营被禁止在一定期限内参加政府采购活动，期限届满的，可以参加政府采购活动，但应提供期限届满的证明材料。 </w:t>
      </w:r>
    </w:p>
    <w:p w14:paraId="15FDF036">
      <w:pPr>
        <w:pStyle w:val="24"/>
        <w:wordWrap w:val="0"/>
        <w:spacing w:line="560" w:lineRule="exact"/>
        <w:ind w:firstLine="420"/>
        <w:rPr>
          <w:rFonts w:ascii="宋体" w:hAnsi="宋体" w:cs="宋体"/>
          <w:color w:val="auto"/>
          <w:highlight w:val="none"/>
        </w:rPr>
      </w:pPr>
      <w:r>
        <w:rPr>
          <w:rFonts w:hint="eastAsia" w:ascii="宋体" w:hAnsi="宋体" w:cs="宋体"/>
          <w:color w:val="auto"/>
          <w:highlight w:val="none"/>
          <w:shd w:val="clear" w:color="auto" w:fill="FFFFFF"/>
        </w:rPr>
        <w:t xml:space="preserve">如有不实，我方将无条件地退出本项目的采购活动，并遵照《政府采购法》有关“提供虚假材料的规定”接受处罚。 </w:t>
      </w:r>
    </w:p>
    <w:p w14:paraId="60EB0E61">
      <w:pPr>
        <w:pStyle w:val="24"/>
        <w:wordWrap w:val="0"/>
        <w:spacing w:line="560" w:lineRule="exact"/>
        <w:ind w:firstLine="420"/>
        <w:rPr>
          <w:rFonts w:ascii="宋体" w:hAnsi="宋体" w:cs="宋体"/>
          <w:color w:val="auto"/>
          <w:highlight w:val="none"/>
          <w:shd w:val="clear" w:color="auto" w:fill="FFFFFF"/>
        </w:rPr>
      </w:pPr>
      <w:r>
        <w:rPr>
          <w:rFonts w:hint="eastAsia" w:ascii="宋体" w:hAnsi="宋体" w:cs="宋体"/>
          <w:color w:val="auto"/>
          <w:highlight w:val="none"/>
          <w:shd w:val="clear" w:color="auto" w:fill="FFFFFF"/>
        </w:rPr>
        <w:t>特此声明！</w:t>
      </w:r>
    </w:p>
    <w:p w14:paraId="2A54EB26">
      <w:pPr>
        <w:pStyle w:val="24"/>
        <w:wordWrap w:val="0"/>
        <w:spacing w:line="560" w:lineRule="exact"/>
        <w:ind w:firstLine="420"/>
        <w:rPr>
          <w:rFonts w:ascii="宋体" w:hAnsi="宋体" w:cs="宋体"/>
          <w:color w:val="auto"/>
          <w:highlight w:val="none"/>
          <w:shd w:val="clear" w:color="auto" w:fill="FFFFFF"/>
        </w:rPr>
      </w:pPr>
    </w:p>
    <w:p w14:paraId="462DB221">
      <w:pPr>
        <w:spacing w:line="480" w:lineRule="auto"/>
        <w:ind w:firstLine="3360" w:firstLineChars="1400"/>
        <w:rPr>
          <w:rFonts w:ascii="宋体" w:hAnsi="宋体" w:cs="宋体"/>
          <w:sz w:val="24"/>
          <w:highlight w:val="none"/>
        </w:rPr>
      </w:pPr>
      <w:r>
        <w:rPr>
          <w:rFonts w:hint="eastAsia" w:ascii="宋体" w:hAnsi="宋体" w:cs="宋体"/>
          <w:sz w:val="24"/>
          <w:highlight w:val="none"/>
        </w:rPr>
        <w:t>投标人名称：</w:t>
      </w:r>
      <w:r>
        <w:rPr>
          <w:rFonts w:hint="eastAsia" w:ascii="宋体" w:hAnsi="宋体" w:cs="宋体"/>
          <w:sz w:val="24"/>
          <w:highlight w:val="none"/>
          <w:u w:val="single"/>
        </w:rPr>
        <w:t xml:space="preserve">               </w:t>
      </w:r>
      <w:r>
        <w:rPr>
          <w:rFonts w:hint="eastAsia" w:ascii="宋体" w:hAnsi="宋体" w:cs="宋体"/>
          <w:sz w:val="24"/>
          <w:highlight w:val="none"/>
        </w:rPr>
        <w:t>（盖章）</w:t>
      </w:r>
    </w:p>
    <w:p w14:paraId="1C4F251C">
      <w:pPr>
        <w:pStyle w:val="51"/>
        <w:spacing w:beforeLines="50"/>
        <w:ind w:firstLine="3360" w:firstLineChars="1400"/>
        <w:rPr>
          <w:rFonts w:ascii="宋体" w:hAnsi="宋体" w:cs="宋体"/>
          <w:sz w:val="24"/>
          <w:szCs w:val="24"/>
          <w:highlight w:val="none"/>
        </w:rPr>
      </w:pPr>
      <w:r>
        <w:rPr>
          <w:rFonts w:hint="eastAsia" w:ascii="宋体" w:hAnsi="宋体" w:cs="宋体"/>
          <w:sz w:val="24"/>
          <w:szCs w:val="24"/>
          <w:highlight w:val="none"/>
        </w:rPr>
        <w:t>日        期：</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w:t>
      </w:r>
      <w:r>
        <w:rPr>
          <w:rFonts w:hint="eastAsia" w:ascii="宋体" w:hAnsi="宋体" w:cs="宋体"/>
          <w:sz w:val="24"/>
          <w:szCs w:val="24"/>
          <w:highlight w:val="none"/>
          <w:u w:val="single"/>
        </w:rPr>
        <w:t xml:space="preserve">     </w:t>
      </w:r>
      <w:r>
        <w:rPr>
          <w:rFonts w:hint="eastAsia" w:ascii="宋体" w:hAnsi="宋体" w:cs="宋体"/>
          <w:sz w:val="24"/>
          <w:szCs w:val="24"/>
          <w:highlight w:val="none"/>
        </w:rPr>
        <w:t>月</w:t>
      </w:r>
      <w:r>
        <w:rPr>
          <w:rFonts w:hint="eastAsia" w:ascii="宋体" w:hAnsi="宋体" w:cs="宋体"/>
          <w:sz w:val="24"/>
          <w:szCs w:val="24"/>
          <w:highlight w:val="none"/>
          <w:u w:val="single"/>
        </w:rPr>
        <w:t xml:space="preserve">     </w:t>
      </w:r>
      <w:r>
        <w:rPr>
          <w:rFonts w:hint="eastAsia" w:ascii="宋体" w:hAnsi="宋体" w:cs="宋体"/>
          <w:sz w:val="24"/>
          <w:szCs w:val="24"/>
          <w:highlight w:val="none"/>
        </w:rPr>
        <w:t>日</w:t>
      </w:r>
    </w:p>
    <w:p w14:paraId="05615893">
      <w:pPr>
        <w:adjustRightInd w:val="0"/>
        <w:snapToGrid w:val="0"/>
        <w:spacing w:line="360" w:lineRule="auto"/>
        <w:jc w:val="center"/>
        <w:rPr>
          <w:rFonts w:asciiTheme="minorEastAsia" w:hAnsiTheme="minorEastAsia" w:eastAsiaTheme="minorEastAsia" w:cstheme="minorEastAsia"/>
          <w:b/>
          <w:sz w:val="28"/>
          <w:szCs w:val="28"/>
          <w:highlight w:val="none"/>
        </w:rPr>
      </w:pPr>
      <w:r>
        <w:rPr>
          <w:rFonts w:hint="eastAsia" w:asciiTheme="minorEastAsia" w:hAnsiTheme="minorEastAsia" w:eastAsiaTheme="minorEastAsia" w:cstheme="minorEastAsia"/>
          <w:b/>
          <w:sz w:val="28"/>
          <w:szCs w:val="28"/>
          <w:highlight w:val="none"/>
        </w:rPr>
        <w:br w:type="page"/>
      </w:r>
    </w:p>
    <w:p w14:paraId="3527CCD7">
      <w:pPr>
        <w:adjustRightInd w:val="0"/>
        <w:snapToGrid w:val="0"/>
        <w:spacing w:line="360" w:lineRule="auto"/>
        <w:jc w:val="center"/>
        <w:rPr>
          <w:rFonts w:asciiTheme="minorEastAsia" w:hAnsiTheme="minorEastAsia" w:eastAsiaTheme="minorEastAsia" w:cstheme="minorEastAsia"/>
          <w:b/>
          <w:sz w:val="28"/>
          <w:szCs w:val="28"/>
          <w:highlight w:val="none"/>
        </w:rPr>
      </w:pPr>
    </w:p>
    <w:p w14:paraId="2F4D99F3">
      <w:pPr>
        <w:adjustRightInd w:val="0"/>
        <w:snapToGrid w:val="0"/>
        <w:spacing w:line="360" w:lineRule="auto"/>
        <w:jc w:val="center"/>
        <w:rPr>
          <w:rFonts w:ascii="宋体" w:hAnsi="宋体" w:cs="宋体"/>
          <w:b/>
          <w:sz w:val="28"/>
          <w:szCs w:val="28"/>
          <w:highlight w:val="none"/>
        </w:rPr>
      </w:pPr>
      <w:r>
        <w:rPr>
          <w:rFonts w:hint="eastAsia" w:ascii="宋体" w:hAnsi="宋体" w:cs="宋体"/>
          <w:b/>
          <w:sz w:val="28"/>
          <w:szCs w:val="28"/>
          <w:highlight w:val="none"/>
        </w:rPr>
        <w:t>具有履行本合同所必需的设备和专业技术能力的书面声明</w:t>
      </w:r>
    </w:p>
    <w:p w14:paraId="2EB2395D">
      <w:pPr>
        <w:widowControl/>
        <w:spacing w:line="360" w:lineRule="auto"/>
        <w:ind w:left="1"/>
        <w:jc w:val="center"/>
        <w:rPr>
          <w:rFonts w:ascii="宋体" w:hAnsi="宋体" w:cs="宋体"/>
          <w:b/>
          <w:kern w:val="0"/>
          <w:sz w:val="28"/>
          <w:szCs w:val="28"/>
          <w:highlight w:val="none"/>
        </w:rPr>
      </w:pPr>
      <w:r>
        <w:rPr>
          <w:rFonts w:hint="eastAsia" w:ascii="宋体" w:hAnsi="宋体" w:cs="宋体"/>
          <w:b/>
          <w:kern w:val="0"/>
          <w:sz w:val="28"/>
          <w:szCs w:val="28"/>
          <w:highlight w:val="none"/>
        </w:rPr>
        <w:t>（格式）</w:t>
      </w:r>
    </w:p>
    <w:p w14:paraId="6FABE7EA">
      <w:pPr>
        <w:rPr>
          <w:highlight w:val="none"/>
        </w:rPr>
      </w:pPr>
    </w:p>
    <w:p w14:paraId="3162EC20">
      <w:pPr>
        <w:pStyle w:val="14"/>
        <w:adjustRightInd w:val="0"/>
        <w:snapToGrid w:val="0"/>
        <w:spacing w:line="720" w:lineRule="exact"/>
        <w:jc w:val="center"/>
        <w:rPr>
          <w:rFonts w:hAnsi="宋体"/>
          <w:b/>
          <w:sz w:val="28"/>
          <w:szCs w:val="28"/>
          <w:highlight w:val="none"/>
        </w:rPr>
      </w:pPr>
    </w:p>
    <w:p w14:paraId="068A145A">
      <w:pPr>
        <w:spacing w:line="720" w:lineRule="exact"/>
        <w:rPr>
          <w:rFonts w:ascii="宋体" w:hAnsi="宋体" w:cs="宋体"/>
          <w:spacing w:val="4"/>
          <w:sz w:val="24"/>
          <w:highlight w:val="none"/>
          <w:u w:val="single"/>
        </w:rPr>
      </w:pPr>
      <w:r>
        <w:rPr>
          <w:rFonts w:hint="eastAsia" w:ascii="宋体" w:hAnsi="宋体" w:cs="宋体"/>
          <w:spacing w:val="4"/>
          <w:sz w:val="24"/>
          <w:highlight w:val="none"/>
          <w:u w:val="single"/>
        </w:rPr>
        <w:t xml:space="preserve">     （采购人名称）    ：</w:t>
      </w:r>
    </w:p>
    <w:p w14:paraId="14D0B944">
      <w:pPr>
        <w:pStyle w:val="14"/>
        <w:adjustRightInd w:val="0"/>
        <w:snapToGrid w:val="0"/>
        <w:spacing w:line="720" w:lineRule="exact"/>
        <w:rPr>
          <w:rFonts w:hAnsi="宋体"/>
          <w:spacing w:val="4"/>
          <w:sz w:val="24"/>
          <w:szCs w:val="24"/>
          <w:highlight w:val="none"/>
        </w:rPr>
      </w:pPr>
      <w:r>
        <w:rPr>
          <w:rFonts w:hint="eastAsia" w:hAnsi="宋体"/>
          <w:spacing w:val="4"/>
          <w:sz w:val="24"/>
          <w:szCs w:val="24"/>
          <w:highlight w:val="none"/>
        </w:rPr>
        <w:t xml:space="preserve">   </w:t>
      </w:r>
      <w:r>
        <w:rPr>
          <w:rFonts w:hint="eastAsia" w:hAnsi="宋体"/>
          <w:spacing w:val="4"/>
          <w:sz w:val="24"/>
          <w:szCs w:val="24"/>
          <w:highlight w:val="none"/>
          <w:u w:val="single"/>
        </w:rPr>
        <w:t xml:space="preserve">      （供应商名称）    </w:t>
      </w:r>
      <w:r>
        <w:rPr>
          <w:rFonts w:hint="eastAsia" w:hAnsi="宋体"/>
          <w:spacing w:val="4"/>
          <w:sz w:val="24"/>
          <w:szCs w:val="24"/>
          <w:highlight w:val="none"/>
        </w:rPr>
        <w:t xml:space="preserve"> 于</w:t>
      </w:r>
      <w:r>
        <w:rPr>
          <w:rFonts w:hint="eastAsia" w:hAnsi="宋体"/>
          <w:spacing w:val="4"/>
          <w:sz w:val="24"/>
          <w:szCs w:val="24"/>
          <w:highlight w:val="none"/>
          <w:u w:val="single"/>
        </w:rPr>
        <w:t xml:space="preserve">     </w:t>
      </w:r>
      <w:r>
        <w:rPr>
          <w:rFonts w:hint="eastAsia" w:hAnsi="宋体"/>
          <w:spacing w:val="4"/>
          <w:sz w:val="24"/>
          <w:szCs w:val="24"/>
          <w:highlight w:val="none"/>
        </w:rPr>
        <w:t>年</w:t>
      </w:r>
      <w:r>
        <w:rPr>
          <w:rFonts w:hint="eastAsia" w:hAnsi="宋体"/>
          <w:spacing w:val="4"/>
          <w:sz w:val="24"/>
          <w:szCs w:val="24"/>
          <w:highlight w:val="none"/>
          <w:u w:val="single"/>
        </w:rPr>
        <w:t xml:space="preserve">    </w:t>
      </w:r>
      <w:r>
        <w:rPr>
          <w:rFonts w:hint="eastAsia" w:hAnsi="宋体"/>
          <w:spacing w:val="4"/>
          <w:sz w:val="24"/>
          <w:szCs w:val="24"/>
          <w:highlight w:val="none"/>
        </w:rPr>
        <w:t>月</w:t>
      </w:r>
      <w:r>
        <w:rPr>
          <w:rFonts w:hint="eastAsia" w:hAnsi="宋体"/>
          <w:spacing w:val="4"/>
          <w:sz w:val="24"/>
          <w:szCs w:val="24"/>
          <w:highlight w:val="none"/>
          <w:u w:val="single"/>
        </w:rPr>
        <w:t xml:space="preserve">   </w:t>
      </w:r>
      <w:r>
        <w:rPr>
          <w:rFonts w:hint="eastAsia" w:hAnsi="宋体"/>
          <w:spacing w:val="4"/>
          <w:sz w:val="24"/>
          <w:szCs w:val="24"/>
          <w:highlight w:val="none"/>
        </w:rPr>
        <w:t>日在中华人民共和国境内</w:t>
      </w:r>
      <w:r>
        <w:rPr>
          <w:rFonts w:hint="eastAsia" w:hAnsi="宋体"/>
          <w:spacing w:val="4"/>
          <w:sz w:val="24"/>
          <w:szCs w:val="24"/>
          <w:highlight w:val="none"/>
          <w:u w:val="single"/>
        </w:rPr>
        <w:t xml:space="preserve">               （详细注册地址）     </w:t>
      </w:r>
      <w:r>
        <w:rPr>
          <w:rFonts w:hint="eastAsia" w:hAnsi="宋体"/>
          <w:spacing w:val="4"/>
          <w:sz w:val="24"/>
          <w:szCs w:val="24"/>
          <w:highlight w:val="none"/>
        </w:rPr>
        <w:t>合法注册并经营，公司主营业务为</w:t>
      </w:r>
      <w:r>
        <w:rPr>
          <w:rFonts w:hint="eastAsia" w:hAnsi="宋体"/>
          <w:spacing w:val="4"/>
          <w:sz w:val="24"/>
          <w:szCs w:val="24"/>
          <w:highlight w:val="none"/>
          <w:u w:val="single"/>
        </w:rPr>
        <w:t xml:space="preserve">                        </w:t>
      </w:r>
      <w:r>
        <w:rPr>
          <w:rFonts w:hint="eastAsia" w:hAnsi="宋体"/>
          <w:spacing w:val="4"/>
          <w:sz w:val="24"/>
          <w:szCs w:val="24"/>
          <w:highlight w:val="none"/>
        </w:rPr>
        <w:t>。</w:t>
      </w:r>
    </w:p>
    <w:p w14:paraId="60F5F32C">
      <w:pPr>
        <w:pStyle w:val="14"/>
        <w:adjustRightInd w:val="0"/>
        <w:snapToGrid w:val="0"/>
        <w:spacing w:line="720" w:lineRule="exact"/>
        <w:ind w:firstLine="550" w:firstLineChars="222"/>
        <w:rPr>
          <w:rFonts w:hAnsi="宋体"/>
          <w:spacing w:val="4"/>
          <w:sz w:val="24"/>
          <w:szCs w:val="24"/>
          <w:highlight w:val="none"/>
        </w:rPr>
      </w:pPr>
      <w:r>
        <w:rPr>
          <w:rFonts w:hint="eastAsia" w:hAnsi="宋体"/>
          <w:spacing w:val="4"/>
          <w:sz w:val="24"/>
          <w:szCs w:val="24"/>
          <w:highlight w:val="none"/>
        </w:rPr>
        <w:t>我公司郑重承诺，我公司具有履行本合同所必需的设备和专业技术能力，合同履约中将无条件增加相关设备、人员，直至满足项目需求。</w:t>
      </w:r>
    </w:p>
    <w:p w14:paraId="55601C39">
      <w:pPr>
        <w:pStyle w:val="14"/>
        <w:adjustRightInd w:val="0"/>
        <w:snapToGrid w:val="0"/>
        <w:spacing w:line="720" w:lineRule="exact"/>
        <w:rPr>
          <w:rFonts w:hAnsi="宋体"/>
          <w:spacing w:val="4"/>
          <w:sz w:val="24"/>
          <w:szCs w:val="24"/>
          <w:highlight w:val="none"/>
        </w:rPr>
      </w:pPr>
    </w:p>
    <w:p w14:paraId="261B9EDD">
      <w:pPr>
        <w:pStyle w:val="14"/>
        <w:adjustRightInd w:val="0"/>
        <w:snapToGrid w:val="0"/>
        <w:spacing w:line="720" w:lineRule="exact"/>
        <w:rPr>
          <w:rFonts w:hAnsi="宋体"/>
          <w:spacing w:val="4"/>
          <w:sz w:val="24"/>
          <w:szCs w:val="24"/>
          <w:highlight w:val="none"/>
        </w:rPr>
      </w:pPr>
    </w:p>
    <w:p w14:paraId="59551A6B">
      <w:pPr>
        <w:pStyle w:val="14"/>
        <w:adjustRightInd w:val="0"/>
        <w:snapToGrid w:val="0"/>
        <w:spacing w:line="720" w:lineRule="exact"/>
        <w:rPr>
          <w:rFonts w:hAnsi="宋体"/>
          <w:spacing w:val="4"/>
          <w:sz w:val="24"/>
          <w:szCs w:val="24"/>
          <w:highlight w:val="none"/>
        </w:rPr>
      </w:pPr>
    </w:p>
    <w:p w14:paraId="66CBBFDC">
      <w:pPr>
        <w:spacing w:line="480" w:lineRule="auto"/>
        <w:ind w:firstLine="3360" w:firstLineChars="1400"/>
        <w:rPr>
          <w:rFonts w:ascii="宋体" w:hAnsi="宋体" w:cs="宋体"/>
          <w:sz w:val="24"/>
          <w:highlight w:val="none"/>
        </w:rPr>
      </w:pPr>
      <w:r>
        <w:rPr>
          <w:rFonts w:hint="eastAsia" w:ascii="宋体" w:hAnsi="宋体" w:cs="宋体"/>
          <w:sz w:val="24"/>
          <w:highlight w:val="none"/>
        </w:rPr>
        <w:t>供应商名称：</w:t>
      </w:r>
      <w:r>
        <w:rPr>
          <w:rFonts w:hint="eastAsia" w:ascii="宋体" w:hAnsi="宋体" w:cs="宋体"/>
          <w:sz w:val="24"/>
          <w:highlight w:val="none"/>
          <w:u w:val="single"/>
        </w:rPr>
        <w:t xml:space="preserve">               </w:t>
      </w:r>
      <w:r>
        <w:rPr>
          <w:rFonts w:hint="eastAsia" w:ascii="宋体" w:hAnsi="宋体" w:cs="宋体"/>
          <w:sz w:val="24"/>
          <w:highlight w:val="none"/>
        </w:rPr>
        <w:t>（盖章）</w:t>
      </w:r>
    </w:p>
    <w:p w14:paraId="1B3F3681">
      <w:pPr>
        <w:pStyle w:val="51"/>
        <w:spacing w:beforeLines="50"/>
        <w:ind w:firstLine="3360" w:firstLineChars="1400"/>
        <w:rPr>
          <w:rFonts w:ascii="宋体" w:hAnsi="宋体" w:cs="宋体"/>
          <w:sz w:val="24"/>
          <w:szCs w:val="24"/>
          <w:highlight w:val="none"/>
        </w:rPr>
      </w:pPr>
      <w:r>
        <w:rPr>
          <w:rFonts w:hint="eastAsia" w:ascii="宋体" w:hAnsi="宋体" w:cs="宋体"/>
          <w:sz w:val="24"/>
          <w:szCs w:val="24"/>
          <w:highlight w:val="none"/>
        </w:rPr>
        <w:t>日        期：</w:t>
      </w:r>
      <w:r>
        <w:rPr>
          <w:rFonts w:hint="eastAsia" w:ascii="宋体" w:hAnsi="宋体" w:cs="宋体"/>
          <w:sz w:val="24"/>
          <w:szCs w:val="24"/>
          <w:highlight w:val="none"/>
          <w:u w:val="single"/>
        </w:rPr>
        <w:t xml:space="preserve">      </w:t>
      </w:r>
      <w:r>
        <w:rPr>
          <w:rFonts w:hint="eastAsia" w:ascii="宋体" w:hAnsi="宋体" w:cs="宋体"/>
          <w:sz w:val="24"/>
          <w:szCs w:val="24"/>
          <w:highlight w:val="none"/>
        </w:rPr>
        <w:t>年</w:t>
      </w:r>
      <w:r>
        <w:rPr>
          <w:rFonts w:hint="eastAsia" w:ascii="宋体" w:hAnsi="宋体" w:cs="宋体"/>
          <w:sz w:val="24"/>
          <w:szCs w:val="24"/>
          <w:highlight w:val="none"/>
          <w:u w:val="single"/>
        </w:rPr>
        <w:t xml:space="preserve">     </w:t>
      </w:r>
      <w:r>
        <w:rPr>
          <w:rFonts w:hint="eastAsia" w:ascii="宋体" w:hAnsi="宋体" w:cs="宋体"/>
          <w:sz w:val="24"/>
          <w:szCs w:val="24"/>
          <w:highlight w:val="none"/>
        </w:rPr>
        <w:t>月</w:t>
      </w:r>
      <w:r>
        <w:rPr>
          <w:rFonts w:hint="eastAsia" w:ascii="宋体" w:hAnsi="宋体" w:cs="宋体"/>
          <w:sz w:val="24"/>
          <w:szCs w:val="24"/>
          <w:highlight w:val="none"/>
          <w:u w:val="single"/>
        </w:rPr>
        <w:t xml:space="preserve">     </w:t>
      </w:r>
      <w:r>
        <w:rPr>
          <w:rFonts w:hint="eastAsia" w:ascii="宋体" w:hAnsi="宋体" w:cs="宋体"/>
          <w:sz w:val="24"/>
          <w:szCs w:val="24"/>
          <w:highlight w:val="none"/>
        </w:rPr>
        <w:t>日</w:t>
      </w:r>
    </w:p>
    <w:p w14:paraId="76674A31">
      <w:pPr>
        <w:rPr>
          <w:rFonts w:asciiTheme="minorEastAsia" w:hAnsiTheme="minorEastAsia" w:eastAsiaTheme="minorEastAsia" w:cstheme="minorEastAsia"/>
          <w:b/>
          <w:sz w:val="28"/>
          <w:szCs w:val="28"/>
          <w:highlight w:val="none"/>
        </w:rPr>
      </w:pPr>
    </w:p>
    <w:p w14:paraId="4C4CF84D">
      <w:pPr>
        <w:rPr>
          <w:rFonts w:asciiTheme="minorEastAsia" w:hAnsiTheme="minorEastAsia" w:eastAsiaTheme="minorEastAsia" w:cstheme="minorEastAsia"/>
          <w:b/>
          <w:sz w:val="28"/>
          <w:szCs w:val="28"/>
          <w:highlight w:val="none"/>
        </w:rPr>
      </w:pPr>
      <w:r>
        <w:rPr>
          <w:rFonts w:hint="eastAsia" w:asciiTheme="minorEastAsia" w:hAnsiTheme="minorEastAsia" w:eastAsiaTheme="minorEastAsia" w:cstheme="minorEastAsia"/>
          <w:b/>
          <w:sz w:val="28"/>
          <w:szCs w:val="28"/>
          <w:highlight w:val="none"/>
        </w:rPr>
        <w:br w:type="page"/>
      </w:r>
    </w:p>
    <w:p w14:paraId="4BFAE36F">
      <w:pPr>
        <w:rPr>
          <w:highlight w:val="none"/>
        </w:rPr>
      </w:pPr>
    </w:p>
    <w:p w14:paraId="2E8AC7EC">
      <w:pPr>
        <w:rPr>
          <w:rFonts w:asciiTheme="minorEastAsia" w:hAnsiTheme="minorEastAsia" w:eastAsiaTheme="minorEastAsia" w:cstheme="minorEastAsia"/>
          <w:b/>
          <w:sz w:val="28"/>
          <w:szCs w:val="28"/>
          <w:highlight w:val="none"/>
        </w:rPr>
      </w:pPr>
      <w:r>
        <w:rPr>
          <w:rFonts w:hint="eastAsia" w:asciiTheme="minorEastAsia" w:hAnsiTheme="minorEastAsia" w:eastAsiaTheme="minorEastAsia" w:cstheme="minorEastAsia"/>
          <w:b/>
          <w:sz w:val="28"/>
          <w:szCs w:val="28"/>
          <w:highlight w:val="none"/>
        </w:rPr>
        <w:t>附件2：</w:t>
      </w:r>
    </w:p>
    <w:p w14:paraId="295EEFD5">
      <w:pPr>
        <w:spacing w:beforeLines="50" w:afterLines="50" w:line="360" w:lineRule="auto"/>
        <w:jc w:val="center"/>
        <w:rPr>
          <w:rFonts w:hAnsi="宋体" w:cs="宋体"/>
          <w:szCs w:val="24"/>
          <w:highlight w:val="none"/>
        </w:rPr>
      </w:pPr>
      <w:r>
        <w:rPr>
          <w:rFonts w:hint="eastAsia" w:hAnsi="宋体" w:cs="宋体"/>
          <w:b/>
          <w:sz w:val="28"/>
          <w:szCs w:val="28"/>
          <w:highlight w:val="none"/>
        </w:rPr>
        <w:t>中小企业声明函</w:t>
      </w:r>
    </w:p>
    <w:p w14:paraId="52464244">
      <w:pPr>
        <w:tabs>
          <w:tab w:val="left" w:pos="1620"/>
          <w:tab w:val="left" w:pos="1800"/>
        </w:tabs>
        <w:spacing w:line="500" w:lineRule="exact"/>
        <w:ind w:firstLine="480" w:firstLineChars="200"/>
        <w:rPr>
          <w:rFonts w:ascii="宋体" w:hAnsi="宋体" w:cs="宋体"/>
          <w:sz w:val="24"/>
          <w:szCs w:val="24"/>
          <w:highlight w:val="none"/>
        </w:rPr>
      </w:pPr>
      <w:r>
        <w:rPr>
          <w:rFonts w:hint="eastAsia" w:ascii="宋体" w:hAnsi="宋体" w:cs="宋体"/>
          <w:sz w:val="24"/>
          <w:szCs w:val="24"/>
          <w:highlight w:val="none"/>
        </w:rPr>
        <w:t>本公司郑重声明，根据《政府采购促进中小企业发展管理办法》（财库﹝2020﹞46 号）的规定，本公司参加</w:t>
      </w:r>
      <w:r>
        <w:rPr>
          <w:rFonts w:hint="eastAsia" w:ascii="宋体" w:hAnsi="宋体" w:cs="宋体"/>
          <w:sz w:val="24"/>
          <w:szCs w:val="24"/>
          <w:highlight w:val="none"/>
          <w:u w:val="single"/>
        </w:rPr>
        <w:t>（）</w:t>
      </w:r>
      <w:r>
        <w:rPr>
          <w:rFonts w:hint="eastAsia" w:ascii="宋体" w:hAnsi="宋体" w:cs="宋体"/>
          <w:sz w:val="24"/>
          <w:szCs w:val="24"/>
          <w:highlight w:val="none"/>
        </w:rPr>
        <w:t>的</w:t>
      </w:r>
      <w:r>
        <w:rPr>
          <w:rFonts w:hint="eastAsia" w:ascii="宋体" w:hAnsi="宋体" w:cs="宋体"/>
          <w:sz w:val="24"/>
          <w:szCs w:val="24"/>
          <w:highlight w:val="none"/>
          <w:u w:val="single"/>
        </w:rPr>
        <w:t>（项目名称）</w:t>
      </w:r>
      <w:r>
        <w:rPr>
          <w:rFonts w:hint="eastAsia" w:ascii="宋体" w:hAnsi="宋体" w:cs="宋体"/>
          <w:sz w:val="24"/>
          <w:szCs w:val="24"/>
          <w:highlight w:val="none"/>
        </w:rPr>
        <w:t>采购活动，工程的施工单位全部为符合政策要求的中小企业（或者：服务全部由符合政策要求的中小企业承接）。相关企业的具体情况如下：</w:t>
      </w:r>
    </w:p>
    <w:p w14:paraId="73F19036">
      <w:pPr>
        <w:tabs>
          <w:tab w:val="left" w:pos="1620"/>
          <w:tab w:val="left" w:pos="1800"/>
        </w:tabs>
        <w:spacing w:line="500" w:lineRule="exact"/>
        <w:ind w:firstLine="480" w:firstLineChars="200"/>
        <w:rPr>
          <w:rFonts w:ascii="宋体" w:hAnsi="宋体" w:cs="宋体"/>
          <w:sz w:val="24"/>
          <w:szCs w:val="24"/>
          <w:highlight w:val="none"/>
        </w:rPr>
      </w:pPr>
      <w:r>
        <w:rPr>
          <w:rFonts w:hint="eastAsia" w:ascii="宋体" w:hAnsi="宋体" w:cs="宋体"/>
          <w:sz w:val="24"/>
          <w:szCs w:val="24"/>
          <w:highlight w:val="none"/>
        </w:rPr>
        <w:t>1.</w:t>
      </w:r>
      <w:r>
        <w:rPr>
          <w:rFonts w:hint="eastAsia" w:ascii="宋体" w:hAnsi="宋体" w:cs="宋体"/>
          <w:sz w:val="24"/>
          <w:szCs w:val="24"/>
          <w:highlight w:val="none"/>
          <w:u w:val="single"/>
        </w:rPr>
        <w:t>（标的名称）</w:t>
      </w:r>
      <w:r>
        <w:rPr>
          <w:rFonts w:hint="eastAsia" w:ascii="宋体" w:hAnsi="宋体" w:cs="宋体"/>
          <w:sz w:val="24"/>
          <w:szCs w:val="24"/>
          <w:highlight w:val="none"/>
        </w:rPr>
        <w:t>，属于</w:t>
      </w:r>
      <w:r>
        <w:rPr>
          <w:rFonts w:hint="eastAsia" w:ascii="宋体" w:hAnsi="宋体" w:cs="宋体"/>
          <w:sz w:val="24"/>
          <w:szCs w:val="24"/>
          <w:highlight w:val="none"/>
          <w:u w:val="single"/>
        </w:rPr>
        <w:t>（采购文件中明确的所属行业）</w:t>
      </w:r>
      <w:r>
        <w:rPr>
          <w:rFonts w:hint="eastAsia" w:ascii="宋体" w:hAnsi="宋体" w:cs="宋体"/>
          <w:sz w:val="24"/>
          <w:szCs w:val="24"/>
          <w:highlight w:val="none"/>
        </w:rPr>
        <w:t>；承建（承接）企业为</w:t>
      </w:r>
      <w:r>
        <w:rPr>
          <w:rFonts w:hint="eastAsia" w:ascii="宋体" w:hAnsi="宋体" w:cs="宋体"/>
          <w:sz w:val="24"/>
          <w:szCs w:val="24"/>
          <w:highlight w:val="none"/>
          <w:u w:val="single"/>
        </w:rPr>
        <w:t>（企业名称）</w:t>
      </w:r>
      <w:r>
        <w:rPr>
          <w:rFonts w:hint="eastAsia" w:ascii="宋体" w:hAnsi="宋体" w:cs="宋体"/>
          <w:sz w:val="24"/>
          <w:szCs w:val="24"/>
          <w:highlight w:val="none"/>
        </w:rPr>
        <w:t>，从业人员</w:t>
      </w:r>
      <w:r>
        <w:rPr>
          <w:rFonts w:hint="eastAsia" w:ascii="宋体" w:hAnsi="宋体" w:cs="宋体"/>
          <w:sz w:val="24"/>
          <w:szCs w:val="24"/>
          <w:highlight w:val="none"/>
          <w:u w:val="single"/>
        </w:rPr>
        <w:t xml:space="preserve"> </w:t>
      </w:r>
      <w:r>
        <w:rPr>
          <w:rFonts w:hint="eastAsia" w:ascii="宋体" w:hAnsi="宋体" w:cs="宋体"/>
          <w:sz w:val="24"/>
          <w:szCs w:val="24"/>
          <w:highlight w:val="none"/>
          <w:u w:val="single"/>
        </w:rPr>
        <w:tab/>
      </w:r>
      <w:r>
        <w:rPr>
          <w:rFonts w:hint="eastAsia" w:ascii="宋体" w:hAnsi="宋体" w:cs="宋体"/>
          <w:sz w:val="24"/>
          <w:szCs w:val="24"/>
          <w:highlight w:val="none"/>
        </w:rPr>
        <w:t>人，营业收入</w:t>
      </w:r>
      <w:r>
        <w:rPr>
          <w:rFonts w:hint="eastAsia" w:ascii="宋体" w:hAnsi="宋体" w:cs="宋体"/>
          <w:sz w:val="24"/>
          <w:szCs w:val="24"/>
          <w:highlight w:val="none"/>
          <w:u w:val="single"/>
        </w:rPr>
        <w:t xml:space="preserve">为 </w:t>
      </w:r>
      <w:r>
        <w:rPr>
          <w:rFonts w:hint="eastAsia" w:ascii="宋体" w:hAnsi="宋体" w:cs="宋体"/>
          <w:sz w:val="24"/>
          <w:szCs w:val="24"/>
          <w:highlight w:val="none"/>
          <w:u w:val="single"/>
        </w:rPr>
        <w:tab/>
      </w:r>
      <w:r>
        <w:rPr>
          <w:rFonts w:hint="eastAsia" w:ascii="宋体" w:hAnsi="宋体" w:cs="宋体"/>
          <w:sz w:val="24"/>
          <w:szCs w:val="24"/>
          <w:highlight w:val="none"/>
        </w:rPr>
        <w:t>万元，资产总额为</w:t>
      </w:r>
      <w:r>
        <w:rPr>
          <w:rFonts w:hint="eastAsia" w:ascii="宋体" w:hAnsi="宋体" w:cs="宋体"/>
          <w:sz w:val="24"/>
          <w:szCs w:val="24"/>
          <w:highlight w:val="none"/>
          <w:u w:val="single"/>
        </w:rPr>
        <w:t xml:space="preserve">      </w:t>
      </w:r>
      <w:r>
        <w:rPr>
          <w:rFonts w:hint="eastAsia" w:ascii="宋体" w:hAnsi="宋体" w:cs="宋体"/>
          <w:sz w:val="24"/>
          <w:szCs w:val="24"/>
          <w:highlight w:val="none"/>
        </w:rPr>
        <w:t>万元，属于</w:t>
      </w:r>
      <w:r>
        <w:rPr>
          <w:rFonts w:hint="eastAsia" w:ascii="宋体" w:hAnsi="宋体" w:cs="宋体"/>
          <w:sz w:val="24"/>
          <w:szCs w:val="24"/>
          <w:highlight w:val="none"/>
          <w:u w:val="single"/>
        </w:rPr>
        <w:t>（中型企业、小型企业、微型企业）</w:t>
      </w:r>
      <w:r>
        <w:rPr>
          <w:rFonts w:hint="eastAsia" w:ascii="宋体" w:hAnsi="宋体" w:cs="宋体"/>
          <w:sz w:val="24"/>
          <w:szCs w:val="24"/>
          <w:highlight w:val="none"/>
        </w:rPr>
        <w:t>；</w:t>
      </w:r>
    </w:p>
    <w:p w14:paraId="784C15A7">
      <w:pPr>
        <w:tabs>
          <w:tab w:val="left" w:pos="1620"/>
          <w:tab w:val="left" w:pos="1800"/>
        </w:tabs>
        <w:spacing w:line="500" w:lineRule="exact"/>
        <w:ind w:firstLine="480" w:firstLineChars="200"/>
        <w:rPr>
          <w:rFonts w:ascii="宋体" w:hAnsi="宋体" w:cs="宋体"/>
          <w:sz w:val="24"/>
          <w:szCs w:val="24"/>
          <w:highlight w:val="none"/>
        </w:rPr>
      </w:pPr>
      <w:r>
        <w:rPr>
          <w:rFonts w:hint="eastAsia" w:ascii="宋体" w:hAnsi="宋体" w:cs="宋体"/>
          <w:sz w:val="24"/>
          <w:szCs w:val="24"/>
          <w:highlight w:val="none"/>
        </w:rPr>
        <w:t>2.</w:t>
      </w:r>
      <w:r>
        <w:rPr>
          <w:rFonts w:hint="eastAsia" w:ascii="宋体" w:hAnsi="宋体" w:cs="宋体"/>
          <w:sz w:val="24"/>
          <w:szCs w:val="24"/>
          <w:highlight w:val="none"/>
          <w:u w:val="single"/>
        </w:rPr>
        <w:t>（标的名称）</w:t>
      </w:r>
      <w:r>
        <w:rPr>
          <w:rFonts w:hint="eastAsia" w:ascii="宋体" w:hAnsi="宋体" w:cs="宋体"/>
          <w:sz w:val="24"/>
          <w:szCs w:val="24"/>
          <w:highlight w:val="none"/>
        </w:rPr>
        <w:t>，属于</w:t>
      </w:r>
      <w:r>
        <w:rPr>
          <w:rFonts w:hint="eastAsia" w:ascii="宋体" w:hAnsi="宋体" w:cs="宋体"/>
          <w:sz w:val="24"/>
          <w:szCs w:val="24"/>
          <w:highlight w:val="none"/>
          <w:u w:val="single"/>
        </w:rPr>
        <w:t>（采购文件中明确的所属行业</w:t>
      </w:r>
      <w:r>
        <w:rPr>
          <w:rFonts w:hint="eastAsia" w:ascii="宋体" w:hAnsi="宋体" w:cs="宋体"/>
          <w:sz w:val="24"/>
          <w:szCs w:val="24"/>
          <w:highlight w:val="none"/>
        </w:rPr>
        <w:t>）；承建（承接）企业为</w:t>
      </w:r>
      <w:r>
        <w:rPr>
          <w:rFonts w:hint="eastAsia" w:ascii="宋体" w:hAnsi="宋体" w:cs="宋体"/>
          <w:sz w:val="24"/>
          <w:szCs w:val="24"/>
          <w:highlight w:val="none"/>
          <w:u w:val="single"/>
        </w:rPr>
        <w:t>（企业名称）</w:t>
      </w:r>
      <w:r>
        <w:rPr>
          <w:rFonts w:hint="eastAsia" w:ascii="宋体" w:hAnsi="宋体" w:cs="宋体"/>
          <w:sz w:val="24"/>
          <w:szCs w:val="24"/>
          <w:highlight w:val="none"/>
        </w:rPr>
        <w:t>，从业人员</w:t>
      </w:r>
      <w:r>
        <w:rPr>
          <w:rFonts w:hint="eastAsia" w:ascii="宋体" w:hAnsi="宋体" w:cs="宋体"/>
          <w:sz w:val="24"/>
          <w:szCs w:val="24"/>
          <w:highlight w:val="none"/>
          <w:u w:val="single"/>
        </w:rPr>
        <w:t xml:space="preserve"> </w:t>
      </w:r>
      <w:r>
        <w:rPr>
          <w:rFonts w:hint="eastAsia" w:ascii="宋体" w:hAnsi="宋体" w:cs="宋体"/>
          <w:sz w:val="24"/>
          <w:szCs w:val="24"/>
          <w:highlight w:val="none"/>
          <w:u w:val="single"/>
        </w:rPr>
        <w:tab/>
      </w:r>
      <w:r>
        <w:rPr>
          <w:rFonts w:hint="eastAsia" w:ascii="宋体" w:hAnsi="宋体" w:cs="宋体"/>
          <w:sz w:val="24"/>
          <w:szCs w:val="24"/>
          <w:highlight w:val="none"/>
        </w:rPr>
        <w:t>人，营业收入为</w:t>
      </w:r>
      <w:r>
        <w:rPr>
          <w:rFonts w:hint="eastAsia" w:ascii="宋体" w:hAnsi="宋体" w:cs="宋体"/>
          <w:sz w:val="24"/>
          <w:szCs w:val="24"/>
          <w:highlight w:val="none"/>
          <w:u w:val="single"/>
        </w:rPr>
        <w:t xml:space="preserve"> </w:t>
      </w:r>
      <w:r>
        <w:rPr>
          <w:rFonts w:hint="eastAsia" w:ascii="宋体" w:hAnsi="宋体" w:cs="宋体"/>
          <w:sz w:val="24"/>
          <w:szCs w:val="24"/>
          <w:highlight w:val="none"/>
          <w:u w:val="single"/>
        </w:rPr>
        <w:tab/>
      </w:r>
      <w:r>
        <w:rPr>
          <w:rFonts w:hint="eastAsia" w:ascii="宋体" w:hAnsi="宋体" w:cs="宋体"/>
          <w:sz w:val="24"/>
          <w:szCs w:val="24"/>
          <w:highlight w:val="none"/>
        </w:rPr>
        <w:t>万元，资产总额为</w:t>
      </w:r>
      <w:r>
        <w:rPr>
          <w:rFonts w:hint="eastAsia" w:ascii="宋体" w:hAnsi="宋体" w:cs="宋体"/>
          <w:sz w:val="24"/>
          <w:szCs w:val="24"/>
          <w:highlight w:val="none"/>
          <w:u w:val="single"/>
        </w:rPr>
        <w:t xml:space="preserve"> </w:t>
      </w:r>
      <w:r>
        <w:rPr>
          <w:rFonts w:hint="eastAsia" w:ascii="宋体" w:hAnsi="宋体" w:cs="宋体"/>
          <w:sz w:val="24"/>
          <w:szCs w:val="24"/>
          <w:highlight w:val="none"/>
          <w:u w:val="single"/>
        </w:rPr>
        <w:tab/>
      </w:r>
      <w:r>
        <w:rPr>
          <w:rFonts w:hint="eastAsia" w:ascii="宋体" w:hAnsi="宋体" w:cs="宋体"/>
          <w:sz w:val="24"/>
          <w:szCs w:val="24"/>
          <w:highlight w:val="none"/>
          <w:u w:val="single"/>
        </w:rPr>
        <w:t xml:space="preserve">   </w:t>
      </w:r>
      <w:r>
        <w:rPr>
          <w:rFonts w:hint="eastAsia" w:ascii="宋体" w:hAnsi="宋体" w:cs="宋体"/>
          <w:sz w:val="24"/>
          <w:szCs w:val="24"/>
          <w:highlight w:val="none"/>
        </w:rPr>
        <w:t>万元，属于</w:t>
      </w:r>
      <w:r>
        <w:rPr>
          <w:rFonts w:hint="eastAsia" w:ascii="宋体" w:hAnsi="宋体" w:cs="宋体"/>
          <w:sz w:val="24"/>
          <w:szCs w:val="24"/>
          <w:highlight w:val="none"/>
          <w:u w:val="single"/>
        </w:rPr>
        <w:t>（中型企业、小型企业、微型企业）</w:t>
      </w:r>
      <w:r>
        <w:rPr>
          <w:rFonts w:hint="eastAsia" w:ascii="宋体" w:hAnsi="宋体" w:cs="宋体"/>
          <w:sz w:val="24"/>
          <w:szCs w:val="24"/>
          <w:highlight w:val="none"/>
        </w:rPr>
        <w:t>；</w:t>
      </w:r>
    </w:p>
    <w:p w14:paraId="2B65A37E">
      <w:pPr>
        <w:tabs>
          <w:tab w:val="left" w:pos="1620"/>
          <w:tab w:val="left" w:pos="1800"/>
        </w:tabs>
        <w:spacing w:line="500" w:lineRule="exact"/>
        <w:rPr>
          <w:rFonts w:ascii="宋体" w:hAnsi="宋体" w:cs="宋体"/>
          <w:sz w:val="24"/>
          <w:szCs w:val="24"/>
          <w:highlight w:val="none"/>
        </w:rPr>
      </w:pPr>
      <w:r>
        <w:rPr>
          <w:rFonts w:hint="eastAsia" w:ascii="宋体" w:hAnsi="宋体" w:cs="宋体"/>
          <w:sz w:val="24"/>
          <w:szCs w:val="24"/>
          <w:highlight w:val="none"/>
        </w:rPr>
        <w:t>……</w:t>
      </w:r>
    </w:p>
    <w:p w14:paraId="7F54BABE">
      <w:pPr>
        <w:tabs>
          <w:tab w:val="left" w:pos="1620"/>
          <w:tab w:val="left" w:pos="1800"/>
        </w:tabs>
        <w:spacing w:line="500" w:lineRule="exact"/>
        <w:ind w:firstLine="480" w:firstLineChars="200"/>
        <w:rPr>
          <w:rFonts w:ascii="宋体" w:hAnsi="宋体" w:cs="宋体"/>
          <w:sz w:val="24"/>
          <w:szCs w:val="24"/>
          <w:highlight w:val="none"/>
        </w:rPr>
      </w:pPr>
      <w:r>
        <w:rPr>
          <w:rFonts w:hint="eastAsia" w:ascii="宋体" w:hAnsi="宋体" w:cs="宋体"/>
          <w:sz w:val="24"/>
          <w:szCs w:val="24"/>
          <w:highlight w:val="none"/>
        </w:rPr>
        <w:t>以上企业，不属于大企业的分支机构，不存在控股股东为大企业的情形，也不存在与大企业的负责人为同一人的情形。</w:t>
      </w:r>
    </w:p>
    <w:p w14:paraId="70304384">
      <w:pPr>
        <w:tabs>
          <w:tab w:val="left" w:pos="1620"/>
          <w:tab w:val="left" w:pos="1800"/>
        </w:tabs>
        <w:spacing w:line="500" w:lineRule="exact"/>
        <w:ind w:firstLine="480" w:firstLineChars="200"/>
        <w:rPr>
          <w:rFonts w:ascii="宋体" w:hAnsi="宋体" w:cs="宋体"/>
          <w:sz w:val="24"/>
          <w:szCs w:val="24"/>
          <w:highlight w:val="none"/>
        </w:rPr>
      </w:pPr>
      <w:r>
        <w:rPr>
          <w:rFonts w:hint="eastAsia" w:ascii="宋体" w:hAnsi="宋体" w:cs="宋体"/>
          <w:sz w:val="24"/>
          <w:szCs w:val="24"/>
          <w:highlight w:val="none"/>
        </w:rPr>
        <w:t>本企业对上述声明内容的真实性负责。如有虚假，将依法承担相应责任。</w:t>
      </w:r>
    </w:p>
    <w:p w14:paraId="62AA6B44">
      <w:pPr>
        <w:tabs>
          <w:tab w:val="left" w:pos="1620"/>
          <w:tab w:val="left" w:pos="1800"/>
        </w:tabs>
        <w:spacing w:line="500" w:lineRule="exact"/>
        <w:rPr>
          <w:rFonts w:ascii="宋体" w:hAnsi="宋体" w:cs="宋体"/>
          <w:sz w:val="24"/>
          <w:szCs w:val="24"/>
          <w:highlight w:val="none"/>
        </w:rPr>
      </w:pPr>
    </w:p>
    <w:p w14:paraId="2BDD74FE">
      <w:pPr>
        <w:tabs>
          <w:tab w:val="left" w:pos="1620"/>
          <w:tab w:val="left" w:pos="1800"/>
        </w:tabs>
        <w:spacing w:line="500" w:lineRule="exact"/>
        <w:rPr>
          <w:rFonts w:ascii="宋体" w:hAnsi="宋体" w:cs="宋体"/>
          <w:sz w:val="24"/>
          <w:szCs w:val="24"/>
          <w:highlight w:val="none"/>
        </w:rPr>
      </w:pPr>
    </w:p>
    <w:p w14:paraId="707CD10E">
      <w:pPr>
        <w:tabs>
          <w:tab w:val="left" w:pos="1620"/>
          <w:tab w:val="left" w:pos="1800"/>
        </w:tabs>
        <w:spacing w:line="500" w:lineRule="exact"/>
        <w:ind w:firstLine="4800" w:firstLineChars="2000"/>
        <w:rPr>
          <w:rFonts w:ascii="宋体" w:hAnsi="宋体" w:cs="宋体"/>
          <w:sz w:val="24"/>
          <w:szCs w:val="24"/>
          <w:highlight w:val="none"/>
        </w:rPr>
      </w:pPr>
      <w:r>
        <w:rPr>
          <w:rFonts w:hint="eastAsia" w:ascii="宋体" w:hAnsi="宋体" w:cs="宋体"/>
          <w:sz w:val="24"/>
          <w:szCs w:val="24"/>
          <w:highlight w:val="none"/>
        </w:rPr>
        <w:t>企业名称（盖章）：</w:t>
      </w:r>
    </w:p>
    <w:p w14:paraId="5B470808">
      <w:pPr>
        <w:tabs>
          <w:tab w:val="left" w:pos="1620"/>
          <w:tab w:val="left" w:pos="1800"/>
        </w:tabs>
        <w:spacing w:line="500" w:lineRule="exact"/>
        <w:ind w:firstLine="4800" w:firstLineChars="2000"/>
        <w:rPr>
          <w:rFonts w:ascii="宋体" w:hAnsi="宋体" w:cs="宋体"/>
          <w:sz w:val="24"/>
          <w:szCs w:val="24"/>
          <w:highlight w:val="none"/>
        </w:rPr>
      </w:pPr>
      <w:r>
        <w:rPr>
          <w:rFonts w:hint="eastAsia" w:ascii="宋体" w:hAnsi="宋体" w:cs="宋体"/>
          <w:sz w:val="24"/>
          <w:szCs w:val="24"/>
          <w:highlight w:val="none"/>
        </w:rPr>
        <w:t>日期：</w:t>
      </w:r>
    </w:p>
    <w:p w14:paraId="234F9A6F">
      <w:pPr>
        <w:rPr>
          <w:rFonts w:asciiTheme="minorEastAsia" w:hAnsiTheme="minorEastAsia" w:eastAsiaTheme="minorEastAsia" w:cstheme="minorEastAsia"/>
          <w:highlight w:val="none"/>
        </w:rPr>
      </w:pPr>
      <w:r>
        <w:rPr>
          <w:rFonts w:hint="eastAsia" w:asciiTheme="minorEastAsia" w:hAnsiTheme="minorEastAsia" w:eastAsiaTheme="minorEastAsia" w:cstheme="minorEastAsia"/>
          <w:b/>
          <w:sz w:val="28"/>
          <w:szCs w:val="28"/>
          <w:highlight w:val="none"/>
        </w:rPr>
        <w:br w:type="page"/>
      </w:r>
    </w:p>
    <w:bookmarkEnd w:id="98"/>
    <w:p w14:paraId="06019719">
      <w:pPr>
        <w:spacing w:line="360" w:lineRule="auto"/>
        <w:rPr>
          <w:rFonts w:hAnsi="宋体" w:cs="宋体"/>
          <w:b/>
          <w:sz w:val="28"/>
          <w:szCs w:val="28"/>
          <w:highlight w:val="none"/>
        </w:rPr>
      </w:pPr>
      <w:r>
        <w:rPr>
          <w:rFonts w:hint="eastAsia" w:hAnsi="宋体" w:cs="宋体"/>
          <w:b/>
          <w:sz w:val="28"/>
          <w:szCs w:val="28"/>
          <w:highlight w:val="none"/>
        </w:rPr>
        <w:t>附件3：</w:t>
      </w:r>
    </w:p>
    <w:p w14:paraId="473ACB4B">
      <w:pPr>
        <w:jc w:val="center"/>
        <w:rPr>
          <w:rFonts w:hAnsi="宋体" w:cs="宋体"/>
          <w:b/>
          <w:bCs/>
          <w:sz w:val="44"/>
          <w:szCs w:val="44"/>
          <w:highlight w:val="none"/>
        </w:rPr>
      </w:pPr>
      <w:r>
        <w:rPr>
          <w:rFonts w:hint="eastAsia" w:hAnsi="宋体" w:cs="宋体"/>
          <w:b/>
          <w:bCs/>
          <w:sz w:val="44"/>
          <w:szCs w:val="44"/>
          <w:highlight w:val="none"/>
        </w:rPr>
        <w:t>质疑函范本</w:t>
      </w:r>
    </w:p>
    <w:p w14:paraId="317A8D42">
      <w:pPr>
        <w:adjustRightInd w:val="0"/>
        <w:snapToGrid w:val="0"/>
        <w:spacing w:beforeLines="100" w:line="360" w:lineRule="auto"/>
        <w:rPr>
          <w:rFonts w:hAnsi="宋体" w:cs="宋体"/>
          <w:bCs/>
          <w:szCs w:val="24"/>
          <w:highlight w:val="none"/>
        </w:rPr>
      </w:pPr>
      <w:r>
        <w:rPr>
          <w:rFonts w:hint="eastAsia" w:hAnsi="宋体" w:cs="宋体"/>
          <w:bCs/>
          <w:szCs w:val="24"/>
          <w:highlight w:val="none"/>
        </w:rPr>
        <w:t>一、质疑供应商基本信息</w:t>
      </w:r>
    </w:p>
    <w:p w14:paraId="4F25945C">
      <w:pPr>
        <w:adjustRightInd w:val="0"/>
        <w:snapToGrid w:val="0"/>
        <w:spacing w:line="360" w:lineRule="auto"/>
        <w:rPr>
          <w:rFonts w:hAnsi="宋体" w:cs="宋体"/>
          <w:szCs w:val="24"/>
          <w:highlight w:val="none"/>
          <w:u w:val="dotted"/>
        </w:rPr>
      </w:pPr>
      <w:r>
        <w:rPr>
          <w:rFonts w:hint="eastAsia" w:hAnsi="宋体" w:cs="宋体"/>
          <w:szCs w:val="24"/>
          <w:highlight w:val="none"/>
        </w:rPr>
        <w:t>质疑供应商：</w:t>
      </w:r>
      <w:r>
        <w:rPr>
          <w:rFonts w:hint="eastAsia" w:hAnsi="宋体" w:cs="宋体"/>
          <w:szCs w:val="24"/>
          <w:highlight w:val="none"/>
          <w:u w:val="dotted"/>
        </w:rPr>
        <w:t xml:space="preserve">                                        </w:t>
      </w:r>
    </w:p>
    <w:p w14:paraId="672924EB">
      <w:pPr>
        <w:adjustRightInd w:val="0"/>
        <w:snapToGrid w:val="0"/>
        <w:spacing w:line="360" w:lineRule="auto"/>
        <w:rPr>
          <w:rFonts w:hAnsi="宋体" w:cs="宋体"/>
          <w:szCs w:val="24"/>
          <w:highlight w:val="none"/>
        </w:rPr>
      </w:pPr>
      <w:r>
        <w:rPr>
          <w:rFonts w:hint="eastAsia" w:hAnsi="宋体" w:cs="宋体"/>
          <w:szCs w:val="24"/>
          <w:highlight w:val="none"/>
        </w:rPr>
        <w:t>地址：</w:t>
      </w:r>
      <w:r>
        <w:rPr>
          <w:rFonts w:hint="eastAsia" w:hAnsi="宋体" w:cs="宋体"/>
          <w:szCs w:val="24"/>
          <w:highlight w:val="none"/>
          <w:u w:val="dotted"/>
        </w:rPr>
        <w:t xml:space="preserve">                          </w:t>
      </w:r>
      <w:r>
        <w:rPr>
          <w:rFonts w:hint="eastAsia" w:hAnsi="宋体" w:cs="宋体"/>
          <w:szCs w:val="24"/>
          <w:highlight w:val="none"/>
        </w:rPr>
        <w:t>邮编：</w:t>
      </w:r>
      <w:r>
        <w:rPr>
          <w:rFonts w:hint="eastAsia" w:hAnsi="宋体" w:cs="宋体"/>
          <w:szCs w:val="24"/>
          <w:highlight w:val="none"/>
          <w:u w:val="dotted"/>
        </w:rPr>
        <w:t xml:space="preserve">                                                   </w:t>
      </w:r>
    </w:p>
    <w:p w14:paraId="52C018C1">
      <w:pPr>
        <w:adjustRightInd w:val="0"/>
        <w:snapToGrid w:val="0"/>
        <w:spacing w:line="360" w:lineRule="auto"/>
        <w:rPr>
          <w:rFonts w:hAnsi="宋体" w:cs="宋体"/>
          <w:szCs w:val="24"/>
          <w:highlight w:val="none"/>
        </w:rPr>
      </w:pPr>
      <w:r>
        <w:rPr>
          <w:rFonts w:hint="eastAsia" w:hAnsi="宋体" w:cs="宋体"/>
          <w:szCs w:val="24"/>
          <w:highlight w:val="none"/>
        </w:rPr>
        <w:t>联系人：</w:t>
      </w:r>
      <w:r>
        <w:rPr>
          <w:rFonts w:hint="eastAsia" w:hAnsi="宋体" w:cs="宋体"/>
          <w:szCs w:val="24"/>
          <w:highlight w:val="none"/>
          <w:u w:val="dotted"/>
        </w:rPr>
        <w:t xml:space="preserve">                      </w:t>
      </w:r>
      <w:r>
        <w:rPr>
          <w:rFonts w:hint="eastAsia" w:hAnsi="宋体" w:cs="宋体"/>
          <w:szCs w:val="24"/>
          <w:highlight w:val="none"/>
        </w:rPr>
        <w:t>联系电话：</w:t>
      </w:r>
      <w:r>
        <w:rPr>
          <w:rFonts w:hint="eastAsia" w:hAnsi="宋体" w:cs="宋体"/>
          <w:szCs w:val="24"/>
          <w:highlight w:val="none"/>
          <w:u w:val="dotted"/>
        </w:rPr>
        <w:t xml:space="preserve">                              </w:t>
      </w:r>
    </w:p>
    <w:p w14:paraId="309D8D9F">
      <w:pPr>
        <w:adjustRightInd w:val="0"/>
        <w:snapToGrid w:val="0"/>
        <w:spacing w:line="360" w:lineRule="auto"/>
        <w:rPr>
          <w:rFonts w:hAnsi="宋体" w:cs="宋体"/>
          <w:szCs w:val="24"/>
          <w:highlight w:val="none"/>
          <w:u w:val="dotted"/>
        </w:rPr>
      </w:pPr>
      <w:r>
        <w:rPr>
          <w:rFonts w:hint="eastAsia" w:hAnsi="宋体" w:cs="宋体"/>
          <w:szCs w:val="24"/>
          <w:highlight w:val="none"/>
        </w:rPr>
        <w:t>授权代表：</w:t>
      </w:r>
      <w:r>
        <w:rPr>
          <w:rFonts w:hint="eastAsia" w:hAnsi="宋体" w:cs="宋体"/>
          <w:szCs w:val="24"/>
          <w:highlight w:val="none"/>
          <w:u w:val="dotted"/>
        </w:rPr>
        <w:t xml:space="preserve">                                          </w:t>
      </w:r>
    </w:p>
    <w:p w14:paraId="4D5945E8">
      <w:pPr>
        <w:adjustRightInd w:val="0"/>
        <w:snapToGrid w:val="0"/>
        <w:spacing w:line="360" w:lineRule="auto"/>
        <w:rPr>
          <w:rFonts w:hAnsi="宋体" w:cs="宋体"/>
          <w:szCs w:val="24"/>
          <w:highlight w:val="none"/>
        </w:rPr>
      </w:pPr>
      <w:r>
        <w:rPr>
          <w:rFonts w:hint="eastAsia" w:hAnsi="宋体" w:cs="宋体"/>
          <w:szCs w:val="24"/>
          <w:highlight w:val="none"/>
        </w:rPr>
        <w:t>联系电话：</w:t>
      </w:r>
      <w:r>
        <w:rPr>
          <w:rFonts w:hint="eastAsia" w:hAnsi="宋体" w:cs="宋体"/>
          <w:szCs w:val="24"/>
          <w:highlight w:val="none"/>
          <w:u w:val="dotted"/>
        </w:rPr>
        <w:t xml:space="preserve">                                           </w:t>
      </w:r>
      <w:r>
        <w:rPr>
          <w:rFonts w:hint="eastAsia" w:hAnsi="宋体" w:cs="宋体"/>
          <w:szCs w:val="24"/>
          <w:highlight w:val="none"/>
        </w:rPr>
        <w:t xml:space="preserve"> </w:t>
      </w:r>
    </w:p>
    <w:p w14:paraId="6E80EE5A">
      <w:pPr>
        <w:adjustRightInd w:val="0"/>
        <w:snapToGrid w:val="0"/>
        <w:spacing w:line="360" w:lineRule="auto"/>
        <w:rPr>
          <w:rFonts w:hAnsi="宋体" w:cs="宋体"/>
          <w:szCs w:val="24"/>
          <w:highlight w:val="none"/>
        </w:rPr>
      </w:pPr>
      <w:r>
        <w:rPr>
          <w:rFonts w:hint="eastAsia" w:hAnsi="宋体" w:cs="宋体"/>
          <w:szCs w:val="24"/>
          <w:highlight w:val="none"/>
        </w:rPr>
        <w:t xml:space="preserve">地址： </w:t>
      </w:r>
      <w:r>
        <w:rPr>
          <w:rFonts w:hint="eastAsia" w:hAnsi="宋体" w:cs="宋体"/>
          <w:szCs w:val="24"/>
          <w:highlight w:val="none"/>
          <w:u w:val="dotted"/>
        </w:rPr>
        <w:t xml:space="preserve">                        </w:t>
      </w:r>
      <w:r>
        <w:rPr>
          <w:rFonts w:hint="eastAsia" w:hAnsi="宋体" w:cs="宋体"/>
          <w:szCs w:val="24"/>
          <w:highlight w:val="none"/>
        </w:rPr>
        <w:t>邮编：</w:t>
      </w:r>
      <w:r>
        <w:rPr>
          <w:rFonts w:hint="eastAsia" w:hAnsi="宋体" w:cs="宋体"/>
          <w:szCs w:val="24"/>
          <w:highlight w:val="none"/>
          <w:u w:val="dotted"/>
        </w:rPr>
        <w:t xml:space="preserve">                                                </w:t>
      </w:r>
    </w:p>
    <w:p w14:paraId="0AD2ED8C">
      <w:pPr>
        <w:adjustRightInd w:val="0"/>
        <w:snapToGrid w:val="0"/>
        <w:spacing w:line="360" w:lineRule="auto"/>
        <w:rPr>
          <w:rFonts w:hAnsi="宋体" w:cs="宋体"/>
          <w:bCs/>
          <w:szCs w:val="24"/>
          <w:highlight w:val="none"/>
        </w:rPr>
      </w:pPr>
      <w:r>
        <w:rPr>
          <w:rFonts w:hint="eastAsia" w:hAnsi="宋体" w:cs="宋体"/>
          <w:bCs/>
          <w:szCs w:val="24"/>
          <w:highlight w:val="none"/>
        </w:rPr>
        <w:t>二、质疑项目基本情况</w:t>
      </w:r>
    </w:p>
    <w:p w14:paraId="3CB97CE0">
      <w:pPr>
        <w:adjustRightInd w:val="0"/>
        <w:snapToGrid w:val="0"/>
        <w:spacing w:line="360" w:lineRule="auto"/>
        <w:rPr>
          <w:rFonts w:hAnsi="宋体" w:cs="宋体"/>
          <w:szCs w:val="24"/>
          <w:highlight w:val="none"/>
        </w:rPr>
      </w:pPr>
      <w:r>
        <w:rPr>
          <w:rFonts w:hint="eastAsia" w:hAnsi="宋体" w:cs="宋体"/>
          <w:szCs w:val="24"/>
          <w:highlight w:val="none"/>
        </w:rPr>
        <w:t>质疑项目的名称：</w:t>
      </w:r>
      <w:r>
        <w:rPr>
          <w:rFonts w:hint="eastAsia" w:hAnsi="宋体" w:cs="宋体"/>
          <w:szCs w:val="24"/>
          <w:highlight w:val="none"/>
          <w:u w:val="dotted"/>
        </w:rPr>
        <w:t xml:space="preserve">                                      </w:t>
      </w:r>
    </w:p>
    <w:p w14:paraId="75A7B591">
      <w:pPr>
        <w:adjustRightInd w:val="0"/>
        <w:snapToGrid w:val="0"/>
        <w:spacing w:line="360" w:lineRule="auto"/>
        <w:rPr>
          <w:rFonts w:hAnsi="宋体" w:cs="宋体"/>
          <w:szCs w:val="24"/>
          <w:highlight w:val="none"/>
        </w:rPr>
      </w:pPr>
      <w:r>
        <w:rPr>
          <w:rFonts w:hint="eastAsia" w:hAnsi="宋体" w:cs="宋体"/>
          <w:szCs w:val="24"/>
          <w:highlight w:val="none"/>
        </w:rPr>
        <w:t>质疑项目的编号：</w:t>
      </w:r>
      <w:r>
        <w:rPr>
          <w:rFonts w:hint="eastAsia" w:hAnsi="宋体" w:cs="宋体"/>
          <w:szCs w:val="24"/>
          <w:highlight w:val="none"/>
          <w:u w:val="dotted"/>
        </w:rPr>
        <w:t xml:space="preserve">               </w:t>
      </w:r>
      <w:r>
        <w:rPr>
          <w:rFonts w:hint="eastAsia" w:hAnsi="宋体" w:cs="宋体"/>
          <w:szCs w:val="24"/>
          <w:highlight w:val="none"/>
        </w:rPr>
        <w:t>包号：</w:t>
      </w:r>
      <w:r>
        <w:rPr>
          <w:rFonts w:hint="eastAsia" w:hAnsi="宋体" w:cs="宋体"/>
          <w:szCs w:val="24"/>
          <w:highlight w:val="none"/>
          <w:u w:val="dotted"/>
        </w:rPr>
        <w:t xml:space="preserve">                 </w:t>
      </w:r>
    </w:p>
    <w:p w14:paraId="7661FCD9">
      <w:pPr>
        <w:adjustRightInd w:val="0"/>
        <w:snapToGrid w:val="0"/>
        <w:spacing w:line="360" w:lineRule="auto"/>
        <w:rPr>
          <w:rFonts w:hAnsi="宋体" w:cs="宋体"/>
          <w:szCs w:val="24"/>
          <w:highlight w:val="none"/>
          <w:u w:val="dotted"/>
        </w:rPr>
      </w:pPr>
      <w:r>
        <w:rPr>
          <w:rFonts w:hint="eastAsia" w:hAnsi="宋体" w:cs="宋体"/>
          <w:szCs w:val="24"/>
          <w:highlight w:val="none"/>
        </w:rPr>
        <w:t>采购人名称：</w:t>
      </w:r>
      <w:r>
        <w:rPr>
          <w:rFonts w:hint="eastAsia" w:hAnsi="宋体" w:cs="宋体"/>
          <w:szCs w:val="24"/>
          <w:highlight w:val="none"/>
          <w:u w:val="dotted"/>
        </w:rPr>
        <w:t xml:space="preserve">                                         </w:t>
      </w:r>
    </w:p>
    <w:p w14:paraId="75CA6E73">
      <w:pPr>
        <w:adjustRightInd w:val="0"/>
        <w:snapToGrid w:val="0"/>
        <w:spacing w:line="360" w:lineRule="auto"/>
        <w:rPr>
          <w:rFonts w:hAnsi="宋体" w:cs="宋体"/>
          <w:szCs w:val="24"/>
          <w:highlight w:val="none"/>
        </w:rPr>
      </w:pPr>
      <w:r>
        <w:rPr>
          <w:rFonts w:hint="eastAsia" w:hAnsi="宋体" w:cs="宋体"/>
          <w:szCs w:val="24"/>
          <w:highlight w:val="none"/>
        </w:rPr>
        <w:t>采购文件获取日期：</w:t>
      </w:r>
      <w:r>
        <w:rPr>
          <w:rFonts w:hint="eastAsia" w:hAnsi="宋体" w:cs="宋体"/>
          <w:szCs w:val="24"/>
          <w:highlight w:val="none"/>
          <w:u w:val="dotted"/>
        </w:rPr>
        <w:t xml:space="preserve">                                           </w:t>
      </w:r>
    </w:p>
    <w:p w14:paraId="0097F545">
      <w:pPr>
        <w:adjustRightInd w:val="0"/>
        <w:snapToGrid w:val="0"/>
        <w:spacing w:line="360" w:lineRule="auto"/>
        <w:rPr>
          <w:rFonts w:hAnsi="宋体" w:cs="宋体"/>
          <w:bCs/>
          <w:szCs w:val="24"/>
          <w:highlight w:val="none"/>
        </w:rPr>
      </w:pPr>
      <w:r>
        <w:rPr>
          <w:rFonts w:hint="eastAsia" w:hAnsi="宋体" w:cs="宋体"/>
          <w:bCs/>
          <w:szCs w:val="24"/>
          <w:highlight w:val="none"/>
        </w:rPr>
        <w:t>三、质疑事项具体内容</w:t>
      </w:r>
    </w:p>
    <w:p w14:paraId="19EC4EF1">
      <w:pPr>
        <w:adjustRightInd w:val="0"/>
        <w:snapToGrid w:val="0"/>
        <w:spacing w:line="360" w:lineRule="auto"/>
        <w:rPr>
          <w:rFonts w:hAnsi="宋体" w:cs="宋体"/>
          <w:szCs w:val="24"/>
          <w:highlight w:val="none"/>
          <w:u w:val="dotted"/>
        </w:rPr>
      </w:pPr>
      <w:r>
        <w:rPr>
          <w:rFonts w:hint="eastAsia" w:hAnsi="宋体" w:cs="宋体"/>
          <w:szCs w:val="24"/>
          <w:highlight w:val="none"/>
        </w:rPr>
        <w:t>质疑事项1：</w:t>
      </w:r>
      <w:r>
        <w:rPr>
          <w:rFonts w:hint="eastAsia" w:hAnsi="宋体" w:cs="宋体"/>
          <w:szCs w:val="24"/>
          <w:highlight w:val="none"/>
          <w:u w:val="dotted"/>
        </w:rPr>
        <w:t xml:space="preserve">                                         </w:t>
      </w:r>
    </w:p>
    <w:p w14:paraId="749452F2">
      <w:pPr>
        <w:adjustRightInd w:val="0"/>
        <w:snapToGrid w:val="0"/>
        <w:spacing w:line="360" w:lineRule="auto"/>
        <w:rPr>
          <w:rFonts w:hAnsi="宋体" w:cs="宋体"/>
          <w:szCs w:val="24"/>
          <w:highlight w:val="none"/>
          <w:u w:val="dotted"/>
        </w:rPr>
      </w:pPr>
      <w:r>
        <w:rPr>
          <w:rFonts w:hint="eastAsia" w:hAnsi="宋体" w:cs="宋体"/>
          <w:szCs w:val="24"/>
          <w:highlight w:val="none"/>
        </w:rPr>
        <w:t>事实依据：</w:t>
      </w:r>
      <w:r>
        <w:rPr>
          <w:rFonts w:hint="eastAsia" w:hAnsi="宋体" w:cs="宋体"/>
          <w:szCs w:val="24"/>
          <w:highlight w:val="none"/>
          <w:u w:val="dotted"/>
        </w:rPr>
        <w:t xml:space="preserve">                                          </w:t>
      </w:r>
    </w:p>
    <w:p w14:paraId="5121182F">
      <w:pPr>
        <w:adjustRightInd w:val="0"/>
        <w:snapToGrid w:val="0"/>
        <w:spacing w:line="360" w:lineRule="auto"/>
        <w:rPr>
          <w:rFonts w:hAnsi="宋体" w:cs="宋体"/>
          <w:szCs w:val="24"/>
          <w:highlight w:val="none"/>
        </w:rPr>
      </w:pPr>
      <w:r>
        <w:rPr>
          <w:rFonts w:hint="eastAsia" w:hAnsi="宋体" w:cs="宋体"/>
          <w:szCs w:val="24"/>
          <w:highlight w:val="none"/>
          <w:u w:val="dotted"/>
        </w:rPr>
        <w:t xml:space="preserve">                                                       </w:t>
      </w:r>
    </w:p>
    <w:p w14:paraId="54043909">
      <w:pPr>
        <w:adjustRightInd w:val="0"/>
        <w:snapToGrid w:val="0"/>
        <w:spacing w:line="360" w:lineRule="auto"/>
        <w:rPr>
          <w:rFonts w:hAnsi="宋体" w:cs="宋体"/>
          <w:szCs w:val="24"/>
          <w:highlight w:val="none"/>
          <w:u w:val="dotted"/>
        </w:rPr>
      </w:pPr>
      <w:r>
        <w:rPr>
          <w:rFonts w:hint="eastAsia" w:hAnsi="宋体" w:cs="宋体"/>
          <w:szCs w:val="24"/>
          <w:highlight w:val="none"/>
        </w:rPr>
        <w:t>法律依据：</w:t>
      </w:r>
      <w:r>
        <w:rPr>
          <w:rFonts w:hint="eastAsia" w:hAnsi="宋体" w:cs="宋体"/>
          <w:szCs w:val="24"/>
          <w:highlight w:val="none"/>
          <w:u w:val="dotted"/>
        </w:rPr>
        <w:t xml:space="preserve">                                          </w:t>
      </w:r>
    </w:p>
    <w:p w14:paraId="5B59E1AD">
      <w:pPr>
        <w:adjustRightInd w:val="0"/>
        <w:snapToGrid w:val="0"/>
        <w:spacing w:line="360" w:lineRule="auto"/>
        <w:rPr>
          <w:rFonts w:hAnsi="宋体" w:cs="宋体"/>
          <w:szCs w:val="24"/>
          <w:highlight w:val="none"/>
          <w:u w:val="dotted"/>
        </w:rPr>
      </w:pPr>
      <w:r>
        <w:rPr>
          <w:rFonts w:hint="eastAsia" w:hAnsi="宋体" w:cs="宋体"/>
          <w:szCs w:val="24"/>
          <w:highlight w:val="none"/>
          <w:u w:val="dotted"/>
        </w:rPr>
        <w:t xml:space="preserve">                                                     </w:t>
      </w:r>
    </w:p>
    <w:p w14:paraId="594228C6">
      <w:pPr>
        <w:adjustRightInd w:val="0"/>
        <w:snapToGrid w:val="0"/>
        <w:spacing w:line="360" w:lineRule="auto"/>
        <w:rPr>
          <w:rFonts w:hAnsi="宋体" w:cs="宋体"/>
          <w:szCs w:val="24"/>
          <w:highlight w:val="none"/>
          <w:u w:val="dotted"/>
        </w:rPr>
      </w:pPr>
      <w:r>
        <w:rPr>
          <w:rFonts w:hint="eastAsia" w:hAnsi="宋体" w:cs="宋体"/>
          <w:szCs w:val="24"/>
          <w:highlight w:val="none"/>
        </w:rPr>
        <w:t>质疑事项2</w:t>
      </w:r>
    </w:p>
    <w:p w14:paraId="16732E20">
      <w:pPr>
        <w:adjustRightInd w:val="0"/>
        <w:snapToGrid w:val="0"/>
        <w:spacing w:line="360" w:lineRule="auto"/>
        <w:rPr>
          <w:rFonts w:hAnsi="宋体" w:cs="宋体"/>
          <w:szCs w:val="24"/>
          <w:highlight w:val="none"/>
        </w:rPr>
      </w:pPr>
      <w:r>
        <w:rPr>
          <w:rFonts w:hint="eastAsia" w:hAnsi="宋体" w:cs="宋体"/>
          <w:szCs w:val="24"/>
          <w:highlight w:val="none"/>
        </w:rPr>
        <w:t>……</w:t>
      </w:r>
    </w:p>
    <w:p w14:paraId="1E5FDBA6">
      <w:pPr>
        <w:adjustRightInd w:val="0"/>
        <w:snapToGrid w:val="0"/>
        <w:spacing w:line="360" w:lineRule="auto"/>
        <w:rPr>
          <w:rFonts w:hAnsi="宋体" w:cs="宋体"/>
          <w:bCs/>
          <w:szCs w:val="24"/>
          <w:highlight w:val="none"/>
        </w:rPr>
      </w:pPr>
      <w:r>
        <w:rPr>
          <w:rFonts w:hint="eastAsia" w:hAnsi="宋体" w:cs="宋体"/>
          <w:bCs/>
          <w:szCs w:val="24"/>
          <w:highlight w:val="none"/>
        </w:rPr>
        <w:t>四、与质疑事项相关的质疑请求</w:t>
      </w:r>
    </w:p>
    <w:p w14:paraId="3E6E0DC1">
      <w:pPr>
        <w:adjustRightInd w:val="0"/>
        <w:snapToGrid w:val="0"/>
        <w:spacing w:line="360" w:lineRule="auto"/>
        <w:rPr>
          <w:rFonts w:hAnsi="宋体" w:cs="宋体"/>
          <w:szCs w:val="24"/>
          <w:highlight w:val="none"/>
          <w:u w:val="dotted"/>
        </w:rPr>
      </w:pPr>
      <w:r>
        <w:rPr>
          <w:rFonts w:hint="eastAsia" w:hAnsi="宋体" w:cs="宋体"/>
          <w:szCs w:val="24"/>
          <w:highlight w:val="none"/>
        </w:rPr>
        <w:t>请求：</w:t>
      </w:r>
      <w:r>
        <w:rPr>
          <w:rFonts w:hint="eastAsia" w:hAnsi="宋体" w:cs="宋体"/>
          <w:szCs w:val="24"/>
          <w:highlight w:val="none"/>
          <w:u w:val="dotted"/>
        </w:rPr>
        <w:t xml:space="preserve">                                               </w:t>
      </w:r>
    </w:p>
    <w:p w14:paraId="2C1ADD46">
      <w:pPr>
        <w:rPr>
          <w:rFonts w:hAnsi="宋体" w:cs="宋体"/>
          <w:szCs w:val="24"/>
          <w:highlight w:val="none"/>
        </w:rPr>
      </w:pPr>
      <w:r>
        <w:rPr>
          <w:rFonts w:hint="eastAsia" w:hAnsi="宋体" w:cs="宋体"/>
          <w:szCs w:val="24"/>
          <w:highlight w:val="none"/>
        </w:rPr>
        <w:t xml:space="preserve">签字(签章)：                   公章：                      </w:t>
      </w:r>
    </w:p>
    <w:p w14:paraId="57F764D3">
      <w:pPr>
        <w:rPr>
          <w:rFonts w:hAnsi="宋体" w:cs="宋体"/>
          <w:szCs w:val="24"/>
          <w:highlight w:val="none"/>
        </w:rPr>
      </w:pPr>
      <w:r>
        <w:rPr>
          <w:rFonts w:hint="eastAsia" w:hAnsi="宋体" w:cs="宋体"/>
          <w:szCs w:val="24"/>
          <w:highlight w:val="none"/>
        </w:rPr>
        <w:t xml:space="preserve">日期：    </w:t>
      </w:r>
    </w:p>
    <w:p w14:paraId="5CBDC91E">
      <w:pPr>
        <w:jc w:val="center"/>
        <w:rPr>
          <w:rFonts w:hAnsi="宋体" w:cs="宋体"/>
          <w:b/>
          <w:sz w:val="44"/>
          <w:szCs w:val="44"/>
          <w:highlight w:val="none"/>
        </w:rPr>
      </w:pPr>
    </w:p>
    <w:p w14:paraId="07100E50">
      <w:pPr>
        <w:rPr>
          <w:rFonts w:hAnsi="宋体" w:cs="宋体"/>
          <w:b/>
          <w:sz w:val="44"/>
          <w:szCs w:val="44"/>
          <w:highlight w:val="none"/>
        </w:rPr>
      </w:pPr>
      <w:r>
        <w:rPr>
          <w:rFonts w:hAnsi="宋体" w:cs="宋体"/>
          <w:b/>
          <w:sz w:val="44"/>
          <w:szCs w:val="44"/>
          <w:highlight w:val="none"/>
        </w:rPr>
        <w:br w:type="page"/>
      </w:r>
    </w:p>
    <w:p w14:paraId="1E1F98E6">
      <w:pPr>
        <w:jc w:val="center"/>
        <w:rPr>
          <w:rFonts w:hAnsi="宋体" w:cs="宋体"/>
          <w:b/>
          <w:sz w:val="44"/>
          <w:szCs w:val="44"/>
          <w:highlight w:val="none"/>
        </w:rPr>
      </w:pPr>
      <w:r>
        <w:rPr>
          <w:rFonts w:hint="eastAsia" w:hAnsi="宋体" w:cs="宋体"/>
          <w:b/>
          <w:sz w:val="44"/>
          <w:szCs w:val="44"/>
          <w:highlight w:val="none"/>
        </w:rPr>
        <w:t>投诉书范本</w:t>
      </w:r>
    </w:p>
    <w:p w14:paraId="163A65B1">
      <w:pPr>
        <w:rPr>
          <w:rFonts w:hAnsi="宋体" w:cs="宋体"/>
          <w:szCs w:val="24"/>
          <w:highlight w:val="none"/>
        </w:rPr>
      </w:pPr>
      <w:r>
        <w:rPr>
          <w:rFonts w:hint="eastAsia" w:hAnsi="宋体" w:cs="宋体"/>
          <w:szCs w:val="24"/>
          <w:highlight w:val="none"/>
        </w:rPr>
        <w:t>一、投诉相关主体基本情况</w:t>
      </w:r>
    </w:p>
    <w:p w14:paraId="5D2B2D9A">
      <w:pPr>
        <w:rPr>
          <w:rFonts w:hAnsi="宋体" w:cs="宋体"/>
          <w:szCs w:val="24"/>
          <w:highlight w:val="none"/>
          <w:u w:val="dotted"/>
        </w:rPr>
      </w:pPr>
      <w:r>
        <w:rPr>
          <w:rFonts w:hint="eastAsia" w:hAnsi="宋体" w:cs="宋体"/>
          <w:szCs w:val="24"/>
          <w:highlight w:val="none"/>
        </w:rPr>
        <w:t>投诉人：</w:t>
      </w:r>
      <w:r>
        <w:rPr>
          <w:rFonts w:hint="eastAsia" w:hAnsi="宋体" w:cs="宋体"/>
          <w:szCs w:val="24"/>
          <w:highlight w:val="none"/>
          <w:u w:val="dotted"/>
        </w:rPr>
        <w:t xml:space="preserve">                                               </w:t>
      </w:r>
    </w:p>
    <w:p w14:paraId="72EB0AD5">
      <w:pPr>
        <w:rPr>
          <w:rFonts w:hAnsi="宋体" w:cs="宋体"/>
          <w:szCs w:val="24"/>
          <w:highlight w:val="none"/>
          <w:u w:val="single"/>
        </w:rPr>
      </w:pPr>
      <w:r>
        <w:rPr>
          <w:rFonts w:hint="eastAsia" w:hAnsi="宋体" w:cs="宋体"/>
          <w:szCs w:val="24"/>
          <w:highlight w:val="none"/>
        </w:rPr>
        <w:t>地     址：</w:t>
      </w:r>
      <w:r>
        <w:rPr>
          <w:rFonts w:hint="eastAsia" w:hAnsi="宋体" w:cs="宋体"/>
          <w:szCs w:val="24"/>
          <w:highlight w:val="none"/>
          <w:u w:val="dotted"/>
        </w:rPr>
        <w:t xml:space="preserve">                             </w:t>
      </w:r>
      <w:r>
        <w:rPr>
          <w:rFonts w:hint="eastAsia" w:hAnsi="宋体" w:cs="宋体"/>
          <w:szCs w:val="24"/>
          <w:highlight w:val="none"/>
        </w:rPr>
        <w:t>邮编：</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53C0EC38">
      <w:pPr>
        <w:tabs>
          <w:tab w:val="left" w:pos="6510"/>
        </w:tabs>
        <w:jc w:val="left"/>
        <w:rPr>
          <w:rFonts w:hAnsi="宋体" w:cs="宋体"/>
          <w:szCs w:val="24"/>
          <w:highlight w:val="none"/>
        </w:rPr>
      </w:pPr>
      <w:r>
        <w:rPr>
          <w:rFonts w:hint="eastAsia" w:hAnsi="宋体" w:cs="宋体"/>
          <w:szCs w:val="24"/>
          <w:highlight w:val="none"/>
        </w:rPr>
        <w:t>法定代表人/主要负责人：</w:t>
      </w:r>
      <w:r>
        <w:rPr>
          <w:rFonts w:hint="eastAsia" w:hAnsi="宋体" w:cs="宋体"/>
          <w:szCs w:val="24"/>
          <w:highlight w:val="none"/>
          <w:u w:val="dotted"/>
        </w:rPr>
        <w:t xml:space="preserve">                                   </w:t>
      </w:r>
      <w:r>
        <w:rPr>
          <w:rFonts w:hint="eastAsia" w:hAnsi="宋体" w:cs="宋体"/>
          <w:szCs w:val="24"/>
          <w:highlight w:val="none"/>
        </w:rPr>
        <w:t xml:space="preserve">  </w:t>
      </w:r>
    </w:p>
    <w:p w14:paraId="788DDE89">
      <w:pPr>
        <w:tabs>
          <w:tab w:val="left" w:pos="6510"/>
        </w:tabs>
        <w:rPr>
          <w:rFonts w:hAnsi="宋体" w:cs="宋体"/>
          <w:szCs w:val="24"/>
          <w:highlight w:val="none"/>
          <w:u w:val="dotted"/>
        </w:rPr>
      </w:pPr>
      <w:r>
        <w:rPr>
          <w:rFonts w:hint="eastAsia" w:hAnsi="宋体" w:cs="宋体"/>
          <w:szCs w:val="24"/>
          <w:highlight w:val="none"/>
        </w:rPr>
        <w:t>联系电话：</w:t>
      </w:r>
      <w:r>
        <w:rPr>
          <w:rFonts w:hint="eastAsia" w:hAnsi="宋体" w:cs="宋体"/>
          <w:szCs w:val="24"/>
          <w:highlight w:val="none"/>
          <w:u w:val="dotted"/>
        </w:rPr>
        <w:t xml:space="preserve">                                             </w:t>
      </w:r>
    </w:p>
    <w:p w14:paraId="4601F9B7">
      <w:pPr>
        <w:rPr>
          <w:rFonts w:hAnsi="宋体" w:cs="宋体"/>
          <w:szCs w:val="24"/>
          <w:highlight w:val="none"/>
          <w:u w:val="dotted"/>
        </w:rPr>
      </w:pPr>
      <w:r>
        <w:rPr>
          <w:rFonts w:hint="eastAsia" w:hAnsi="宋体" w:cs="宋体"/>
          <w:szCs w:val="24"/>
          <w:highlight w:val="none"/>
        </w:rPr>
        <w:t>授权代表：</w:t>
      </w:r>
      <w:r>
        <w:rPr>
          <w:rFonts w:hint="eastAsia" w:hAnsi="宋体" w:cs="宋体"/>
          <w:szCs w:val="24"/>
          <w:highlight w:val="none"/>
          <w:u w:val="dotted"/>
        </w:rPr>
        <w:t xml:space="preserve">             </w:t>
      </w:r>
      <w:r>
        <w:rPr>
          <w:rFonts w:hint="eastAsia" w:hAnsi="宋体" w:cs="宋体"/>
          <w:szCs w:val="24"/>
          <w:highlight w:val="none"/>
        </w:rPr>
        <w:t>联系电话</w:t>
      </w:r>
      <w:r>
        <w:rPr>
          <w:rFonts w:hint="eastAsia" w:hAnsi="宋体" w:cs="宋体"/>
          <w:szCs w:val="24"/>
          <w:highlight w:val="none"/>
          <w:u w:val="dotted"/>
        </w:rPr>
        <w:t xml:space="preserve">：                  </w:t>
      </w:r>
    </w:p>
    <w:p w14:paraId="3713D598">
      <w:pPr>
        <w:rPr>
          <w:rFonts w:hAnsi="宋体" w:cs="宋体"/>
          <w:szCs w:val="24"/>
          <w:highlight w:val="none"/>
          <w:u w:val="dotted"/>
        </w:rPr>
      </w:pPr>
      <w:r>
        <w:rPr>
          <w:rFonts w:hint="eastAsia" w:hAnsi="宋体" w:cs="宋体"/>
          <w:szCs w:val="24"/>
          <w:highlight w:val="none"/>
        </w:rPr>
        <w:t>地     址：</w:t>
      </w:r>
      <w:r>
        <w:rPr>
          <w:rFonts w:hint="eastAsia" w:hAnsi="宋体" w:cs="宋体"/>
          <w:szCs w:val="24"/>
          <w:highlight w:val="none"/>
          <w:u w:val="dotted"/>
        </w:rPr>
        <w:t xml:space="preserve">                             </w:t>
      </w:r>
      <w:r>
        <w:rPr>
          <w:rFonts w:hint="eastAsia" w:hAnsi="宋体" w:cs="宋体"/>
          <w:szCs w:val="24"/>
          <w:highlight w:val="none"/>
        </w:rPr>
        <w:t>邮编：</w:t>
      </w:r>
      <w:r>
        <w:rPr>
          <w:rFonts w:hint="eastAsia" w:hAnsi="宋体" w:cs="宋体"/>
          <w:szCs w:val="24"/>
          <w:highlight w:val="none"/>
          <w:u w:val="dotted"/>
        </w:rPr>
        <w:t xml:space="preserve">         </w:t>
      </w:r>
      <w:r>
        <w:rPr>
          <w:rFonts w:hint="eastAsia" w:hAnsi="宋体" w:cs="宋体"/>
          <w:szCs w:val="24"/>
          <w:highlight w:val="none"/>
          <w:u w:val="single"/>
        </w:rPr>
        <w:t xml:space="preserve"> </w:t>
      </w:r>
      <w:r>
        <w:rPr>
          <w:rFonts w:hint="eastAsia" w:hAnsi="宋体" w:cs="宋体"/>
          <w:szCs w:val="24"/>
          <w:highlight w:val="none"/>
          <w:u w:val="dotted"/>
        </w:rPr>
        <w:t xml:space="preserve">                   </w:t>
      </w:r>
    </w:p>
    <w:p w14:paraId="14B861BB">
      <w:pPr>
        <w:rPr>
          <w:rFonts w:hAnsi="宋体" w:cs="宋体"/>
          <w:szCs w:val="24"/>
          <w:highlight w:val="none"/>
          <w:u w:val="single"/>
        </w:rPr>
      </w:pPr>
      <w:r>
        <w:rPr>
          <w:rFonts w:hint="eastAsia" w:hAnsi="宋体" w:cs="宋体"/>
          <w:szCs w:val="24"/>
          <w:highlight w:val="none"/>
        </w:rPr>
        <w:t>被投诉人1：</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5F955EFD">
      <w:pPr>
        <w:rPr>
          <w:rFonts w:hAnsi="宋体" w:cs="宋体"/>
          <w:szCs w:val="24"/>
          <w:highlight w:val="none"/>
          <w:u w:val="single"/>
        </w:rPr>
      </w:pPr>
      <w:r>
        <w:rPr>
          <w:rFonts w:hint="eastAsia" w:hAnsi="宋体" w:cs="宋体"/>
          <w:szCs w:val="24"/>
          <w:highlight w:val="none"/>
        </w:rPr>
        <w:t>地     址：</w:t>
      </w:r>
      <w:r>
        <w:rPr>
          <w:rFonts w:hint="eastAsia" w:hAnsi="宋体" w:cs="宋体"/>
          <w:szCs w:val="24"/>
          <w:highlight w:val="none"/>
          <w:u w:val="dotted"/>
        </w:rPr>
        <w:t xml:space="preserve">                             </w:t>
      </w:r>
      <w:r>
        <w:rPr>
          <w:rFonts w:hint="eastAsia" w:hAnsi="宋体" w:cs="宋体"/>
          <w:szCs w:val="24"/>
          <w:highlight w:val="none"/>
        </w:rPr>
        <w:t>邮编：</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143E09F9">
      <w:pPr>
        <w:rPr>
          <w:rFonts w:hAnsi="宋体" w:cs="宋体"/>
          <w:szCs w:val="24"/>
          <w:highlight w:val="none"/>
          <w:u w:val="single"/>
        </w:rPr>
      </w:pPr>
      <w:r>
        <w:rPr>
          <w:rFonts w:hint="eastAsia" w:hAnsi="宋体" w:cs="宋体"/>
          <w:szCs w:val="24"/>
          <w:highlight w:val="none"/>
        </w:rPr>
        <w:t>联系人：</w:t>
      </w:r>
      <w:r>
        <w:rPr>
          <w:rFonts w:hint="eastAsia" w:hAnsi="宋体" w:cs="宋体"/>
          <w:szCs w:val="24"/>
          <w:highlight w:val="none"/>
          <w:u w:val="dotted"/>
        </w:rPr>
        <w:t xml:space="preserve">               </w:t>
      </w:r>
      <w:r>
        <w:rPr>
          <w:rFonts w:hint="eastAsia" w:hAnsi="宋体" w:cs="宋体"/>
          <w:szCs w:val="24"/>
          <w:highlight w:val="none"/>
        </w:rPr>
        <w:t>联系电话：</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586CBBBE">
      <w:pPr>
        <w:rPr>
          <w:rFonts w:hAnsi="宋体" w:cs="宋体"/>
          <w:szCs w:val="24"/>
          <w:highlight w:val="none"/>
        </w:rPr>
      </w:pPr>
      <w:r>
        <w:rPr>
          <w:rFonts w:hint="eastAsia" w:hAnsi="宋体" w:cs="宋体"/>
          <w:szCs w:val="24"/>
          <w:highlight w:val="none"/>
        </w:rPr>
        <w:t>被投诉人2</w:t>
      </w:r>
    </w:p>
    <w:p w14:paraId="610F74CA">
      <w:pPr>
        <w:rPr>
          <w:rFonts w:hAnsi="宋体" w:cs="宋体"/>
          <w:szCs w:val="24"/>
          <w:highlight w:val="none"/>
          <w:u w:val="dotted"/>
        </w:rPr>
      </w:pPr>
      <w:r>
        <w:rPr>
          <w:rFonts w:hint="eastAsia" w:hAnsi="宋体" w:cs="宋体"/>
          <w:szCs w:val="24"/>
          <w:highlight w:val="none"/>
        </w:rPr>
        <w:t>……</w:t>
      </w:r>
    </w:p>
    <w:p w14:paraId="25D94EB1">
      <w:pPr>
        <w:rPr>
          <w:rFonts w:hAnsi="宋体" w:cs="宋体"/>
          <w:szCs w:val="24"/>
          <w:highlight w:val="none"/>
          <w:u w:val="single"/>
        </w:rPr>
      </w:pPr>
      <w:r>
        <w:rPr>
          <w:rFonts w:hint="eastAsia" w:hAnsi="宋体" w:cs="宋体"/>
          <w:szCs w:val="24"/>
          <w:highlight w:val="none"/>
        </w:rPr>
        <w:t>相关供应商：</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14C03472">
      <w:pPr>
        <w:rPr>
          <w:rFonts w:hAnsi="宋体" w:cs="宋体"/>
          <w:szCs w:val="24"/>
          <w:highlight w:val="none"/>
          <w:u w:val="single"/>
        </w:rPr>
      </w:pPr>
      <w:r>
        <w:rPr>
          <w:rFonts w:hint="eastAsia" w:hAnsi="宋体" w:cs="宋体"/>
          <w:szCs w:val="24"/>
          <w:highlight w:val="none"/>
        </w:rPr>
        <w:t>地     址：</w:t>
      </w:r>
      <w:r>
        <w:rPr>
          <w:rFonts w:hint="eastAsia" w:hAnsi="宋体" w:cs="宋体"/>
          <w:szCs w:val="24"/>
          <w:highlight w:val="none"/>
          <w:u w:val="dotted"/>
        </w:rPr>
        <w:t xml:space="preserve">                             </w:t>
      </w:r>
      <w:r>
        <w:rPr>
          <w:rFonts w:hint="eastAsia" w:hAnsi="宋体" w:cs="宋体"/>
          <w:szCs w:val="24"/>
          <w:highlight w:val="none"/>
        </w:rPr>
        <w:t>邮编：</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15A8F699">
      <w:pPr>
        <w:rPr>
          <w:rFonts w:hAnsi="宋体" w:cs="宋体"/>
          <w:szCs w:val="24"/>
          <w:highlight w:val="none"/>
          <w:u w:val="single"/>
        </w:rPr>
      </w:pPr>
      <w:r>
        <w:rPr>
          <w:rFonts w:hint="eastAsia" w:hAnsi="宋体" w:cs="宋体"/>
          <w:szCs w:val="24"/>
          <w:highlight w:val="none"/>
        </w:rPr>
        <w:t>联系人：</w:t>
      </w:r>
      <w:r>
        <w:rPr>
          <w:rFonts w:hint="eastAsia" w:hAnsi="宋体" w:cs="宋体"/>
          <w:szCs w:val="24"/>
          <w:highlight w:val="none"/>
          <w:u w:val="dotted"/>
        </w:rPr>
        <w:t xml:space="preserve">               </w:t>
      </w:r>
      <w:r>
        <w:rPr>
          <w:rFonts w:hint="eastAsia" w:hAnsi="宋体" w:cs="宋体"/>
          <w:szCs w:val="24"/>
          <w:highlight w:val="none"/>
        </w:rPr>
        <w:t>联系电话：</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0046216D">
      <w:pPr>
        <w:rPr>
          <w:rFonts w:hAnsi="宋体" w:cs="宋体"/>
          <w:szCs w:val="24"/>
          <w:highlight w:val="none"/>
        </w:rPr>
      </w:pPr>
      <w:r>
        <w:rPr>
          <w:rFonts w:hint="eastAsia" w:hAnsi="宋体" w:cs="宋体"/>
          <w:szCs w:val="24"/>
          <w:highlight w:val="none"/>
        </w:rPr>
        <w:t>二、投诉项目基本情况</w:t>
      </w:r>
    </w:p>
    <w:p w14:paraId="035528C0">
      <w:pPr>
        <w:rPr>
          <w:rFonts w:hAnsi="宋体" w:cs="宋体"/>
          <w:szCs w:val="24"/>
          <w:highlight w:val="none"/>
          <w:u w:val="dotted"/>
        </w:rPr>
      </w:pPr>
      <w:r>
        <w:rPr>
          <w:rFonts w:hint="eastAsia" w:hAnsi="宋体" w:cs="宋体"/>
          <w:szCs w:val="24"/>
          <w:highlight w:val="none"/>
        </w:rPr>
        <w:t>采购项目名称：</w:t>
      </w:r>
      <w:r>
        <w:rPr>
          <w:rFonts w:hint="eastAsia" w:hAnsi="宋体" w:cs="宋体"/>
          <w:szCs w:val="24"/>
          <w:highlight w:val="none"/>
          <w:u w:val="dotted"/>
        </w:rPr>
        <w:t xml:space="preserve">                                        </w:t>
      </w:r>
    </w:p>
    <w:p w14:paraId="69270551">
      <w:pPr>
        <w:rPr>
          <w:rFonts w:hAnsi="宋体" w:cs="宋体"/>
          <w:szCs w:val="24"/>
          <w:highlight w:val="none"/>
          <w:u w:val="single"/>
        </w:rPr>
      </w:pPr>
      <w:r>
        <w:rPr>
          <w:rFonts w:hint="eastAsia" w:hAnsi="宋体" w:cs="宋体"/>
          <w:szCs w:val="24"/>
          <w:highlight w:val="none"/>
        </w:rPr>
        <w:t>采购项目编号：</w:t>
      </w:r>
      <w:r>
        <w:rPr>
          <w:rFonts w:hint="eastAsia" w:hAnsi="宋体" w:cs="宋体"/>
          <w:szCs w:val="24"/>
          <w:highlight w:val="none"/>
          <w:u w:val="dotted"/>
        </w:rPr>
        <w:t xml:space="preserve">                 </w:t>
      </w:r>
      <w:r>
        <w:rPr>
          <w:rFonts w:hint="eastAsia" w:hAnsi="宋体" w:cs="宋体"/>
          <w:szCs w:val="24"/>
          <w:highlight w:val="none"/>
        </w:rPr>
        <w:t>包号：</w:t>
      </w:r>
      <w:r>
        <w:rPr>
          <w:rFonts w:hint="eastAsia" w:hAnsi="宋体" w:cs="宋体"/>
          <w:szCs w:val="24"/>
          <w:highlight w:val="none"/>
          <w:u w:val="dotted"/>
        </w:rPr>
        <w:t xml:space="preserve">              </w:t>
      </w:r>
    </w:p>
    <w:p w14:paraId="143CDFA2">
      <w:pPr>
        <w:rPr>
          <w:rFonts w:hAnsi="宋体" w:cs="宋体"/>
          <w:szCs w:val="24"/>
          <w:highlight w:val="none"/>
        </w:rPr>
      </w:pPr>
      <w:r>
        <w:rPr>
          <w:rFonts w:hint="eastAsia" w:hAnsi="宋体" w:cs="宋体"/>
          <w:szCs w:val="24"/>
          <w:highlight w:val="none"/>
        </w:rPr>
        <w:t>采购人名称：</w:t>
      </w:r>
      <w:r>
        <w:rPr>
          <w:rFonts w:hint="eastAsia" w:hAnsi="宋体" w:cs="宋体"/>
          <w:szCs w:val="24"/>
          <w:highlight w:val="none"/>
          <w:u w:val="dotted"/>
        </w:rPr>
        <w:t xml:space="preserve">                                           </w:t>
      </w:r>
      <w:r>
        <w:rPr>
          <w:rFonts w:hint="eastAsia" w:hAnsi="宋体" w:cs="宋体"/>
          <w:szCs w:val="24"/>
          <w:highlight w:val="none"/>
          <w:u w:val="single"/>
        </w:rPr>
        <w:t xml:space="preserve">  </w:t>
      </w:r>
    </w:p>
    <w:p w14:paraId="549BEF8B">
      <w:pPr>
        <w:rPr>
          <w:rFonts w:hAnsi="宋体" w:cs="宋体"/>
          <w:szCs w:val="24"/>
          <w:highlight w:val="none"/>
          <w:u w:val="single"/>
        </w:rPr>
      </w:pPr>
      <w:r>
        <w:rPr>
          <w:rFonts w:hint="eastAsia" w:hAnsi="宋体" w:cs="宋体"/>
          <w:szCs w:val="24"/>
          <w:highlight w:val="none"/>
        </w:rPr>
        <w:t>代理机构名称：</w:t>
      </w:r>
      <w:r>
        <w:rPr>
          <w:rFonts w:hint="eastAsia" w:hAnsi="宋体" w:cs="宋体"/>
          <w:szCs w:val="24"/>
          <w:highlight w:val="none"/>
          <w:u w:val="dotted"/>
        </w:rPr>
        <w:t xml:space="preserve">                                         </w:t>
      </w:r>
    </w:p>
    <w:p w14:paraId="5C0CC3B1">
      <w:pPr>
        <w:rPr>
          <w:rFonts w:hAnsi="宋体" w:cs="宋体"/>
          <w:szCs w:val="24"/>
          <w:highlight w:val="none"/>
          <w:u w:val="dotted"/>
        </w:rPr>
      </w:pPr>
      <w:r>
        <w:rPr>
          <w:rFonts w:hint="eastAsia" w:hAnsi="宋体" w:cs="宋体"/>
          <w:szCs w:val="24"/>
          <w:highlight w:val="none"/>
        </w:rPr>
        <w:t>采购文件公告:</w:t>
      </w:r>
      <w:r>
        <w:rPr>
          <w:rFonts w:hint="eastAsia" w:hAnsi="宋体" w:cs="宋体"/>
          <w:szCs w:val="24"/>
          <w:highlight w:val="none"/>
          <w:u w:val="dotted"/>
        </w:rPr>
        <w:t xml:space="preserve">是/否 </w:t>
      </w:r>
      <w:r>
        <w:rPr>
          <w:rFonts w:hint="eastAsia" w:hAnsi="宋体" w:cs="宋体"/>
          <w:szCs w:val="24"/>
          <w:highlight w:val="none"/>
        </w:rPr>
        <w:t>公告期限：</w:t>
      </w:r>
      <w:r>
        <w:rPr>
          <w:rFonts w:hint="eastAsia" w:hAnsi="宋体" w:cs="宋体"/>
          <w:szCs w:val="24"/>
          <w:highlight w:val="none"/>
          <w:u w:val="dotted"/>
        </w:rPr>
        <w:t xml:space="preserve">                                 </w:t>
      </w:r>
    </w:p>
    <w:p w14:paraId="0574708C">
      <w:pPr>
        <w:rPr>
          <w:rFonts w:hAnsi="宋体" w:cs="宋体"/>
          <w:szCs w:val="24"/>
          <w:highlight w:val="none"/>
          <w:u w:val="single"/>
        </w:rPr>
      </w:pPr>
      <w:r>
        <w:rPr>
          <w:rFonts w:hint="eastAsia" w:hAnsi="宋体" w:cs="宋体"/>
          <w:szCs w:val="24"/>
          <w:highlight w:val="none"/>
        </w:rPr>
        <w:t>采购结果公告:</w:t>
      </w:r>
      <w:r>
        <w:rPr>
          <w:rFonts w:hint="eastAsia" w:hAnsi="宋体" w:cs="宋体"/>
          <w:szCs w:val="24"/>
          <w:highlight w:val="none"/>
          <w:u w:val="dotted"/>
        </w:rPr>
        <w:t xml:space="preserve">是/否 </w:t>
      </w:r>
      <w:r>
        <w:rPr>
          <w:rFonts w:hint="eastAsia" w:hAnsi="宋体" w:cs="宋体"/>
          <w:szCs w:val="24"/>
          <w:highlight w:val="none"/>
        </w:rPr>
        <w:t>公告期限：</w:t>
      </w:r>
      <w:r>
        <w:rPr>
          <w:rFonts w:hint="eastAsia" w:hAnsi="宋体" w:cs="宋体"/>
          <w:szCs w:val="24"/>
          <w:highlight w:val="none"/>
          <w:u w:val="dotted"/>
        </w:rPr>
        <w:t xml:space="preserve">                        </w:t>
      </w:r>
    </w:p>
    <w:p w14:paraId="6A043BC4">
      <w:pPr>
        <w:rPr>
          <w:rFonts w:hAnsi="宋体" w:cs="宋体"/>
          <w:szCs w:val="24"/>
          <w:highlight w:val="none"/>
        </w:rPr>
      </w:pPr>
      <w:r>
        <w:rPr>
          <w:rFonts w:hint="eastAsia" w:hAnsi="宋体" w:cs="宋体"/>
          <w:szCs w:val="24"/>
          <w:highlight w:val="none"/>
        </w:rPr>
        <w:t>三、质疑基本情况</w:t>
      </w:r>
    </w:p>
    <w:p w14:paraId="5ED6C879">
      <w:pPr>
        <w:ind w:firstLine="420" w:firstLineChars="200"/>
        <w:rPr>
          <w:rFonts w:hAnsi="宋体" w:cs="宋体"/>
          <w:szCs w:val="24"/>
          <w:highlight w:val="none"/>
          <w:u w:val="dotted"/>
        </w:rPr>
      </w:pPr>
      <w:r>
        <w:rPr>
          <w:rFonts w:hint="eastAsia" w:hAnsi="宋体" w:cs="宋体"/>
          <w:szCs w:val="24"/>
          <w:highlight w:val="none"/>
        </w:rPr>
        <w:t>投诉人于</w:t>
      </w:r>
      <w:r>
        <w:rPr>
          <w:rFonts w:hint="eastAsia" w:hAnsi="宋体" w:cs="宋体"/>
          <w:szCs w:val="24"/>
          <w:highlight w:val="none"/>
          <w:u w:val="dotted"/>
        </w:rPr>
        <w:t xml:space="preserve">   </w:t>
      </w:r>
      <w:r>
        <w:rPr>
          <w:rFonts w:hint="eastAsia" w:hAnsi="宋体" w:cs="宋体"/>
          <w:szCs w:val="24"/>
          <w:highlight w:val="none"/>
        </w:rPr>
        <w:t>年</w:t>
      </w:r>
      <w:r>
        <w:rPr>
          <w:rFonts w:hint="eastAsia" w:hAnsi="宋体" w:cs="宋体"/>
          <w:szCs w:val="24"/>
          <w:highlight w:val="none"/>
          <w:u w:val="dotted"/>
        </w:rPr>
        <w:t xml:space="preserve">   </w:t>
      </w:r>
      <w:r>
        <w:rPr>
          <w:rFonts w:hint="eastAsia" w:hAnsi="宋体" w:cs="宋体"/>
          <w:szCs w:val="24"/>
          <w:highlight w:val="none"/>
        </w:rPr>
        <w:t>月</w:t>
      </w:r>
      <w:r>
        <w:rPr>
          <w:rFonts w:hint="eastAsia" w:hAnsi="宋体" w:cs="宋体"/>
          <w:szCs w:val="24"/>
          <w:highlight w:val="none"/>
          <w:u w:val="dotted"/>
        </w:rPr>
        <w:t xml:space="preserve">  </w:t>
      </w:r>
      <w:r>
        <w:rPr>
          <w:rFonts w:hint="eastAsia" w:hAnsi="宋体" w:cs="宋体"/>
          <w:szCs w:val="24"/>
          <w:highlight w:val="none"/>
        </w:rPr>
        <w:t>日,向</w:t>
      </w:r>
      <w:r>
        <w:rPr>
          <w:rFonts w:hint="eastAsia" w:hAnsi="宋体" w:cs="宋体"/>
          <w:szCs w:val="24"/>
          <w:highlight w:val="none"/>
          <w:u w:val="dotted"/>
        </w:rPr>
        <w:t xml:space="preserve">                   </w:t>
      </w:r>
      <w:r>
        <w:rPr>
          <w:rFonts w:hint="eastAsia" w:hAnsi="宋体" w:cs="宋体"/>
          <w:szCs w:val="24"/>
          <w:highlight w:val="none"/>
        </w:rPr>
        <w:t>提出质疑，质疑事项为：</w:t>
      </w:r>
      <w:r>
        <w:rPr>
          <w:rFonts w:hint="eastAsia" w:hAnsi="宋体" w:cs="宋体"/>
          <w:szCs w:val="24"/>
          <w:highlight w:val="none"/>
          <w:u w:val="dotted"/>
        </w:rPr>
        <w:t xml:space="preserve">                                </w:t>
      </w:r>
    </w:p>
    <w:p w14:paraId="301E77E8">
      <w:pPr>
        <w:rPr>
          <w:rFonts w:hAnsi="宋体" w:cs="宋体"/>
          <w:szCs w:val="24"/>
          <w:highlight w:val="none"/>
          <w:u w:val="dotted"/>
        </w:rPr>
      </w:pPr>
      <w:r>
        <w:rPr>
          <w:rFonts w:hint="eastAsia" w:hAnsi="宋体" w:cs="宋体"/>
          <w:szCs w:val="24"/>
          <w:highlight w:val="none"/>
          <w:u w:val="dotted"/>
        </w:rPr>
        <w:t xml:space="preserve">                                                     </w:t>
      </w:r>
      <w:r>
        <w:rPr>
          <w:rFonts w:hint="eastAsia" w:hAnsi="宋体" w:cs="宋体"/>
          <w:szCs w:val="24"/>
          <w:highlight w:val="none"/>
        </w:rPr>
        <w:t xml:space="preserve">  </w:t>
      </w:r>
    </w:p>
    <w:p w14:paraId="0F900A37">
      <w:pPr>
        <w:ind w:firstLine="315" w:firstLineChars="150"/>
        <w:rPr>
          <w:rFonts w:hAnsi="宋体" w:cs="宋体"/>
          <w:szCs w:val="24"/>
          <w:highlight w:val="none"/>
        </w:rPr>
      </w:pPr>
      <w:r>
        <w:rPr>
          <w:rFonts w:hint="eastAsia" w:hAnsi="宋体" w:cs="宋体"/>
          <w:szCs w:val="24"/>
          <w:highlight w:val="none"/>
          <w:u w:val="dotted"/>
        </w:rPr>
        <w:t>采购人/代理机构</w:t>
      </w:r>
      <w:r>
        <w:rPr>
          <w:rFonts w:hint="eastAsia" w:hAnsi="宋体" w:cs="宋体"/>
          <w:szCs w:val="24"/>
          <w:highlight w:val="none"/>
        </w:rPr>
        <w:t>于</w:t>
      </w:r>
      <w:r>
        <w:rPr>
          <w:rFonts w:hint="eastAsia" w:hAnsi="宋体" w:cs="宋体"/>
          <w:szCs w:val="24"/>
          <w:highlight w:val="none"/>
          <w:u w:val="dotted"/>
        </w:rPr>
        <w:t xml:space="preserve">   </w:t>
      </w:r>
      <w:r>
        <w:rPr>
          <w:rFonts w:hint="eastAsia" w:hAnsi="宋体" w:cs="宋体"/>
          <w:szCs w:val="24"/>
          <w:highlight w:val="none"/>
        </w:rPr>
        <w:t>年</w:t>
      </w:r>
      <w:r>
        <w:rPr>
          <w:rFonts w:hint="eastAsia" w:hAnsi="宋体" w:cs="宋体"/>
          <w:szCs w:val="24"/>
          <w:highlight w:val="none"/>
          <w:u w:val="dotted"/>
        </w:rPr>
        <w:t xml:space="preserve">   </w:t>
      </w:r>
      <w:r>
        <w:rPr>
          <w:rFonts w:hint="eastAsia" w:hAnsi="宋体" w:cs="宋体"/>
          <w:szCs w:val="24"/>
          <w:highlight w:val="none"/>
        </w:rPr>
        <w:t>月</w:t>
      </w:r>
      <w:r>
        <w:rPr>
          <w:rFonts w:hint="eastAsia" w:hAnsi="宋体" w:cs="宋体"/>
          <w:szCs w:val="24"/>
          <w:highlight w:val="none"/>
          <w:u w:val="dotted"/>
        </w:rPr>
        <w:t xml:space="preserve">   </w:t>
      </w:r>
      <w:r>
        <w:rPr>
          <w:rFonts w:hint="eastAsia" w:hAnsi="宋体" w:cs="宋体"/>
          <w:szCs w:val="24"/>
          <w:highlight w:val="none"/>
        </w:rPr>
        <w:t>日,就质疑事项作出了答复/没有在法定期限内作出答复。</w:t>
      </w:r>
    </w:p>
    <w:p w14:paraId="4782B391">
      <w:pPr>
        <w:rPr>
          <w:rFonts w:hAnsi="宋体" w:cs="宋体"/>
          <w:szCs w:val="24"/>
          <w:highlight w:val="none"/>
        </w:rPr>
      </w:pPr>
      <w:r>
        <w:rPr>
          <w:rFonts w:hint="eastAsia" w:hAnsi="宋体" w:cs="宋体"/>
          <w:szCs w:val="24"/>
          <w:highlight w:val="none"/>
        </w:rPr>
        <w:t>四、投诉事项具体内容</w:t>
      </w:r>
    </w:p>
    <w:p w14:paraId="0713A18D">
      <w:pPr>
        <w:rPr>
          <w:rFonts w:hAnsi="宋体" w:cs="宋体"/>
          <w:szCs w:val="24"/>
          <w:highlight w:val="none"/>
          <w:u w:val="single"/>
        </w:rPr>
      </w:pPr>
      <w:r>
        <w:rPr>
          <w:rFonts w:hint="eastAsia" w:hAnsi="宋体" w:cs="宋体"/>
          <w:szCs w:val="24"/>
          <w:highlight w:val="none"/>
        </w:rPr>
        <w:t>投诉事项 1：</w:t>
      </w:r>
      <w:r>
        <w:rPr>
          <w:rFonts w:hint="eastAsia" w:hAnsi="宋体" w:cs="宋体"/>
          <w:szCs w:val="24"/>
          <w:highlight w:val="none"/>
          <w:u w:val="dotted"/>
        </w:rPr>
        <w:t xml:space="preserve">                                       </w:t>
      </w:r>
    </w:p>
    <w:p w14:paraId="1E937F55">
      <w:pPr>
        <w:rPr>
          <w:rFonts w:hAnsi="宋体" w:cs="宋体"/>
          <w:szCs w:val="24"/>
          <w:highlight w:val="none"/>
        </w:rPr>
      </w:pPr>
      <w:r>
        <w:rPr>
          <w:rFonts w:hint="eastAsia" w:hAnsi="宋体" w:cs="宋体"/>
          <w:szCs w:val="24"/>
          <w:highlight w:val="none"/>
        </w:rPr>
        <w:t>事实依据：</w:t>
      </w:r>
      <w:r>
        <w:rPr>
          <w:rFonts w:hint="eastAsia" w:hAnsi="宋体" w:cs="宋体"/>
          <w:szCs w:val="24"/>
          <w:highlight w:val="none"/>
          <w:u w:val="dotted"/>
        </w:rPr>
        <w:t xml:space="preserve">                                         </w:t>
      </w:r>
    </w:p>
    <w:p w14:paraId="57C6603C">
      <w:pPr>
        <w:rPr>
          <w:rFonts w:hAnsi="宋体" w:cs="宋体"/>
          <w:szCs w:val="24"/>
          <w:highlight w:val="none"/>
          <w:u w:val="dotted"/>
        </w:rPr>
      </w:pPr>
      <w:r>
        <w:rPr>
          <w:rFonts w:hint="eastAsia" w:hAnsi="宋体" w:cs="宋体"/>
          <w:szCs w:val="24"/>
          <w:highlight w:val="none"/>
          <w:u w:val="dotted"/>
        </w:rPr>
        <w:t xml:space="preserve">                                                      </w:t>
      </w:r>
    </w:p>
    <w:p w14:paraId="23D2EA29">
      <w:pPr>
        <w:rPr>
          <w:rFonts w:hAnsi="宋体" w:cs="宋体"/>
          <w:szCs w:val="24"/>
          <w:highlight w:val="none"/>
          <w:u w:val="single"/>
        </w:rPr>
      </w:pPr>
      <w:r>
        <w:rPr>
          <w:rFonts w:hint="eastAsia" w:hAnsi="宋体" w:cs="宋体"/>
          <w:szCs w:val="24"/>
          <w:highlight w:val="none"/>
        </w:rPr>
        <w:t>法律依据：</w:t>
      </w:r>
      <w:r>
        <w:rPr>
          <w:rFonts w:hint="eastAsia" w:hAnsi="宋体" w:cs="宋体"/>
          <w:szCs w:val="24"/>
          <w:highlight w:val="none"/>
          <w:u w:val="dotted"/>
        </w:rPr>
        <w:t xml:space="preserve">                                          </w:t>
      </w:r>
    </w:p>
    <w:p w14:paraId="18C1FCE8">
      <w:pPr>
        <w:rPr>
          <w:rFonts w:hAnsi="宋体" w:cs="宋体"/>
          <w:szCs w:val="24"/>
          <w:highlight w:val="none"/>
          <w:u w:val="dotted"/>
        </w:rPr>
      </w:pPr>
      <w:r>
        <w:rPr>
          <w:rFonts w:hint="eastAsia" w:hAnsi="宋体" w:cs="宋体"/>
          <w:szCs w:val="24"/>
          <w:highlight w:val="none"/>
          <w:u w:val="dotted"/>
        </w:rPr>
        <w:t xml:space="preserve">                                                      </w:t>
      </w:r>
    </w:p>
    <w:p w14:paraId="6606C430">
      <w:pPr>
        <w:rPr>
          <w:rFonts w:hAnsi="宋体" w:cs="宋体"/>
          <w:szCs w:val="24"/>
          <w:highlight w:val="none"/>
        </w:rPr>
      </w:pPr>
      <w:r>
        <w:rPr>
          <w:rFonts w:hint="eastAsia" w:hAnsi="宋体" w:cs="宋体"/>
          <w:szCs w:val="24"/>
          <w:highlight w:val="none"/>
        </w:rPr>
        <w:t>投诉事项2</w:t>
      </w:r>
    </w:p>
    <w:p w14:paraId="7D5B987A">
      <w:pPr>
        <w:rPr>
          <w:rFonts w:hAnsi="宋体" w:cs="宋体"/>
          <w:szCs w:val="24"/>
          <w:highlight w:val="none"/>
          <w:u w:val="dotted"/>
        </w:rPr>
      </w:pPr>
      <w:r>
        <w:rPr>
          <w:rFonts w:hint="eastAsia" w:hAnsi="宋体" w:cs="宋体"/>
          <w:szCs w:val="24"/>
          <w:highlight w:val="none"/>
        </w:rPr>
        <w:t>……</w:t>
      </w:r>
    </w:p>
    <w:p w14:paraId="0AED1F55">
      <w:pPr>
        <w:rPr>
          <w:rFonts w:hAnsi="宋体" w:cs="宋体"/>
          <w:szCs w:val="24"/>
          <w:highlight w:val="none"/>
        </w:rPr>
      </w:pPr>
      <w:r>
        <w:rPr>
          <w:rFonts w:hint="eastAsia" w:hAnsi="宋体" w:cs="宋体"/>
          <w:szCs w:val="24"/>
          <w:highlight w:val="none"/>
        </w:rPr>
        <w:t>五、与投诉事项相关的投诉请求</w:t>
      </w:r>
    </w:p>
    <w:p w14:paraId="372DDBC3">
      <w:pPr>
        <w:rPr>
          <w:rFonts w:hAnsi="宋体" w:cs="宋体"/>
          <w:szCs w:val="24"/>
          <w:highlight w:val="none"/>
        </w:rPr>
      </w:pPr>
      <w:r>
        <w:rPr>
          <w:rFonts w:hint="eastAsia" w:hAnsi="宋体" w:cs="宋体"/>
          <w:szCs w:val="24"/>
          <w:highlight w:val="none"/>
        </w:rPr>
        <w:t>请求：</w:t>
      </w:r>
      <w:r>
        <w:rPr>
          <w:rFonts w:hint="eastAsia" w:hAnsi="宋体" w:cs="宋体"/>
          <w:szCs w:val="24"/>
          <w:highlight w:val="none"/>
          <w:u w:val="dotted"/>
        </w:rPr>
        <w:t xml:space="preserve">                                              </w:t>
      </w:r>
      <w:r>
        <w:rPr>
          <w:rFonts w:hint="eastAsia" w:hAnsi="宋体" w:cs="宋体"/>
          <w:szCs w:val="24"/>
          <w:highlight w:val="none"/>
        </w:rPr>
        <w:t xml:space="preserve"> </w:t>
      </w:r>
    </w:p>
    <w:p w14:paraId="077C17B0">
      <w:pPr>
        <w:rPr>
          <w:rFonts w:hAnsi="宋体" w:cs="宋体"/>
          <w:szCs w:val="24"/>
          <w:highlight w:val="none"/>
          <w:u w:val="single"/>
        </w:rPr>
      </w:pPr>
      <w:r>
        <w:rPr>
          <w:rFonts w:hint="eastAsia" w:hAnsi="宋体" w:cs="宋体"/>
          <w:szCs w:val="24"/>
          <w:highlight w:val="none"/>
        </w:rPr>
        <w:t xml:space="preserve">                                                                                                    </w:t>
      </w:r>
    </w:p>
    <w:p w14:paraId="4EC6A27E">
      <w:pPr>
        <w:rPr>
          <w:rFonts w:hAnsi="宋体" w:cs="宋体"/>
          <w:szCs w:val="24"/>
          <w:highlight w:val="none"/>
        </w:rPr>
      </w:pPr>
      <w:r>
        <w:rPr>
          <w:rFonts w:hint="eastAsia" w:hAnsi="宋体" w:cs="宋体"/>
          <w:szCs w:val="24"/>
          <w:highlight w:val="none"/>
        </w:rPr>
        <w:t xml:space="preserve">签字(签章)：                   公章：                      </w:t>
      </w:r>
    </w:p>
    <w:p w14:paraId="2968BC2C">
      <w:pPr>
        <w:rPr>
          <w:rFonts w:hAnsi="宋体" w:cs="宋体"/>
          <w:szCs w:val="24"/>
          <w:highlight w:val="none"/>
        </w:rPr>
      </w:pPr>
      <w:r>
        <w:rPr>
          <w:rFonts w:hint="eastAsia" w:hAnsi="宋体" w:cs="宋体"/>
          <w:szCs w:val="24"/>
          <w:highlight w:val="none"/>
        </w:rPr>
        <w:t xml:space="preserve">日期：                      </w:t>
      </w:r>
      <w:r>
        <w:rPr>
          <w:rFonts w:hint="eastAsia" w:hAnsi="宋体" w:cs="宋体"/>
          <w:szCs w:val="24"/>
          <w:highlight w:val="none"/>
        </w:rPr>
        <w:tab/>
      </w:r>
    </w:p>
    <w:p w14:paraId="727BE6E7">
      <w:pPr>
        <w:rPr>
          <w:rFonts w:asciiTheme="minorEastAsia" w:hAnsiTheme="minorEastAsia" w:eastAsiaTheme="minorEastAsia" w:cstheme="minorEastAsia"/>
          <w:sz w:val="32"/>
          <w:szCs w:val="32"/>
          <w:highlight w:val="none"/>
        </w:rPr>
      </w:pPr>
    </w:p>
    <w:sectPr>
      <w:type w:val="continuous"/>
      <w:pgSz w:w="11906" w:h="16838"/>
      <w:pgMar w:top="1304" w:right="1361" w:bottom="1304" w:left="1361"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81"/>
    <w:family w:val="roman"/>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auto"/>
    <w:pitch w:val="default"/>
    <w:sig w:usb0="800002BF" w:usb1="38CF7CFA" w:usb2="00000016" w:usb3="00000000" w:csb0="00040001" w:csb1="00000000"/>
  </w:font>
  <w:font w:name="华文仿宋">
    <w:altName w:val="仿宋"/>
    <w:panose1 w:val="02010600040101010101"/>
    <w:charset w:val="86"/>
    <w:family w:val="auto"/>
    <w:pitch w:val="default"/>
    <w:sig w:usb0="00000000" w:usb1="00000000" w:usb2="00000000" w:usb3="00000000" w:csb0="000400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60FCD2">
    <w:pPr>
      <w:pStyle w:val="17"/>
      <w:jc w:val="both"/>
    </w:pPr>
    <w:r>
      <w:rPr>
        <w:rFonts w:hint="eastAsia"/>
      </w:rPr>
      <w:t xml:space="preserve">陕西至诚项目管理集团有限公司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BA29253">
    <w:pPr>
      <w:pStyle w:val="17"/>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55AF098">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8" name="文本框 10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51A7F280">
                          <w:pPr>
                            <w:pStyle w:val="17"/>
                          </w:pPr>
                          <w:r>
                            <w:fldChar w:fldCharType="begin"/>
                          </w:r>
                          <w:r>
                            <w:instrText xml:space="preserve"> PAGE  \* MERGEFORMAT </w:instrText>
                          </w:r>
                          <w:r>
                            <w:fldChar w:fldCharType="separate"/>
                          </w:r>
                          <w:r>
                            <w:t>35</w:t>
                          </w:r>
                          <w:r>
                            <w:fldChar w:fldCharType="end"/>
                          </w:r>
                        </w:p>
                      </w:txbxContent>
                    </wps:txbx>
                    <wps:bodyPr wrap="none" lIns="0" tIns="0" rIns="0" bIns="0" upright="0">
                      <a:spAutoFit/>
                    </wps:bodyPr>
                  </wps:wsp>
                </a:graphicData>
              </a:graphic>
            </wp:anchor>
          </w:drawing>
        </mc:Choice>
        <mc:Fallback>
          <w:pict>
            <v:shape id="文本框 1028"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">
              <v:fill on="f" focussize="0,0"/>
              <v:stroke on="f"/>
              <v:imagedata o:title=""/>
              <o:lock v:ext="edit" aspectratio="f"/>
              <v:textbox inset="0mm,0mm,0mm,0mm" style="mso-fit-shape-to-text:t;">
                <w:txbxContent>
                  <w:p w14:paraId="51A7F280">
                    <w:pPr>
                      <w:pStyle w:val="17"/>
                    </w:pPr>
                    <w:r>
                      <w:fldChar w:fldCharType="begin"/>
                    </w:r>
                    <w:r>
                      <w:instrText xml:space="preserve"> PAGE  \* MERGEFORMAT </w:instrText>
                    </w:r>
                    <w:r>
                      <w:fldChar w:fldCharType="separate"/>
                    </w:r>
                    <w:r>
                      <w:t>35</w:t>
                    </w:r>
                    <w:r>
                      <w:fldChar w:fldCharType="end"/>
                    </w: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597A013">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102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74A676E7">
                          <w:pPr>
                            <w:pStyle w:val="17"/>
                          </w:pPr>
                          <w:r>
                            <w:fldChar w:fldCharType="begin"/>
                          </w:r>
                          <w:r>
                            <w:instrText xml:space="preserve"> PAGE  \* MERGEFORMAT </w:instrText>
                          </w:r>
                          <w:r>
                            <w:fldChar w:fldCharType="separate"/>
                          </w:r>
                          <w:r>
                            <w:t>50</w:t>
                          </w:r>
                          <w:r>
                            <w:fldChar w:fldCharType="end"/>
                          </w:r>
                        </w:p>
                      </w:txbxContent>
                    </wps:txbx>
                    <wps:bodyPr wrap="none" lIns="0" tIns="0" rIns="0" bIns="0" upright="0">
                      <a:spAutoFit/>
                    </wps:bodyPr>
                  </wps:wsp>
                </a:graphicData>
              </a:graphic>
            </wp:anchor>
          </w:drawing>
        </mc:Choice>
        <mc:Fallback>
          <w:pict>
            <v:shape id="文本框 1029"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qXm5zwAAAAUBAAAPAAAAAAAAAAEAIAAAACIAAABkcnMvZG93&#10;bnJldi54bWxQSwECFAAUAAAACACHTuJAlbhQmNABAACrAwAADgAAAAAAAAABACAAAAAeAQAAZHJz&#10;L2Uyb0RvYy54bWxQSwUGAAAAAAYABgBZAQAAYAUAAAAA&#10;">
              <v:fill on="f" focussize="0,0"/>
              <v:stroke on="f"/>
              <v:imagedata o:title=""/>
              <o:lock v:ext="edit" aspectratio="f"/>
              <v:textbox inset="0mm,0mm,0mm,0mm" style="mso-fit-shape-to-text:t;">
                <w:txbxContent>
                  <w:p w14:paraId="74A676E7">
                    <w:pPr>
                      <w:pStyle w:val="17"/>
                    </w:pPr>
                    <w:r>
                      <w:fldChar w:fldCharType="begin"/>
                    </w:r>
                    <w:r>
                      <w:instrText xml:space="preserve"> PAGE  \* MERGEFORMAT </w:instrText>
                    </w:r>
                    <w:r>
                      <w:fldChar w:fldCharType="separate"/>
                    </w:r>
                    <w:r>
                      <w:t>50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4E007F">
    <w:pPr>
      <w:pStyle w:val="17"/>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57" name="文本框 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734CD71D">
                          <w:pPr>
                            <w:pStyle w:val="17"/>
                          </w:pPr>
                          <w:r>
                            <w:fldChar w:fldCharType="begin"/>
                          </w:r>
                          <w:r>
                            <w:instrText xml:space="preserve"> PAGE  \* MERGEFORMAT </w:instrText>
                          </w:r>
                          <w:r>
                            <w:fldChar w:fldCharType="separate"/>
                          </w:r>
                          <w:r>
                            <w:t>23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LNJWO7QAAAABQEAAA8AAAAAAAAAAQAgAAAAIgAAAGRycy9kb3ducmV2Lnht&#10;bFBLAQIUABQAAAAIAIdO4kANtE2aOgIAAHEEAAAOAAAAAAAAAAEAIAAAAB8BAABkcnMvZTJvRG9j&#10;LnhtbFBLBQYAAAAABgAGAFkBAADLBQAAAAA=&#10;">
              <v:fill on="f" focussize="0,0"/>
              <v:stroke on="f" weight="0.5pt"/>
              <v:imagedata o:title=""/>
              <o:lock v:ext="edit" aspectratio="f"/>
              <v:textbox inset="0mm,0mm,0mm,0mm" style="mso-fit-shape-to-text:t;">
                <w:txbxContent>
                  <w:p w14:paraId="734CD71D">
                    <w:pPr>
                      <w:pStyle w:val="17"/>
                    </w:pPr>
                    <w:r>
                      <w:fldChar w:fldCharType="begin"/>
                    </w:r>
                    <w:r>
                      <w:instrText xml:space="preserve"> PAGE  \* MERGEFORMAT </w:instrText>
                    </w:r>
                    <w:r>
                      <w:fldChar w:fldCharType="separate"/>
                    </w:r>
                    <w:r>
                      <w:t>23</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10DB9E">
    <w:pPr>
      <w:pStyle w:val="17"/>
      <w:jc w:val="both"/>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42" name="文本框 10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wps:spPr>
                    <wps:txbx>
                      <w:txbxContent>
                        <w:p w14:paraId="19B232A1">
                          <w:pPr>
                            <w:pStyle w:val="17"/>
                          </w:pPr>
                          <w:r>
                            <w:fldChar w:fldCharType="begin"/>
                          </w:r>
                          <w:r>
                            <w:instrText xml:space="preserve"> PAGE  \* MERGEFORMAT </w:instrText>
                          </w:r>
                          <w:r>
                            <w:fldChar w:fldCharType="separate"/>
                          </w:r>
                          <w:r>
                            <w:t>81</w:t>
                          </w:r>
                          <w:r>
                            <w:fldChar w:fldCharType="end"/>
                          </w:r>
                        </w:p>
                      </w:txbxContent>
                    </wps:txbx>
                    <wps:bodyPr wrap="none" lIns="0" tIns="0" rIns="0" bIns="0" upright="0">
                      <a:spAutoFit/>
                    </wps:bodyPr>
                  </wps:wsp>
                </a:graphicData>
              </a:graphic>
            </wp:anchor>
          </w:drawing>
        </mc:Choice>
        <mc:Fallback>
          <w:pict>
            <v:shape id="文本框 1030"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">
              <v:fill on="f" focussize="0,0"/>
              <v:stroke on="f"/>
              <v:imagedata o:title=""/>
              <o:lock v:ext="edit" aspectratio="f"/>
              <v:textbox inset="0mm,0mm,0mm,0mm" style="mso-fit-shape-to-text:t;">
                <w:txbxContent>
                  <w:p w14:paraId="19B232A1">
                    <w:pPr>
                      <w:pStyle w:val="17"/>
                    </w:pPr>
                    <w:r>
                      <w:fldChar w:fldCharType="begin"/>
                    </w:r>
                    <w:r>
                      <w:instrText xml:space="preserve"> PAGE  \* MERGEFORMAT </w:instrText>
                    </w:r>
                    <w:r>
                      <w:fldChar w:fldCharType="separate"/>
                    </w:r>
                    <w:r>
                      <w:t>81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ECD1B7">
    <w:pPr>
      <w:pStyle w:val="18"/>
      <w:jc w:val="both"/>
      <w:rPr>
        <w:rFonts w:ascii="宋体" w:hAnsi="宋体"/>
        <w:szCs w:val="20"/>
      </w:rPr>
    </w:pPr>
    <w:bookmarkStart w:id="195" w:name="OLE_LINK16"/>
  </w:p>
  <w:bookmarkEnd w:id="195"/>
  <w:p w14:paraId="2BBCD6A1">
    <w:pPr>
      <w:pStyle w:val="18"/>
      <w:ind w:left="7040" w:hanging="7040" w:hangingChars="4400"/>
      <w:jc w:val="both"/>
      <w:rPr>
        <w:rFonts w:ascii="宋体" w:hAnsi="宋体"/>
        <w:szCs w:val="20"/>
      </w:rPr>
    </w:pPr>
    <w:r>
      <w:rPr>
        <w:rFonts w:hint="eastAsia" w:ascii="宋体" w:hAnsi="宋体"/>
        <w:sz w:val="16"/>
        <w:lang w:eastAsia="zh-CN"/>
      </w:rPr>
      <w:t>商洛市秦岭中段(南麓)水源涵养与生物多样性保护恢复项目2024年山阳县退化林修复</w:t>
    </w:r>
    <w:r>
      <w:rPr>
        <w:rFonts w:hint="eastAsia" w:ascii="宋体" w:hAnsi="宋体"/>
        <w:sz w:val="16"/>
      </w:rPr>
      <w:t xml:space="preserve">       </w:t>
    </w:r>
    <w:r>
      <w:rPr>
        <w:rFonts w:hint="eastAsia" w:ascii="宋体" w:hAnsi="宋体"/>
        <w:szCs w:val="20"/>
      </w:rPr>
      <w:t xml:space="preserve">           </w:t>
    </w:r>
    <w:r>
      <w:rPr>
        <w:rFonts w:hint="eastAsia" w:ascii="宋体" w:hAnsi="宋体"/>
        <w:sz w:val="16"/>
      </w:rPr>
      <w:t xml:space="preserve"> 招标文件</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3DA4B72">
    <w:pPr>
      <w:pStyle w:val="1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85DEBD">
    <w:pPr>
      <w:pStyle w:val="18"/>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BFEDF9E"/>
    <w:multiLevelType w:val="singleLevel"/>
    <w:tmpl w:val="BBFEDF9E"/>
    <w:lvl w:ilvl="0" w:tentative="0">
      <w:start w:val="1"/>
      <w:numFmt w:val="decimal"/>
      <w:suff w:val="nothing"/>
      <w:lvlText w:val="%1、"/>
      <w:lvlJc w:val="left"/>
    </w:lvl>
  </w:abstractNum>
  <w:abstractNum w:abstractNumId="1">
    <w:nsid w:val="00000001"/>
    <w:multiLevelType w:val="multilevel"/>
    <w:tmpl w:val="00000001"/>
    <w:lvl w:ilvl="0" w:tentative="0">
      <w:start w:val="1"/>
      <w:numFmt w:val="lowerLetter"/>
      <w:lvlText w:val="%1)"/>
      <w:lvlJc w:val="left"/>
      <w:pPr>
        <w:tabs>
          <w:tab w:val="left" w:pos="840"/>
        </w:tabs>
        <w:ind w:left="840" w:hanging="420"/>
      </w:pPr>
    </w:lvl>
    <w:lvl w:ilvl="1" w:tentative="0">
      <w:start w:val="1"/>
      <w:numFmt w:val="lowerLetter"/>
      <w:lvlText w:val="%2)"/>
      <w:lvlJc w:val="left"/>
      <w:pPr>
        <w:tabs>
          <w:tab w:val="left" w:pos="1260"/>
        </w:tabs>
        <w:ind w:left="1260" w:hanging="420"/>
      </w:pPr>
    </w:lvl>
    <w:lvl w:ilvl="2" w:tentative="0">
      <w:start w:val="1"/>
      <w:numFmt w:val="lowerRoman"/>
      <w:lvlText w:val="%3."/>
      <w:lvlJc w:val="right"/>
      <w:pPr>
        <w:tabs>
          <w:tab w:val="left" w:pos="1680"/>
        </w:tabs>
        <w:ind w:left="1680" w:hanging="420"/>
      </w:pPr>
    </w:lvl>
    <w:lvl w:ilvl="3" w:tentative="0">
      <w:start w:val="1"/>
      <w:numFmt w:val="decimal"/>
      <w:lvlText w:val="%4."/>
      <w:lvlJc w:val="left"/>
      <w:pPr>
        <w:tabs>
          <w:tab w:val="left" w:pos="2100"/>
        </w:tabs>
        <w:ind w:left="2100" w:hanging="420"/>
      </w:pPr>
    </w:lvl>
    <w:lvl w:ilvl="4" w:tentative="0">
      <w:start w:val="1"/>
      <w:numFmt w:val="lowerLetter"/>
      <w:lvlText w:val="%5)"/>
      <w:lvlJc w:val="left"/>
      <w:pPr>
        <w:tabs>
          <w:tab w:val="left" w:pos="2520"/>
        </w:tabs>
        <w:ind w:left="2520" w:hanging="420"/>
      </w:pPr>
    </w:lvl>
    <w:lvl w:ilvl="5" w:tentative="0">
      <w:start w:val="1"/>
      <w:numFmt w:val="lowerRoman"/>
      <w:lvlText w:val="%6."/>
      <w:lvlJc w:val="right"/>
      <w:pPr>
        <w:tabs>
          <w:tab w:val="left" w:pos="2940"/>
        </w:tabs>
        <w:ind w:left="2940" w:hanging="420"/>
      </w:pPr>
    </w:lvl>
    <w:lvl w:ilvl="6" w:tentative="0">
      <w:start w:val="1"/>
      <w:numFmt w:val="decimal"/>
      <w:lvlText w:val="%7."/>
      <w:lvlJc w:val="left"/>
      <w:pPr>
        <w:tabs>
          <w:tab w:val="left" w:pos="3360"/>
        </w:tabs>
        <w:ind w:left="3360" w:hanging="420"/>
      </w:pPr>
    </w:lvl>
    <w:lvl w:ilvl="7" w:tentative="0">
      <w:start w:val="1"/>
      <w:numFmt w:val="lowerLetter"/>
      <w:lvlText w:val="%8)"/>
      <w:lvlJc w:val="left"/>
      <w:pPr>
        <w:tabs>
          <w:tab w:val="left" w:pos="3780"/>
        </w:tabs>
        <w:ind w:left="3780" w:hanging="420"/>
      </w:pPr>
    </w:lvl>
    <w:lvl w:ilvl="8" w:tentative="0">
      <w:start w:val="1"/>
      <w:numFmt w:val="lowerRoman"/>
      <w:lvlText w:val="%9."/>
      <w:lvlJc w:val="right"/>
      <w:pPr>
        <w:tabs>
          <w:tab w:val="left" w:pos="4200"/>
        </w:tabs>
        <w:ind w:left="420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hdrShapeDefaults>
    <o:shapelayout v:ext="edit">
      <o:idmap v:ext="edit" data="1,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WE5MDExZDdkMjM5Y2Y0Mzg4ODYzNWFiMTM4NzI2ZDYifQ=="/>
  </w:docVars>
  <w:rsids>
    <w:rsidRoot w:val="00172A27"/>
    <w:rsid w:val="00067DD7"/>
    <w:rsid w:val="00075362"/>
    <w:rsid w:val="00092A0E"/>
    <w:rsid w:val="000E02AD"/>
    <w:rsid w:val="00127453"/>
    <w:rsid w:val="00143875"/>
    <w:rsid w:val="00156141"/>
    <w:rsid w:val="00164F97"/>
    <w:rsid w:val="00172A27"/>
    <w:rsid w:val="0019127F"/>
    <w:rsid w:val="001D165F"/>
    <w:rsid w:val="001E2A55"/>
    <w:rsid w:val="0024067A"/>
    <w:rsid w:val="00243199"/>
    <w:rsid w:val="00295E6A"/>
    <w:rsid w:val="002F588F"/>
    <w:rsid w:val="002F78A0"/>
    <w:rsid w:val="00373AA4"/>
    <w:rsid w:val="003C1454"/>
    <w:rsid w:val="00413044"/>
    <w:rsid w:val="00455193"/>
    <w:rsid w:val="00473028"/>
    <w:rsid w:val="00490FFC"/>
    <w:rsid w:val="004D7F07"/>
    <w:rsid w:val="005010CF"/>
    <w:rsid w:val="00540F52"/>
    <w:rsid w:val="0054336A"/>
    <w:rsid w:val="005869CD"/>
    <w:rsid w:val="00605D5C"/>
    <w:rsid w:val="006109C6"/>
    <w:rsid w:val="0062509C"/>
    <w:rsid w:val="00632D09"/>
    <w:rsid w:val="00634DB8"/>
    <w:rsid w:val="00637068"/>
    <w:rsid w:val="00665BD9"/>
    <w:rsid w:val="00681549"/>
    <w:rsid w:val="006D4D82"/>
    <w:rsid w:val="006F10CE"/>
    <w:rsid w:val="00747E33"/>
    <w:rsid w:val="007517B5"/>
    <w:rsid w:val="007A5351"/>
    <w:rsid w:val="007B0A1F"/>
    <w:rsid w:val="00806027"/>
    <w:rsid w:val="0081730D"/>
    <w:rsid w:val="00821E5A"/>
    <w:rsid w:val="00824545"/>
    <w:rsid w:val="00827E45"/>
    <w:rsid w:val="00834FBA"/>
    <w:rsid w:val="008A653E"/>
    <w:rsid w:val="008B71B0"/>
    <w:rsid w:val="00901771"/>
    <w:rsid w:val="00936646"/>
    <w:rsid w:val="009946C8"/>
    <w:rsid w:val="009D62FB"/>
    <w:rsid w:val="00A13DE2"/>
    <w:rsid w:val="00A15FAA"/>
    <w:rsid w:val="00A539B1"/>
    <w:rsid w:val="00A603A5"/>
    <w:rsid w:val="00A91C13"/>
    <w:rsid w:val="00A96DA3"/>
    <w:rsid w:val="00AF3108"/>
    <w:rsid w:val="00B02C39"/>
    <w:rsid w:val="00B37D6B"/>
    <w:rsid w:val="00B5776E"/>
    <w:rsid w:val="00B96CCE"/>
    <w:rsid w:val="00BC05F2"/>
    <w:rsid w:val="00BF4B25"/>
    <w:rsid w:val="00C1512E"/>
    <w:rsid w:val="00C26C9B"/>
    <w:rsid w:val="00C36AB8"/>
    <w:rsid w:val="00C61893"/>
    <w:rsid w:val="00CB0C3B"/>
    <w:rsid w:val="00CB767A"/>
    <w:rsid w:val="00CC5894"/>
    <w:rsid w:val="00D10014"/>
    <w:rsid w:val="00D642EA"/>
    <w:rsid w:val="00D704DD"/>
    <w:rsid w:val="00D8028D"/>
    <w:rsid w:val="00DB1A1E"/>
    <w:rsid w:val="00DC7CC3"/>
    <w:rsid w:val="00DE5928"/>
    <w:rsid w:val="00E30694"/>
    <w:rsid w:val="00E72F85"/>
    <w:rsid w:val="00EB4B2A"/>
    <w:rsid w:val="01BC6535"/>
    <w:rsid w:val="020E00B4"/>
    <w:rsid w:val="021F1A11"/>
    <w:rsid w:val="0236335D"/>
    <w:rsid w:val="02613983"/>
    <w:rsid w:val="02B773A4"/>
    <w:rsid w:val="02D97BAA"/>
    <w:rsid w:val="044E2916"/>
    <w:rsid w:val="04E23328"/>
    <w:rsid w:val="04E2543C"/>
    <w:rsid w:val="04F306CA"/>
    <w:rsid w:val="05BE1FE7"/>
    <w:rsid w:val="061571D6"/>
    <w:rsid w:val="067D52DB"/>
    <w:rsid w:val="068A7924"/>
    <w:rsid w:val="078D4DA5"/>
    <w:rsid w:val="07964574"/>
    <w:rsid w:val="07DF7F74"/>
    <w:rsid w:val="08561B2D"/>
    <w:rsid w:val="093733E1"/>
    <w:rsid w:val="098B0B6C"/>
    <w:rsid w:val="09D37127"/>
    <w:rsid w:val="0A715AED"/>
    <w:rsid w:val="0A9477F6"/>
    <w:rsid w:val="0AA63A70"/>
    <w:rsid w:val="0AEF3BF8"/>
    <w:rsid w:val="0AF96D8D"/>
    <w:rsid w:val="0B1B1342"/>
    <w:rsid w:val="0B6E13BF"/>
    <w:rsid w:val="0BE7390B"/>
    <w:rsid w:val="0BE77AE1"/>
    <w:rsid w:val="0C025E77"/>
    <w:rsid w:val="0C750A2F"/>
    <w:rsid w:val="0C932991"/>
    <w:rsid w:val="0CC770D4"/>
    <w:rsid w:val="0D8C5C5C"/>
    <w:rsid w:val="0DD762A4"/>
    <w:rsid w:val="0DEC2BF3"/>
    <w:rsid w:val="0E2274C2"/>
    <w:rsid w:val="0E25606B"/>
    <w:rsid w:val="0E547045"/>
    <w:rsid w:val="0E5A6BAA"/>
    <w:rsid w:val="0E7610EC"/>
    <w:rsid w:val="0EBB7BFD"/>
    <w:rsid w:val="0F58722E"/>
    <w:rsid w:val="107B6893"/>
    <w:rsid w:val="10D20E9D"/>
    <w:rsid w:val="11253867"/>
    <w:rsid w:val="1147751F"/>
    <w:rsid w:val="11DE3370"/>
    <w:rsid w:val="11DE3DA6"/>
    <w:rsid w:val="121C6938"/>
    <w:rsid w:val="12B55AA0"/>
    <w:rsid w:val="12C15F07"/>
    <w:rsid w:val="13102E15"/>
    <w:rsid w:val="131B0F17"/>
    <w:rsid w:val="133F6E84"/>
    <w:rsid w:val="1343740D"/>
    <w:rsid w:val="137529DA"/>
    <w:rsid w:val="13900552"/>
    <w:rsid w:val="13AA0B25"/>
    <w:rsid w:val="14051D6D"/>
    <w:rsid w:val="140D6614"/>
    <w:rsid w:val="14161181"/>
    <w:rsid w:val="145C535D"/>
    <w:rsid w:val="148B7473"/>
    <w:rsid w:val="151450A9"/>
    <w:rsid w:val="151B2394"/>
    <w:rsid w:val="15752BB9"/>
    <w:rsid w:val="15817CF1"/>
    <w:rsid w:val="15A308B2"/>
    <w:rsid w:val="17004346"/>
    <w:rsid w:val="17473BF1"/>
    <w:rsid w:val="17B2155B"/>
    <w:rsid w:val="18096E98"/>
    <w:rsid w:val="18355116"/>
    <w:rsid w:val="184925AF"/>
    <w:rsid w:val="18954A05"/>
    <w:rsid w:val="18DD474A"/>
    <w:rsid w:val="191424EE"/>
    <w:rsid w:val="19720386"/>
    <w:rsid w:val="19DB7B23"/>
    <w:rsid w:val="1A491727"/>
    <w:rsid w:val="1A5E600C"/>
    <w:rsid w:val="1A7D057D"/>
    <w:rsid w:val="1AC2559A"/>
    <w:rsid w:val="1ACA778D"/>
    <w:rsid w:val="1AD877F4"/>
    <w:rsid w:val="1AED14DC"/>
    <w:rsid w:val="1B38680B"/>
    <w:rsid w:val="1B447BB6"/>
    <w:rsid w:val="1B514392"/>
    <w:rsid w:val="1C602EC4"/>
    <w:rsid w:val="1C93305A"/>
    <w:rsid w:val="1D520676"/>
    <w:rsid w:val="1DDE2DFC"/>
    <w:rsid w:val="1E6E3BEA"/>
    <w:rsid w:val="1E7F7CE4"/>
    <w:rsid w:val="1EBE7F7F"/>
    <w:rsid w:val="1EC3782A"/>
    <w:rsid w:val="1F0E5D1E"/>
    <w:rsid w:val="1F1A7531"/>
    <w:rsid w:val="1F3A20FF"/>
    <w:rsid w:val="1F6126BC"/>
    <w:rsid w:val="1F903BF6"/>
    <w:rsid w:val="202D6F14"/>
    <w:rsid w:val="202E7C7A"/>
    <w:rsid w:val="205B7610"/>
    <w:rsid w:val="207615D5"/>
    <w:rsid w:val="207B7CB2"/>
    <w:rsid w:val="20AD2256"/>
    <w:rsid w:val="21004DD9"/>
    <w:rsid w:val="21B5378E"/>
    <w:rsid w:val="21EF67C9"/>
    <w:rsid w:val="22196A1F"/>
    <w:rsid w:val="2221450D"/>
    <w:rsid w:val="224909C3"/>
    <w:rsid w:val="233B1878"/>
    <w:rsid w:val="23624540"/>
    <w:rsid w:val="23686ACB"/>
    <w:rsid w:val="23E84E31"/>
    <w:rsid w:val="24042151"/>
    <w:rsid w:val="24294678"/>
    <w:rsid w:val="24CB595D"/>
    <w:rsid w:val="25A1715D"/>
    <w:rsid w:val="25D268A7"/>
    <w:rsid w:val="26047265"/>
    <w:rsid w:val="261A0E1D"/>
    <w:rsid w:val="265C0A8A"/>
    <w:rsid w:val="2673111B"/>
    <w:rsid w:val="26E9382C"/>
    <w:rsid w:val="274664DC"/>
    <w:rsid w:val="274A6BAA"/>
    <w:rsid w:val="27C070A1"/>
    <w:rsid w:val="285E1D92"/>
    <w:rsid w:val="28A42EBB"/>
    <w:rsid w:val="29296871"/>
    <w:rsid w:val="29326CF6"/>
    <w:rsid w:val="29566CD7"/>
    <w:rsid w:val="29A26CD6"/>
    <w:rsid w:val="29B91BA6"/>
    <w:rsid w:val="29D5599D"/>
    <w:rsid w:val="2AAD745B"/>
    <w:rsid w:val="2ADB5882"/>
    <w:rsid w:val="2AE83537"/>
    <w:rsid w:val="2BAD70FD"/>
    <w:rsid w:val="2BB94533"/>
    <w:rsid w:val="2BEE61D7"/>
    <w:rsid w:val="2C4715CE"/>
    <w:rsid w:val="2C506768"/>
    <w:rsid w:val="2D1A7C83"/>
    <w:rsid w:val="2D2D2C04"/>
    <w:rsid w:val="2DD91AAB"/>
    <w:rsid w:val="2DEA6FFB"/>
    <w:rsid w:val="2E1D04B8"/>
    <w:rsid w:val="2E453B2A"/>
    <w:rsid w:val="2F4875FA"/>
    <w:rsid w:val="2F984B4F"/>
    <w:rsid w:val="306D7693"/>
    <w:rsid w:val="30EE7385"/>
    <w:rsid w:val="31017A4B"/>
    <w:rsid w:val="318614E1"/>
    <w:rsid w:val="32434D44"/>
    <w:rsid w:val="326714C1"/>
    <w:rsid w:val="336D6E92"/>
    <w:rsid w:val="338A49CA"/>
    <w:rsid w:val="33B82D95"/>
    <w:rsid w:val="3408225D"/>
    <w:rsid w:val="34364998"/>
    <w:rsid w:val="34365D32"/>
    <w:rsid w:val="348F397D"/>
    <w:rsid w:val="34CB7A86"/>
    <w:rsid w:val="355C7E64"/>
    <w:rsid w:val="35710369"/>
    <w:rsid w:val="36212568"/>
    <w:rsid w:val="36652F3F"/>
    <w:rsid w:val="369633E0"/>
    <w:rsid w:val="371E406C"/>
    <w:rsid w:val="37727C90"/>
    <w:rsid w:val="37BB447E"/>
    <w:rsid w:val="37C52E2A"/>
    <w:rsid w:val="37D30AEB"/>
    <w:rsid w:val="38583268"/>
    <w:rsid w:val="387C6615"/>
    <w:rsid w:val="398C3550"/>
    <w:rsid w:val="39EA027C"/>
    <w:rsid w:val="3ABA4320"/>
    <w:rsid w:val="3B822415"/>
    <w:rsid w:val="3B9D543B"/>
    <w:rsid w:val="3BBC17D1"/>
    <w:rsid w:val="3BCB5591"/>
    <w:rsid w:val="3C330DEA"/>
    <w:rsid w:val="3C470E64"/>
    <w:rsid w:val="3CD734DF"/>
    <w:rsid w:val="3EDD3ACE"/>
    <w:rsid w:val="3F461B07"/>
    <w:rsid w:val="3F4866A7"/>
    <w:rsid w:val="3F594E23"/>
    <w:rsid w:val="3F7C478F"/>
    <w:rsid w:val="3FF26BC0"/>
    <w:rsid w:val="405C4B2A"/>
    <w:rsid w:val="40F128AC"/>
    <w:rsid w:val="410138D0"/>
    <w:rsid w:val="41365A22"/>
    <w:rsid w:val="41AD4734"/>
    <w:rsid w:val="43831A2F"/>
    <w:rsid w:val="43CF4837"/>
    <w:rsid w:val="43E876F6"/>
    <w:rsid w:val="43FF5F3D"/>
    <w:rsid w:val="44366C11"/>
    <w:rsid w:val="44526E5A"/>
    <w:rsid w:val="44857F97"/>
    <w:rsid w:val="448C236A"/>
    <w:rsid w:val="44AB08E1"/>
    <w:rsid w:val="44D957F5"/>
    <w:rsid w:val="44EA4663"/>
    <w:rsid w:val="45675258"/>
    <w:rsid w:val="458034AA"/>
    <w:rsid w:val="45BE4637"/>
    <w:rsid w:val="460803A8"/>
    <w:rsid w:val="461810FC"/>
    <w:rsid w:val="46665B57"/>
    <w:rsid w:val="46680A55"/>
    <w:rsid w:val="466B3B11"/>
    <w:rsid w:val="469D0831"/>
    <w:rsid w:val="471E63F5"/>
    <w:rsid w:val="47353BED"/>
    <w:rsid w:val="473571BC"/>
    <w:rsid w:val="48F2082A"/>
    <w:rsid w:val="48FC34FC"/>
    <w:rsid w:val="4911473F"/>
    <w:rsid w:val="491D3A13"/>
    <w:rsid w:val="49282FCC"/>
    <w:rsid w:val="4937360E"/>
    <w:rsid w:val="494E57BD"/>
    <w:rsid w:val="495A5060"/>
    <w:rsid w:val="49AA6EE4"/>
    <w:rsid w:val="49B00420"/>
    <w:rsid w:val="49E135D9"/>
    <w:rsid w:val="4A9768D8"/>
    <w:rsid w:val="4AEB7055"/>
    <w:rsid w:val="4B0F34BE"/>
    <w:rsid w:val="4B274486"/>
    <w:rsid w:val="4B405527"/>
    <w:rsid w:val="4B4F7A37"/>
    <w:rsid w:val="4BA479F4"/>
    <w:rsid w:val="4C286194"/>
    <w:rsid w:val="4C5379A4"/>
    <w:rsid w:val="4CA50292"/>
    <w:rsid w:val="4CE74F4D"/>
    <w:rsid w:val="4D3320F2"/>
    <w:rsid w:val="4D9E0950"/>
    <w:rsid w:val="4DD13DB7"/>
    <w:rsid w:val="4E3E294A"/>
    <w:rsid w:val="4E541B72"/>
    <w:rsid w:val="4EA6517F"/>
    <w:rsid w:val="4EC445FF"/>
    <w:rsid w:val="4FDC34DE"/>
    <w:rsid w:val="5122082A"/>
    <w:rsid w:val="5132266D"/>
    <w:rsid w:val="518237D8"/>
    <w:rsid w:val="51AB50F9"/>
    <w:rsid w:val="52105F6D"/>
    <w:rsid w:val="529201E3"/>
    <w:rsid w:val="536B7208"/>
    <w:rsid w:val="53B61356"/>
    <w:rsid w:val="53BE2640"/>
    <w:rsid w:val="54167AFF"/>
    <w:rsid w:val="54383293"/>
    <w:rsid w:val="544955B5"/>
    <w:rsid w:val="546654FD"/>
    <w:rsid w:val="54932A0B"/>
    <w:rsid w:val="54B77366"/>
    <w:rsid w:val="54FD2C72"/>
    <w:rsid w:val="55C76018"/>
    <w:rsid w:val="55C847A2"/>
    <w:rsid w:val="562C5F96"/>
    <w:rsid w:val="562F377B"/>
    <w:rsid w:val="56B57E6A"/>
    <w:rsid w:val="57443C4F"/>
    <w:rsid w:val="57B50DB0"/>
    <w:rsid w:val="57D85BBE"/>
    <w:rsid w:val="57DB71F6"/>
    <w:rsid w:val="58FD4D1C"/>
    <w:rsid w:val="599747E8"/>
    <w:rsid w:val="5A03237D"/>
    <w:rsid w:val="5A062A70"/>
    <w:rsid w:val="5B553294"/>
    <w:rsid w:val="5BBC56DC"/>
    <w:rsid w:val="5BF979BC"/>
    <w:rsid w:val="5C076030"/>
    <w:rsid w:val="5C39779C"/>
    <w:rsid w:val="5CA359AC"/>
    <w:rsid w:val="5D086F45"/>
    <w:rsid w:val="5D302F64"/>
    <w:rsid w:val="5D603594"/>
    <w:rsid w:val="5DFF721C"/>
    <w:rsid w:val="5EB66EE4"/>
    <w:rsid w:val="5EB83AD6"/>
    <w:rsid w:val="5ED76084"/>
    <w:rsid w:val="5F790AC3"/>
    <w:rsid w:val="5F9D525C"/>
    <w:rsid w:val="5FCE2CE8"/>
    <w:rsid w:val="5FEA1C45"/>
    <w:rsid w:val="60091E9A"/>
    <w:rsid w:val="60160FF8"/>
    <w:rsid w:val="60400EFA"/>
    <w:rsid w:val="60937D28"/>
    <w:rsid w:val="60967A11"/>
    <w:rsid w:val="60C92B1C"/>
    <w:rsid w:val="61531164"/>
    <w:rsid w:val="61886EF5"/>
    <w:rsid w:val="61907D1A"/>
    <w:rsid w:val="61CD4A79"/>
    <w:rsid w:val="6223294C"/>
    <w:rsid w:val="62303C57"/>
    <w:rsid w:val="633A3BD0"/>
    <w:rsid w:val="63476EDC"/>
    <w:rsid w:val="63747632"/>
    <w:rsid w:val="63861052"/>
    <w:rsid w:val="63943A5A"/>
    <w:rsid w:val="63E63E74"/>
    <w:rsid w:val="6427480A"/>
    <w:rsid w:val="64475E7D"/>
    <w:rsid w:val="648B546D"/>
    <w:rsid w:val="649F2933"/>
    <w:rsid w:val="64CE16D2"/>
    <w:rsid w:val="64F1663F"/>
    <w:rsid w:val="64F73135"/>
    <w:rsid w:val="655565F0"/>
    <w:rsid w:val="657C2DD4"/>
    <w:rsid w:val="65C47053"/>
    <w:rsid w:val="666B5E35"/>
    <w:rsid w:val="68325815"/>
    <w:rsid w:val="68876088"/>
    <w:rsid w:val="691D5F89"/>
    <w:rsid w:val="694126E9"/>
    <w:rsid w:val="696739C1"/>
    <w:rsid w:val="6A8037E4"/>
    <w:rsid w:val="6A8D7A7E"/>
    <w:rsid w:val="6AE83140"/>
    <w:rsid w:val="6AEF4F2E"/>
    <w:rsid w:val="6AFE5050"/>
    <w:rsid w:val="6B0A38F5"/>
    <w:rsid w:val="6C387076"/>
    <w:rsid w:val="6C387C5C"/>
    <w:rsid w:val="6C432E6D"/>
    <w:rsid w:val="6C4E6153"/>
    <w:rsid w:val="6C65594D"/>
    <w:rsid w:val="6CA1310D"/>
    <w:rsid w:val="6CA44400"/>
    <w:rsid w:val="6CA65F4E"/>
    <w:rsid w:val="6CE5519E"/>
    <w:rsid w:val="6CEE47AC"/>
    <w:rsid w:val="6D2C731E"/>
    <w:rsid w:val="6D365028"/>
    <w:rsid w:val="6D715243"/>
    <w:rsid w:val="6D8039C3"/>
    <w:rsid w:val="6D9B2D1F"/>
    <w:rsid w:val="6DC70686"/>
    <w:rsid w:val="6DDD1A9E"/>
    <w:rsid w:val="6E1903DA"/>
    <w:rsid w:val="6E661BB9"/>
    <w:rsid w:val="6E665F1E"/>
    <w:rsid w:val="6F0B7E5B"/>
    <w:rsid w:val="6F5412F4"/>
    <w:rsid w:val="6FBB0530"/>
    <w:rsid w:val="6FC0544C"/>
    <w:rsid w:val="6FDE756B"/>
    <w:rsid w:val="700D7E81"/>
    <w:rsid w:val="70573900"/>
    <w:rsid w:val="70930445"/>
    <w:rsid w:val="70F822E3"/>
    <w:rsid w:val="713E3AFB"/>
    <w:rsid w:val="71675C25"/>
    <w:rsid w:val="717F3F2C"/>
    <w:rsid w:val="726036A6"/>
    <w:rsid w:val="73437A25"/>
    <w:rsid w:val="734952E7"/>
    <w:rsid w:val="73E14111"/>
    <w:rsid w:val="73F5728B"/>
    <w:rsid w:val="7415067E"/>
    <w:rsid w:val="74460DDF"/>
    <w:rsid w:val="74B17A6A"/>
    <w:rsid w:val="74C52498"/>
    <w:rsid w:val="74C74C01"/>
    <w:rsid w:val="75147188"/>
    <w:rsid w:val="754E350B"/>
    <w:rsid w:val="75B17B55"/>
    <w:rsid w:val="75D80178"/>
    <w:rsid w:val="76024771"/>
    <w:rsid w:val="76290C74"/>
    <w:rsid w:val="76335D64"/>
    <w:rsid w:val="764030D7"/>
    <w:rsid w:val="76B0418D"/>
    <w:rsid w:val="77742A87"/>
    <w:rsid w:val="77E23352"/>
    <w:rsid w:val="782E42F7"/>
    <w:rsid w:val="78482187"/>
    <w:rsid w:val="784C4775"/>
    <w:rsid w:val="7852762D"/>
    <w:rsid w:val="7858377C"/>
    <w:rsid w:val="78EE4629"/>
    <w:rsid w:val="79694470"/>
    <w:rsid w:val="79821002"/>
    <w:rsid w:val="79960744"/>
    <w:rsid w:val="7A1E1F2C"/>
    <w:rsid w:val="7A250C81"/>
    <w:rsid w:val="7AEE2E6C"/>
    <w:rsid w:val="7C24670B"/>
    <w:rsid w:val="7C5840AD"/>
    <w:rsid w:val="7CFA0562"/>
    <w:rsid w:val="7D0629E6"/>
    <w:rsid w:val="7D14649C"/>
    <w:rsid w:val="7D1E661D"/>
    <w:rsid w:val="7D4755BE"/>
    <w:rsid w:val="7D4E1F2C"/>
    <w:rsid w:val="7D4F1987"/>
    <w:rsid w:val="7D764FDD"/>
    <w:rsid w:val="7E015E6B"/>
    <w:rsid w:val="7E0643FD"/>
    <w:rsid w:val="7EB553C3"/>
    <w:rsid w:val="7ED25666"/>
    <w:rsid w:val="7F014E71"/>
    <w:rsid w:val="7F1E36D7"/>
    <w:rsid w:val="7F5020C4"/>
    <w:rsid w:val="7F90468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9" w:semiHidden="0" w:name="heading 2"/>
    <w:lsdException w:qFormat="1" w:unhideWhenUsed="0" w:uiPriority="0" w:semiHidden="0" w:name="heading 3"/>
    <w:lsdException w:qFormat="1" w:unhideWhenUsed="0" w:uiPriority="0" w:semiHidden="0" w:name="heading 4"/>
    <w:lsdException w:qFormat="1" w:uiPriority="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nhideWhenUsed="0" w:uiPriority="0" w:semiHidden="0" w:name="toc 3"/>
    <w:lsdException w:qFormat="1"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nhideWhenUsed="0" w:uiPriority="99"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qFormat="1" w:unhideWhenUsed="0" w:uiPriority="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99"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unhideWhenUsed="0" w:uiPriority="0" w:semiHidden="0" w:name="Body Text Indent 2"/>
    <w:lsdException w:qFormat="1" w:unhideWhenUsed="0" w:uiPriority="99"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2"/>
      <w:lang w:val="en-US" w:eastAsia="zh-CN" w:bidi="ar-SA"/>
    </w:rPr>
  </w:style>
  <w:style w:type="paragraph" w:styleId="4">
    <w:name w:val="heading 1"/>
    <w:basedOn w:val="1"/>
    <w:next w:val="1"/>
    <w:qFormat/>
    <w:uiPriority w:val="0"/>
    <w:pPr>
      <w:keepNext/>
      <w:keepLines/>
      <w:spacing w:line="576" w:lineRule="auto"/>
      <w:outlineLvl w:val="0"/>
    </w:pPr>
    <w:rPr>
      <w:b/>
      <w:kern w:val="44"/>
      <w:sz w:val="44"/>
    </w:rPr>
  </w:style>
  <w:style w:type="paragraph" w:styleId="5">
    <w:name w:val="heading 2"/>
    <w:basedOn w:val="1"/>
    <w:next w:val="6"/>
    <w:qFormat/>
    <w:uiPriority w:val="99"/>
    <w:pPr>
      <w:keepNext/>
      <w:keepLines/>
      <w:spacing w:before="260" w:after="260" w:line="416" w:lineRule="auto"/>
      <w:jc w:val="left"/>
      <w:outlineLvl w:val="1"/>
    </w:pPr>
    <w:rPr>
      <w:rFonts w:ascii="Cambria" w:hAnsi="Cambria" w:cs="Cambria"/>
      <w:b/>
      <w:bCs/>
      <w:sz w:val="32"/>
      <w:szCs w:val="32"/>
    </w:rPr>
  </w:style>
  <w:style w:type="paragraph" w:styleId="7">
    <w:name w:val="heading 3"/>
    <w:basedOn w:val="1"/>
    <w:next w:val="1"/>
    <w:qFormat/>
    <w:uiPriority w:val="0"/>
    <w:pPr>
      <w:keepNext/>
      <w:spacing w:beforeLines="200" w:line="400" w:lineRule="exact"/>
      <w:jc w:val="center"/>
      <w:outlineLvl w:val="2"/>
    </w:pPr>
    <w:rPr>
      <w:b/>
      <w:bCs/>
      <w:sz w:val="24"/>
      <w:szCs w:val="24"/>
    </w:rPr>
  </w:style>
  <w:style w:type="paragraph" w:styleId="8">
    <w:name w:val="heading 4"/>
    <w:basedOn w:val="1"/>
    <w:next w:val="1"/>
    <w:qFormat/>
    <w:uiPriority w:val="0"/>
    <w:pPr>
      <w:keepNext/>
      <w:keepLines/>
      <w:widowControl/>
      <w:spacing w:before="280" w:after="290" w:line="376" w:lineRule="auto"/>
      <w:jc w:val="left"/>
      <w:outlineLvl w:val="3"/>
    </w:pPr>
    <w:rPr>
      <w:rFonts w:ascii="Arial" w:hAnsi="Arial" w:eastAsia="黑体"/>
      <w:b/>
      <w:bCs/>
      <w:kern w:val="0"/>
      <w:sz w:val="28"/>
      <w:szCs w:val="28"/>
    </w:rPr>
  </w:style>
  <w:style w:type="paragraph" w:styleId="9">
    <w:name w:val="heading 6"/>
    <w:basedOn w:val="1"/>
    <w:next w:val="1"/>
    <w:qFormat/>
    <w:uiPriority w:val="0"/>
    <w:pPr>
      <w:spacing w:beforeAutospacing="1" w:afterAutospacing="1"/>
      <w:jc w:val="left"/>
      <w:outlineLvl w:val="5"/>
    </w:pPr>
    <w:rPr>
      <w:rFonts w:hint="eastAsia" w:ascii="宋体" w:hAnsi="宋体"/>
      <w:b/>
      <w:bCs/>
      <w:kern w:val="0"/>
      <w:sz w:val="15"/>
      <w:szCs w:val="15"/>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rPr>
      <w:rFonts w:ascii="仿宋_GB2312" w:eastAsia="仿宋_GB2312"/>
      <w:spacing w:val="-20"/>
      <w:sz w:val="28"/>
      <w:szCs w:val="20"/>
    </w:rPr>
  </w:style>
  <w:style w:type="paragraph" w:styleId="3">
    <w:name w:val="macro"/>
    <w:semiHidden/>
    <w:qFormat/>
    <w:uiPriority w:val="0"/>
    <w:pPr>
      <w:widowControl w:val="0"/>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pPr>
    <w:rPr>
      <w:rFonts w:ascii="Courier New" w:hAnsi="Courier New" w:eastAsia="宋体" w:cs="Courier New"/>
      <w:kern w:val="2"/>
      <w:sz w:val="24"/>
      <w:szCs w:val="24"/>
      <w:lang w:val="en-US" w:eastAsia="zh-CN" w:bidi="ar-SA"/>
    </w:rPr>
  </w:style>
  <w:style w:type="paragraph" w:styleId="6">
    <w:name w:val="Normal Indent"/>
    <w:basedOn w:val="1"/>
    <w:qFormat/>
    <w:uiPriority w:val="0"/>
    <w:pPr>
      <w:spacing w:line="300" w:lineRule="auto"/>
      <w:ind w:firstLine="420" w:firstLineChars="200"/>
    </w:pPr>
    <w:rPr>
      <w:szCs w:val="24"/>
    </w:rPr>
  </w:style>
  <w:style w:type="paragraph" w:styleId="10">
    <w:name w:val="annotation text"/>
    <w:basedOn w:val="1"/>
    <w:qFormat/>
    <w:uiPriority w:val="0"/>
    <w:pPr>
      <w:jc w:val="left"/>
    </w:pPr>
  </w:style>
  <w:style w:type="paragraph" w:styleId="11">
    <w:name w:val="Body Text 3"/>
    <w:basedOn w:val="1"/>
    <w:qFormat/>
    <w:uiPriority w:val="0"/>
    <w:pPr>
      <w:spacing w:after="120"/>
    </w:pPr>
    <w:rPr>
      <w:sz w:val="16"/>
      <w:szCs w:val="16"/>
    </w:rPr>
  </w:style>
  <w:style w:type="paragraph" w:styleId="12">
    <w:name w:val="Body Text Indent"/>
    <w:basedOn w:val="1"/>
    <w:qFormat/>
    <w:uiPriority w:val="0"/>
    <w:pPr>
      <w:widowControl/>
      <w:ind w:firstLine="652" w:firstLineChars="233"/>
    </w:pPr>
    <w:rPr>
      <w:kern w:val="0"/>
      <w:sz w:val="28"/>
    </w:rPr>
  </w:style>
  <w:style w:type="paragraph" w:styleId="13">
    <w:name w:val="toc 3"/>
    <w:basedOn w:val="1"/>
    <w:next w:val="1"/>
    <w:qFormat/>
    <w:uiPriority w:val="0"/>
    <w:pPr>
      <w:ind w:left="840" w:leftChars="400"/>
    </w:pPr>
  </w:style>
  <w:style w:type="paragraph" w:styleId="14">
    <w:name w:val="Plain Text"/>
    <w:basedOn w:val="1"/>
    <w:qFormat/>
    <w:uiPriority w:val="99"/>
    <w:rPr>
      <w:rFonts w:ascii="宋体" w:hAnsi="Courier New" w:cs="宋体"/>
    </w:rPr>
  </w:style>
  <w:style w:type="paragraph" w:styleId="15">
    <w:name w:val="Date"/>
    <w:basedOn w:val="1"/>
    <w:next w:val="1"/>
    <w:qFormat/>
    <w:uiPriority w:val="0"/>
    <w:rPr>
      <w:sz w:val="28"/>
    </w:rPr>
  </w:style>
  <w:style w:type="paragraph" w:styleId="16">
    <w:name w:val="Balloon Text"/>
    <w:basedOn w:val="1"/>
    <w:link w:val="54"/>
    <w:qFormat/>
    <w:uiPriority w:val="0"/>
    <w:rPr>
      <w:sz w:val="18"/>
      <w:szCs w:val="18"/>
    </w:rPr>
  </w:style>
  <w:style w:type="paragraph" w:styleId="17">
    <w:name w:val="footer"/>
    <w:basedOn w:val="1"/>
    <w:qFormat/>
    <w:uiPriority w:val="99"/>
    <w:pPr>
      <w:tabs>
        <w:tab w:val="center" w:pos="4153"/>
        <w:tab w:val="right" w:pos="8306"/>
      </w:tabs>
      <w:snapToGrid w:val="0"/>
      <w:jc w:val="left"/>
    </w:pPr>
    <w:rPr>
      <w:sz w:val="18"/>
      <w:szCs w:val="18"/>
    </w:rPr>
  </w:style>
  <w:style w:type="paragraph" w:styleId="18">
    <w:name w:val="header"/>
    <w:basedOn w:val="1"/>
    <w:qFormat/>
    <w:uiPriority w:val="99"/>
    <w:pPr>
      <w:pBdr>
        <w:bottom w:val="single" w:color="auto" w:sz="6" w:space="1"/>
      </w:pBdr>
      <w:tabs>
        <w:tab w:val="center" w:pos="4153"/>
        <w:tab w:val="right" w:pos="8306"/>
      </w:tabs>
      <w:snapToGrid w:val="0"/>
      <w:jc w:val="center"/>
    </w:pPr>
    <w:rPr>
      <w:sz w:val="18"/>
      <w:szCs w:val="18"/>
    </w:rPr>
  </w:style>
  <w:style w:type="paragraph" w:styleId="19">
    <w:name w:val="toc 1"/>
    <w:basedOn w:val="1"/>
    <w:next w:val="1"/>
    <w:unhideWhenUsed/>
    <w:qFormat/>
    <w:uiPriority w:val="39"/>
  </w:style>
  <w:style w:type="paragraph" w:styleId="20">
    <w:name w:val="toc 4"/>
    <w:basedOn w:val="1"/>
    <w:next w:val="1"/>
    <w:qFormat/>
    <w:uiPriority w:val="0"/>
    <w:pPr>
      <w:ind w:left="1260" w:leftChars="600"/>
    </w:pPr>
  </w:style>
  <w:style w:type="paragraph" w:styleId="21">
    <w:name w:val="Body Text Indent 3"/>
    <w:basedOn w:val="1"/>
    <w:qFormat/>
    <w:uiPriority w:val="99"/>
    <w:pPr>
      <w:spacing w:line="360" w:lineRule="auto"/>
      <w:ind w:left="420" w:firstLine="480"/>
    </w:pPr>
    <w:rPr>
      <w:rFonts w:ascii="宋体" w:hAnsi="宋体" w:cs="宋体"/>
      <w:sz w:val="24"/>
      <w:szCs w:val="24"/>
    </w:rPr>
  </w:style>
  <w:style w:type="paragraph" w:styleId="22">
    <w:name w:val="toc 2"/>
    <w:basedOn w:val="1"/>
    <w:next w:val="1"/>
    <w:unhideWhenUsed/>
    <w:qFormat/>
    <w:uiPriority w:val="39"/>
    <w:pPr>
      <w:ind w:left="420" w:leftChars="200"/>
    </w:pPr>
  </w:style>
  <w:style w:type="paragraph" w:styleId="23">
    <w:name w:val="Body Text 2"/>
    <w:basedOn w:val="1"/>
    <w:qFormat/>
    <w:uiPriority w:val="0"/>
    <w:pPr>
      <w:adjustRightInd w:val="0"/>
      <w:snapToGrid w:val="0"/>
      <w:spacing w:line="480" w:lineRule="atLeast"/>
    </w:pPr>
    <w:rPr>
      <w:rFonts w:ascii="宋体" w:hAnsi="宋体"/>
      <w:sz w:val="28"/>
    </w:rPr>
  </w:style>
  <w:style w:type="paragraph" w:styleId="24">
    <w:name w:val="Normal (Web)"/>
    <w:basedOn w:val="1"/>
    <w:qFormat/>
    <w:uiPriority w:val="0"/>
    <w:pPr>
      <w:jc w:val="left"/>
    </w:pPr>
    <w:rPr>
      <w:color w:val="3D3D3D"/>
      <w:kern w:val="0"/>
      <w:sz w:val="24"/>
    </w:rPr>
  </w:style>
  <w:style w:type="paragraph" w:styleId="25">
    <w:name w:val="Body Text First Indent"/>
    <w:basedOn w:val="2"/>
    <w:qFormat/>
    <w:uiPriority w:val="0"/>
    <w:pPr>
      <w:ind w:firstLine="420" w:firstLineChars="100"/>
    </w:pPr>
    <w:rPr>
      <w:rFonts w:ascii="Times New Roman" w:eastAsia="宋体"/>
    </w:rPr>
  </w:style>
  <w:style w:type="paragraph" w:styleId="26">
    <w:name w:val="Body Text First Indent 2"/>
    <w:basedOn w:val="12"/>
    <w:qFormat/>
    <w:uiPriority w:val="99"/>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30">
    <w:name w:val="Strong"/>
    <w:basedOn w:val="29"/>
    <w:qFormat/>
    <w:uiPriority w:val="0"/>
    <w:rPr>
      <w:bCs/>
    </w:rPr>
  </w:style>
  <w:style w:type="character" w:styleId="31">
    <w:name w:val="FollowedHyperlink"/>
    <w:basedOn w:val="29"/>
    <w:qFormat/>
    <w:uiPriority w:val="0"/>
    <w:rPr>
      <w:color w:val="800080"/>
      <w:u w:val="none"/>
    </w:rPr>
  </w:style>
  <w:style w:type="character" w:styleId="32">
    <w:name w:val="Emphasis"/>
    <w:basedOn w:val="29"/>
    <w:qFormat/>
    <w:uiPriority w:val="0"/>
  </w:style>
  <w:style w:type="character" w:styleId="33">
    <w:name w:val="Hyperlink"/>
    <w:basedOn w:val="29"/>
    <w:qFormat/>
    <w:uiPriority w:val="0"/>
    <w:rPr>
      <w:color w:val="0000FF"/>
      <w:u w:val="none"/>
    </w:rPr>
  </w:style>
  <w:style w:type="paragraph" w:customStyle="1" w:styleId="34">
    <w:name w:val="正文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5">
    <w:name w:val="列出段落1"/>
    <w:basedOn w:val="1"/>
    <w:qFormat/>
    <w:uiPriority w:val="34"/>
    <w:pPr>
      <w:ind w:firstLine="420" w:firstLineChars="200"/>
    </w:pPr>
  </w:style>
  <w:style w:type="paragraph" w:customStyle="1" w:styleId="36">
    <w:name w:val="List Paragraph1"/>
    <w:qFormat/>
    <w:uiPriority w:val="0"/>
    <w:pPr>
      <w:ind w:firstLine="420" w:firstLineChars="200"/>
    </w:pPr>
    <w:rPr>
      <w:rFonts w:ascii="Calibri" w:hAnsi="Calibri" w:eastAsia="宋体" w:cs="Times New Roman"/>
      <w:sz w:val="21"/>
      <w:szCs w:val="22"/>
      <w:lang w:val="en-US" w:eastAsia="zh-CN" w:bidi="ar-SA"/>
    </w:rPr>
  </w:style>
  <w:style w:type="paragraph" w:customStyle="1" w:styleId="37">
    <w:name w:val="样式 标题 2 Char + (西文) 黑体 段前: 6 磅 段后: 0.5 行 行距: 1.5 倍行距"/>
    <w:basedOn w:val="5"/>
    <w:qFormat/>
    <w:uiPriority w:val="0"/>
    <w:pPr>
      <w:spacing w:before="120" w:line="360" w:lineRule="auto"/>
    </w:pPr>
    <w:rPr>
      <w:rFonts w:ascii="黑体" w:hAnsi="黑体" w:cs="宋体"/>
      <w:sz w:val="28"/>
      <w:szCs w:val="20"/>
    </w:rPr>
  </w:style>
  <w:style w:type="paragraph" w:customStyle="1" w:styleId="38">
    <w:name w:val="样式1"/>
    <w:next w:val="3"/>
    <w:qFormat/>
    <w:uiPriority w:val="0"/>
    <w:pPr>
      <w:widowControl w:val="0"/>
      <w:ind w:firstLine="200" w:firstLineChars="200"/>
      <w:jc w:val="both"/>
    </w:pPr>
    <w:rPr>
      <w:rFonts w:ascii="仿宋_GB2312" w:hAnsi="Times New Roman" w:eastAsia="仿宋_GB2312" w:cs="Times New Roman"/>
      <w:kern w:val="2"/>
      <w:sz w:val="28"/>
      <w:szCs w:val="28"/>
      <w:lang w:val="en-US" w:eastAsia="zh-CN" w:bidi="ar-SA"/>
    </w:rPr>
  </w:style>
  <w:style w:type="paragraph" w:customStyle="1" w:styleId="39">
    <w:name w:val="p0"/>
    <w:basedOn w:val="1"/>
    <w:qFormat/>
    <w:uiPriority w:val="0"/>
    <w:pPr>
      <w:widowControl/>
    </w:pPr>
    <w:rPr>
      <w:kern w:val="0"/>
      <w:sz w:val="32"/>
      <w:szCs w:val="21"/>
    </w:rPr>
  </w:style>
  <w:style w:type="paragraph" w:customStyle="1" w:styleId="40">
    <w:name w:val="List Paragraph_2b5ace25-7929-4310-8a1a-2bf2c1be16a7"/>
    <w:basedOn w:val="1"/>
    <w:qFormat/>
    <w:uiPriority w:val="34"/>
    <w:pPr>
      <w:ind w:firstLine="420" w:firstLineChars="200"/>
    </w:pPr>
  </w:style>
  <w:style w:type="paragraph" w:customStyle="1" w:styleId="41">
    <w:name w:val="Char1"/>
    <w:basedOn w:val="1"/>
    <w:qFormat/>
    <w:uiPriority w:val="0"/>
    <w:pPr>
      <w:tabs>
        <w:tab w:val="left" w:pos="360"/>
      </w:tabs>
      <w:ind w:left="360" w:hanging="360" w:hangingChars="200"/>
    </w:pPr>
    <w:rPr>
      <w:szCs w:val="24"/>
    </w:rPr>
  </w:style>
  <w:style w:type="character" w:customStyle="1" w:styleId="42">
    <w:name w:val="font01"/>
    <w:basedOn w:val="29"/>
    <w:qFormat/>
    <w:uiPriority w:val="0"/>
    <w:rPr>
      <w:rFonts w:hint="eastAsia" w:ascii="宋体" w:hAnsi="宋体" w:eastAsia="宋体" w:cs="宋体"/>
      <w:color w:val="000000"/>
      <w:sz w:val="20"/>
      <w:szCs w:val="20"/>
      <w:u w:val="none"/>
    </w:rPr>
  </w:style>
  <w:style w:type="character" w:customStyle="1" w:styleId="43">
    <w:name w:val="proollist"/>
    <w:basedOn w:val="29"/>
    <w:qFormat/>
    <w:uiPriority w:val="0"/>
  </w:style>
  <w:style w:type="character" w:customStyle="1" w:styleId="44">
    <w:name w:val="beforeinfotext"/>
    <w:basedOn w:val="29"/>
    <w:qFormat/>
    <w:uiPriority w:val="0"/>
    <w:rPr>
      <w:color w:val="666666"/>
    </w:rPr>
  </w:style>
  <w:style w:type="character" w:customStyle="1" w:styleId="45">
    <w:name w:val="phone"/>
    <w:basedOn w:val="29"/>
    <w:qFormat/>
    <w:uiPriority w:val="0"/>
    <w:rPr>
      <w:color w:val="FF8833"/>
      <w:sz w:val="18"/>
      <w:szCs w:val="18"/>
    </w:rPr>
  </w:style>
  <w:style w:type="character" w:customStyle="1" w:styleId="46">
    <w:name w:val="number"/>
    <w:basedOn w:val="29"/>
    <w:qFormat/>
    <w:uiPriority w:val="0"/>
    <w:rPr>
      <w:color w:val="FF8833"/>
      <w:sz w:val="18"/>
      <w:szCs w:val="18"/>
    </w:rPr>
  </w:style>
  <w:style w:type="paragraph" w:customStyle="1" w:styleId="47">
    <w:name w:val="title11"/>
    <w:basedOn w:val="1"/>
    <w:qFormat/>
    <w:uiPriority w:val="0"/>
    <w:pPr>
      <w:spacing w:before="150"/>
      <w:jc w:val="left"/>
    </w:pPr>
    <w:rPr>
      <w:b/>
      <w:kern w:val="0"/>
      <w:sz w:val="22"/>
    </w:rPr>
  </w:style>
  <w:style w:type="paragraph" w:customStyle="1" w:styleId="48">
    <w:name w:val="title13"/>
    <w:basedOn w:val="1"/>
    <w:qFormat/>
    <w:uiPriority w:val="0"/>
    <w:pPr>
      <w:spacing w:before="150"/>
      <w:jc w:val="left"/>
    </w:pPr>
    <w:rPr>
      <w:b/>
      <w:kern w:val="0"/>
      <w:sz w:val="22"/>
    </w:rPr>
  </w:style>
  <w:style w:type="character" w:customStyle="1" w:styleId="49">
    <w:name w:val="stclosebtn"/>
    <w:basedOn w:val="29"/>
    <w:qFormat/>
    <w:uiPriority w:val="0"/>
  </w:style>
  <w:style w:type="paragraph" w:customStyle="1" w:styleId="50">
    <w:name w:val="样式 样式 样式 (中文) 仿宋_GB2312 四号 黑色 行距: 固定值 28.5 磅 首行缩进:  1.92 字符 + 首行..."/>
    <w:basedOn w:val="1"/>
    <w:qFormat/>
    <w:uiPriority w:val="0"/>
    <w:pPr>
      <w:widowControl/>
      <w:ind w:firstLine="200" w:firstLineChars="200"/>
      <w:jc w:val="left"/>
    </w:pPr>
    <w:rPr>
      <w:rFonts w:eastAsia="仿宋_GB2312" w:cs="宋体"/>
      <w:color w:val="000000"/>
      <w:kern w:val="0"/>
      <w:sz w:val="28"/>
      <w:szCs w:val="20"/>
    </w:rPr>
  </w:style>
  <w:style w:type="paragraph" w:customStyle="1" w:styleId="51">
    <w:name w:val="列出段落11"/>
    <w:basedOn w:val="1"/>
    <w:qFormat/>
    <w:uiPriority w:val="34"/>
    <w:pPr>
      <w:ind w:firstLine="420" w:firstLineChars="200"/>
    </w:pPr>
    <w:rPr>
      <w:rFonts w:ascii="Calibri" w:hAnsi="Calibri"/>
    </w:rPr>
  </w:style>
  <w:style w:type="paragraph" w:customStyle="1" w:styleId="52">
    <w:name w:val="Body text|1"/>
    <w:basedOn w:val="1"/>
    <w:qFormat/>
    <w:uiPriority w:val="0"/>
    <w:pPr>
      <w:spacing w:line="454" w:lineRule="auto"/>
      <w:ind w:firstLine="400"/>
    </w:pPr>
    <w:rPr>
      <w:rFonts w:ascii="宋体" w:hAnsi="宋体" w:cs="宋体"/>
      <w:sz w:val="26"/>
      <w:szCs w:val="26"/>
      <w:lang w:val="zh-TW" w:eastAsia="zh-TW" w:bidi="zh-TW"/>
    </w:rPr>
  </w:style>
  <w:style w:type="paragraph" w:customStyle="1" w:styleId="53">
    <w:name w:val="标题 21"/>
    <w:basedOn w:val="34"/>
    <w:next w:val="34"/>
    <w:qFormat/>
    <w:uiPriority w:val="0"/>
    <w:pPr>
      <w:ind w:left="270" w:hanging="270"/>
      <w:jc w:val="left"/>
      <w:outlineLvl w:val="1"/>
    </w:pPr>
    <w:rPr>
      <w:rFonts w:ascii="Arial" w:hAnsi="Arial" w:cs="宋体"/>
      <w:kern w:val="0"/>
      <w:sz w:val="32"/>
      <w:szCs w:val="32"/>
      <w:lang w:val="zh-CN"/>
    </w:rPr>
  </w:style>
  <w:style w:type="character" w:customStyle="1" w:styleId="54">
    <w:name w:val="批注框文本 Char"/>
    <w:basedOn w:val="29"/>
    <w:link w:val="16"/>
    <w:qFormat/>
    <w:uiPriority w:val="0"/>
    <w:rPr>
      <w:kern w:val="2"/>
      <w:sz w:val="18"/>
      <w:szCs w:val="18"/>
    </w:rPr>
  </w:style>
  <w:style w:type="paragraph" w:customStyle="1" w:styleId="55">
    <w:name w:val="Table Text"/>
    <w:basedOn w:val="1"/>
    <w:semiHidden/>
    <w:qFormat/>
    <w:uiPriority w:val="0"/>
    <w:rPr>
      <w:rFonts w:ascii="仿宋" w:hAnsi="仿宋" w:eastAsia="仿宋" w:cs="仿宋"/>
      <w:sz w:val="24"/>
      <w:szCs w:val="24"/>
      <w:lang w:val="en-US" w:eastAsia="en-US" w:bidi="ar-SA"/>
    </w:rPr>
  </w:style>
  <w:style w:type="table" w:customStyle="1" w:styleId="56">
    <w:name w:val="Table Normal"/>
    <w:semiHidden/>
    <w:unhideWhenUsed/>
    <w:qFormat/>
    <w:uiPriority w:val="0"/>
    <w:tblPr>
      <w:tblCellMar>
        <w:top w:w="0" w:type="dxa"/>
        <w:left w:w="0" w:type="dxa"/>
        <w:bottom w:w="0" w:type="dxa"/>
        <w:right w:w="0" w:type="dxa"/>
      </w:tblCellMar>
    </w:tblPr>
  </w:style>
  <w:style w:type="character" w:customStyle="1" w:styleId="57">
    <w:name w:val="font11"/>
    <w:basedOn w:val="29"/>
    <w:qFormat/>
    <w:uiPriority w:val="0"/>
    <w:rPr>
      <w:rFonts w:ascii="宋体" w:hAnsi="宋体" w:eastAsia="宋体" w:cs="宋体"/>
      <w:b/>
      <w:bCs/>
      <w:color w:val="000000"/>
      <w:sz w:val="24"/>
      <w:szCs w:val="24"/>
      <w:u w:val="none"/>
    </w:rPr>
  </w:style>
  <w:style w:type="character" w:customStyle="1" w:styleId="58">
    <w:name w:val="font81"/>
    <w:basedOn w:val="29"/>
    <w:qFormat/>
    <w:uiPriority w:val="0"/>
    <w:rPr>
      <w:rFonts w:ascii="宋体" w:hAnsi="宋体" w:eastAsia="宋体" w:cs="宋体"/>
      <w:b/>
      <w:bCs/>
      <w:color w:val="000000"/>
      <w:sz w:val="24"/>
      <w:szCs w:val="24"/>
      <w:u w:val="single"/>
    </w:rPr>
  </w:style>
  <w:style w:type="character" w:customStyle="1" w:styleId="59">
    <w:name w:val="font31"/>
    <w:basedOn w:val="29"/>
    <w:qFormat/>
    <w:uiPriority w:val="0"/>
    <w:rPr>
      <w:rFonts w:ascii="宋体" w:hAnsi="宋体" w:eastAsia="宋体" w:cs="宋体"/>
      <w:color w:val="000000"/>
      <w:sz w:val="16"/>
      <w:szCs w:val="16"/>
      <w:u w:val="none"/>
    </w:rPr>
  </w:style>
  <w:style w:type="character" w:customStyle="1" w:styleId="60">
    <w:name w:val="font41"/>
    <w:basedOn w:val="29"/>
    <w:qFormat/>
    <w:uiPriority w:val="0"/>
    <w:rPr>
      <w:rFonts w:hint="eastAsia" w:ascii="宋体" w:hAnsi="宋体" w:eastAsia="宋体" w:cs="宋体"/>
      <w:color w:val="000000"/>
      <w:sz w:val="22"/>
      <w:szCs w:val="22"/>
      <w:u w:val="none"/>
    </w:rPr>
  </w:style>
  <w:style w:type="character" w:customStyle="1" w:styleId="61">
    <w:name w:val="font91"/>
    <w:basedOn w:val="29"/>
    <w:qFormat/>
    <w:uiPriority w:val="0"/>
    <w:rPr>
      <w:rFonts w:hint="default" w:ascii="Arial" w:hAnsi="Arial" w:cs="Arial"/>
      <w:color w:val="000000"/>
      <w:sz w:val="22"/>
      <w:szCs w:val="22"/>
      <w:u w:val="single"/>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5" Type="http://schemas.openxmlformats.org/officeDocument/2006/relationships/fontTable" Target="fontTable.xml"/><Relationship Id="rId54" Type="http://schemas.openxmlformats.org/officeDocument/2006/relationships/numbering" Target="numbering.xml"/><Relationship Id="rId53" Type="http://schemas.openxmlformats.org/officeDocument/2006/relationships/customXml" Target="../customXml/item1.xml"/><Relationship Id="rId52" Type="http://schemas.openxmlformats.org/officeDocument/2006/relationships/image" Target="media/image40.png"/><Relationship Id="rId51" Type="http://schemas.openxmlformats.org/officeDocument/2006/relationships/image" Target="media/image39.png"/><Relationship Id="rId50" Type="http://schemas.openxmlformats.org/officeDocument/2006/relationships/image" Target="media/image38.png"/><Relationship Id="rId5" Type="http://schemas.openxmlformats.org/officeDocument/2006/relationships/header" Target="header3.xml"/><Relationship Id="rId49" Type="http://schemas.openxmlformats.org/officeDocument/2006/relationships/image" Target="media/image37.png"/><Relationship Id="rId48" Type="http://schemas.openxmlformats.org/officeDocument/2006/relationships/image" Target="media/image36.png"/><Relationship Id="rId47" Type="http://schemas.openxmlformats.org/officeDocument/2006/relationships/image" Target="media/image35.png"/><Relationship Id="rId46" Type="http://schemas.openxmlformats.org/officeDocument/2006/relationships/image" Target="media/image34.png"/><Relationship Id="rId45" Type="http://schemas.openxmlformats.org/officeDocument/2006/relationships/image" Target="media/image33.png"/><Relationship Id="rId44" Type="http://schemas.openxmlformats.org/officeDocument/2006/relationships/image" Target="media/image32.png"/><Relationship Id="rId43" Type="http://schemas.openxmlformats.org/officeDocument/2006/relationships/image" Target="media/image31.png"/><Relationship Id="rId42" Type="http://schemas.openxmlformats.org/officeDocument/2006/relationships/image" Target="media/image30.png"/><Relationship Id="rId41" Type="http://schemas.openxmlformats.org/officeDocument/2006/relationships/image" Target="media/image29.png"/><Relationship Id="rId40" Type="http://schemas.openxmlformats.org/officeDocument/2006/relationships/image" Target="media/image28.png"/><Relationship Id="rId4" Type="http://schemas.openxmlformats.org/officeDocument/2006/relationships/header" Target="header2.xml"/><Relationship Id="rId39" Type="http://schemas.openxmlformats.org/officeDocument/2006/relationships/image" Target="media/image27.png"/><Relationship Id="rId38" Type="http://schemas.openxmlformats.org/officeDocument/2006/relationships/image" Target="media/image26.png"/><Relationship Id="rId37" Type="http://schemas.openxmlformats.org/officeDocument/2006/relationships/image" Target="media/image25.png"/><Relationship Id="rId36" Type="http://schemas.openxmlformats.org/officeDocument/2006/relationships/image" Target="media/image24.png"/><Relationship Id="rId35" Type="http://schemas.openxmlformats.org/officeDocument/2006/relationships/image" Target="media/image23.png"/><Relationship Id="rId34" Type="http://schemas.openxmlformats.org/officeDocument/2006/relationships/image" Target="media/image22.png"/><Relationship Id="rId33" Type="http://schemas.openxmlformats.org/officeDocument/2006/relationships/image" Target="media/image21.png"/><Relationship Id="rId32" Type="http://schemas.openxmlformats.org/officeDocument/2006/relationships/image" Target="media/image20.png"/><Relationship Id="rId31" Type="http://schemas.openxmlformats.org/officeDocument/2006/relationships/image" Target="media/image19.png"/><Relationship Id="rId30" Type="http://schemas.openxmlformats.org/officeDocument/2006/relationships/image" Target="media/image18.png"/><Relationship Id="rId3" Type="http://schemas.openxmlformats.org/officeDocument/2006/relationships/header" Target="header1.xml"/><Relationship Id="rId29" Type="http://schemas.openxmlformats.org/officeDocument/2006/relationships/image" Target="media/image17.png"/><Relationship Id="rId28" Type="http://schemas.openxmlformats.org/officeDocument/2006/relationships/image" Target="media/image16.png"/><Relationship Id="rId27" Type="http://schemas.openxmlformats.org/officeDocument/2006/relationships/image" Target="media/image15.png"/><Relationship Id="rId26" Type="http://schemas.openxmlformats.org/officeDocument/2006/relationships/image" Target="media/image14.png"/><Relationship Id="rId25" Type="http://schemas.openxmlformats.org/officeDocument/2006/relationships/image" Target="media/image13.png"/><Relationship Id="rId24" Type="http://schemas.openxmlformats.org/officeDocument/2006/relationships/image" Target="media/image12.png"/><Relationship Id="rId23" Type="http://schemas.openxmlformats.org/officeDocument/2006/relationships/image" Target="media/image11.png"/><Relationship Id="rId22" Type="http://schemas.openxmlformats.org/officeDocument/2006/relationships/image" Target="media/image10.png"/><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png"/><Relationship Id="rId17" Type="http://schemas.openxmlformats.org/officeDocument/2006/relationships/image" Target="media/image5.pn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png"/><Relationship Id="rId13" Type="http://schemas.openxmlformats.org/officeDocument/2006/relationships/image" Target="media/image1.pn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footer" Target="footer5.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Kingsoft</Company>
  <Pages>139</Pages>
  <Words>2788</Words>
  <Characters>3840</Characters>
  <Lines>411</Lines>
  <Paragraphs>115</Paragraphs>
  <TotalTime>0</TotalTime>
  <ScaleCrop>false</ScaleCrop>
  <LinksUpToDate>false</LinksUpToDate>
  <CharactersWithSpaces>3876</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2023-11-13T06:24:00Z</dcterms:created>
  <dc:creator>天海1415003450</dc:creator>
  <cp:lastModifiedBy>救赎</cp:lastModifiedBy>
  <cp:lastPrinted>2018-10-16T02:20:00Z</cp:lastPrinted>
  <dcterms:modified xsi:type="dcterms:W3CDTF">2024-12-11T03:03:27Z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2A940C7B29604BE090121F19FE676038_13</vt:lpwstr>
  </property>
</Properties>
</file>