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3606">
      <w:pPr>
        <w:spacing w:line="560" w:lineRule="exact"/>
        <w:jc w:val="center"/>
        <w:rPr>
          <w:rFonts w:hint="eastAsia" w:ascii="黑体" w:hAnsi="黑体" w:eastAsia="黑体" w:cs="黑体"/>
          <w:b/>
          <w:bCs/>
          <w:color w:val="333333"/>
          <w:kern w:val="0"/>
          <w:sz w:val="32"/>
          <w:szCs w:val="32"/>
          <w:lang w:val="en-US" w:eastAsia="zh-CN"/>
        </w:rPr>
      </w:pPr>
      <w:bookmarkStart w:id="4" w:name="_GoBack"/>
      <w:bookmarkEnd w:id="4"/>
      <w:r>
        <w:rPr>
          <w:rFonts w:hint="eastAsia" w:ascii="黑体" w:hAnsi="黑体" w:eastAsia="黑体" w:cs="黑体"/>
          <w:b/>
          <w:bCs/>
          <w:color w:val="333333"/>
          <w:kern w:val="0"/>
          <w:sz w:val="32"/>
          <w:szCs w:val="32"/>
          <w:lang w:val="en-US" w:eastAsia="zh-CN"/>
        </w:rPr>
        <w:t>采购需求</w:t>
      </w:r>
    </w:p>
    <w:p w14:paraId="14D457F4">
      <w:pPr>
        <w:spacing w:line="560" w:lineRule="exact"/>
        <w:ind w:firstLine="560" w:firstLineChars="200"/>
        <w:rPr>
          <w:sz w:val="28"/>
        </w:rPr>
      </w:pPr>
      <w:r>
        <w:rPr>
          <w:rFonts w:hint="eastAsia"/>
          <w:sz w:val="28"/>
        </w:rPr>
        <w:t>1、项目概况</w:t>
      </w:r>
      <w:bookmarkStart w:id="0" w:name="_Hlk48479374"/>
      <w:r>
        <w:rPr>
          <w:rFonts w:hint="eastAsia"/>
          <w:sz w:val="28"/>
        </w:rPr>
        <w:t>：</w:t>
      </w:r>
      <w:bookmarkStart w:id="1" w:name="_Hlk57107131"/>
      <w:bookmarkStart w:id="2" w:name="_Hlk14212445"/>
      <w:r>
        <w:rPr>
          <w:rFonts w:hint="eastAsia"/>
          <w:sz w:val="28"/>
          <w:lang w:eastAsia="zh-CN"/>
        </w:rPr>
        <w:t>镇安县林业综合服务中心2024年松材线虫病树干注药项目</w:t>
      </w:r>
      <w:r>
        <w:rPr>
          <w:rFonts w:hint="eastAsia"/>
          <w:sz w:val="28"/>
        </w:rPr>
        <w:t>的内容包含1.对童话磨石沟、云盖寺古镇、米粮镇黑龙潭景区及周边，以及月河抽水蓄能电站、县城周边等范围内需要重点保护的松林进行人工注药5万支</w:t>
      </w:r>
      <w:r>
        <w:rPr>
          <w:rFonts w:hint="eastAsia"/>
          <w:sz w:val="28"/>
          <w:lang w:eastAsia="zh-CN"/>
        </w:rPr>
        <w:t>；</w:t>
      </w:r>
      <w:r>
        <w:rPr>
          <w:rFonts w:hint="eastAsia"/>
          <w:sz w:val="28"/>
        </w:rPr>
        <w:t>2.对除治小班密接松树进行树干注药10万支。</w:t>
      </w:r>
    </w:p>
    <w:bookmarkEnd w:id="0"/>
    <w:bookmarkEnd w:id="1"/>
    <w:bookmarkEnd w:id="2"/>
    <w:p w14:paraId="288B2961">
      <w:pPr>
        <w:tabs>
          <w:tab w:val="left" w:pos="3300"/>
        </w:tabs>
        <w:spacing w:line="560" w:lineRule="exact"/>
        <w:ind w:firstLine="560" w:firstLineChars="200"/>
        <w:rPr>
          <w:rFonts w:hint="eastAsia"/>
          <w:sz w:val="28"/>
        </w:rPr>
      </w:pPr>
      <w:r>
        <w:rPr>
          <w:rFonts w:hint="eastAsia"/>
          <w:sz w:val="28"/>
        </w:rPr>
        <w:t>2、资质资格要求：</w:t>
      </w:r>
    </w:p>
    <w:p w14:paraId="77F67810">
      <w:pPr>
        <w:tabs>
          <w:tab w:val="left" w:pos="3300"/>
        </w:tabs>
        <w:spacing w:line="560" w:lineRule="exact"/>
        <w:ind w:firstLine="600" w:firstLineChars="200"/>
        <w:rPr>
          <w:rFonts w:ascii="宋体" w:hAnsi="宋体"/>
          <w:szCs w:val="30"/>
        </w:rPr>
      </w:pPr>
      <w:r>
        <w:rPr>
          <w:rFonts w:hint="eastAsia" w:ascii="宋体" w:hAnsi="宋体"/>
          <w:szCs w:val="30"/>
        </w:rPr>
        <w:t>（1）具有独立承担民事责任能力的法人、其他组织或自然人，提供合法有效的统一社会信用代码营业执照（事业单位提供事业单位法人证书，自然人应提供身份证）；</w:t>
      </w:r>
    </w:p>
    <w:p w14:paraId="15481868">
      <w:pPr>
        <w:tabs>
          <w:tab w:val="left" w:pos="3300"/>
        </w:tabs>
        <w:spacing w:line="560" w:lineRule="exact"/>
        <w:ind w:firstLine="600" w:firstLineChars="200"/>
        <w:rPr>
          <w:rFonts w:hint="default" w:ascii="宋体" w:hAnsi="宋体" w:eastAsia="宋体"/>
          <w:szCs w:val="30"/>
          <w:lang w:val="en-US" w:eastAsia="zh-CN"/>
        </w:rPr>
      </w:pPr>
      <w:r>
        <w:rPr>
          <w:rFonts w:hint="eastAsia" w:ascii="宋体" w:hAnsi="宋体"/>
          <w:szCs w:val="30"/>
        </w:rPr>
        <w:t>（2）</w:t>
      </w:r>
      <w:r>
        <w:rPr>
          <w:rFonts w:hint="eastAsia" w:ascii="宋体" w:hAnsi="宋体"/>
          <w:szCs w:val="30"/>
          <w:lang w:val="en-US" w:eastAsia="zh-CN"/>
        </w:rPr>
        <w:t>合同包①：</w:t>
      </w:r>
      <w:r>
        <w:rPr>
          <w:rFonts w:hint="eastAsia" w:ascii="宋体" w:hAnsi="宋体"/>
          <w:szCs w:val="30"/>
        </w:rPr>
        <w:t>供应商须具备具有陕西省林业有害生物调查设计、防治作业资质丙级及以上</w:t>
      </w:r>
      <w:r>
        <w:rPr>
          <w:rFonts w:hint="eastAsia" w:ascii="宋体" w:hAnsi="宋体"/>
          <w:szCs w:val="30"/>
          <w:lang w:val="en-US" w:eastAsia="zh-CN"/>
        </w:rPr>
        <w:t>资质</w:t>
      </w:r>
      <w:r>
        <w:rPr>
          <w:rFonts w:hint="eastAsia" w:ascii="宋体" w:hAnsi="宋体"/>
          <w:szCs w:val="30"/>
          <w:lang w:eastAsia="zh-CN"/>
        </w:rPr>
        <w:t>；</w:t>
      </w:r>
      <w:r>
        <w:rPr>
          <w:rFonts w:hint="eastAsia" w:ascii="宋体" w:hAnsi="宋体"/>
          <w:szCs w:val="30"/>
          <w:lang w:val="en-US" w:eastAsia="zh-CN"/>
        </w:rPr>
        <w:t>合同包②：供应商须具有农药经营许可证或农药生产许可证、农药登记证、产品标准证；</w:t>
      </w:r>
    </w:p>
    <w:p w14:paraId="46A09BE1">
      <w:pPr>
        <w:tabs>
          <w:tab w:val="left" w:pos="3300"/>
        </w:tabs>
        <w:spacing w:line="560" w:lineRule="exact"/>
        <w:ind w:firstLine="600" w:firstLineChars="200"/>
        <w:rPr>
          <w:rFonts w:ascii="宋体" w:hAnsi="宋体"/>
          <w:szCs w:val="30"/>
        </w:rPr>
      </w:pPr>
      <w:r>
        <w:rPr>
          <w:rFonts w:hint="eastAsia" w:ascii="宋体" w:hAnsi="宋体"/>
          <w:szCs w:val="30"/>
        </w:rPr>
        <w:t>（3）具有依法缴纳税收的良好记录（提供投标截止日前一年内任意三个月的纳税证明或完税证明（任意税种），依法免税的单位应提供相关证明材料）；</w:t>
      </w:r>
    </w:p>
    <w:p w14:paraId="703EB0EB">
      <w:pPr>
        <w:tabs>
          <w:tab w:val="left" w:pos="3300"/>
        </w:tabs>
        <w:spacing w:line="560" w:lineRule="exact"/>
        <w:ind w:firstLine="600" w:firstLineChars="200"/>
        <w:rPr>
          <w:rFonts w:ascii="宋体" w:hAnsi="宋体"/>
          <w:szCs w:val="30"/>
        </w:rPr>
      </w:pPr>
      <w:r>
        <w:rPr>
          <w:rFonts w:hint="eastAsia" w:ascii="宋体" w:hAnsi="宋体"/>
          <w:szCs w:val="30"/>
        </w:rPr>
        <w:t>（4）社会保障资金缴纳证明：提供投标截止日前一年内任意三个月已缴纳的社会保障资金缴存单据或社保机构开具的社会保险参保缴费情况证明，依法不需要缴纳社会保障资金的应提供相关文件证明；</w:t>
      </w:r>
    </w:p>
    <w:p w14:paraId="55878C97">
      <w:pPr>
        <w:tabs>
          <w:tab w:val="left" w:pos="3300"/>
        </w:tabs>
        <w:spacing w:line="560" w:lineRule="exact"/>
        <w:ind w:firstLine="600" w:firstLineChars="200"/>
        <w:rPr>
          <w:rFonts w:ascii="宋体" w:hAnsi="宋体"/>
          <w:szCs w:val="30"/>
        </w:rPr>
      </w:pPr>
      <w:r>
        <w:rPr>
          <w:rFonts w:hint="eastAsia" w:ascii="宋体" w:hAnsi="宋体"/>
          <w:szCs w:val="30"/>
        </w:rPr>
        <w:t>（5）财务状况报告：提供供应商2023年度经注册会计师签署的财务审计报告（包括“三表”及附注），或者提供其投标前</w:t>
      </w:r>
      <w:r>
        <w:rPr>
          <w:rFonts w:hint="eastAsia" w:ascii="宋体" w:hAnsi="宋体"/>
          <w:szCs w:val="30"/>
          <w:lang w:val="en-US" w:eastAsia="zh-CN"/>
        </w:rPr>
        <w:t>三个月</w:t>
      </w:r>
      <w:r>
        <w:rPr>
          <w:rFonts w:hint="eastAsia" w:ascii="宋体" w:hAnsi="宋体"/>
          <w:szCs w:val="30"/>
        </w:rPr>
        <w:t>内基本存款账户开户银行出具的资信证明及基本存款账户开户证明；</w:t>
      </w:r>
    </w:p>
    <w:p w14:paraId="04D42CB5">
      <w:pPr>
        <w:tabs>
          <w:tab w:val="left" w:pos="3300"/>
        </w:tabs>
        <w:spacing w:line="560" w:lineRule="exact"/>
        <w:ind w:firstLine="600" w:firstLineChars="200"/>
        <w:rPr>
          <w:rFonts w:ascii="宋体" w:hAnsi="宋体"/>
          <w:szCs w:val="30"/>
        </w:rPr>
      </w:pPr>
      <w:r>
        <w:rPr>
          <w:rFonts w:hint="eastAsia" w:ascii="宋体" w:hAnsi="宋体"/>
          <w:szCs w:val="30"/>
        </w:rPr>
        <w:t>（6）供应商应具有履行合同所必需的设备和专业技术能力；</w:t>
      </w:r>
    </w:p>
    <w:p w14:paraId="5197D1C6">
      <w:pPr>
        <w:tabs>
          <w:tab w:val="left" w:pos="3300"/>
        </w:tabs>
        <w:spacing w:line="560" w:lineRule="exact"/>
        <w:ind w:firstLine="600" w:firstLineChars="200"/>
        <w:rPr>
          <w:rFonts w:ascii="宋体" w:hAnsi="宋体"/>
          <w:szCs w:val="30"/>
        </w:rPr>
      </w:pPr>
      <w:r>
        <w:rPr>
          <w:rFonts w:hint="eastAsia" w:ascii="宋体" w:hAnsi="宋体"/>
          <w:szCs w:val="30"/>
        </w:rPr>
        <w:t>（7）参加采购活动前3年内，在经营活动中没有重大违法记录；</w:t>
      </w:r>
    </w:p>
    <w:p w14:paraId="05E08706">
      <w:pPr>
        <w:tabs>
          <w:tab w:val="left" w:pos="3300"/>
        </w:tabs>
        <w:spacing w:line="560" w:lineRule="exact"/>
        <w:ind w:firstLine="600" w:firstLineChars="200"/>
        <w:rPr>
          <w:rFonts w:ascii="宋体" w:hAnsi="宋体"/>
          <w:szCs w:val="30"/>
        </w:rPr>
      </w:pPr>
      <w:r>
        <w:rPr>
          <w:rFonts w:hint="eastAsia" w:ascii="宋体" w:hAnsi="宋体"/>
          <w:szCs w:val="30"/>
        </w:rPr>
        <w:t>（8）单位负责人为同一人或者存在直接控股、管理关系的不同供应商，不得参加同一合同项下的采购活动；</w:t>
      </w:r>
    </w:p>
    <w:p w14:paraId="5D0D2C08">
      <w:pPr>
        <w:tabs>
          <w:tab w:val="left" w:pos="3300"/>
        </w:tabs>
        <w:spacing w:line="560" w:lineRule="exact"/>
        <w:ind w:firstLine="600" w:firstLineChars="200"/>
        <w:rPr>
          <w:rFonts w:ascii="宋体" w:hAnsi="宋体"/>
          <w:szCs w:val="30"/>
        </w:rPr>
      </w:pPr>
      <w:r>
        <w:rPr>
          <w:rFonts w:hint="eastAsia" w:ascii="宋体" w:hAnsi="宋体"/>
          <w:szCs w:val="30"/>
        </w:rPr>
        <w:t>（9）为本项目提供整体设计、规范编制或者项目管理、监理、检测等服务的供应商，不得参加本项目采购活动；</w:t>
      </w:r>
    </w:p>
    <w:p w14:paraId="49DF1B65">
      <w:pPr>
        <w:spacing w:line="560" w:lineRule="exact"/>
        <w:ind w:firstLine="600" w:firstLineChars="200"/>
        <w:rPr>
          <w:rFonts w:hint="eastAsia" w:eastAsia="宋体"/>
          <w:sz w:val="28"/>
          <w:lang w:eastAsia="zh-CN"/>
        </w:rPr>
      </w:pPr>
      <w:r>
        <w:rPr>
          <w:rFonts w:hint="eastAsia" w:ascii="宋体" w:hAnsi="宋体"/>
          <w:szCs w:val="30"/>
        </w:rPr>
        <w:t>（10）未被列入失信被执行人、重大税收违法案件当事人名单，未被列入政府采购严重违法失信行为记名单</w:t>
      </w:r>
      <w:r>
        <w:rPr>
          <w:rFonts w:hint="eastAsia" w:ascii="宋体" w:hAnsi="宋体"/>
          <w:szCs w:val="30"/>
          <w:lang w:eastAsia="zh-CN"/>
        </w:rPr>
        <w:t>。</w:t>
      </w:r>
    </w:p>
    <w:p w14:paraId="47C28076">
      <w:pPr>
        <w:spacing w:line="560" w:lineRule="exact"/>
        <w:ind w:firstLine="560" w:firstLineChars="200"/>
        <w:rPr>
          <w:rFonts w:hint="eastAsia"/>
          <w:sz w:val="28"/>
          <w:lang w:val="en-US" w:eastAsia="zh-CN"/>
        </w:rPr>
      </w:pPr>
      <w:r>
        <w:rPr>
          <w:rFonts w:hint="eastAsia"/>
          <w:sz w:val="28"/>
        </w:rPr>
        <w:t>3、</w:t>
      </w:r>
      <w:r>
        <w:rPr>
          <w:rFonts w:hint="eastAsia"/>
          <w:sz w:val="28"/>
          <w:lang w:val="en-US" w:eastAsia="zh-CN"/>
        </w:rPr>
        <w:t>合同包①服务</w:t>
      </w:r>
      <w:r>
        <w:rPr>
          <w:rFonts w:hint="eastAsia"/>
          <w:sz w:val="28"/>
        </w:rPr>
        <w:t>期限：</w:t>
      </w:r>
      <w:r>
        <w:rPr>
          <w:rFonts w:hint="eastAsia"/>
          <w:sz w:val="28"/>
          <w:lang w:val="en-US" w:eastAsia="zh-CN"/>
        </w:rPr>
        <w:t>自合同签订之日起至2024年12月01日</w:t>
      </w:r>
      <w:r>
        <w:rPr>
          <w:rFonts w:hint="eastAsia" w:ascii="宋体" w:hAnsi="宋体" w:cs="宋体"/>
          <w:sz w:val="28"/>
        </w:rPr>
        <w:t>（具体服务起止日期可</w:t>
      </w:r>
      <w:r>
        <w:rPr>
          <w:rFonts w:hint="eastAsia" w:ascii="宋体" w:hAnsi="宋体" w:cs="宋体"/>
          <w:sz w:val="28"/>
          <w:lang w:val="en-US" w:eastAsia="zh-CN"/>
        </w:rPr>
        <w:t>依据甲方需求</w:t>
      </w:r>
      <w:r>
        <w:rPr>
          <w:rFonts w:hint="eastAsia" w:ascii="宋体" w:hAnsi="宋体" w:cs="宋体"/>
          <w:sz w:val="28"/>
        </w:rPr>
        <w:t>相应顺延）</w:t>
      </w:r>
      <w:r>
        <w:rPr>
          <w:rFonts w:hint="eastAsia"/>
          <w:sz w:val="28"/>
          <w:lang w:val="en-US" w:eastAsia="zh-CN"/>
        </w:rPr>
        <w:t>；</w:t>
      </w:r>
    </w:p>
    <w:p w14:paraId="142D75F6">
      <w:pPr>
        <w:spacing w:line="560" w:lineRule="exact"/>
        <w:ind w:firstLine="560" w:firstLineChars="200"/>
        <w:rPr>
          <w:rFonts w:hint="eastAsia" w:eastAsia="宋体"/>
          <w:sz w:val="28"/>
          <w:lang w:val="en-US" w:eastAsia="zh-CN"/>
        </w:rPr>
      </w:pPr>
      <w:r>
        <w:rPr>
          <w:rFonts w:hint="eastAsia"/>
          <w:sz w:val="28"/>
          <w:lang w:val="en-US" w:eastAsia="zh-CN"/>
        </w:rPr>
        <w:t>合同包②供货</w:t>
      </w:r>
      <w:r>
        <w:rPr>
          <w:rFonts w:hint="eastAsia"/>
          <w:sz w:val="28"/>
        </w:rPr>
        <w:t>期限</w:t>
      </w:r>
      <w:r>
        <w:rPr>
          <w:rFonts w:hint="eastAsia"/>
          <w:sz w:val="28"/>
          <w:lang w:eastAsia="zh-CN"/>
        </w:rPr>
        <w:t>：</w:t>
      </w:r>
      <w:r>
        <w:rPr>
          <w:rFonts w:hint="eastAsia"/>
          <w:sz w:val="28"/>
          <w:lang w:val="en-US" w:eastAsia="zh-CN"/>
        </w:rPr>
        <w:t>自合同签订之日起至2024年12月01日</w:t>
      </w:r>
      <w:r>
        <w:rPr>
          <w:rFonts w:hint="eastAsia" w:ascii="宋体" w:hAnsi="宋体" w:cs="宋体"/>
          <w:sz w:val="28"/>
        </w:rPr>
        <w:t>（具体</w:t>
      </w:r>
      <w:r>
        <w:rPr>
          <w:rFonts w:hint="eastAsia" w:ascii="宋体" w:hAnsi="宋体" w:cs="宋体"/>
          <w:sz w:val="28"/>
          <w:lang w:val="en-US" w:eastAsia="zh-CN"/>
        </w:rPr>
        <w:t>供货期限</w:t>
      </w:r>
      <w:r>
        <w:rPr>
          <w:rFonts w:hint="eastAsia" w:ascii="宋体" w:hAnsi="宋体" w:cs="宋体"/>
          <w:sz w:val="28"/>
        </w:rPr>
        <w:t>可</w:t>
      </w:r>
      <w:r>
        <w:rPr>
          <w:rFonts w:hint="eastAsia" w:ascii="宋体" w:hAnsi="宋体" w:cs="宋体"/>
          <w:sz w:val="28"/>
          <w:lang w:val="en-US" w:eastAsia="zh-CN"/>
        </w:rPr>
        <w:t>依据甲方需求</w:t>
      </w:r>
      <w:r>
        <w:rPr>
          <w:rFonts w:hint="eastAsia" w:ascii="宋体" w:hAnsi="宋体" w:cs="宋体"/>
          <w:sz w:val="28"/>
        </w:rPr>
        <w:t>相应顺延）</w:t>
      </w:r>
      <w:r>
        <w:rPr>
          <w:rFonts w:hint="eastAsia"/>
          <w:sz w:val="28"/>
          <w:lang w:val="en-US" w:eastAsia="zh-CN"/>
        </w:rPr>
        <w:t>。</w:t>
      </w:r>
    </w:p>
    <w:p w14:paraId="4440188F">
      <w:pPr>
        <w:spacing w:line="560" w:lineRule="exact"/>
        <w:ind w:firstLine="600" w:firstLineChars="200"/>
        <w:rPr>
          <w:sz w:val="28"/>
        </w:rPr>
      </w:pPr>
      <w:r>
        <w:rPr>
          <w:rFonts w:hint="eastAsia" w:ascii="宋体" w:hAnsi="宋体"/>
          <w:lang w:val="en-US" w:eastAsia="zh-CN"/>
        </w:rPr>
        <w:t>4</w:t>
      </w:r>
      <w:r>
        <w:rPr>
          <w:rFonts w:hint="eastAsia" w:ascii="宋体" w:hAnsi="宋体"/>
        </w:rPr>
        <w:t>、最高限价：</w:t>
      </w:r>
      <w:bookmarkStart w:id="3" w:name="_Hlk10460168"/>
      <w:r>
        <w:rPr>
          <w:rFonts w:hint="eastAsia" w:ascii="宋体" w:hAnsi="宋体"/>
        </w:rPr>
        <w:t>依据《</w:t>
      </w:r>
      <w:r>
        <w:rPr>
          <w:rFonts w:hint="eastAsia" w:ascii="宋体" w:hAnsi="宋体"/>
          <w:lang w:eastAsia="zh-CN"/>
        </w:rPr>
        <w:t>镇安县林业综合服务中心2024年松材线虫病树干注药项目</w:t>
      </w:r>
      <w:r>
        <w:rPr>
          <w:rFonts w:hint="eastAsia" w:ascii="宋体" w:hAnsi="宋体"/>
          <w:lang w:val="en-US" w:eastAsia="zh-CN"/>
        </w:rPr>
        <w:t>预算审核报告</w:t>
      </w:r>
      <w:r>
        <w:rPr>
          <w:rFonts w:hint="eastAsia" w:ascii="宋体" w:hAnsi="宋体"/>
        </w:rPr>
        <w:t>》（陕西隆成（2024）</w:t>
      </w:r>
      <w:r>
        <w:rPr>
          <w:rFonts w:hint="eastAsia" w:ascii="宋体" w:hAnsi="宋体"/>
          <w:lang w:val="en-US" w:eastAsia="zh-CN"/>
        </w:rPr>
        <w:t>095</w:t>
      </w:r>
      <w:r>
        <w:rPr>
          <w:rFonts w:hint="eastAsia" w:ascii="宋体" w:hAnsi="宋体"/>
        </w:rPr>
        <w:t>号），本项目确定最高限价</w:t>
      </w:r>
      <w:r>
        <w:rPr>
          <w:rFonts w:hint="eastAsia" w:ascii="宋体" w:hAnsi="宋体"/>
          <w:lang w:eastAsia="zh-CN"/>
        </w:rPr>
        <w:t>2,539,500.00</w:t>
      </w:r>
      <w:r>
        <w:rPr>
          <w:rFonts w:hint="eastAsia" w:ascii="宋体" w:hAnsi="宋体"/>
        </w:rPr>
        <w:t>元</w:t>
      </w:r>
      <w:r>
        <w:rPr>
          <w:rFonts w:hint="eastAsia" w:ascii="宋体" w:hAnsi="宋体"/>
          <w:lang w:eastAsia="zh-CN"/>
        </w:rPr>
        <w:t>（</w:t>
      </w:r>
      <w:r>
        <w:rPr>
          <w:rFonts w:hint="eastAsia" w:ascii="宋体" w:hAnsi="宋体"/>
          <w:lang w:val="en-US" w:eastAsia="zh-CN"/>
        </w:rPr>
        <w:t>其中合同包①：946,500.00元，合同包②：1,593,000.00元）</w:t>
      </w:r>
      <w:r>
        <w:rPr>
          <w:rFonts w:hint="eastAsia"/>
          <w:sz w:val="28"/>
        </w:rPr>
        <w:t>。</w:t>
      </w:r>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3C9A">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27F139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wYWNkYjg1NWM1NWIyMjNjNDU5NGIzYzgzMjZkODgifQ=="/>
  </w:docVars>
  <w:rsids>
    <w:rsidRoot w:val="001E469E"/>
    <w:rsid w:val="00003A2D"/>
    <w:rsid w:val="00047848"/>
    <w:rsid w:val="000905F9"/>
    <w:rsid w:val="000B1AFD"/>
    <w:rsid w:val="000C22F3"/>
    <w:rsid w:val="00166A99"/>
    <w:rsid w:val="001C0E9E"/>
    <w:rsid w:val="001D5A42"/>
    <w:rsid w:val="001E469E"/>
    <w:rsid w:val="002A615D"/>
    <w:rsid w:val="00322D62"/>
    <w:rsid w:val="003A4462"/>
    <w:rsid w:val="003C2BDC"/>
    <w:rsid w:val="00463AEA"/>
    <w:rsid w:val="004A4D91"/>
    <w:rsid w:val="0059180E"/>
    <w:rsid w:val="005E76FB"/>
    <w:rsid w:val="0063345B"/>
    <w:rsid w:val="0066184D"/>
    <w:rsid w:val="00737128"/>
    <w:rsid w:val="007A002D"/>
    <w:rsid w:val="00804E44"/>
    <w:rsid w:val="008122CC"/>
    <w:rsid w:val="00881343"/>
    <w:rsid w:val="00934EDD"/>
    <w:rsid w:val="009424DA"/>
    <w:rsid w:val="00993F5B"/>
    <w:rsid w:val="009F4321"/>
    <w:rsid w:val="00AC586A"/>
    <w:rsid w:val="00B01483"/>
    <w:rsid w:val="00B118FB"/>
    <w:rsid w:val="00B8731D"/>
    <w:rsid w:val="00BC09BB"/>
    <w:rsid w:val="00BD71DE"/>
    <w:rsid w:val="00C434BC"/>
    <w:rsid w:val="00C7531B"/>
    <w:rsid w:val="00CC7DB9"/>
    <w:rsid w:val="00CF0D60"/>
    <w:rsid w:val="00DB1E41"/>
    <w:rsid w:val="00DC2D09"/>
    <w:rsid w:val="00E017EE"/>
    <w:rsid w:val="00E12E97"/>
    <w:rsid w:val="00E3217D"/>
    <w:rsid w:val="00E70F54"/>
    <w:rsid w:val="00EF68D2"/>
    <w:rsid w:val="00F4446D"/>
    <w:rsid w:val="00F476E2"/>
    <w:rsid w:val="00FB0F3B"/>
    <w:rsid w:val="00FC556D"/>
    <w:rsid w:val="06D1164A"/>
    <w:rsid w:val="0E6220AE"/>
    <w:rsid w:val="14F959CD"/>
    <w:rsid w:val="21082DFC"/>
    <w:rsid w:val="214F2F21"/>
    <w:rsid w:val="243D79A8"/>
    <w:rsid w:val="27D71C5D"/>
    <w:rsid w:val="3268644D"/>
    <w:rsid w:val="32AE039E"/>
    <w:rsid w:val="33165DFC"/>
    <w:rsid w:val="334A179A"/>
    <w:rsid w:val="39785343"/>
    <w:rsid w:val="3E997406"/>
    <w:rsid w:val="4F1C35B9"/>
    <w:rsid w:val="50816453"/>
    <w:rsid w:val="55481603"/>
    <w:rsid w:val="581F6824"/>
    <w:rsid w:val="59BF44F3"/>
    <w:rsid w:val="5D831688"/>
    <w:rsid w:val="627B2A14"/>
    <w:rsid w:val="65E011E5"/>
    <w:rsid w:val="68CC3360"/>
    <w:rsid w:val="6C643A6C"/>
    <w:rsid w:val="71CC4BE0"/>
    <w:rsid w:val="736A346E"/>
    <w:rsid w:val="758439F6"/>
    <w:rsid w:val="7C5574E6"/>
    <w:rsid w:val="7FDB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30"/>
      <w:szCs w:val="22"/>
      <w:lang w:val="en-US" w:eastAsia="zh-CN" w:bidi="ar-SA"/>
    </w:rPr>
  </w:style>
  <w:style w:type="paragraph" w:styleId="2">
    <w:name w:val="heading 4"/>
    <w:basedOn w:val="1"/>
    <w:next w:val="1"/>
    <w:autoRedefine/>
    <w:qFormat/>
    <w:uiPriority w:val="0"/>
    <w:pPr>
      <w:keepNext/>
      <w:keepLines/>
      <w:spacing w:line="360" w:lineRule="auto"/>
      <w:outlineLvl w:val="3"/>
    </w:pPr>
    <w:rPr>
      <w:rFonts w:ascii="Arial" w:hAnsi="Arial" w:cs="Arial"/>
      <w:b/>
      <w:bCs/>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2"/>
    <w:autoRedefine/>
    <w:qFormat/>
    <w:uiPriority w:val="0"/>
    <w:pPr>
      <w:ind w:firstLine="420"/>
    </w:pPr>
  </w:style>
  <w:style w:type="paragraph" w:styleId="4">
    <w:name w:val="Body Text"/>
    <w:basedOn w:val="1"/>
    <w:next w:val="1"/>
    <w:autoRedefine/>
    <w:qFormat/>
    <w:uiPriority w:val="0"/>
    <w:pPr>
      <w:widowControl/>
      <w:jc w:val="left"/>
    </w:pPr>
    <w:rPr>
      <w:kern w:val="0"/>
      <w:sz w:val="24"/>
      <w:szCs w:val="24"/>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4"/>
    <w:autoRedefine/>
    <w:qFormat/>
    <w:uiPriority w:val="0"/>
    <w:pPr>
      <w:spacing w:line="312" w:lineRule="auto"/>
      <w:ind w:firstLine="420"/>
    </w:pPr>
  </w:style>
  <w:style w:type="character" w:customStyle="1" w:styleId="11">
    <w:name w:val="页眉 Char"/>
    <w:basedOn w:val="10"/>
    <w:link w:val="6"/>
    <w:autoRedefine/>
    <w:qFormat/>
    <w:uiPriority w:val="99"/>
    <w:rPr>
      <w:sz w:val="18"/>
      <w:szCs w:val="18"/>
    </w:rPr>
  </w:style>
  <w:style w:type="character" w:customStyle="1" w:styleId="12">
    <w:name w:val="页脚 Char"/>
    <w:basedOn w:val="10"/>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1198</Words>
  <Characters>1269</Characters>
  <Lines>7</Lines>
  <Paragraphs>2</Paragraphs>
  <TotalTime>3</TotalTime>
  <ScaleCrop>false</ScaleCrop>
  <LinksUpToDate>false</LinksUpToDate>
  <CharactersWithSpaces>1270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dcterms:modified xsi:type="dcterms:W3CDTF">2024-07-22T12:49:14Z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68E49FA905C84BDA83022A469D0FBA31</vt:lpwstr>
  </property>
</Properties>
</file>