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C0F6D">
      <w:pPr>
        <w:jc w:val="center"/>
        <w:outlineLvl w:val="0"/>
        <w:rPr>
          <w:rFonts w:hint="eastAsia" w:ascii="仿宋" w:hAnsi="仿宋" w:eastAsia="仿宋" w:cs="仿宋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44"/>
          <w:szCs w:val="44"/>
          <w:highlight w:val="none"/>
          <w:lang w:eastAsia="zh-CN"/>
        </w:rPr>
        <w:t>采购内容及技术要求</w:t>
      </w:r>
    </w:p>
    <w:p w14:paraId="3AB63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一、采购内容及技术要求</w:t>
      </w:r>
    </w:p>
    <w:p w14:paraId="4604E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1、土地评估</w:t>
      </w:r>
    </w:p>
    <w:p w14:paraId="42CEC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受能源金融办委托，为能源金融贸易区（能源金贸片区）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范围内宗地提供土地评估服务。按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能源金融贸易区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园办指定的宗地范围，遵循公正、公平、公开的原则和科学的评估方法，按国家规定，向能源金融贸易园办出具符合规范要求的评估报告。</w:t>
      </w:r>
    </w:p>
    <w:p w14:paraId="41ADC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2、相关服务</w:t>
      </w:r>
    </w:p>
    <w:p w14:paraId="36BB0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受能源金融办委托，为能源金融贸易区（能源金贸片区）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范围内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政策咨询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提供专业服务，最终按照委托约定的内容提供正式成果（文本及相关附表、附图）。</w:t>
      </w:r>
    </w:p>
    <w:p w14:paraId="1853B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3、评估依据及标准</w:t>
      </w:r>
    </w:p>
    <w:p w14:paraId="38180B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包含但不限于下列内容：</w:t>
      </w:r>
    </w:p>
    <w:p w14:paraId="37A38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《中华人民共和国土地管理法》；</w:t>
      </w:r>
    </w:p>
    <w:p w14:paraId="37E34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符合《国有建设用地使用权出让地价评估技术规范》要求；</w:t>
      </w:r>
    </w:p>
    <w:p w14:paraId="5952A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符合中华人民共和国国家标准《城镇土地估价规程》（GB/T 18508-2014）。</w:t>
      </w:r>
    </w:p>
    <w:p w14:paraId="5C80C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zh-CN" w:eastAsia="zh-CN"/>
        </w:rPr>
        <w:t>、技术要求</w:t>
      </w:r>
    </w:p>
    <w:p w14:paraId="46CB9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（1）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接到委托项目通知，必须按约定时间及时与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采购人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负责人联系。资料齐全后10个工作日内完成报告，并确保出具的《土地估价报告》、《房地产估价报告》等估价成果并保证技术服务成果的科学性、合理性、准确性，符合审查审批要求，履行备案。</w:t>
      </w:r>
    </w:p>
    <w:p w14:paraId="7DA37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（2）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要求成果符合《城镇土地估价规程》（GB/T18508-2014）、《房地产估价规范》（GB/T50291-2015）、《国土资源部办公厅关于发布〈国有建设用地使用权出让地价评估技术规范〉的通知》（国土资厅发〔2018〕4号）、《国土资源部、财政部、中国人民银行、中国银行业监督管理委员会关于印发&lt;土地储备管理办法&gt;的通知》（国土资规〔2017〕17号）等国家、陕西省、西安市规程、政策、规范性文件要求。</w:t>
      </w:r>
    </w:p>
    <w:p w14:paraId="6E8AD4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（3）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zh-CN" w:eastAsia="zh-CN"/>
        </w:rPr>
        <w:t>其它内容以采购人要求及双方签订的合同中规定内容为准。</w:t>
      </w:r>
    </w:p>
    <w:p w14:paraId="0508C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5、付款方式</w:t>
      </w:r>
    </w:p>
    <w:p w14:paraId="3A0C8E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付款方式：合同签订后，双方每三个月据实结算一次，结算依据为甲方委托书、乙方提交的成果及甲方验收无误的确认单。</w:t>
      </w:r>
    </w:p>
    <w:p w14:paraId="005F43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备注: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根据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季度考核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明细，乙方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成绩在90分及以上,支付当季结算金额的100%:考核成绩在80-90分之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间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，支付当季结算金额的 95%;考核成绩在 70-80 分之间,支付当季结算金额的 90%:考核成绩在 60-70 分之间，支付当季结算金额的 85%;考核成绩在60 分以下，支付当季结算金额的 80%。</w:t>
      </w:r>
    </w:p>
    <w:p w14:paraId="74C65F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双方结算后，甲方支付上三个月服务费用，付款前乙方应向甲方提供该次费用所对应项目的收费明细，并加盖公章。经甲方确认后，乙方应提供符合甲方财务要求的等额合规的增值税普通发票，甲方在收到发票后及时安排付款，否则甲方可拒绝支付该笔款项，且不承担违约责任。</w:t>
      </w:r>
    </w:p>
    <w:p w14:paraId="34282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highlight w:val="none"/>
          <w:lang w:val="en-US" w:eastAsia="zh-CN"/>
        </w:rPr>
        <w:t>二、服务期限及项目实施地点</w:t>
      </w:r>
    </w:p>
    <w:p w14:paraId="6945D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1、服务期限：自合同签订之日起1年</w:t>
      </w:r>
    </w:p>
    <w:p w14:paraId="0CD3DA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2、</w:t>
      </w:r>
      <w:bookmarkStart w:id="0" w:name="OLE_LINK28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项目实施地点</w:t>
      </w:r>
      <w:bookmarkEnd w:id="0"/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：陕西省西咸新区</w:t>
      </w:r>
    </w:p>
    <w:p w14:paraId="4D8DBC41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2024年度能源金贸片区计划供应主要为住宅和商服用地。面积800亩，经过初步计算，按照《国家计委、国家土地管理局关于土地价格评估收费的通知》（计价格[1994]2017号），2024年评估费用合计为约133.5万元，按25%的折扣优惠后评估费用合计为100万元。</w:t>
      </w:r>
    </w:p>
    <w:p w14:paraId="07595E72">
      <w:pPr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4、本项目报价方式为折扣后暂定总价（即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133.5万元*供应商所报折扣后价格）。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参照《国家计委、国家土地管理局关于土地价格评估收费的通知》（计价格[1994]2017号）文件的标准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</w:rPr>
        <w:t>结合市场行情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  <w:t>不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得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eastAsia="zh-CN"/>
        </w:rPr>
        <w:t>高于标准的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highlight w:val="none"/>
          <w:lang w:val="en-US" w:eastAsia="zh-CN"/>
        </w:rPr>
        <w:t>75%取费</w:t>
      </w: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保留小数点后（</w:t>
      </w:r>
      <w:r>
        <w:rPr>
          <w:rFonts w:hint="eastAsia" w:ascii="仿宋" w:hAnsi="仿宋" w:eastAsia="仿宋" w:cs="仿宋"/>
          <w:b w:val="0"/>
          <w:color w:val="auto"/>
          <w:sz w:val="24"/>
          <w:szCs w:val="24"/>
          <w:highlight w:val="none"/>
        </w:rPr>
        <w:t>两位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）。</w:t>
      </w:r>
    </w:p>
    <w:p w14:paraId="0BE2921B">
      <w:pPr>
        <w:spacing w:line="360" w:lineRule="auto"/>
        <w:ind w:firstLine="480" w:firstLineChars="200"/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en-US" w:eastAsia="zh-CN"/>
        </w:rPr>
        <w:t>5、最终结算根据单宗地块合同结算价格以及实际服务数量据实结算，单宗地块合同结算价格=《关于土地价格评估收费的通知》（计价格[1994]2017号）规定的计费标准*折扣，折扣在合同执行期间不做调整。</w:t>
      </w:r>
    </w:p>
    <w:p w14:paraId="6581795C">
      <w:pPr>
        <w:pStyle w:val="2"/>
        <w:spacing w:line="360" w:lineRule="auto"/>
        <w:rPr>
          <w:rFonts w:hint="default"/>
          <w:color w:val="auto"/>
          <w:highlight w:val="none"/>
          <w:lang w:val="en-US" w:eastAsia="zh-CN"/>
        </w:rPr>
      </w:pPr>
    </w:p>
    <w:p w14:paraId="0CD340BF">
      <w:pPr>
        <w:rPr>
          <w:rFonts w:hint="eastAsia" w:ascii="Calibri" w:hAnsi="Calibri" w:eastAsia="宋体" w:cs="Times New Roman"/>
          <w:color w:val="auto"/>
          <w:kern w:val="2"/>
          <w:sz w:val="21"/>
          <w:szCs w:val="24"/>
          <w:highlight w:val="none"/>
          <w:lang w:val="en-US" w:eastAsia="zh-CN" w:bidi="ar-SA"/>
        </w:rPr>
      </w:pPr>
    </w:p>
    <w:p w14:paraId="4C20B22A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F1F1E"/>
    <w:rsid w:val="4A7F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00" w:lineRule="auto"/>
      <w:ind w:firstLine="420" w:firstLineChars="200"/>
    </w:pPr>
    <w:rPr>
      <w:rFonts w:asci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2024-12-13T02:43:00Z</dcterms:created>
  <dc:creator>清欢</dc:creator>
  <cp:lastModifiedBy>清欢</cp:lastModifiedBy>
  <dcterms:modified xsi:type="dcterms:W3CDTF">2024-12-13T02:44:06Z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623C027535F14E42847D02120138C428_11</vt:lpwstr>
  </property>
</Properties>
</file>