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before="140" w:after="140"/>
        <w:jc w:val="center"/>
        <w:rPr>
          <w:rFonts w:hint="eastAsia" w:ascii="宋体" w:hAnsi="宋体" w:cs="宋体"/>
          <w:sz w:val="32"/>
          <w:szCs w:val="32"/>
          <w:lang w:val="zh-CN"/>
        </w:rPr>
      </w:pPr>
      <w:bookmarkStart w:id="2" w:name="_GoBack"/>
      <w:r>
        <w:rPr>
          <w:rFonts w:hint="eastAsia" w:ascii="宋体" w:hAnsi="宋体" w:cs="宋体"/>
          <w:sz w:val="32"/>
          <w:szCs w:val="32"/>
          <w:lang w:val="zh-CN"/>
        </w:rPr>
        <w:t>采购内容及要求</w:t>
      </w:r>
    </w:p>
    <w:bookmarkEnd w:id="2"/>
    <w:p>
      <w:pPr>
        <w:pStyle w:val="4"/>
        <w:numPr>
          <w:ilvl w:val="0"/>
          <w:numId w:val="0"/>
        </w:numPr>
        <w:spacing w:before="140" w:after="140"/>
        <w:rPr>
          <w:rFonts w:hint="eastAsia"/>
        </w:rPr>
      </w:pPr>
      <w:r>
        <w:rPr>
          <w:rFonts w:hint="eastAsia"/>
        </w:rPr>
        <w:t>一、项目概况</w:t>
      </w:r>
    </w:p>
    <w:p>
      <w:pPr>
        <w:spacing w:line="560" w:lineRule="exact"/>
        <w:ind w:firstLine="480" w:firstLineChars="200"/>
        <w:rPr>
          <w:rFonts w:hint="eastAsia" w:ascii="宋体" w:hAnsi="宋体" w:cs="宋体"/>
          <w:sz w:val="24"/>
          <w:szCs w:val="24"/>
        </w:rPr>
      </w:pPr>
      <w:r>
        <w:rPr>
          <w:rFonts w:hint="eastAsia" w:ascii="宋体" w:hAnsi="宋体" w:cs="宋体"/>
          <w:sz w:val="24"/>
          <w:szCs w:val="24"/>
        </w:rPr>
        <w:t>为发展西咸新区大数据云计算产业，提升新区管委会大数据云计算服务能力，支撑新区管委会各行业应用系统云计算资源服务需求。一体化云服务平台购买服务项目以购买服务的方式为西咸新区管委会提供安全稳定的云资源服务、运维服务和重保服务等内容，实现对各单位业务系统集约部署、按需分配和统一管理，满足西咸政务办公、公共服务、综合治理和产业发展等各类业务计算及存储需求，需按照《信息安全技术网络安全等级保护基本要求》中的等保三级要求标准配套网络和安全设备，同时需按照国家密码管理有关法律法规、政策和标准规范对国产化云平台配置密码应用设备及措施。</w:t>
      </w:r>
    </w:p>
    <w:p>
      <w:pPr>
        <w:pStyle w:val="4"/>
        <w:numPr>
          <w:ilvl w:val="2"/>
          <w:numId w:val="0"/>
        </w:numPr>
        <w:spacing w:before="140" w:after="140"/>
        <w:rPr>
          <w:rFonts w:hint="eastAsia"/>
        </w:rPr>
      </w:pPr>
      <w:r>
        <w:rPr>
          <w:rFonts w:hint="eastAsia"/>
        </w:rPr>
        <w:t>二、服务内容</w:t>
      </w:r>
    </w:p>
    <w:p>
      <w:pPr>
        <w:spacing w:line="560" w:lineRule="exact"/>
        <w:ind w:firstLine="480" w:firstLineChars="200"/>
        <w:rPr>
          <w:rFonts w:hint="eastAsia" w:ascii="宋体" w:hAnsi="宋体" w:cs="宋体"/>
          <w:sz w:val="24"/>
          <w:szCs w:val="24"/>
        </w:rPr>
      </w:pPr>
      <w:r>
        <w:rPr>
          <w:rFonts w:hint="eastAsia" w:ascii="宋体" w:hAnsi="宋体" w:cs="宋体"/>
          <w:sz w:val="24"/>
          <w:szCs w:val="24"/>
        </w:rPr>
        <w:t>本次采购包含云资源服务、运维服务、重保服务、产业服务等内容，服务期为项目验收后一年，具体服务内容如下：</w:t>
      </w:r>
    </w:p>
    <w:p>
      <w:pPr>
        <w:spacing w:line="560" w:lineRule="exact"/>
        <w:ind w:firstLine="480" w:firstLineChars="200"/>
        <w:rPr>
          <w:rFonts w:hint="eastAsia" w:ascii="宋体" w:hAnsi="宋体" w:cs="宋体"/>
          <w:sz w:val="24"/>
          <w:szCs w:val="24"/>
        </w:rPr>
      </w:pPr>
      <w:r>
        <w:rPr>
          <w:rFonts w:hint="eastAsia" w:ascii="宋体" w:hAnsi="宋体" w:cs="宋体"/>
          <w:sz w:val="24"/>
          <w:szCs w:val="24"/>
        </w:rPr>
        <w:t>（一）云资源服务</w:t>
      </w:r>
    </w:p>
    <w:p>
      <w:pPr>
        <w:spacing w:line="560" w:lineRule="exact"/>
        <w:ind w:firstLine="480" w:firstLineChars="200"/>
        <w:rPr>
          <w:rFonts w:hint="eastAsia" w:ascii="宋体" w:hAnsi="宋体" w:cs="宋体"/>
          <w:sz w:val="24"/>
          <w:szCs w:val="24"/>
        </w:rPr>
      </w:pPr>
      <w:r>
        <w:rPr>
          <w:rFonts w:hint="eastAsia" w:ascii="宋体" w:hAnsi="宋体" w:cs="宋体"/>
          <w:sz w:val="24"/>
          <w:szCs w:val="24"/>
        </w:rPr>
        <w:t>云资源服务包括云资源发放，操作系统提供，云资源扩容、回收以及IP地址配置等服务。一体化云资源采购体量不少于：vCPU 9294核、内存24144GB、存储990TB，其中X86云资源vCPU 3928核、内存9620GB、存储466.5TB，国产云资源vCPU 5366核、内存14524GB、存储523.5TB。</w:t>
      </w:r>
    </w:p>
    <w:p>
      <w:pPr>
        <w:spacing w:line="560" w:lineRule="exact"/>
        <w:ind w:firstLine="480" w:firstLineChars="200"/>
        <w:rPr>
          <w:rFonts w:hint="eastAsia" w:ascii="宋体" w:hAnsi="宋体" w:cs="宋体"/>
          <w:sz w:val="24"/>
          <w:szCs w:val="24"/>
        </w:rPr>
      </w:pPr>
      <w:r>
        <w:rPr>
          <w:rFonts w:hint="eastAsia" w:ascii="宋体" w:hAnsi="宋体" w:cs="宋体"/>
          <w:sz w:val="24"/>
          <w:szCs w:val="24"/>
        </w:rPr>
        <w:t>（二）运维服务</w:t>
      </w:r>
    </w:p>
    <w:p>
      <w:pPr>
        <w:spacing w:line="560" w:lineRule="exact"/>
        <w:ind w:firstLine="480" w:firstLineChars="200"/>
        <w:rPr>
          <w:rFonts w:hint="eastAsia" w:ascii="宋体" w:hAnsi="宋体" w:cs="宋体"/>
          <w:sz w:val="24"/>
          <w:szCs w:val="24"/>
        </w:rPr>
      </w:pPr>
      <w:r>
        <w:rPr>
          <w:rFonts w:hint="eastAsia" w:ascii="宋体" w:hAnsi="宋体" w:cs="宋体"/>
          <w:sz w:val="24"/>
          <w:szCs w:val="24"/>
        </w:rPr>
        <w:t>运维服务内容要求包括机房管理服务、机柜服务、驻场服务、网络维护服务等，详见表1。</w:t>
      </w:r>
    </w:p>
    <w:tbl>
      <w:tblPr>
        <w:tblStyle w:val="6"/>
        <w:tblW w:w="4998" w:type="pct"/>
        <w:tblInd w:w="0" w:type="dxa"/>
        <w:tblLayout w:type="autofit"/>
        <w:tblCellMar>
          <w:top w:w="0" w:type="dxa"/>
          <w:left w:w="108" w:type="dxa"/>
          <w:bottom w:w="0" w:type="dxa"/>
          <w:right w:w="108" w:type="dxa"/>
        </w:tblCellMar>
      </w:tblPr>
      <w:tblGrid>
        <w:gridCol w:w="665"/>
        <w:gridCol w:w="694"/>
        <w:gridCol w:w="1420"/>
        <w:gridCol w:w="5740"/>
      </w:tblGrid>
      <w:tr>
        <w:tblPrEx>
          <w:tblCellMar>
            <w:top w:w="0" w:type="dxa"/>
            <w:left w:w="108" w:type="dxa"/>
            <w:bottom w:w="0" w:type="dxa"/>
            <w:right w:w="108" w:type="dxa"/>
          </w:tblCellMar>
        </w:tblPrEx>
        <w:trPr>
          <w:trHeight w:val="300" w:hRule="atLeast"/>
        </w:trPr>
        <w:tc>
          <w:tcPr>
            <w:tcW w:w="39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序号</w:t>
            </w:r>
          </w:p>
        </w:tc>
        <w:tc>
          <w:tcPr>
            <w:tcW w:w="1240" w:type="pct"/>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服务内容</w:t>
            </w:r>
          </w:p>
        </w:tc>
        <w:tc>
          <w:tcPr>
            <w:tcW w:w="3368" w:type="pct"/>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服务说明</w:t>
            </w:r>
          </w:p>
        </w:tc>
      </w:tr>
      <w:tr>
        <w:tblPrEx>
          <w:tblCellMar>
            <w:top w:w="0" w:type="dxa"/>
            <w:left w:w="108" w:type="dxa"/>
            <w:bottom w:w="0" w:type="dxa"/>
            <w:right w:w="108" w:type="dxa"/>
          </w:tblCellMar>
        </w:tblPrEx>
        <w:trPr>
          <w:trHeight w:val="300" w:hRule="atLeast"/>
        </w:trPr>
        <w:tc>
          <w:tcPr>
            <w:tcW w:w="391" w:type="pc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1</w:t>
            </w:r>
          </w:p>
        </w:tc>
        <w:tc>
          <w:tcPr>
            <w:tcW w:w="1240" w:type="pct"/>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机房管理服务</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7*24小时机房值守、设备日常巡检以及机房进出入管理</w:t>
            </w:r>
          </w:p>
        </w:tc>
      </w:tr>
      <w:tr>
        <w:tblPrEx>
          <w:tblCellMar>
            <w:top w:w="0" w:type="dxa"/>
            <w:left w:w="108" w:type="dxa"/>
            <w:bottom w:w="0" w:type="dxa"/>
            <w:right w:w="108" w:type="dxa"/>
          </w:tblCellMar>
        </w:tblPrEx>
        <w:trPr>
          <w:trHeight w:val="300" w:hRule="atLeast"/>
        </w:trPr>
        <w:tc>
          <w:tcPr>
            <w:tcW w:w="391" w:type="pc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2</w:t>
            </w:r>
          </w:p>
        </w:tc>
        <w:tc>
          <w:tcPr>
            <w:tcW w:w="1240" w:type="pct"/>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机柜服务</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为硬件设备托管需求局办提供36个6KW机柜。</w:t>
            </w:r>
          </w:p>
        </w:tc>
      </w:tr>
      <w:tr>
        <w:tblPrEx>
          <w:tblCellMar>
            <w:top w:w="0" w:type="dxa"/>
            <w:left w:w="108" w:type="dxa"/>
            <w:bottom w:w="0" w:type="dxa"/>
            <w:right w:w="108" w:type="dxa"/>
          </w:tblCellMar>
        </w:tblPrEx>
        <w:trPr>
          <w:trHeight w:val="600" w:hRule="atLeast"/>
        </w:trPr>
        <w:tc>
          <w:tcPr>
            <w:tcW w:w="391" w:type="pct"/>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3</w:t>
            </w:r>
          </w:p>
        </w:tc>
        <w:tc>
          <w:tcPr>
            <w:tcW w:w="407" w:type="pct"/>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驻场服务</w:t>
            </w:r>
          </w:p>
        </w:tc>
        <w:tc>
          <w:tcPr>
            <w:tcW w:w="832" w:type="pc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人员保障服务</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提供不少于16人的人员运维团队详见附件一，使得一体化云服务平台业务正常运行，杜绝一体化云服务平台安全隐患、事故。</w:t>
            </w:r>
          </w:p>
        </w:tc>
      </w:tr>
      <w:tr>
        <w:tblPrEx>
          <w:tblCellMar>
            <w:top w:w="0" w:type="dxa"/>
            <w:left w:w="108" w:type="dxa"/>
            <w:bottom w:w="0" w:type="dxa"/>
            <w:right w:w="108" w:type="dxa"/>
          </w:tblCellMar>
        </w:tblPrEx>
        <w:trPr>
          <w:trHeight w:val="300" w:hRule="atLeast"/>
        </w:trPr>
        <w:tc>
          <w:tcPr>
            <w:tcW w:w="391"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40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832" w:type="pc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软件运维服务</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软件/补丁升级，操作系统运维以及故障处理。</w:t>
            </w:r>
          </w:p>
        </w:tc>
      </w:tr>
      <w:tr>
        <w:tblPrEx>
          <w:tblCellMar>
            <w:top w:w="0" w:type="dxa"/>
            <w:left w:w="108" w:type="dxa"/>
            <w:bottom w:w="0" w:type="dxa"/>
            <w:right w:w="108" w:type="dxa"/>
          </w:tblCellMar>
        </w:tblPrEx>
        <w:trPr>
          <w:trHeight w:val="300" w:hRule="atLeast"/>
        </w:trPr>
        <w:tc>
          <w:tcPr>
            <w:tcW w:w="391"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40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832" w:type="pc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硬件运维服务</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硬件进行巡检、故障排查。</w:t>
            </w:r>
          </w:p>
        </w:tc>
      </w:tr>
      <w:tr>
        <w:tblPrEx>
          <w:tblCellMar>
            <w:top w:w="0" w:type="dxa"/>
            <w:left w:w="108" w:type="dxa"/>
            <w:bottom w:w="0" w:type="dxa"/>
            <w:right w:w="108" w:type="dxa"/>
          </w:tblCellMar>
        </w:tblPrEx>
        <w:trPr>
          <w:trHeight w:val="970" w:hRule="atLeast"/>
        </w:trPr>
        <w:tc>
          <w:tcPr>
            <w:tcW w:w="391"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40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832" w:type="pc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资源管理服务</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资源管理是对云服务平台资源，包括云资源、空间资源（机房、机柜（架）、机位、库房）、IP、端口、带宽等进行资源合理分配、统计准确有效、数据动态维护、运行有效监管。</w:t>
            </w:r>
          </w:p>
        </w:tc>
      </w:tr>
      <w:tr>
        <w:tblPrEx>
          <w:tblCellMar>
            <w:top w:w="0" w:type="dxa"/>
            <w:left w:w="108" w:type="dxa"/>
            <w:bottom w:w="0" w:type="dxa"/>
            <w:right w:w="108" w:type="dxa"/>
          </w:tblCellMar>
        </w:tblPrEx>
        <w:trPr>
          <w:trHeight w:val="600" w:hRule="atLeast"/>
        </w:trPr>
        <w:tc>
          <w:tcPr>
            <w:tcW w:w="391"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40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832" w:type="pc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故障处理服务</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故障处理主要是指网络设备在系统监控、日常维护发现告警和故障时，根据各系统的告警及故障处理手册，对告警及故障进行定位和处理，并报告给相关人员。</w:t>
            </w:r>
          </w:p>
        </w:tc>
      </w:tr>
      <w:tr>
        <w:tblPrEx>
          <w:tblCellMar>
            <w:top w:w="0" w:type="dxa"/>
            <w:left w:w="108" w:type="dxa"/>
            <w:bottom w:w="0" w:type="dxa"/>
            <w:right w:w="108" w:type="dxa"/>
          </w:tblCellMar>
        </w:tblPrEx>
        <w:trPr>
          <w:trHeight w:val="1500" w:hRule="atLeast"/>
        </w:trPr>
        <w:tc>
          <w:tcPr>
            <w:tcW w:w="391"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40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832" w:type="pc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安全巡检服务</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定期对信息系统的主机、服务器、网络设备、安全设备及安全日志开展巡检工作，包含不限于安全设备状态检查、安全漏洞扫描、安全日志分析及漏洞补丁管理，长期和持续性的保持信息系统良好的安全状态，及时发现长期运行的系统的安全隐患、新的安全漏洞，并及时进行修复、保障系统、设备的安全和可用性，掌握网络的威胁状况，从而采取有针对性的安全措施。</w:t>
            </w:r>
          </w:p>
        </w:tc>
      </w:tr>
      <w:tr>
        <w:tblPrEx>
          <w:tblCellMar>
            <w:top w:w="0" w:type="dxa"/>
            <w:left w:w="108" w:type="dxa"/>
            <w:bottom w:w="0" w:type="dxa"/>
            <w:right w:w="108" w:type="dxa"/>
          </w:tblCellMar>
        </w:tblPrEx>
        <w:trPr>
          <w:trHeight w:val="800" w:hRule="atLeast"/>
        </w:trPr>
        <w:tc>
          <w:tcPr>
            <w:tcW w:w="391"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40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832" w:type="pc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运维管理体系建设</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包含机房值班制度、值班交接制度、故障管理制度等</w:t>
            </w:r>
          </w:p>
        </w:tc>
      </w:tr>
      <w:tr>
        <w:tblPrEx>
          <w:tblCellMar>
            <w:top w:w="0" w:type="dxa"/>
            <w:left w:w="108" w:type="dxa"/>
            <w:bottom w:w="0" w:type="dxa"/>
            <w:right w:w="108" w:type="dxa"/>
          </w:tblCellMar>
        </w:tblPrEx>
        <w:trPr>
          <w:trHeight w:val="800" w:hRule="atLeast"/>
        </w:trPr>
        <w:tc>
          <w:tcPr>
            <w:tcW w:w="391"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40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832" w:type="pc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应急响应服务</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响应服务主要面向客户提供已发生安全事件的事中、事后的取证、分析及提供解决方案等工作。</w:t>
            </w:r>
          </w:p>
        </w:tc>
      </w:tr>
      <w:tr>
        <w:tblPrEx>
          <w:tblCellMar>
            <w:top w:w="0" w:type="dxa"/>
            <w:left w:w="108" w:type="dxa"/>
            <w:bottom w:w="0" w:type="dxa"/>
            <w:right w:w="108" w:type="dxa"/>
          </w:tblCellMar>
        </w:tblPrEx>
        <w:trPr>
          <w:trHeight w:val="900" w:hRule="atLeast"/>
        </w:trPr>
        <w:tc>
          <w:tcPr>
            <w:tcW w:w="391" w:type="pc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4</w:t>
            </w:r>
          </w:p>
        </w:tc>
        <w:tc>
          <w:tcPr>
            <w:tcW w:w="407" w:type="pc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网络维护服务</w:t>
            </w:r>
          </w:p>
        </w:tc>
        <w:tc>
          <w:tcPr>
            <w:tcW w:w="832" w:type="pc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网络专线服务</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网络维护服务是为保障机房网络稳定运行而进行设备监控、网络巡检、设备配置调整；提供1条1G互联网专线，1条300M电子政务外网专线，8条200M电子政务外网专线，2条100M电子政务外网专线。</w:t>
            </w:r>
          </w:p>
        </w:tc>
      </w:tr>
      <w:tr>
        <w:tblPrEx>
          <w:tblCellMar>
            <w:top w:w="0" w:type="dxa"/>
            <w:left w:w="108" w:type="dxa"/>
            <w:bottom w:w="0" w:type="dxa"/>
            <w:right w:w="108" w:type="dxa"/>
          </w:tblCellMar>
        </w:tblPrEx>
        <w:trPr>
          <w:trHeight w:val="300" w:hRule="atLeast"/>
        </w:trPr>
        <w:tc>
          <w:tcPr>
            <w:tcW w:w="391" w:type="pct"/>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5</w:t>
            </w:r>
          </w:p>
        </w:tc>
        <w:tc>
          <w:tcPr>
            <w:tcW w:w="407" w:type="pct"/>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测评服务</w:t>
            </w:r>
          </w:p>
        </w:tc>
        <w:tc>
          <w:tcPr>
            <w:tcW w:w="832" w:type="pc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等保测评服务</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按照国家等保2.0要求，对云平台进行定级备案，完成等保测评工作，并提供测评证书。</w:t>
            </w:r>
          </w:p>
        </w:tc>
      </w:tr>
      <w:tr>
        <w:tblPrEx>
          <w:tblCellMar>
            <w:top w:w="0" w:type="dxa"/>
            <w:left w:w="108" w:type="dxa"/>
            <w:bottom w:w="0" w:type="dxa"/>
            <w:right w:w="108" w:type="dxa"/>
          </w:tblCellMar>
        </w:tblPrEx>
        <w:trPr>
          <w:trHeight w:val="300" w:hRule="atLeast"/>
        </w:trPr>
        <w:tc>
          <w:tcPr>
            <w:tcW w:w="391"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407" w:type="pct"/>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p>
        </w:tc>
        <w:tc>
          <w:tcPr>
            <w:tcW w:w="832" w:type="pct"/>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rPr>
            </w:pPr>
            <w:r>
              <w:rPr>
                <w:rFonts w:hint="eastAsia" w:ascii="仿宋_GB2312" w:hAnsi="宋体" w:cs="宋体"/>
                <w:color w:val="000000"/>
                <w:kern w:val="0"/>
              </w:rPr>
              <w:t>密码测评服务</w:t>
            </w:r>
          </w:p>
        </w:tc>
        <w:tc>
          <w:tcPr>
            <w:tcW w:w="3368" w:type="pct"/>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cs="宋体"/>
                <w:color w:val="000000"/>
                <w:kern w:val="0"/>
              </w:rPr>
            </w:pPr>
            <w:r>
              <w:rPr>
                <w:rFonts w:hint="eastAsia" w:ascii="仿宋_GB2312" w:hAnsi="宋体" w:cs="宋体"/>
                <w:color w:val="000000"/>
                <w:kern w:val="0"/>
              </w:rPr>
              <w:t>建设西咸新区应用系统统一密码支撑，提供标准、合规、高效的密码支撑服务。对国产云云平台进行密码应用安全性评估，并完成测评工作提供测评报告。</w:t>
            </w:r>
          </w:p>
        </w:tc>
      </w:tr>
    </w:tbl>
    <w:p>
      <w:pPr>
        <w:adjustRightInd w:val="0"/>
        <w:snapToGrid w:val="0"/>
        <w:spacing w:line="560" w:lineRule="exact"/>
        <w:ind w:firstLine="442"/>
        <w:jc w:val="center"/>
        <w:rPr>
          <w:b/>
          <w:sz w:val="22"/>
        </w:rPr>
      </w:pPr>
      <w:r>
        <w:rPr>
          <w:b/>
          <w:sz w:val="22"/>
        </w:rPr>
        <w:t>表</w:t>
      </w:r>
      <w:r>
        <w:rPr>
          <w:rFonts w:hint="eastAsia"/>
          <w:b/>
          <w:sz w:val="22"/>
        </w:rPr>
        <w:t>1 一体化云服务平台购买服务-</w:t>
      </w:r>
      <w:r>
        <w:rPr>
          <w:b/>
          <w:sz w:val="22"/>
        </w:rPr>
        <w:t>运维服务内容</w:t>
      </w:r>
      <w:r>
        <w:rPr>
          <w:rFonts w:hint="eastAsia"/>
          <w:b/>
          <w:sz w:val="22"/>
        </w:rPr>
        <w:t xml:space="preserve"> </w:t>
      </w:r>
    </w:p>
    <w:p>
      <w:pPr>
        <w:adjustRightInd w:val="0"/>
        <w:snapToGrid w:val="0"/>
        <w:spacing w:line="560" w:lineRule="exact"/>
        <w:ind w:firstLine="640"/>
        <w:rPr>
          <w:rFonts w:hint="eastAsia" w:ascii="宋体" w:hAnsi="宋体" w:cs="宋体"/>
          <w:sz w:val="24"/>
          <w:szCs w:val="24"/>
        </w:rPr>
      </w:pPr>
      <w:r>
        <w:rPr>
          <w:rFonts w:hint="eastAsia" w:ascii="宋体" w:hAnsi="宋体" w:cs="宋体"/>
          <w:sz w:val="24"/>
          <w:szCs w:val="24"/>
        </w:rPr>
        <w:t>（三）重保服务</w:t>
      </w:r>
      <w:bookmarkStart w:id="0" w:name="_Hlk50662046"/>
    </w:p>
    <w:p>
      <w:pPr>
        <w:adjustRightInd w:val="0"/>
        <w:snapToGrid w:val="0"/>
        <w:spacing w:line="560" w:lineRule="exact"/>
        <w:ind w:firstLine="640"/>
        <w:rPr>
          <w:rFonts w:hint="eastAsia" w:ascii="宋体" w:hAnsi="宋体" w:cs="宋体"/>
          <w:sz w:val="24"/>
          <w:szCs w:val="24"/>
        </w:rPr>
      </w:pPr>
      <w:r>
        <w:rPr>
          <w:rFonts w:hint="eastAsia" w:ascii="宋体" w:hAnsi="宋体" w:cs="宋体"/>
          <w:sz w:val="24"/>
          <w:szCs w:val="24"/>
        </w:rPr>
        <w:t>重要时期配合业务相关单位进行安全漏洞扫描、主机安全检查、安全日志分析等工作，在重保服务的前、中及后期进行全面保障服务</w:t>
      </w:r>
      <w:bookmarkStart w:id="1" w:name="_Hlk50661943"/>
      <w:r>
        <w:rPr>
          <w:rFonts w:hint="eastAsia" w:ascii="宋体" w:hAnsi="宋体" w:cs="宋体"/>
          <w:sz w:val="24"/>
          <w:szCs w:val="24"/>
        </w:rPr>
        <w:t>。</w:t>
      </w:r>
    </w:p>
    <w:p>
      <w:pPr>
        <w:adjustRightInd w:val="0"/>
        <w:snapToGrid w:val="0"/>
        <w:spacing w:line="560" w:lineRule="exact"/>
        <w:ind w:firstLine="640"/>
        <w:rPr>
          <w:rFonts w:hint="eastAsia" w:ascii="宋体" w:hAnsi="宋体" w:cs="宋体"/>
          <w:sz w:val="24"/>
          <w:szCs w:val="24"/>
        </w:rPr>
      </w:pPr>
      <w:r>
        <w:rPr>
          <w:rFonts w:hint="eastAsia" w:ascii="宋体" w:hAnsi="宋体" w:cs="宋体"/>
          <w:sz w:val="24"/>
          <w:szCs w:val="24"/>
        </w:rPr>
        <w:t>（四）产业发展服务</w:t>
      </w:r>
    </w:p>
    <w:p>
      <w:pPr>
        <w:spacing w:line="560" w:lineRule="atLeast"/>
        <w:ind w:firstLine="640"/>
        <w:rPr>
          <w:rFonts w:hint="eastAsia" w:ascii="宋体" w:hAnsi="宋体" w:cs="宋体"/>
          <w:sz w:val="24"/>
          <w:szCs w:val="24"/>
        </w:rPr>
      </w:pPr>
      <w:r>
        <w:rPr>
          <w:rFonts w:hint="eastAsia" w:ascii="宋体" w:hAnsi="宋体" w:cs="宋体"/>
          <w:sz w:val="24"/>
          <w:szCs w:val="24"/>
        </w:rPr>
        <w:t>大力支持西咸新区大数据云计算产业发展，服务西咸新区云计算产业聚集，服务期内结合新区产业发展需求进行产业导入，应符合下列条件之一：</w:t>
      </w:r>
    </w:p>
    <w:p>
      <w:pPr>
        <w:spacing w:line="560" w:lineRule="atLeast"/>
        <w:ind w:firstLine="480" w:firstLineChars="200"/>
        <w:rPr>
          <w:rFonts w:hint="eastAsia" w:ascii="宋体" w:hAnsi="宋体" w:cs="宋体"/>
          <w:sz w:val="24"/>
          <w:szCs w:val="24"/>
        </w:rPr>
      </w:pPr>
      <w:r>
        <w:rPr>
          <w:rFonts w:hint="eastAsia" w:ascii="宋体" w:hAnsi="宋体" w:cs="宋体"/>
          <w:sz w:val="24"/>
          <w:szCs w:val="24"/>
        </w:rPr>
        <w:t>1.至少引入1家符合新区产业定位的世界500强、国内100强或行业100强的企业；</w:t>
      </w:r>
    </w:p>
    <w:p>
      <w:pPr>
        <w:pStyle w:val="2"/>
        <w:ind w:firstLine="480" w:firstLineChars="200"/>
        <w:rPr>
          <w:rFonts w:hint="eastAsia" w:ascii="Times New Roman" w:hAnsi="Times New Roman" w:cs="Times New Roman"/>
        </w:rPr>
      </w:pPr>
      <w:r>
        <w:rPr>
          <w:rFonts w:hint="eastAsia" w:ascii="Times New Roman" w:hAnsi="Times New Roman" w:cs="Times New Roman"/>
        </w:rPr>
        <w:t>2.至少引入1家符合新区产业定位的企业，落地后一个自然年内产值（若多家合并计算）不低于5亿元。</w:t>
      </w:r>
    </w:p>
    <w:p>
      <w:pPr>
        <w:pStyle w:val="4"/>
        <w:numPr>
          <w:ilvl w:val="2"/>
          <w:numId w:val="0"/>
        </w:numPr>
        <w:spacing w:before="140" w:after="140"/>
        <w:rPr>
          <w:rFonts w:hint="eastAsia"/>
        </w:rPr>
      </w:pPr>
      <w:r>
        <w:rPr>
          <w:rFonts w:hint="eastAsia"/>
        </w:rPr>
        <w:t>三、服务考核</w:t>
      </w:r>
    </w:p>
    <w:p>
      <w:pPr>
        <w:spacing w:line="560" w:lineRule="atLeast"/>
        <w:ind w:firstLine="640"/>
        <w:rPr>
          <w:rFonts w:hint="eastAsia" w:ascii="宋体" w:hAnsi="宋体" w:cs="宋体"/>
          <w:sz w:val="24"/>
          <w:szCs w:val="24"/>
        </w:rPr>
      </w:pPr>
      <w:r>
        <w:rPr>
          <w:rFonts w:hint="eastAsia" w:ascii="宋体" w:hAnsi="宋体" w:cs="宋体"/>
          <w:sz w:val="24"/>
          <w:szCs w:val="24"/>
        </w:rPr>
        <w:t>（一）云服务考核，应用于云资源服务，运维服务和重保服务三项内容。</w:t>
      </w:r>
    </w:p>
    <w:p>
      <w:pPr>
        <w:spacing w:line="560" w:lineRule="atLeast"/>
        <w:ind w:firstLine="640"/>
        <w:rPr>
          <w:rFonts w:hint="eastAsia" w:ascii="宋体" w:hAnsi="宋体" w:cs="宋体"/>
          <w:sz w:val="24"/>
          <w:szCs w:val="24"/>
        </w:rPr>
      </w:pPr>
      <w:r>
        <w:rPr>
          <w:rFonts w:hint="eastAsia" w:ascii="宋体" w:hAnsi="宋体" w:cs="宋体"/>
          <w:sz w:val="24"/>
          <w:szCs w:val="24"/>
        </w:rPr>
        <w:t>在满足该项目服务需求内容的基础上，参照《一体化云服务平台评分表》按4个周期进行服务质量考核（每3个月为1个周期）。</w:t>
      </w:r>
    </w:p>
    <w:p>
      <w:pPr>
        <w:spacing w:line="560" w:lineRule="atLeast"/>
        <w:ind w:firstLine="640"/>
        <w:rPr>
          <w:rFonts w:hint="eastAsia" w:ascii="宋体" w:hAnsi="宋体" w:cs="宋体"/>
          <w:sz w:val="24"/>
          <w:szCs w:val="24"/>
        </w:rPr>
      </w:pPr>
      <w:r>
        <w:rPr>
          <w:rFonts w:hint="eastAsia" w:ascii="宋体" w:hAnsi="宋体" w:cs="宋体"/>
          <w:sz w:val="24"/>
          <w:szCs w:val="24"/>
        </w:rPr>
        <w:t>①若综合评分为100≥综合评分≥90，足额支付本周期服务费。</w:t>
      </w:r>
    </w:p>
    <w:p>
      <w:pPr>
        <w:spacing w:line="560" w:lineRule="atLeast"/>
        <w:ind w:firstLine="640"/>
        <w:rPr>
          <w:rFonts w:hint="eastAsia" w:ascii="宋体" w:hAnsi="宋体" w:cs="宋体"/>
          <w:sz w:val="24"/>
          <w:szCs w:val="24"/>
        </w:rPr>
      </w:pPr>
      <w:r>
        <w:rPr>
          <w:rFonts w:hint="eastAsia" w:ascii="宋体" w:hAnsi="宋体" w:cs="宋体"/>
          <w:sz w:val="24"/>
          <w:szCs w:val="24"/>
        </w:rPr>
        <w:t>②若综合评分90＞评分≥80，每低一分，扣罚本周期服务费的0.5%款项。</w:t>
      </w:r>
    </w:p>
    <w:p>
      <w:pPr>
        <w:spacing w:line="560" w:lineRule="atLeast"/>
        <w:ind w:firstLine="640"/>
        <w:rPr>
          <w:rFonts w:hint="eastAsia" w:ascii="宋体" w:hAnsi="宋体" w:cs="宋体"/>
          <w:sz w:val="24"/>
          <w:szCs w:val="24"/>
        </w:rPr>
      </w:pPr>
      <w:r>
        <w:rPr>
          <w:rFonts w:hint="eastAsia" w:ascii="宋体" w:hAnsi="宋体" w:cs="宋体"/>
          <w:sz w:val="24"/>
          <w:szCs w:val="24"/>
        </w:rPr>
        <w:t>③若综合评分为80＞综合评分≥70，阶梯扣罚，每低于一分按照季度服务费用的1%扣罚。</w:t>
      </w:r>
    </w:p>
    <w:p>
      <w:pPr>
        <w:spacing w:line="560" w:lineRule="atLeast"/>
        <w:ind w:firstLine="640"/>
        <w:rPr>
          <w:rFonts w:hint="eastAsia" w:ascii="宋体" w:hAnsi="宋体" w:cs="宋体"/>
          <w:sz w:val="24"/>
          <w:szCs w:val="24"/>
        </w:rPr>
      </w:pPr>
      <w:r>
        <w:rPr>
          <w:rFonts w:hint="eastAsia" w:ascii="宋体" w:hAnsi="宋体" w:cs="宋体"/>
          <w:sz w:val="24"/>
          <w:szCs w:val="24"/>
        </w:rPr>
        <w:t>④若综合评分为70＞综合评分≥60，阶梯扣罚，每低于一分按照季度服务费用的2%扣罚。</w:t>
      </w:r>
    </w:p>
    <w:p>
      <w:pPr>
        <w:spacing w:line="560" w:lineRule="atLeast"/>
        <w:ind w:firstLine="640"/>
        <w:rPr>
          <w:rFonts w:hint="eastAsia" w:ascii="宋体" w:hAnsi="宋体" w:cs="宋体"/>
          <w:sz w:val="24"/>
          <w:szCs w:val="24"/>
        </w:rPr>
      </w:pPr>
      <w:r>
        <w:rPr>
          <w:rFonts w:hint="eastAsia" w:ascii="宋体" w:hAnsi="宋体" w:cs="宋体"/>
          <w:sz w:val="24"/>
          <w:szCs w:val="24"/>
        </w:rPr>
        <w:t>⑤若综合评分为综合评分＜60，扣罚本季度服务费的50%款项，同时采购方有权暂停其服务资格并提出整改要求，供应商需按采购方提出的整改要求及期限进行整改并经采购方确认。连续两次考核不合格或拒不整改的，采购方有权要求解除服务，并有权不予支付剩余款项。</w:t>
      </w:r>
    </w:p>
    <w:tbl>
      <w:tblPr>
        <w:tblStyle w:val="6"/>
        <w:tblW w:w="5000" w:type="pct"/>
        <w:tblInd w:w="-5" w:type="dxa"/>
        <w:tblLayout w:type="autofit"/>
        <w:tblCellMar>
          <w:top w:w="0" w:type="dxa"/>
          <w:left w:w="108" w:type="dxa"/>
          <w:bottom w:w="0" w:type="dxa"/>
          <w:right w:w="108" w:type="dxa"/>
        </w:tblCellMar>
      </w:tblPr>
      <w:tblGrid>
        <w:gridCol w:w="1149"/>
        <w:gridCol w:w="1056"/>
        <w:gridCol w:w="1288"/>
        <w:gridCol w:w="2687"/>
        <w:gridCol w:w="1175"/>
        <w:gridCol w:w="1172"/>
      </w:tblGrid>
      <w:tr>
        <w:tblPrEx>
          <w:tblCellMar>
            <w:top w:w="0" w:type="dxa"/>
            <w:left w:w="108" w:type="dxa"/>
            <w:bottom w:w="0" w:type="dxa"/>
            <w:right w:w="108" w:type="dxa"/>
          </w:tblCellMar>
        </w:tblPrEx>
        <w:trPr>
          <w:trHeight w:val="289" w:hRule="atLeast"/>
        </w:trPr>
        <w:tc>
          <w:tcPr>
            <w:tcW w:w="5000" w:type="pct"/>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rPr>
            </w:pPr>
            <w:r>
              <w:rPr>
                <w:rFonts w:hint="eastAsia" w:ascii="仿宋_GB2312" w:hAnsi="宋体" w:cs="宋体"/>
                <w:color w:val="000000"/>
                <w:kern w:val="0"/>
              </w:rPr>
              <w:t>服务周期：   年   月   -   年   月</w:t>
            </w:r>
          </w:p>
        </w:tc>
      </w:tr>
      <w:tr>
        <w:tblPrEx>
          <w:tblCellMar>
            <w:top w:w="0" w:type="dxa"/>
            <w:left w:w="108" w:type="dxa"/>
            <w:bottom w:w="0" w:type="dxa"/>
            <w:right w:w="108" w:type="dxa"/>
          </w:tblCellMar>
        </w:tblPrEx>
        <w:trPr>
          <w:trHeight w:val="460" w:hRule="atLeast"/>
        </w:trPr>
        <w:tc>
          <w:tcPr>
            <w:tcW w:w="659" w:type="pc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序号</w:t>
            </w:r>
          </w:p>
        </w:tc>
        <w:tc>
          <w:tcPr>
            <w:tcW w:w="2992" w:type="pct"/>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服务内容</w:t>
            </w:r>
          </w:p>
        </w:tc>
        <w:tc>
          <w:tcPr>
            <w:tcW w:w="675"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得分</w:t>
            </w:r>
          </w:p>
        </w:tc>
        <w:tc>
          <w:tcPr>
            <w:tcW w:w="673"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总计</w:t>
            </w:r>
          </w:p>
        </w:tc>
      </w:tr>
      <w:tr>
        <w:tblPrEx>
          <w:tblCellMar>
            <w:top w:w="0" w:type="dxa"/>
            <w:left w:w="108" w:type="dxa"/>
            <w:bottom w:w="0" w:type="dxa"/>
            <w:right w:w="108" w:type="dxa"/>
          </w:tblCellMar>
        </w:tblPrEx>
        <w:trPr>
          <w:trHeight w:val="270" w:hRule="atLeast"/>
        </w:trPr>
        <w:tc>
          <w:tcPr>
            <w:tcW w:w="65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1</w:t>
            </w:r>
          </w:p>
        </w:tc>
        <w:tc>
          <w:tcPr>
            <w:tcW w:w="59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云资源服务</w:t>
            </w:r>
          </w:p>
        </w:tc>
        <w:tc>
          <w:tcPr>
            <w:tcW w:w="2394"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资源申请与发放（5分）</w:t>
            </w:r>
          </w:p>
        </w:tc>
        <w:tc>
          <w:tcPr>
            <w:tcW w:w="675" w:type="pct"/>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kern w:val="0"/>
              </w:rPr>
            </w:pPr>
          </w:p>
        </w:tc>
        <w:tc>
          <w:tcPr>
            <w:tcW w:w="673" w:type="pct"/>
            <w:vMerge w:val="restart"/>
            <w:tcBorders>
              <w:top w:val="nil"/>
              <w:left w:val="single" w:color="auto" w:sz="4" w:space="0"/>
              <w:bottom w:val="single" w:color="000000" w:sz="4" w:space="0"/>
              <w:right w:val="single" w:color="auto" w:sz="4" w:space="0"/>
            </w:tcBorders>
            <w:noWrap/>
            <w:vAlign w:val="bottom"/>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2394"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操作系统等软件系统（5分）</w:t>
            </w:r>
          </w:p>
        </w:tc>
        <w:tc>
          <w:tcPr>
            <w:tcW w:w="675" w:type="pct"/>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2394"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资源扩容（5分）</w:t>
            </w:r>
          </w:p>
        </w:tc>
        <w:tc>
          <w:tcPr>
            <w:tcW w:w="675" w:type="pct"/>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2394"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IP地址配置（5分）</w:t>
            </w:r>
          </w:p>
        </w:tc>
        <w:tc>
          <w:tcPr>
            <w:tcW w:w="675"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2</w:t>
            </w:r>
          </w:p>
        </w:tc>
        <w:tc>
          <w:tcPr>
            <w:tcW w:w="59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运维</w:t>
            </w:r>
          </w:p>
          <w:p>
            <w:pPr>
              <w:widowControl/>
              <w:jc w:val="center"/>
              <w:rPr>
                <w:rFonts w:ascii="仿宋_GB2312" w:hAnsi="宋体" w:cs="宋体"/>
                <w:color w:val="000000"/>
                <w:kern w:val="0"/>
              </w:rPr>
            </w:pPr>
            <w:r>
              <w:rPr>
                <w:rFonts w:hint="eastAsia" w:ascii="仿宋_GB2312" w:hAnsi="宋体" w:cs="宋体"/>
                <w:color w:val="000000"/>
                <w:kern w:val="0"/>
              </w:rPr>
              <w:t>服务</w:t>
            </w:r>
          </w:p>
        </w:tc>
        <w:tc>
          <w:tcPr>
            <w:tcW w:w="2394"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机房管理服务（5分）</w:t>
            </w:r>
          </w:p>
        </w:tc>
        <w:tc>
          <w:tcPr>
            <w:tcW w:w="675"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2394"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机柜服务（5分）</w:t>
            </w:r>
          </w:p>
        </w:tc>
        <w:tc>
          <w:tcPr>
            <w:tcW w:w="675"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748"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驻场服务</w:t>
            </w:r>
          </w:p>
        </w:tc>
        <w:tc>
          <w:tcPr>
            <w:tcW w:w="1646"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人员保障服务（5分）</w:t>
            </w:r>
          </w:p>
        </w:tc>
        <w:tc>
          <w:tcPr>
            <w:tcW w:w="675"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7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1646"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软件运维服务（5分）</w:t>
            </w:r>
          </w:p>
        </w:tc>
        <w:tc>
          <w:tcPr>
            <w:tcW w:w="675"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7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1646"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硬件运维服务（5分）</w:t>
            </w:r>
          </w:p>
        </w:tc>
        <w:tc>
          <w:tcPr>
            <w:tcW w:w="675"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7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1646"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资源管理服务（5分）</w:t>
            </w:r>
          </w:p>
        </w:tc>
        <w:tc>
          <w:tcPr>
            <w:tcW w:w="675"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7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1646"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故障处理服务（5分）</w:t>
            </w:r>
          </w:p>
        </w:tc>
        <w:tc>
          <w:tcPr>
            <w:tcW w:w="675"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7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1646"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安全巡检服务（5分）</w:t>
            </w:r>
          </w:p>
        </w:tc>
        <w:tc>
          <w:tcPr>
            <w:tcW w:w="675"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316"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7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1646"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运维管理体系建设（5分）</w:t>
            </w:r>
          </w:p>
        </w:tc>
        <w:tc>
          <w:tcPr>
            <w:tcW w:w="675"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46"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7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1646"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应急响应服务（5分）</w:t>
            </w:r>
          </w:p>
        </w:tc>
        <w:tc>
          <w:tcPr>
            <w:tcW w:w="675"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325"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748"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网络维护服务</w:t>
            </w:r>
          </w:p>
        </w:tc>
        <w:tc>
          <w:tcPr>
            <w:tcW w:w="1646"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网络专线服务（10分）</w:t>
            </w:r>
          </w:p>
        </w:tc>
        <w:tc>
          <w:tcPr>
            <w:tcW w:w="675"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748"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测评服务</w:t>
            </w:r>
          </w:p>
        </w:tc>
        <w:tc>
          <w:tcPr>
            <w:tcW w:w="1646"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等保测评服务（5分）</w:t>
            </w:r>
          </w:p>
        </w:tc>
        <w:tc>
          <w:tcPr>
            <w:tcW w:w="675"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59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74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rPr>
            </w:pPr>
          </w:p>
        </w:tc>
        <w:tc>
          <w:tcPr>
            <w:tcW w:w="1646"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密码测评服务（5分）</w:t>
            </w:r>
          </w:p>
        </w:tc>
        <w:tc>
          <w:tcPr>
            <w:tcW w:w="675"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　</w:t>
            </w: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3</w:t>
            </w:r>
          </w:p>
        </w:tc>
        <w:tc>
          <w:tcPr>
            <w:tcW w:w="2992" w:type="pct"/>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重保服务（10分）</w:t>
            </w:r>
          </w:p>
        </w:tc>
        <w:tc>
          <w:tcPr>
            <w:tcW w:w="675"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　</w:t>
            </w:r>
          </w:p>
        </w:tc>
        <w:tc>
          <w:tcPr>
            <w:tcW w:w="673"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4</w:t>
            </w:r>
          </w:p>
        </w:tc>
        <w:tc>
          <w:tcPr>
            <w:tcW w:w="2992" w:type="pct"/>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加分项（根据实际情况）</w:t>
            </w:r>
          </w:p>
        </w:tc>
        <w:tc>
          <w:tcPr>
            <w:tcW w:w="675"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59" w:type="pct"/>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5</w:t>
            </w:r>
          </w:p>
        </w:tc>
        <w:tc>
          <w:tcPr>
            <w:tcW w:w="2992" w:type="pct"/>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r>
              <w:rPr>
                <w:rFonts w:hint="eastAsia" w:ascii="仿宋_GB2312" w:hAnsi="宋体" w:cs="宋体"/>
                <w:color w:val="000000"/>
                <w:kern w:val="0"/>
              </w:rPr>
              <w:t>减分项（根据实际情况）</w:t>
            </w:r>
          </w:p>
        </w:tc>
        <w:tc>
          <w:tcPr>
            <w:tcW w:w="675" w:type="pct"/>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rPr>
            </w:pPr>
          </w:p>
        </w:tc>
        <w:tc>
          <w:tcPr>
            <w:tcW w:w="673" w:type="pct"/>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252" w:hRule="atLeast"/>
        </w:trPr>
        <w:tc>
          <w:tcPr>
            <w:tcW w:w="659" w:type="pct"/>
            <w:tcBorders>
              <w:top w:val="nil"/>
              <w:left w:val="single" w:color="auto" w:sz="4" w:space="0"/>
              <w:bottom w:val="single" w:color="auto" w:sz="4" w:space="0"/>
              <w:right w:val="single" w:color="auto" w:sz="4" w:space="0"/>
            </w:tcBorders>
            <w:noWrap/>
            <w:vAlign w:val="bottom"/>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采购方：</w:t>
            </w:r>
          </w:p>
        </w:tc>
        <w:tc>
          <w:tcPr>
            <w:tcW w:w="2992" w:type="pct"/>
            <w:gridSpan w:val="3"/>
            <w:tcBorders>
              <w:top w:val="single" w:color="auto" w:sz="4" w:space="0"/>
              <w:left w:val="nil"/>
              <w:bottom w:val="single" w:color="auto" w:sz="4" w:space="0"/>
              <w:right w:val="single" w:color="000000" w:sz="4" w:space="0"/>
            </w:tcBorders>
            <w:noWrap w:val="0"/>
            <w:vAlign w:val="bottom"/>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w:t>
            </w:r>
          </w:p>
        </w:tc>
        <w:tc>
          <w:tcPr>
            <w:tcW w:w="675" w:type="pct"/>
            <w:tcBorders>
              <w:top w:val="nil"/>
              <w:left w:val="nil"/>
              <w:bottom w:val="single" w:color="auto" w:sz="4" w:space="0"/>
              <w:right w:val="single" w:color="auto" w:sz="4" w:space="0"/>
            </w:tcBorders>
            <w:noWrap/>
            <w:vAlign w:val="bottom"/>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经办人：</w:t>
            </w:r>
          </w:p>
        </w:tc>
        <w:tc>
          <w:tcPr>
            <w:tcW w:w="673" w:type="pct"/>
            <w:tcBorders>
              <w:top w:val="nil"/>
              <w:left w:val="nil"/>
              <w:bottom w:val="single" w:color="auto" w:sz="4" w:space="0"/>
              <w:right w:val="single" w:color="auto" w:sz="4" w:space="0"/>
            </w:tcBorders>
            <w:noWrap/>
            <w:vAlign w:val="bottom"/>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w:t>
            </w:r>
          </w:p>
        </w:tc>
      </w:tr>
      <w:tr>
        <w:tblPrEx>
          <w:tblCellMar>
            <w:top w:w="0" w:type="dxa"/>
            <w:left w:w="108" w:type="dxa"/>
            <w:bottom w:w="0" w:type="dxa"/>
            <w:right w:w="108" w:type="dxa"/>
          </w:tblCellMar>
        </w:tblPrEx>
        <w:trPr>
          <w:trHeight w:val="252" w:hRule="atLeast"/>
        </w:trPr>
        <w:tc>
          <w:tcPr>
            <w:tcW w:w="659" w:type="pct"/>
            <w:tcBorders>
              <w:top w:val="nil"/>
              <w:left w:val="single" w:color="auto" w:sz="4" w:space="0"/>
              <w:bottom w:val="single" w:color="auto" w:sz="4" w:space="0"/>
              <w:right w:val="single" w:color="auto" w:sz="4" w:space="0"/>
            </w:tcBorders>
            <w:noWrap/>
            <w:vAlign w:val="bottom"/>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服务商：</w:t>
            </w:r>
          </w:p>
        </w:tc>
        <w:tc>
          <w:tcPr>
            <w:tcW w:w="2992" w:type="pct"/>
            <w:gridSpan w:val="3"/>
            <w:tcBorders>
              <w:top w:val="single" w:color="auto" w:sz="4" w:space="0"/>
              <w:left w:val="nil"/>
              <w:bottom w:val="single" w:color="auto" w:sz="4" w:space="0"/>
              <w:right w:val="single" w:color="000000" w:sz="4" w:space="0"/>
            </w:tcBorders>
            <w:noWrap/>
            <w:vAlign w:val="bottom"/>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w:t>
            </w:r>
          </w:p>
        </w:tc>
        <w:tc>
          <w:tcPr>
            <w:tcW w:w="675" w:type="pct"/>
            <w:tcBorders>
              <w:top w:val="nil"/>
              <w:left w:val="nil"/>
              <w:bottom w:val="single" w:color="auto" w:sz="4" w:space="0"/>
              <w:right w:val="single" w:color="auto" w:sz="4" w:space="0"/>
            </w:tcBorders>
            <w:noWrap/>
            <w:vAlign w:val="bottom"/>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经办人：</w:t>
            </w:r>
          </w:p>
        </w:tc>
        <w:tc>
          <w:tcPr>
            <w:tcW w:w="673" w:type="pct"/>
            <w:tcBorders>
              <w:top w:val="nil"/>
              <w:left w:val="nil"/>
              <w:bottom w:val="single" w:color="auto" w:sz="4" w:space="0"/>
              <w:right w:val="single" w:color="auto" w:sz="4" w:space="0"/>
            </w:tcBorders>
            <w:noWrap/>
            <w:vAlign w:val="bottom"/>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w:t>
            </w:r>
          </w:p>
        </w:tc>
      </w:tr>
      <w:tr>
        <w:tblPrEx>
          <w:tblCellMar>
            <w:top w:w="0" w:type="dxa"/>
            <w:left w:w="108" w:type="dxa"/>
            <w:bottom w:w="0" w:type="dxa"/>
            <w:right w:w="108" w:type="dxa"/>
          </w:tblCellMar>
        </w:tblPrEx>
        <w:trPr>
          <w:trHeight w:val="252" w:hRule="atLeast"/>
        </w:trPr>
        <w:tc>
          <w:tcPr>
            <w:tcW w:w="5000" w:type="pct"/>
            <w:gridSpan w:val="6"/>
            <w:tcBorders>
              <w:top w:val="single" w:color="auto" w:sz="4" w:space="0"/>
              <w:left w:val="single" w:color="auto" w:sz="4" w:space="0"/>
              <w:bottom w:val="single" w:color="auto" w:sz="4" w:space="0"/>
              <w:right w:val="single" w:color="auto" w:sz="4" w:space="0"/>
            </w:tcBorders>
            <w:noWrap/>
            <w:vAlign w:val="bottom"/>
          </w:tcPr>
          <w:p>
            <w:pPr>
              <w:spacing w:line="560" w:lineRule="exact"/>
              <w:rPr>
                <w:rFonts w:ascii="仿宋_GB2312" w:hAnsi="仿宋_GB2312" w:cs="仿宋_GB2312"/>
              </w:rPr>
            </w:pPr>
            <w:r>
              <w:rPr>
                <w:rFonts w:hint="eastAsia" w:ascii="仿宋_GB2312" w:hAnsi="宋体" w:cs="宋体"/>
                <w:color w:val="000000"/>
                <w:kern w:val="0"/>
                <w:sz w:val="22"/>
                <w:szCs w:val="22"/>
              </w:rPr>
              <w:t>备注：</w:t>
            </w:r>
            <w:r>
              <w:rPr>
                <w:rFonts w:hint="eastAsia" w:ascii="仿宋_GB2312" w:hAnsi="仿宋_GB2312" w:cs="仿宋_GB2312"/>
              </w:rPr>
              <w:t>根据各项服务响应SLA标准进行赋分，详见附件三。100%≥响应程度＞90%得满分，90%≥响应程度＞80%得满分分值的80%，80%≥响应程度＞60%得满分分值的50%，60%≥响应程度得0分。</w:t>
            </w:r>
          </w:p>
        </w:tc>
      </w:tr>
    </w:tbl>
    <w:p>
      <w:pPr>
        <w:adjustRightInd w:val="0"/>
        <w:snapToGrid w:val="0"/>
        <w:spacing w:line="560" w:lineRule="exact"/>
        <w:ind w:firstLine="442"/>
        <w:jc w:val="center"/>
        <w:rPr>
          <w:rFonts w:hint="eastAsia"/>
          <w:b/>
          <w:sz w:val="22"/>
        </w:rPr>
      </w:pPr>
      <w:r>
        <w:rPr>
          <w:rFonts w:hint="eastAsia"/>
          <w:b/>
          <w:sz w:val="22"/>
        </w:rPr>
        <w:t>表2</w:t>
      </w:r>
      <w:r>
        <w:rPr>
          <w:b/>
          <w:sz w:val="22"/>
        </w:rPr>
        <w:t xml:space="preserve"> </w:t>
      </w:r>
      <w:r>
        <w:rPr>
          <w:rFonts w:hint="eastAsia"/>
          <w:b/>
          <w:sz w:val="22"/>
        </w:rPr>
        <w:t>一体化云服务平台评分表</w:t>
      </w:r>
    </w:p>
    <w:p>
      <w:pPr>
        <w:pStyle w:val="2"/>
        <w:spacing w:line="360" w:lineRule="auto"/>
        <w:ind w:firstLine="480" w:firstLineChars="200"/>
        <w:rPr>
          <w:rFonts w:hint="eastAsia"/>
          <w:kern w:val="2"/>
        </w:rPr>
      </w:pPr>
      <w:r>
        <w:rPr>
          <w:rFonts w:hint="eastAsia"/>
          <w:kern w:val="2"/>
        </w:rPr>
        <w:t>（二）专项服务考核，应用于采购内容第四项产业发展内容，服务期内或者招引企业落地后一个自然年内未完成产业发展内容，按照未完成比例扣罚该专项服务费用，最高扣罚该项目总服务费用10%。</w:t>
      </w:r>
    </w:p>
    <w:p>
      <w:pPr>
        <w:pStyle w:val="4"/>
        <w:numPr>
          <w:ilvl w:val="2"/>
          <w:numId w:val="0"/>
        </w:numPr>
        <w:spacing w:before="140" w:after="140"/>
        <w:rPr>
          <w:rFonts w:hint="eastAsia"/>
        </w:rPr>
      </w:pPr>
      <w:r>
        <w:rPr>
          <w:rFonts w:hint="eastAsia"/>
        </w:rPr>
        <w:t>四、付款方式</w:t>
      </w:r>
    </w:p>
    <w:bookmarkEnd w:id="0"/>
    <w:bookmarkEnd w:id="1"/>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服务期内分多次付款，分别为预付款（合同总金额的50%）；云服务考核款分为第一、二、三、四周期阶段性验收款（每3个月为1个周期，每周期服务费占合同总金额的10%）；专项服务考核款（合同总金额10%）。预付款：采购人应于合同签订后30个工作日内，供应商持中标通知书、合同、对应金额的增值税专用发票支付预付款；云服务考核款：按照周期验收合格后并收到对应金额的增值税专用发票后30个工作日内支付；专项服务考核款：专项服务考核完成后或约定服务考核期满后并收到对应金额的增值税专用发票后30个工作日内支付；如有扣罚，按照服务考核结果将对应款项进行扣罚。</w:t>
      </w:r>
    </w:p>
    <w:p>
      <w:pPr>
        <w:widowControl/>
        <w:jc w:val="left"/>
      </w:pPr>
      <w:r>
        <w:br w:type="page"/>
      </w:r>
    </w:p>
    <w:p>
      <w:pPr>
        <w:pStyle w:val="5"/>
        <w:numPr>
          <w:ilvl w:val="0"/>
          <w:numId w:val="0"/>
        </w:numPr>
      </w:pPr>
      <w:r>
        <w:rPr>
          <w:rFonts w:hint="eastAsia"/>
        </w:rPr>
        <w:t>附件一</w:t>
      </w:r>
    </w:p>
    <w:p>
      <w:pPr>
        <w:jc w:val="center"/>
        <w:rPr>
          <w:rFonts w:hint="eastAsia" w:ascii="宋体" w:hAnsi="宋体" w:cs="宋体"/>
          <w:b/>
          <w:bCs/>
          <w:sz w:val="24"/>
          <w:szCs w:val="24"/>
        </w:rPr>
      </w:pPr>
      <w:r>
        <w:rPr>
          <w:rFonts w:hint="eastAsia" w:ascii="宋体" w:hAnsi="宋体" w:cs="宋体"/>
          <w:b/>
          <w:bCs/>
          <w:sz w:val="24"/>
          <w:szCs w:val="24"/>
        </w:rPr>
        <w:t>运维团队人员要求</w:t>
      </w:r>
    </w:p>
    <w:tbl>
      <w:tblPr>
        <w:tblStyle w:val="6"/>
        <w:tblW w:w="4998" w:type="pct"/>
        <w:jc w:val="center"/>
        <w:tblLayout w:type="autofit"/>
        <w:tblCellMar>
          <w:top w:w="0" w:type="dxa"/>
          <w:left w:w="108" w:type="dxa"/>
          <w:bottom w:w="0" w:type="dxa"/>
          <w:right w:w="108" w:type="dxa"/>
        </w:tblCellMar>
      </w:tblPr>
      <w:tblGrid>
        <w:gridCol w:w="463"/>
        <w:gridCol w:w="556"/>
        <w:gridCol w:w="407"/>
        <w:gridCol w:w="4181"/>
        <w:gridCol w:w="1156"/>
        <w:gridCol w:w="774"/>
        <w:gridCol w:w="982"/>
      </w:tblGrid>
      <w:tr>
        <w:tblPrEx>
          <w:tblCellMar>
            <w:top w:w="0" w:type="dxa"/>
            <w:left w:w="108" w:type="dxa"/>
            <w:bottom w:w="0" w:type="dxa"/>
            <w:right w:w="108" w:type="dxa"/>
          </w:tblCellMar>
        </w:tblPrEx>
        <w:trPr>
          <w:trHeight w:val="549" w:hRule="atLeast"/>
          <w:tblHeader/>
          <w:jc w:val="center"/>
        </w:trPr>
        <w:tc>
          <w:tcPr>
            <w:tcW w:w="27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服务类别</w:t>
            </w:r>
          </w:p>
        </w:tc>
        <w:tc>
          <w:tcPr>
            <w:tcW w:w="326" w:type="pc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岗位类别</w:t>
            </w:r>
          </w:p>
        </w:tc>
        <w:tc>
          <w:tcPr>
            <w:tcW w:w="239" w:type="pc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单项名称</w:t>
            </w:r>
          </w:p>
        </w:tc>
        <w:tc>
          <w:tcPr>
            <w:tcW w:w="2453" w:type="pc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岗位职责</w:t>
            </w:r>
          </w:p>
        </w:tc>
        <w:tc>
          <w:tcPr>
            <w:tcW w:w="677" w:type="pc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资质要求</w:t>
            </w:r>
          </w:p>
        </w:tc>
        <w:tc>
          <w:tcPr>
            <w:tcW w:w="454" w:type="pc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数量（人）</w:t>
            </w:r>
          </w:p>
        </w:tc>
        <w:tc>
          <w:tcPr>
            <w:tcW w:w="576" w:type="pc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2256" w:hRule="atLeast"/>
          <w:jc w:val="center"/>
        </w:trPr>
        <w:tc>
          <w:tcPr>
            <w:tcW w:w="272"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运维服务</w:t>
            </w:r>
          </w:p>
        </w:tc>
        <w:tc>
          <w:tcPr>
            <w:tcW w:w="32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项目经理</w:t>
            </w:r>
          </w:p>
        </w:tc>
        <w:tc>
          <w:tcPr>
            <w:tcW w:w="239"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项目经理</w:t>
            </w:r>
          </w:p>
        </w:tc>
        <w:tc>
          <w:tcPr>
            <w:tcW w:w="2453"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负责整个项目运维方案和进度计划、月、周工作安排和落实；2、负责统筹项目汇报材料、运维规划材料的编制；3、负责一体化云平台云资源需求对接、运维团队任务分配和管理工作；4、负责一体化云平台数据存储的持续优化计划，包括存储扩容计划以及根据客户需求进行数据灾备计划等的定制和推进；5、负责团队优化持续推进，根据项目进行人员岗位定制并落实持续培训计划；6、负责云平台和第三方业务系统的对接、集成，熟悉对接流程，能根据实际情况定制和优化集成方案；7、具备设计云平台运维项目方案、判断技术方案的可行性优佳的能力；8、根据项目实际需要，配合进行重保、应急演练等工作。</w:t>
            </w:r>
          </w:p>
        </w:tc>
        <w:tc>
          <w:tcPr>
            <w:tcW w:w="6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具备相关专业高级工程师证书</w:t>
            </w:r>
          </w:p>
        </w:tc>
        <w:tc>
          <w:tcPr>
            <w:tcW w:w="4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576"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主要负责X86云平台和国产云平台</w:t>
            </w:r>
          </w:p>
        </w:tc>
      </w:tr>
      <w:tr>
        <w:tblPrEx>
          <w:tblCellMar>
            <w:top w:w="0" w:type="dxa"/>
            <w:left w:w="108" w:type="dxa"/>
            <w:bottom w:w="0" w:type="dxa"/>
            <w:right w:w="108" w:type="dxa"/>
          </w:tblCellMar>
        </w:tblPrEx>
        <w:trPr>
          <w:trHeight w:val="2256" w:hRule="atLeast"/>
          <w:jc w:val="center"/>
        </w:trPr>
        <w:tc>
          <w:tcPr>
            <w:tcW w:w="27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p>
        </w:tc>
        <w:tc>
          <w:tcPr>
            <w:tcW w:w="326"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专项工程师</w:t>
            </w:r>
          </w:p>
        </w:tc>
        <w:tc>
          <w:tcPr>
            <w:tcW w:w="239"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网络工程师</w:t>
            </w:r>
          </w:p>
        </w:tc>
        <w:tc>
          <w:tcPr>
            <w:tcW w:w="2453"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负责机房内的网络联接及网络间的系统配置；2、负责系统网络的拓扑图的建立和完善，并做好系统路由的解析和资料的整理；3、负责机房线路的布置和协议的规范工作；4、负责服务器间的网络联接及网络共享，并负责网络间安全性的设置；5、负责对网络障碍的分析，及时处理和解决网络中出现的问题；6、定期对现有的网络进行优化工作；7、负责常用网络设备的调试，配置等工作；8、负责出现疑难问题时，协调原厂工程师进行现场或二线进行问题快速定位和处置；9、负责西咸电子政务外网网络骨干节点的日常运维和故障处理；10、负责西咸电子政务外网网络骨干节点上下联线路的路由配置及连通性保障。</w:t>
            </w:r>
          </w:p>
        </w:tc>
        <w:tc>
          <w:tcPr>
            <w:tcW w:w="6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具备相关专业工程师证书</w:t>
            </w:r>
          </w:p>
        </w:tc>
        <w:tc>
          <w:tcPr>
            <w:tcW w:w="4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57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分别负责X86云平台和国产云平台</w:t>
            </w:r>
          </w:p>
        </w:tc>
      </w:tr>
      <w:tr>
        <w:tblPrEx>
          <w:tblCellMar>
            <w:top w:w="0" w:type="dxa"/>
            <w:left w:w="108" w:type="dxa"/>
            <w:bottom w:w="0" w:type="dxa"/>
            <w:right w:w="108" w:type="dxa"/>
          </w:tblCellMar>
        </w:tblPrEx>
        <w:trPr>
          <w:trHeight w:val="1266" w:hRule="atLeast"/>
          <w:jc w:val="center"/>
        </w:trPr>
        <w:tc>
          <w:tcPr>
            <w:tcW w:w="27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p>
        </w:tc>
        <w:tc>
          <w:tcPr>
            <w:tcW w:w="326"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p>
        </w:tc>
        <w:tc>
          <w:tcPr>
            <w:tcW w:w="239"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云平台工程师</w:t>
            </w:r>
          </w:p>
        </w:tc>
        <w:tc>
          <w:tcPr>
            <w:tcW w:w="2453"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负责云平台的日常运维工作；2、负责云平台资源整体调度；3、负责云管平台日常监测及故障处理；4、负责云平台运行数据整理、分析及报告编制；5、负责处理资源交付申请单，对云资源按要求进行交付和及时回收过期资源。6、负责对云平台持续优化，要求熟悉主流X86架构、国产架构私有云平台的产品特性；7、负责出现疑难问题时，协调原厂工程师进行现场或二线进行问题快速定位和处置。</w:t>
            </w:r>
          </w:p>
        </w:tc>
        <w:tc>
          <w:tcPr>
            <w:tcW w:w="6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具备相关专业工程师证书</w:t>
            </w:r>
          </w:p>
        </w:tc>
        <w:tc>
          <w:tcPr>
            <w:tcW w:w="4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57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分别负责X86云平台和国产云平台</w:t>
            </w:r>
          </w:p>
        </w:tc>
      </w:tr>
      <w:tr>
        <w:tblPrEx>
          <w:tblCellMar>
            <w:top w:w="0" w:type="dxa"/>
            <w:left w:w="108" w:type="dxa"/>
            <w:bottom w:w="0" w:type="dxa"/>
            <w:right w:w="108" w:type="dxa"/>
          </w:tblCellMar>
        </w:tblPrEx>
        <w:trPr>
          <w:trHeight w:val="2256" w:hRule="atLeast"/>
          <w:jc w:val="center"/>
        </w:trPr>
        <w:tc>
          <w:tcPr>
            <w:tcW w:w="27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p>
        </w:tc>
        <w:tc>
          <w:tcPr>
            <w:tcW w:w="326"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p>
        </w:tc>
        <w:tc>
          <w:tcPr>
            <w:tcW w:w="239"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服务器存储工程师</w:t>
            </w:r>
          </w:p>
        </w:tc>
        <w:tc>
          <w:tcPr>
            <w:tcW w:w="2453"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1、负责机房存储硬件设备(服务器、存储等设备)的维护工作；2、负责存储系统分析和性能优化，提供持续性的优化计划方案。3、负责云平台共享存储的基础配置，故障排除等；4、负责机房 IPSAN,NAS存储的基础配置，故障排除等；5、负责存储系统和存储数据的数据备份方案设计；6、负责协助项目经理提供云平台存储部分对接方案，要求具有云平台和SAN,分布式存储的对接经验；7、负责出现疑难问题时，协调原厂工程师进行现场或二线进行问题快速定位和处置。</w:t>
            </w:r>
          </w:p>
        </w:tc>
        <w:tc>
          <w:tcPr>
            <w:tcW w:w="6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具备相关专业工程师证书</w:t>
            </w:r>
          </w:p>
        </w:tc>
        <w:tc>
          <w:tcPr>
            <w:tcW w:w="4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57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分别负责X86云平台和国产云平台</w:t>
            </w:r>
          </w:p>
        </w:tc>
      </w:tr>
      <w:tr>
        <w:tblPrEx>
          <w:tblCellMar>
            <w:top w:w="0" w:type="dxa"/>
            <w:left w:w="108" w:type="dxa"/>
            <w:bottom w:w="0" w:type="dxa"/>
            <w:right w:w="108" w:type="dxa"/>
          </w:tblCellMar>
        </w:tblPrEx>
        <w:trPr>
          <w:trHeight w:val="2256" w:hRule="atLeast"/>
          <w:jc w:val="center"/>
        </w:trPr>
        <w:tc>
          <w:tcPr>
            <w:tcW w:w="27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p>
        </w:tc>
        <w:tc>
          <w:tcPr>
            <w:tcW w:w="326"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p>
        </w:tc>
        <w:tc>
          <w:tcPr>
            <w:tcW w:w="239"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系统软件维护工程师</w:t>
            </w:r>
          </w:p>
        </w:tc>
        <w:tc>
          <w:tcPr>
            <w:tcW w:w="2453"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1、负责Windows server、Linux、麒麟等系统软件常见错误分析和处理，兼容性分析和处理，日志分析和处理；2、负责Windows server、Linux、麒麟等系统软件常用变量和常用环境配置；3、负责持续跟进相关操作系统的运行情况，根据软件特性定制持续运维计划方案；4、负责操作系统的定期维护和升级服务。</w:t>
            </w:r>
          </w:p>
        </w:tc>
        <w:tc>
          <w:tcPr>
            <w:tcW w:w="6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具备相关专业工程师证书</w:t>
            </w:r>
          </w:p>
        </w:tc>
        <w:tc>
          <w:tcPr>
            <w:tcW w:w="4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57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主要负责X86云平台和国产云平台</w:t>
            </w:r>
          </w:p>
        </w:tc>
      </w:tr>
      <w:tr>
        <w:tblPrEx>
          <w:tblCellMar>
            <w:top w:w="0" w:type="dxa"/>
            <w:left w:w="108" w:type="dxa"/>
            <w:bottom w:w="0" w:type="dxa"/>
            <w:right w:w="108" w:type="dxa"/>
          </w:tblCellMar>
        </w:tblPrEx>
        <w:trPr>
          <w:trHeight w:val="2256" w:hRule="atLeast"/>
          <w:jc w:val="center"/>
        </w:trPr>
        <w:tc>
          <w:tcPr>
            <w:tcW w:w="27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p>
        </w:tc>
        <w:tc>
          <w:tcPr>
            <w:tcW w:w="326"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p>
        </w:tc>
        <w:tc>
          <w:tcPr>
            <w:tcW w:w="239"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网络信息安全工程师</w:t>
            </w:r>
          </w:p>
        </w:tc>
        <w:tc>
          <w:tcPr>
            <w:tcW w:w="2453"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负责日常网络安全技术执行：包括端口、服务漏洞扫描、程序漏洞分析检测、权限管理、入侵和攻击分析追踪、网站渗透、病毒木马防范等。2、负责一体化云平台及相关业务的网络安全设备巡检，故障处理，配置调整，备份等日常维护内容；3、负责网络安全设备在线监测，网络安全事件及时发现和处理；4、负责对监测到的网络安全漏洞，网络设备安全漏洞进行修补和验证；5、负责分析网络安全事件，并针对近期网络安全事件定制和调整网络安全策略；6、负责主流网络安全产品（如fw、ids、scanner、audit等）的配置及使用；7、负责出现疑难问题时，协调原厂工程师进行现场或二线进行问题快速定位和处置。</w:t>
            </w:r>
          </w:p>
        </w:tc>
        <w:tc>
          <w:tcPr>
            <w:tcW w:w="6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具备相关专业工程师证书</w:t>
            </w:r>
          </w:p>
        </w:tc>
        <w:tc>
          <w:tcPr>
            <w:tcW w:w="4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57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分别负责X86云平台和国产云平台</w:t>
            </w:r>
          </w:p>
        </w:tc>
      </w:tr>
      <w:tr>
        <w:tblPrEx>
          <w:tblCellMar>
            <w:top w:w="0" w:type="dxa"/>
            <w:left w:w="108" w:type="dxa"/>
            <w:bottom w:w="0" w:type="dxa"/>
            <w:right w:w="108" w:type="dxa"/>
          </w:tblCellMar>
        </w:tblPrEx>
        <w:trPr>
          <w:trHeight w:val="2256" w:hRule="atLeast"/>
          <w:jc w:val="center"/>
        </w:trPr>
        <w:tc>
          <w:tcPr>
            <w:tcW w:w="27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p>
        </w:tc>
        <w:tc>
          <w:tcPr>
            <w:tcW w:w="32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调试操作工程师</w:t>
            </w:r>
          </w:p>
        </w:tc>
        <w:tc>
          <w:tcPr>
            <w:tcW w:w="239"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调试操作工程师</w:t>
            </w:r>
          </w:p>
        </w:tc>
        <w:tc>
          <w:tcPr>
            <w:tcW w:w="2453"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每日对云平台的资源及服务器进行巡检，确保计算资源和存储资源使用正常；2.按季度对配置规范性进行检查；3、日常常见工单处理：如简单的故障工单处理，协助处理常见业务问题；4、系统升级、扩容、调整等操作后的信息整理归档；5、负责7×24小时监控平台软硬件设备的运行状况，现场驻点运维人员7*24小时在现场工作；6、负责设备的日常维护、故障处理、应急保障等工作。并解决系统平台运行维护中的问题；7、负责定期收集系统的网络、业务运行状况，做好网络预警工作，提出相应的改造、优化措施建议；8、定期向管理方上报运维周报并组织技术交流和培训工作；9、对系统运行中的故障，进行故障诊断及恢复，并配合管理方输出故障报告。</w:t>
            </w:r>
          </w:p>
        </w:tc>
        <w:tc>
          <w:tcPr>
            <w:tcW w:w="67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具备网络、存储、安全、操作系统相关知识储备。</w:t>
            </w:r>
          </w:p>
        </w:tc>
        <w:tc>
          <w:tcPr>
            <w:tcW w:w="4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57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主要负责X86云平台和国产云平台</w:t>
            </w:r>
          </w:p>
        </w:tc>
      </w:tr>
      <w:tr>
        <w:tblPrEx>
          <w:tblCellMar>
            <w:top w:w="0" w:type="dxa"/>
            <w:left w:w="108" w:type="dxa"/>
            <w:bottom w:w="0" w:type="dxa"/>
            <w:right w:w="108" w:type="dxa"/>
          </w:tblCellMar>
        </w:tblPrEx>
        <w:trPr>
          <w:trHeight w:val="579" w:hRule="atLeast"/>
          <w:jc w:val="center"/>
        </w:trPr>
        <w:tc>
          <w:tcPr>
            <w:tcW w:w="3968"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454"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16</w:t>
            </w:r>
          </w:p>
        </w:tc>
        <w:tc>
          <w:tcPr>
            <w:tcW w:w="576" w:type="pct"/>
            <w:tcBorders>
              <w:top w:val="nil"/>
              <w:left w:val="nil"/>
              <w:bottom w:val="single" w:color="auto" w:sz="4" w:space="0"/>
              <w:right w:val="single" w:color="auto" w:sz="4" w:space="0"/>
            </w:tcBorders>
            <w:noWrap/>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bl>
    <w:p>
      <w:pPr>
        <w:pStyle w:val="5"/>
        <w:numPr>
          <w:ilvl w:val="3"/>
          <w:numId w:val="0"/>
        </w:numPr>
        <w:rPr>
          <w:rFonts w:hint="eastAsia"/>
        </w:rPr>
      </w:pPr>
      <w:r>
        <w:br w:type="page"/>
      </w:r>
      <w:r>
        <w:rPr>
          <w:rFonts w:hint="eastAsia"/>
        </w:rPr>
        <w:t>附件二</w:t>
      </w:r>
    </w:p>
    <w:p>
      <w:pPr>
        <w:spacing w:line="360" w:lineRule="auto"/>
        <w:jc w:val="center"/>
        <w:rPr>
          <w:rFonts w:hint="eastAsia" w:ascii="宋体" w:hAnsi="宋体" w:cs="宋体"/>
          <w:sz w:val="24"/>
          <w:szCs w:val="24"/>
        </w:rPr>
      </w:pPr>
      <w:r>
        <w:rPr>
          <w:rFonts w:hint="eastAsia" w:ascii="宋体" w:hAnsi="宋体" w:cs="宋体"/>
          <w:sz w:val="24"/>
          <w:szCs w:val="24"/>
        </w:rPr>
        <w:t>运维服务加减分项标准</w:t>
      </w:r>
    </w:p>
    <w:p>
      <w:pPr>
        <w:pStyle w:val="2"/>
        <w:spacing w:line="360" w:lineRule="auto"/>
        <w:rPr>
          <w:rFonts w:hint="eastAsia"/>
        </w:rPr>
      </w:pPr>
    </w:p>
    <w:p>
      <w:pPr>
        <w:spacing w:line="360" w:lineRule="auto"/>
        <w:ind w:left="480" w:firstLine="640"/>
        <w:rPr>
          <w:rFonts w:hint="eastAsia" w:ascii="宋体" w:hAnsi="宋体" w:cs="宋体"/>
          <w:sz w:val="24"/>
          <w:szCs w:val="24"/>
        </w:rPr>
      </w:pPr>
      <w:r>
        <w:rPr>
          <w:rFonts w:hint="eastAsia" w:ascii="宋体" w:hAnsi="宋体" w:cs="宋体"/>
          <w:sz w:val="24"/>
          <w:szCs w:val="24"/>
        </w:rPr>
        <w:t>一、加分项</w:t>
      </w:r>
    </w:p>
    <w:p>
      <w:pPr>
        <w:spacing w:line="360" w:lineRule="auto"/>
        <w:ind w:left="480" w:firstLine="640"/>
        <w:rPr>
          <w:rFonts w:hint="eastAsia" w:ascii="宋体" w:hAnsi="宋体" w:cs="宋体"/>
          <w:sz w:val="24"/>
          <w:szCs w:val="24"/>
        </w:rPr>
      </w:pPr>
      <w:r>
        <w:rPr>
          <w:rFonts w:hint="eastAsia" w:ascii="宋体" w:hAnsi="宋体" w:cs="宋体"/>
          <w:sz w:val="24"/>
          <w:szCs w:val="24"/>
        </w:rPr>
        <w:t>1.优化建议和改进方案：供应商在云平台运维过程中，能够提出并实施有效的优化建议和改进方案，提高系统的稳定性、安全性、资源利用率等，经双方书面确认予以3-5分加分。</w:t>
      </w:r>
    </w:p>
    <w:p>
      <w:pPr>
        <w:spacing w:line="360" w:lineRule="auto"/>
        <w:ind w:left="480" w:firstLine="640"/>
        <w:rPr>
          <w:rFonts w:hint="eastAsia" w:ascii="宋体" w:hAnsi="宋体" w:cs="宋体"/>
          <w:sz w:val="24"/>
          <w:szCs w:val="24"/>
        </w:rPr>
      </w:pPr>
      <w:r>
        <w:rPr>
          <w:rFonts w:hint="eastAsia" w:ascii="宋体" w:hAnsi="宋体" w:cs="宋体"/>
          <w:sz w:val="24"/>
          <w:szCs w:val="24"/>
        </w:rPr>
        <w:t>2.解决问题的能力：能够快速、准确地识别和解决云平台运维中遇到的各种问题，减少故障对业务的影响，保障系统的稳定运行，经双方书面确认予以3-5分加分。</w:t>
      </w:r>
    </w:p>
    <w:p>
      <w:pPr>
        <w:spacing w:line="360" w:lineRule="auto"/>
        <w:ind w:left="480" w:firstLine="640"/>
        <w:rPr>
          <w:rFonts w:hint="eastAsia" w:ascii="宋体" w:hAnsi="宋体" w:cs="宋体"/>
          <w:sz w:val="24"/>
          <w:szCs w:val="24"/>
        </w:rPr>
      </w:pPr>
      <w:r>
        <w:rPr>
          <w:rFonts w:hint="eastAsia" w:ascii="宋体" w:hAnsi="宋体" w:cs="宋体"/>
          <w:sz w:val="24"/>
          <w:szCs w:val="24"/>
        </w:rPr>
        <w:t>3.客户满意度：通过客户满意度调查，获得用户的高度评价，证明运维服务在提升用户体验、满足用户需求方面取得了显著成效，经双方书面确认予以3-5分加分。</w:t>
      </w:r>
    </w:p>
    <w:p>
      <w:pPr>
        <w:spacing w:line="360" w:lineRule="auto"/>
        <w:ind w:left="480" w:firstLine="640"/>
        <w:rPr>
          <w:rFonts w:hint="eastAsia" w:ascii="宋体" w:hAnsi="宋体" w:cs="宋体"/>
          <w:sz w:val="24"/>
          <w:szCs w:val="24"/>
        </w:rPr>
      </w:pPr>
      <w:r>
        <w:rPr>
          <w:rFonts w:hint="eastAsia" w:ascii="宋体" w:hAnsi="宋体" w:cs="宋体"/>
          <w:sz w:val="24"/>
          <w:szCs w:val="24"/>
        </w:rPr>
        <w:t>二、减分项</w:t>
      </w:r>
    </w:p>
    <w:p>
      <w:pPr>
        <w:spacing w:line="360" w:lineRule="auto"/>
        <w:ind w:left="480" w:firstLine="640"/>
        <w:rPr>
          <w:rFonts w:hint="eastAsia" w:ascii="宋体" w:hAnsi="宋体" w:cs="宋体"/>
          <w:sz w:val="24"/>
          <w:szCs w:val="24"/>
        </w:rPr>
      </w:pPr>
      <w:r>
        <w:rPr>
          <w:rFonts w:hint="eastAsia" w:ascii="宋体" w:hAnsi="宋体" w:cs="宋体"/>
          <w:sz w:val="24"/>
          <w:szCs w:val="24"/>
        </w:rPr>
        <w:t>在一体化云服务平台运行过程中，一旦发生涉及安全生产、信息安全责任事故时，故障级别达到考核内容一、二级故障时，根据故障情况，予以3-5分扣罚，同时按照本季度服务费的1%到3%予以扣罚。</w:t>
      </w:r>
    </w:p>
    <w:p>
      <w:pPr>
        <w:pStyle w:val="2"/>
        <w:spacing w:line="360" w:lineRule="auto"/>
        <w:rPr>
          <w:rFonts w:hint="eastAsia"/>
        </w:rPr>
      </w:pPr>
    </w:p>
    <w:p>
      <w:pPr>
        <w:pStyle w:val="5"/>
        <w:numPr>
          <w:ilvl w:val="3"/>
          <w:numId w:val="0"/>
        </w:numPr>
        <w:rPr>
          <w:rFonts w:hint="eastAsia"/>
        </w:rPr>
      </w:pPr>
      <w:r>
        <w:rPr>
          <w:rFonts w:ascii="黑体" w:hAnsi="黑体" w:eastAsia="黑体"/>
          <w:sz w:val="32"/>
          <w:szCs w:val="32"/>
        </w:rPr>
        <w:br w:type="page"/>
      </w:r>
      <w:r>
        <w:rPr>
          <w:rFonts w:hint="eastAsia"/>
        </w:rPr>
        <w:t>附件三</w:t>
      </w:r>
    </w:p>
    <w:p>
      <w:pPr>
        <w:jc w:val="center"/>
        <w:rPr>
          <w:rFonts w:hint="eastAsia" w:ascii="宋体" w:hAnsi="宋体" w:cs="宋体"/>
          <w:sz w:val="24"/>
          <w:szCs w:val="24"/>
        </w:rPr>
      </w:pPr>
      <w:r>
        <w:rPr>
          <w:rFonts w:hint="eastAsia" w:ascii="宋体" w:hAnsi="宋体" w:cs="宋体"/>
          <w:sz w:val="24"/>
          <w:szCs w:val="24"/>
        </w:rPr>
        <w:t>评分依据</w:t>
      </w:r>
    </w:p>
    <w:p>
      <w:pPr>
        <w:pStyle w:val="8"/>
        <w:numPr>
          <w:ilvl w:val="0"/>
          <w:numId w:val="2"/>
        </w:numPr>
        <w:ind w:firstLineChars="0"/>
        <w:rPr>
          <w:rFonts w:hint="eastAsia" w:ascii="宋体" w:hAnsi="宋体" w:cs="宋体"/>
          <w:sz w:val="24"/>
          <w:szCs w:val="24"/>
        </w:rPr>
      </w:pPr>
      <w:r>
        <w:rPr>
          <w:rFonts w:hint="eastAsia" w:ascii="宋体" w:hAnsi="宋体" w:cs="宋体"/>
          <w:sz w:val="24"/>
          <w:szCs w:val="24"/>
        </w:rPr>
        <w:t>服务响应时间（SLA）</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0"/>
        <w:gridCol w:w="2739"/>
        <w:gridCol w:w="2043"/>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noWrap/>
            <w:vAlign w:val="center"/>
          </w:tcPr>
          <w:p>
            <w:pPr>
              <w:widowControl/>
              <w:spacing w:line="240" w:lineRule="exact"/>
              <w:jc w:val="center"/>
              <w:rPr>
                <w:rFonts w:hint="eastAsia" w:ascii="宋体" w:hAnsi="宋体" w:cs="宋体"/>
                <w:b/>
                <w:color w:val="000000"/>
                <w:kern w:val="0"/>
                <w:sz w:val="24"/>
                <w:szCs w:val="24"/>
              </w:rPr>
            </w:pPr>
            <w:r>
              <w:rPr>
                <w:rFonts w:hint="eastAsia" w:ascii="宋体" w:hAnsi="宋体" w:cs="宋体"/>
                <w:b/>
                <w:color w:val="000000"/>
                <w:kern w:val="0"/>
                <w:sz w:val="24"/>
                <w:szCs w:val="24"/>
              </w:rPr>
              <w:t>服务大类</w:t>
            </w:r>
          </w:p>
        </w:tc>
        <w:tc>
          <w:tcPr>
            <w:tcW w:w="1654" w:type="pct"/>
            <w:noWrap w:val="0"/>
            <w:vAlign w:val="center"/>
          </w:tcPr>
          <w:p>
            <w:pPr>
              <w:widowControl/>
              <w:spacing w:line="240" w:lineRule="exact"/>
              <w:jc w:val="center"/>
              <w:rPr>
                <w:rFonts w:hint="eastAsia" w:ascii="宋体" w:hAnsi="宋体" w:cs="宋体"/>
                <w:b/>
                <w:color w:val="000000"/>
                <w:kern w:val="0"/>
                <w:sz w:val="24"/>
                <w:szCs w:val="24"/>
              </w:rPr>
            </w:pPr>
            <w:r>
              <w:rPr>
                <w:rFonts w:hint="eastAsia" w:ascii="宋体" w:hAnsi="宋体" w:cs="宋体"/>
                <w:b/>
                <w:color w:val="000000"/>
                <w:kern w:val="0"/>
                <w:sz w:val="24"/>
                <w:szCs w:val="24"/>
              </w:rPr>
              <w:t>服务小类</w:t>
            </w:r>
          </w:p>
        </w:tc>
        <w:tc>
          <w:tcPr>
            <w:tcW w:w="1246" w:type="pct"/>
            <w:noWrap w:val="0"/>
            <w:vAlign w:val="center"/>
          </w:tcPr>
          <w:p>
            <w:pPr>
              <w:widowControl/>
              <w:spacing w:line="240" w:lineRule="exact"/>
              <w:jc w:val="center"/>
              <w:rPr>
                <w:rFonts w:hint="eastAsia" w:ascii="宋体" w:hAnsi="宋体" w:cs="宋体"/>
                <w:b/>
                <w:color w:val="000000"/>
                <w:kern w:val="0"/>
                <w:sz w:val="24"/>
                <w:szCs w:val="24"/>
              </w:rPr>
            </w:pPr>
            <w:r>
              <w:rPr>
                <w:rFonts w:hint="eastAsia" w:ascii="宋体" w:hAnsi="宋体" w:cs="宋体"/>
                <w:b/>
                <w:color w:val="000000"/>
                <w:kern w:val="0"/>
                <w:sz w:val="24"/>
                <w:szCs w:val="24"/>
              </w:rPr>
              <w:t>响应要求</w:t>
            </w:r>
          </w:p>
        </w:tc>
        <w:tc>
          <w:tcPr>
            <w:tcW w:w="1113" w:type="pct"/>
            <w:noWrap/>
            <w:vAlign w:val="center"/>
          </w:tcPr>
          <w:p>
            <w:pPr>
              <w:widowControl/>
              <w:spacing w:line="240" w:lineRule="exact"/>
              <w:jc w:val="center"/>
              <w:rPr>
                <w:rFonts w:hint="eastAsia" w:ascii="宋体" w:hAnsi="宋体" w:cs="宋体"/>
                <w:b/>
                <w:color w:val="000000"/>
                <w:kern w:val="0"/>
                <w:sz w:val="24"/>
                <w:szCs w:val="24"/>
              </w:rPr>
            </w:pPr>
            <w:r>
              <w:rPr>
                <w:rFonts w:hint="eastAsia" w:ascii="宋体" w:hAnsi="宋体" w:cs="宋体"/>
                <w:b/>
                <w:color w:val="000000"/>
                <w:kern w:val="0"/>
                <w:sz w:val="24"/>
                <w:szCs w:val="24"/>
              </w:rPr>
              <w:t>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restart"/>
            <w:noWrap/>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云资源服务</w:t>
            </w: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资源申请与发放</w:t>
            </w:r>
          </w:p>
        </w:tc>
        <w:tc>
          <w:tcPr>
            <w:tcW w:w="1246"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接到授权15分钟内</w:t>
            </w:r>
          </w:p>
        </w:tc>
        <w:tc>
          <w:tcPr>
            <w:tcW w:w="1113" w:type="pct"/>
            <w:noWrap/>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ign w:val="center"/>
          </w:tcPr>
          <w:p>
            <w:pPr>
              <w:widowControl/>
              <w:spacing w:line="240" w:lineRule="exact"/>
              <w:ind w:firstLine="420"/>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操作系统等软件系统提供</w:t>
            </w:r>
          </w:p>
        </w:tc>
        <w:tc>
          <w:tcPr>
            <w:tcW w:w="1246"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接到授权15分钟内</w:t>
            </w:r>
          </w:p>
        </w:tc>
        <w:tc>
          <w:tcPr>
            <w:tcW w:w="1113" w:type="pct"/>
            <w:noWrap/>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86" w:type="pct"/>
            <w:vMerge w:val="continue"/>
            <w:noWrap/>
            <w:vAlign w:val="center"/>
          </w:tcPr>
          <w:p>
            <w:pPr>
              <w:widowControl/>
              <w:spacing w:line="240" w:lineRule="exact"/>
              <w:ind w:firstLine="420"/>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资源扩容</w:t>
            </w:r>
          </w:p>
        </w:tc>
        <w:tc>
          <w:tcPr>
            <w:tcW w:w="1246"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接到授权15分钟内</w:t>
            </w:r>
          </w:p>
        </w:tc>
        <w:tc>
          <w:tcPr>
            <w:tcW w:w="1113" w:type="pct"/>
            <w:noWrap/>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ign w:val="center"/>
          </w:tcPr>
          <w:p>
            <w:pPr>
              <w:widowControl/>
              <w:spacing w:line="240" w:lineRule="exact"/>
              <w:ind w:firstLine="420"/>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IP地址配置</w:t>
            </w:r>
          </w:p>
        </w:tc>
        <w:tc>
          <w:tcPr>
            <w:tcW w:w="1246"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接到授权15分钟内</w:t>
            </w:r>
          </w:p>
        </w:tc>
        <w:tc>
          <w:tcPr>
            <w:tcW w:w="1113" w:type="pct"/>
            <w:noWrap/>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restart"/>
            <w:noWrap/>
            <w:vAlign w:val="center"/>
          </w:tcPr>
          <w:p>
            <w:pPr>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运维服务</w:t>
            </w: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网络策略添加、变更</w:t>
            </w:r>
          </w:p>
        </w:tc>
        <w:tc>
          <w:tcPr>
            <w:tcW w:w="1246"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接到授权15分钟内</w:t>
            </w:r>
          </w:p>
        </w:tc>
        <w:tc>
          <w:tcPr>
            <w:tcW w:w="1113" w:type="pct"/>
            <w:noWrap/>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根据实际情况处理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ign w:val="center"/>
          </w:tcPr>
          <w:p>
            <w:pPr>
              <w:spacing w:line="240" w:lineRule="exact"/>
              <w:ind w:firstLine="420"/>
              <w:jc w:val="center"/>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专线接入</w:t>
            </w:r>
          </w:p>
        </w:tc>
        <w:tc>
          <w:tcPr>
            <w:tcW w:w="1246"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接到授权15分钟内</w:t>
            </w:r>
          </w:p>
        </w:tc>
        <w:tc>
          <w:tcPr>
            <w:tcW w:w="1113" w:type="pct"/>
            <w:noWrap/>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根据实际情况处理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ign w:val="center"/>
          </w:tcPr>
          <w:p>
            <w:pPr>
              <w:spacing w:line="240" w:lineRule="exact"/>
              <w:ind w:firstLine="420"/>
              <w:jc w:val="center"/>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应急响应服务</w:t>
            </w:r>
          </w:p>
        </w:tc>
        <w:tc>
          <w:tcPr>
            <w:tcW w:w="1246"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15分钟内响应</w:t>
            </w:r>
          </w:p>
        </w:tc>
        <w:tc>
          <w:tcPr>
            <w:tcW w:w="1113" w:type="pct"/>
            <w:noWrap/>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根据实际情况处理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ign w:val="center"/>
          </w:tcPr>
          <w:p>
            <w:pPr>
              <w:spacing w:line="240" w:lineRule="exact"/>
              <w:ind w:firstLine="420"/>
              <w:jc w:val="center"/>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故障处理服务</w:t>
            </w:r>
          </w:p>
        </w:tc>
        <w:tc>
          <w:tcPr>
            <w:tcW w:w="1246"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15分钟内响应</w:t>
            </w:r>
          </w:p>
        </w:tc>
        <w:tc>
          <w:tcPr>
            <w:tcW w:w="1113" w:type="pct"/>
            <w:noWrap/>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根据实际情况处理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noWrap/>
            <w:vAlign w:val="center"/>
          </w:tcPr>
          <w:p>
            <w:pPr>
              <w:spacing w:line="240" w:lineRule="exact"/>
              <w:jc w:val="center"/>
              <w:rPr>
                <w:rFonts w:hint="eastAsia" w:ascii="宋体" w:hAnsi="宋体" w:cs="宋体"/>
                <w:color w:val="000000"/>
                <w:kern w:val="0"/>
                <w:sz w:val="24"/>
                <w:szCs w:val="24"/>
              </w:rPr>
            </w:pPr>
            <w:r>
              <w:rPr>
                <w:rFonts w:hint="eastAsia" w:ascii="宋体" w:hAnsi="宋体" w:cs="宋体"/>
                <w:b/>
                <w:color w:val="000000"/>
                <w:kern w:val="0"/>
                <w:sz w:val="24"/>
                <w:szCs w:val="24"/>
              </w:rPr>
              <w:t>服务大类</w:t>
            </w: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b/>
                <w:color w:val="000000"/>
                <w:kern w:val="0"/>
                <w:sz w:val="24"/>
                <w:szCs w:val="24"/>
              </w:rPr>
              <w:t>服务小类</w:t>
            </w:r>
          </w:p>
        </w:tc>
        <w:tc>
          <w:tcPr>
            <w:tcW w:w="2359" w:type="pct"/>
            <w:gridSpan w:val="2"/>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b/>
                <w:color w:val="000000"/>
                <w:kern w:val="0"/>
                <w:sz w:val="24"/>
                <w:szCs w:val="24"/>
              </w:rPr>
              <w:t>响应要求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restart"/>
            <w:noWrap/>
            <w:vAlign w:val="center"/>
          </w:tcPr>
          <w:p>
            <w:pPr>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运维服务</w:t>
            </w: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机房管理服务</w:t>
            </w:r>
          </w:p>
        </w:tc>
        <w:tc>
          <w:tcPr>
            <w:tcW w:w="2359" w:type="pct"/>
            <w:gridSpan w:val="2"/>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实现7*24小时机房值守；</w:t>
            </w:r>
          </w:p>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每日巡检；进行机房进出管理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ign w:val="center"/>
          </w:tcPr>
          <w:p>
            <w:pPr>
              <w:spacing w:line="240" w:lineRule="exact"/>
              <w:ind w:firstLine="420"/>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机柜服务</w:t>
            </w:r>
          </w:p>
        </w:tc>
        <w:tc>
          <w:tcPr>
            <w:tcW w:w="2359" w:type="pct"/>
            <w:gridSpan w:val="2"/>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按需提供；接到需求后1个日历日内提供完成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ign w:val="center"/>
          </w:tcPr>
          <w:p>
            <w:pPr>
              <w:spacing w:line="240" w:lineRule="exact"/>
              <w:ind w:firstLine="420"/>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人员保障服务</w:t>
            </w:r>
          </w:p>
        </w:tc>
        <w:tc>
          <w:tcPr>
            <w:tcW w:w="2359" w:type="pct"/>
            <w:gridSpan w:val="2"/>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提供不少于16人运维团队；提供7*24小时服务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ign w:val="center"/>
          </w:tcPr>
          <w:p>
            <w:pPr>
              <w:spacing w:line="240" w:lineRule="exact"/>
              <w:ind w:firstLine="420"/>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软件运维服务</w:t>
            </w:r>
          </w:p>
        </w:tc>
        <w:tc>
          <w:tcPr>
            <w:tcW w:w="2359" w:type="pct"/>
            <w:gridSpan w:val="2"/>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新版本发布7日内完成升级；软件系统故障根据实际情况修复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ign w:val="center"/>
          </w:tcPr>
          <w:p>
            <w:pPr>
              <w:spacing w:line="240" w:lineRule="exact"/>
              <w:ind w:firstLine="420"/>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硬件运维服务</w:t>
            </w:r>
          </w:p>
        </w:tc>
        <w:tc>
          <w:tcPr>
            <w:tcW w:w="2359" w:type="pct"/>
            <w:gridSpan w:val="2"/>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每日巡检；硬件故障根据实际情况修复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ign w:val="center"/>
          </w:tcPr>
          <w:p>
            <w:pPr>
              <w:spacing w:line="240" w:lineRule="exact"/>
              <w:ind w:firstLine="420"/>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资源管理服务</w:t>
            </w:r>
          </w:p>
        </w:tc>
        <w:tc>
          <w:tcPr>
            <w:tcW w:w="2359" w:type="pct"/>
            <w:gridSpan w:val="2"/>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准确监控资源、统计资源体量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ign w:val="center"/>
          </w:tcPr>
          <w:p>
            <w:pPr>
              <w:spacing w:line="240" w:lineRule="exact"/>
              <w:ind w:firstLine="420"/>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安全巡检服务</w:t>
            </w:r>
          </w:p>
        </w:tc>
        <w:tc>
          <w:tcPr>
            <w:tcW w:w="2359" w:type="pct"/>
            <w:gridSpan w:val="2"/>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每日现场巡检1次，在线巡检3次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ign w:val="center"/>
          </w:tcPr>
          <w:p>
            <w:pPr>
              <w:spacing w:line="240" w:lineRule="exact"/>
              <w:ind w:firstLine="420"/>
              <w:rPr>
                <w:rFonts w:hint="eastAsia" w:ascii="宋体" w:hAnsi="宋体" w:cs="宋体"/>
                <w:color w:val="000000"/>
                <w:kern w:val="0"/>
                <w:sz w:val="24"/>
                <w:szCs w:val="24"/>
              </w:rPr>
            </w:pPr>
          </w:p>
        </w:tc>
        <w:tc>
          <w:tcPr>
            <w:tcW w:w="1654" w:type="pct"/>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运维管理体系建设</w:t>
            </w:r>
          </w:p>
        </w:tc>
        <w:tc>
          <w:tcPr>
            <w:tcW w:w="2359" w:type="pct"/>
            <w:gridSpan w:val="2"/>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2月内完成管理体系建设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0"/>
            <w:vAlign w:val="center"/>
          </w:tcPr>
          <w:p>
            <w:pPr>
              <w:widowControl/>
              <w:spacing w:line="240" w:lineRule="exact"/>
              <w:rPr>
                <w:rFonts w:hint="eastAsia" w:ascii="宋体" w:hAnsi="宋体" w:cs="宋体"/>
                <w:color w:val="000000"/>
                <w:kern w:val="0"/>
                <w:sz w:val="24"/>
                <w:szCs w:val="24"/>
              </w:rPr>
            </w:pPr>
          </w:p>
        </w:tc>
        <w:tc>
          <w:tcPr>
            <w:tcW w:w="1654" w:type="pct"/>
            <w:noWrap/>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等保测评服务</w:t>
            </w:r>
          </w:p>
        </w:tc>
        <w:tc>
          <w:tcPr>
            <w:tcW w:w="2359" w:type="pct"/>
            <w:gridSpan w:val="2"/>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平台通过等保三级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6" w:type="pct"/>
            <w:vMerge w:val="continue"/>
            <w:noWrap w:val="0"/>
            <w:vAlign w:val="center"/>
          </w:tcPr>
          <w:p>
            <w:pPr>
              <w:widowControl/>
              <w:spacing w:line="240" w:lineRule="exact"/>
              <w:ind w:firstLine="420"/>
              <w:rPr>
                <w:rFonts w:hint="eastAsia" w:ascii="宋体" w:hAnsi="宋体" w:cs="宋体"/>
                <w:color w:val="000000"/>
                <w:kern w:val="0"/>
                <w:sz w:val="24"/>
                <w:szCs w:val="24"/>
              </w:rPr>
            </w:pPr>
          </w:p>
        </w:tc>
        <w:tc>
          <w:tcPr>
            <w:tcW w:w="1654" w:type="pct"/>
            <w:noWrap/>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密码测评服务</w:t>
            </w:r>
          </w:p>
        </w:tc>
        <w:tc>
          <w:tcPr>
            <w:tcW w:w="2359" w:type="pct"/>
            <w:gridSpan w:val="2"/>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平台通过密码测评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0" w:type="pct"/>
            <w:gridSpan w:val="2"/>
            <w:noWrap w:val="0"/>
            <w:vAlign w:val="center"/>
          </w:tcPr>
          <w:p>
            <w:pPr>
              <w:widowControl/>
              <w:spacing w:line="240" w:lineRule="exact"/>
              <w:ind w:firstLine="228" w:firstLineChars="95"/>
              <w:jc w:val="center"/>
              <w:rPr>
                <w:rFonts w:hint="eastAsia" w:ascii="宋体" w:hAnsi="宋体" w:cs="宋体"/>
                <w:color w:val="000000"/>
                <w:kern w:val="0"/>
                <w:sz w:val="24"/>
                <w:szCs w:val="24"/>
              </w:rPr>
            </w:pPr>
            <w:r>
              <w:rPr>
                <w:rFonts w:hint="eastAsia" w:ascii="宋体" w:hAnsi="宋体" w:cs="宋体"/>
                <w:color w:val="000000"/>
                <w:kern w:val="0"/>
                <w:sz w:val="24"/>
                <w:szCs w:val="24"/>
              </w:rPr>
              <w:t>重保服务</w:t>
            </w:r>
          </w:p>
        </w:tc>
        <w:tc>
          <w:tcPr>
            <w:tcW w:w="2359" w:type="pct"/>
            <w:gridSpan w:val="2"/>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根据重保要求出具重保方案，进行重要时期内保障工作，完成重保总结</w:t>
            </w:r>
          </w:p>
        </w:tc>
      </w:tr>
    </w:tbl>
    <w:p>
      <w:pPr>
        <w:ind w:firstLine="640"/>
        <w:rPr>
          <w:rFonts w:hint="eastAsia" w:ascii="宋体" w:hAnsi="宋体" w:cs="宋体"/>
          <w:sz w:val="24"/>
          <w:szCs w:val="24"/>
        </w:rPr>
      </w:pPr>
      <w:r>
        <w:rPr>
          <w:rFonts w:hint="eastAsia" w:ascii="宋体" w:hAnsi="宋体" w:cs="宋体"/>
          <w:sz w:val="24"/>
          <w:szCs w:val="24"/>
        </w:rPr>
        <w:t>二、SLA各级故障事件的最晚响应时间</w:t>
      </w:r>
    </w:p>
    <w:tbl>
      <w:tblPr>
        <w:tblStyle w:val="6"/>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2063"/>
        <w:gridCol w:w="2019"/>
        <w:gridCol w:w="1729"/>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确认时间</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一级故障事件</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二级故障事件</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三级故障事件</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四级故障事件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15分钟</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值班人员</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30分钟</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专业工程师、项目经理</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值班人员</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45分钟</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原厂二线人员</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专业工程师、项目经理</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值班人员</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60分钟</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p>
        </w:tc>
        <w:tc>
          <w:tcPr>
            <w:tcW w:w="20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原厂二线人员</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专业工程师、项目经理</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sz w:val="24"/>
                <w:szCs w:val="24"/>
              </w:rPr>
            </w:pPr>
            <w:r>
              <w:rPr>
                <w:rFonts w:hint="eastAsia" w:ascii="宋体" w:hAnsi="宋体" w:cs="宋体"/>
                <w:sz w:val="24"/>
                <w:szCs w:val="24"/>
              </w:rPr>
              <w:t>值班人员</w:t>
            </w:r>
          </w:p>
        </w:tc>
      </w:tr>
    </w:tbl>
    <w:p>
      <w:pPr>
        <w:spacing w:after="120" w:line="560" w:lineRule="exact"/>
        <w:ind w:firstLine="640"/>
        <w:rPr>
          <w:rFonts w:hint="eastAsia" w:ascii="宋体" w:hAnsi="宋体" w:cs="宋体"/>
          <w:sz w:val="24"/>
          <w:szCs w:val="24"/>
        </w:rPr>
      </w:pPr>
      <w:r>
        <w:rPr>
          <w:rFonts w:hint="eastAsia" w:ascii="宋体" w:hAnsi="宋体" w:cs="宋体"/>
          <w:sz w:val="24"/>
          <w:szCs w:val="24"/>
        </w:rPr>
        <w:t>三、事件定义</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7"/>
        <w:gridCol w:w="4600"/>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527" w:type="dxa"/>
            <w:noWrap w:val="0"/>
            <w:vAlign w:val="center"/>
          </w:tcPr>
          <w:p>
            <w:pPr>
              <w:pStyle w:val="2"/>
              <w:rPr>
                <w:rFonts w:hint="eastAsia"/>
              </w:rPr>
            </w:pPr>
            <w:r>
              <w:rPr>
                <w:rFonts w:hint="eastAsia"/>
              </w:rPr>
              <w:t>事件级别</w:t>
            </w:r>
          </w:p>
        </w:tc>
        <w:tc>
          <w:tcPr>
            <w:tcW w:w="4600" w:type="dxa"/>
            <w:noWrap w:val="0"/>
            <w:vAlign w:val="center"/>
          </w:tcPr>
          <w:p>
            <w:pPr>
              <w:pStyle w:val="2"/>
              <w:rPr>
                <w:rFonts w:hint="eastAsia"/>
              </w:rPr>
            </w:pPr>
            <w:r>
              <w:rPr>
                <w:rFonts w:hint="eastAsia"/>
              </w:rPr>
              <w:t>定义</w:t>
            </w:r>
          </w:p>
        </w:tc>
        <w:tc>
          <w:tcPr>
            <w:tcW w:w="2215" w:type="dxa"/>
            <w:noWrap w:val="0"/>
            <w:vAlign w:val="center"/>
          </w:tcPr>
          <w:p>
            <w:pPr>
              <w:pStyle w:val="2"/>
              <w:rPr>
                <w:rFonts w:hint="eastAsia"/>
              </w:rPr>
            </w:pPr>
            <w:r>
              <w:rPr>
                <w:rFonts w:hint="eastAsia"/>
              </w:rPr>
              <w:t>服务窗口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527" w:type="dxa"/>
            <w:noWrap w:val="0"/>
            <w:vAlign w:val="center"/>
          </w:tcPr>
          <w:p>
            <w:pPr>
              <w:pStyle w:val="2"/>
              <w:rPr>
                <w:rFonts w:hint="eastAsia"/>
              </w:rPr>
            </w:pPr>
            <w:r>
              <w:rPr>
                <w:rFonts w:hint="eastAsia"/>
              </w:rPr>
              <w:t>一级</w:t>
            </w:r>
          </w:p>
        </w:tc>
        <w:tc>
          <w:tcPr>
            <w:tcW w:w="4600" w:type="dxa"/>
            <w:noWrap w:val="0"/>
            <w:vAlign w:val="center"/>
          </w:tcPr>
          <w:p>
            <w:pPr>
              <w:pStyle w:val="2"/>
              <w:rPr>
                <w:rFonts w:hint="eastAsia"/>
              </w:rPr>
            </w:pPr>
            <w:r>
              <w:rPr>
                <w:rFonts w:hint="eastAsia"/>
              </w:rPr>
              <w:t>现有的网络或系统停机，或遭到严重攻击行为或安全事件，对信息系统的业务运作有重大影响。</w:t>
            </w:r>
          </w:p>
        </w:tc>
        <w:tc>
          <w:tcPr>
            <w:tcW w:w="2215" w:type="dxa"/>
            <w:noWrap w:val="0"/>
            <w:vAlign w:val="center"/>
          </w:tcPr>
          <w:p>
            <w:pPr>
              <w:pStyle w:val="2"/>
              <w:rPr>
                <w:rFonts w:hint="eastAsia"/>
              </w:rPr>
            </w:pPr>
            <w:r>
              <w:rPr>
                <w:rFonts w:hint="eastAsia"/>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527" w:type="dxa"/>
            <w:noWrap w:val="0"/>
            <w:vAlign w:val="center"/>
          </w:tcPr>
          <w:p>
            <w:pPr>
              <w:pStyle w:val="2"/>
              <w:rPr>
                <w:rFonts w:hint="eastAsia"/>
              </w:rPr>
            </w:pPr>
            <w:r>
              <w:rPr>
                <w:rFonts w:hint="eastAsia"/>
              </w:rPr>
              <w:t>二级</w:t>
            </w:r>
          </w:p>
        </w:tc>
        <w:tc>
          <w:tcPr>
            <w:tcW w:w="4600" w:type="dxa"/>
            <w:noWrap w:val="0"/>
            <w:vAlign w:val="center"/>
          </w:tcPr>
          <w:p>
            <w:pPr>
              <w:pStyle w:val="2"/>
              <w:rPr>
                <w:rFonts w:hint="eastAsia"/>
              </w:rPr>
            </w:pPr>
            <w:r>
              <w:rPr>
                <w:rFonts w:hint="eastAsia"/>
              </w:rPr>
              <w:t>现有网络或系统的操作性能严重降级，或由于网络性能失常或安全事件严重影响信息系统用户业务运作。</w:t>
            </w:r>
          </w:p>
        </w:tc>
        <w:tc>
          <w:tcPr>
            <w:tcW w:w="2215" w:type="dxa"/>
            <w:noWrap w:val="0"/>
            <w:vAlign w:val="center"/>
          </w:tcPr>
          <w:p>
            <w:pPr>
              <w:pStyle w:val="2"/>
              <w:rPr>
                <w:rFonts w:hint="eastAsia"/>
              </w:rPr>
            </w:pPr>
            <w:r>
              <w:rPr>
                <w:rFonts w:hint="eastAsia"/>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527" w:type="dxa"/>
            <w:noWrap w:val="0"/>
            <w:vAlign w:val="center"/>
          </w:tcPr>
          <w:p>
            <w:pPr>
              <w:pStyle w:val="2"/>
              <w:rPr>
                <w:rFonts w:hint="eastAsia"/>
              </w:rPr>
            </w:pPr>
            <w:r>
              <w:rPr>
                <w:rFonts w:hint="eastAsia"/>
              </w:rPr>
              <w:t>三级</w:t>
            </w:r>
          </w:p>
        </w:tc>
        <w:tc>
          <w:tcPr>
            <w:tcW w:w="4600" w:type="dxa"/>
            <w:noWrap w:val="0"/>
            <w:vAlign w:val="center"/>
          </w:tcPr>
          <w:p>
            <w:pPr>
              <w:pStyle w:val="2"/>
              <w:rPr>
                <w:rFonts w:hint="eastAsia"/>
              </w:rPr>
            </w:pPr>
            <w:r>
              <w:rPr>
                <w:rFonts w:hint="eastAsia"/>
              </w:rPr>
              <w:t>网络或系统的操作性能受损，安全事件（例如病毒在小范围内作），但大部分业务运作仍可正常工作。</w:t>
            </w:r>
          </w:p>
        </w:tc>
        <w:tc>
          <w:tcPr>
            <w:tcW w:w="2215" w:type="dxa"/>
            <w:noWrap w:val="0"/>
            <w:vAlign w:val="center"/>
          </w:tcPr>
          <w:p>
            <w:pPr>
              <w:pStyle w:val="2"/>
              <w:rPr>
                <w:rFonts w:hint="eastAsia"/>
              </w:rPr>
            </w:pPr>
            <w:r>
              <w:rPr>
                <w:rFonts w:hint="eastAsia"/>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527" w:type="dxa"/>
            <w:noWrap w:val="0"/>
            <w:vAlign w:val="center"/>
          </w:tcPr>
          <w:p>
            <w:pPr>
              <w:pStyle w:val="2"/>
              <w:rPr>
                <w:rFonts w:hint="eastAsia"/>
              </w:rPr>
            </w:pPr>
            <w:r>
              <w:rPr>
                <w:rFonts w:hint="eastAsia"/>
              </w:rPr>
              <w:t>四级</w:t>
            </w:r>
          </w:p>
        </w:tc>
        <w:tc>
          <w:tcPr>
            <w:tcW w:w="4600" w:type="dxa"/>
            <w:noWrap w:val="0"/>
            <w:vAlign w:val="center"/>
          </w:tcPr>
          <w:p>
            <w:pPr>
              <w:pStyle w:val="2"/>
              <w:rPr>
                <w:rFonts w:hint="eastAsia"/>
              </w:rPr>
            </w:pPr>
            <w:r>
              <w:rPr>
                <w:rFonts w:hint="eastAsia"/>
              </w:rPr>
              <w:t>在网络、服务器、存储、安全设备功能、安装或配置方面需要调整或优化。本级故障事件对信息系统的业务运作几乎无影响，或影响很小。</w:t>
            </w:r>
          </w:p>
        </w:tc>
        <w:tc>
          <w:tcPr>
            <w:tcW w:w="2215" w:type="dxa"/>
            <w:noWrap w:val="0"/>
            <w:vAlign w:val="center"/>
          </w:tcPr>
          <w:p>
            <w:pPr>
              <w:pStyle w:val="2"/>
              <w:rPr>
                <w:rFonts w:hint="eastAsia"/>
              </w:rPr>
            </w:pPr>
            <w:r>
              <w:rPr>
                <w:rFonts w:hint="eastAsia"/>
              </w:rPr>
              <w:t>7*24</w:t>
            </w:r>
          </w:p>
        </w:tc>
      </w:tr>
    </w:tbl>
    <w:p>
      <w:pPr>
        <w:spacing w:after="120" w:line="560" w:lineRule="exact"/>
        <w:ind w:firstLine="640"/>
        <w:rPr>
          <w:rFonts w:hint="eastAsia" w:ascii="宋体" w:hAnsi="宋体" w:cs="宋体"/>
          <w:sz w:val="24"/>
          <w:szCs w:val="24"/>
        </w:rPr>
      </w:pPr>
      <w:r>
        <w:rPr>
          <w:rFonts w:hint="eastAsia" w:ascii="宋体" w:hAnsi="宋体" w:cs="宋体"/>
          <w:sz w:val="24"/>
          <w:szCs w:val="24"/>
        </w:rPr>
        <w:t>依据事故重要性和紧急性的原则，在一、二级事故应急处理过程中，要及时考虑替代恢复方案，尽可能在最短的时间内恢复业务系统；在三、四级事故应急处理过程中，如果不能快速判断问题所在，可以寻求整个服务团队的支持。在一、二级事故判断中，服务人员在监控中发现问题，一方面应迅速将问题向上级单位进行反映，另一方面须快速判断问题和收集事故信息，涉及具体产品提供商或服务商内，及时告知业务负责人协调相关厂商现场支持。为保障业务平台的正常运行，除对突发故障的应急支持外，要充分准备日常对业务系统软硬件的应急恢复预案，并通过定期的演练增强应对突发事故的意识、规范处置流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pStyle w:val="3"/>
      <w:lvlText w:val="%1"/>
      <w:lvlJc w:val="left"/>
      <w:pPr>
        <w:ind w:left="432" w:hanging="432"/>
      </w:pPr>
      <w:rPr>
        <w:rFonts w:hint="default"/>
        <w:color w:val="auto"/>
      </w:rPr>
    </w:lvl>
    <w:lvl w:ilvl="1" w:tentative="0">
      <w:start w:val="1"/>
      <w:numFmt w:val="decimal"/>
      <w:lvlText w:val="%1.%2"/>
      <w:lvlJc w:val="left"/>
      <w:pPr>
        <w:ind w:left="576" w:hanging="576"/>
      </w:pPr>
      <w:rPr>
        <w:rFonts w:hint="default"/>
        <w:sz w:val="32"/>
        <w:szCs w:val="32"/>
      </w:rPr>
    </w:lvl>
    <w:lvl w:ilvl="2" w:tentative="0">
      <w:start w:val="1"/>
      <w:numFmt w:val="decimal"/>
      <w:pStyle w:val="4"/>
      <w:lvlText w:val="%1.%2.%3"/>
      <w:lvlJc w:val="left"/>
      <w:pPr>
        <w:ind w:left="720" w:hanging="720"/>
      </w:pPr>
      <w:rPr>
        <w:rFonts w:hint="default"/>
        <w:b/>
        <w:i w:val="0"/>
        <w:sz w:val="32"/>
        <w:szCs w:val="32"/>
      </w:rPr>
    </w:lvl>
    <w:lvl w:ilvl="3" w:tentative="0">
      <w:start w:val="1"/>
      <w:numFmt w:val="decimal"/>
      <w:pStyle w:val="5"/>
      <w:lvlText w:val="%1.%2.%3.%4"/>
      <w:lvlJc w:val="left"/>
      <w:pPr>
        <w:ind w:left="864" w:hanging="864"/>
      </w:pPr>
      <w:rPr>
        <w:rFonts w:hint="default"/>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
    <w:nsid w:val="01D44EB5"/>
    <w:multiLevelType w:val="multilevel"/>
    <w:tmpl w:val="01D44EB5"/>
    <w:lvl w:ilvl="0" w:tentative="0">
      <w:start w:val="1"/>
      <w:numFmt w:val="japaneseCounting"/>
      <w:lvlText w:val="%1、"/>
      <w:lvlJc w:val="left"/>
      <w:pPr>
        <w:ind w:left="1288" w:hanging="72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0M2RlMjYwMTk2MzU1NDFmY2JmMDlkOWQ1ODM2Y2IifQ=="/>
  </w:docVars>
  <w:rsids>
    <w:rsidRoot w:val="00000000"/>
    <w:rsid w:val="7E657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ascii="Calibri" w:hAnsi="Calibri"/>
      <w:b/>
      <w:bCs/>
      <w:kern w:val="44"/>
      <w:sz w:val="44"/>
      <w:szCs w:val="44"/>
    </w:rPr>
  </w:style>
  <w:style w:type="paragraph" w:styleId="4">
    <w:name w:val="heading 3"/>
    <w:basedOn w:val="1"/>
    <w:next w:val="1"/>
    <w:qFormat/>
    <w:uiPriority w:val="0"/>
    <w:pPr>
      <w:keepNext/>
      <w:keepLines/>
      <w:numPr>
        <w:ilvl w:val="2"/>
        <w:numId w:val="1"/>
      </w:numPr>
      <w:spacing w:before="260" w:after="260" w:line="416" w:lineRule="auto"/>
      <w:outlineLvl w:val="2"/>
    </w:pPr>
    <w:rPr>
      <w:rFonts w:ascii="Calibri" w:hAnsi="Calibri"/>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Calibri Light" w:hAnsi="Calibri Light"/>
      <w:b/>
      <w:bCs/>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autoRedefine/>
    <w:qFormat/>
    <w:uiPriority w:val="99"/>
    <w:pPr>
      <w:ind w:firstLine="420" w:firstLineChars="200"/>
    </w:pPr>
    <w:rPr>
      <w:rFonts w:ascii="Arial" w:hAnsi="Arial"/>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2024-04-07T08:44:45Z</dcterms:created>
  <dc:creator>Lenovo</dc:creator>
  <cp:lastModifiedBy>七</cp:lastModifiedBy>
  <dcterms:modified xsi:type="dcterms:W3CDTF">2024-04-07T08:45:08Z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D1B9A60C20FF4BABB2673F80B5A8EAA2_12</vt:lpwstr>
  </property>
</Properties>
</file>