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168" w:after="168" w:line="360" w:lineRule="auto"/>
        <w:jc w:val="center"/>
        <w:outlineLvl w:val="0"/>
        <w:rPr>
          <w:rFonts w:hint="eastAsia" w:ascii="仿宋" w:hAnsi="仿宋" w:eastAsia="仿宋" w:cs="仿宋"/>
          <w:b/>
          <w:bCs/>
          <w:color w:val="auto"/>
          <w:sz w:val="24"/>
          <w:szCs w:val="24"/>
          <w:highlight w:val="none"/>
          <w:lang w:val="en-US" w:eastAsia="zh-CN"/>
        </w:rPr>
      </w:pPr>
      <w:bookmarkStart w:id="0" w:name="_GoBack"/>
      <w:r>
        <w:rPr>
          <w:rStyle w:val="5"/>
          <w:rFonts w:hint="eastAsia" w:ascii="仿宋" w:hAnsi="仿宋" w:eastAsia="仿宋" w:cs="仿宋"/>
          <w:b/>
          <w:color w:val="auto"/>
          <w:kern w:val="2"/>
          <w:sz w:val="44"/>
          <w:szCs w:val="44"/>
          <w:highlight w:val="none"/>
        </w:rPr>
        <w:t>采购内容及技术要求</w:t>
      </w:r>
    </w:p>
    <w:bookmarkEnd w:id="0"/>
    <w:p>
      <w:pPr>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一、采购内容及数量</w:t>
      </w:r>
    </w:p>
    <w:p>
      <w:pPr>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1、采购内容</w:t>
      </w:r>
    </w:p>
    <w:p>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rPr>
        <w:t>沣东新城202</w:t>
      </w:r>
      <w:r>
        <w:rPr>
          <w:rFonts w:hint="eastAsia" w:ascii="仿宋" w:hAnsi="仿宋" w:eastAsia="仿宋" w:cs="仿宋"/>
          <w:sz w:val="24"/>
          <w:szCs w:val="24"/>
          <w:lang w:val="en-US" w:eastAsia="zh-CN"/>
        </w:rPr>
        <w:t>4</w:t>
      </w: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学年农村义务教育学生营养改善计划食品采购</w:t>
      </w:r>
      <w:r>
        <w:rPr>
          <w:rFonts w:hint="eastAsia" w:ascii="仿宋" w:hAnsi="仿宋" w:eastAsia="仿宋" w:cs="仿宋"/>
          <w:sz w:val="24"/>
          <w:szCs w:val="24"/>
          <w:lang w:val="en-US" w:eastAsia="zh-CN"/>
        </w:rPr>
        <w:t>项目，为辖区学生提供</w:t>
      </w:r>
      <w:r>
        <w:rPr>
          <w:rFonts w:hint="eastAsia" w:ascii="仿宋" w:hAnsi="仿宋" w:eastAsia="仿宋" w:cs="仿宋"/>
          <w:sz w:val="24"/>
          <w:szCs w:val="24"/>
        </w:rPr>
        <w:t>完整的营养早餐</w:t>
      </w:r>
      <w:r>
        <w:rPr>
          <w:rFonts w:hint="eastAsia" w:ascii="仿宋" w:hAnsi="仿宋" w:eastAsia="仿宋" w:cs="仿宋"/>
          <w:sz w:val="24"/>
          <w:szCs w:val="24"/>
          <w:lang w:eastAsia="zh-CN"/>
        </w:rPr>
        <w:t>。</w:t>
      </w:r>
    </w:p>
    <w:p>
      <w:pPr>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2、采购数量</w:t>
      </w:r>
    </w:p>
    <w:p>
      <w:pPr>
        <w:keepNext w:val="0"/>
        <w:keepLines w:val="0"/>
        <w:pageBreakBefore w:val="0"/>
        <w:widowControl/>
        <w:tabs>
          <w:tab w:val="left" w:pos="8820"/>
        </w:tabs>
        <w:kinsoku/>
        <w:wordWrap/>
        <w:overflowPunct/>
        <w:topLinePunct w:val="0"/>
        <w:bidi w:val="0"/>
        <w:spacing w:line="360" w:lineRule="auto"/>
        <w:ind w:firstLine="570"/>
        <w:textAlignment w:val="baseline"/>
        <w:rPr>
          <w:rFonts w:hint="eastAsia" w:ascii="仿宋" w:hAnsi="仿宋" w:eastAsia="仿宋" w:cs="仿宋"/>
          <w:sz w:val="24"/>
          <w:szCs w:val="24"/>
        </w:rPr>
      </w:pPr>
      <w:r>
        <w:rPr>
          <w:rFonts w:hint="eastAsia" w:ascii="仿宋" w:hAnsi="仿宋" w:eastAsia="仿宋" w:cs="仿宋"/>
          <w:sz w:val="24"/>
          <w:szCs w:val="24"/>
        </w:rPr>
        <w:t>预计每天数量</w:t>
      </w:r>
      <w:r>
        <w:rPr>
          <w:rFonts w:hint="eastAsia" w:ascii="仿宋" w:hAnsi="仿宋" w:eastAsia="仿宋" w:cs="仿宋"/>
          <w:sz w:val="24"/>
          <w:szCs w:val="24"/>
          <w:lang w:val="en-US" w:eastAsia="zh-CN"/>
        </w:rPr>
        <w:t>2800</w:t>
      </w:r>
      <w:r>
        <w:rPr>
          <w:rFonts w:hint="eastAsia" w:ascii="仿宋" w:hAnsi="仿宋" w:eastAsia="仿宋" w:cs="仿宋"/>
          <w:sz w:val="24"/>
          <w:szCs w:val="24"/>
        </w:rPr>
        <w:t>份</w:t>
      </w:r>
      <w:r>
        <w:rPr>
          <w:rFonts w:hint="eastAsia" w:ascii="仿宋" w:hAnsi="仿宋" w:eastAsia="仿宋" w:cs="仿宋"/>
          <w:color w:val="000000"/>
          <w:kern w:val="0"/>
          <w:sz w:val="24"/>
          <w:szCs w:val="24"/>
        </w:rPr>
        <w:t>(</w:t>
      </w:r>
      <w:r>
        <w:rPr>
          <w:rFonts w:hint="eastAsia" w:ascii="仿宋" w:hAnsi="仿宋" w:eastAsia="仿宋" w:cs="仿宋"/>
          <w:b/>
          <w:color w:val="000000"/>
          <w:kern w:val="0"/>
          <w:sz w:val="24"/>
          <w:szCs w:val="24"/>
        </w:rPr>
        <w:t>不含留样和损耗数量及抽检数量</w:t>
      </w:r>
      <w:r>
        <w:rPr>
          <w:rFonts w:hint="eastAsia" w:ascii="仿宋" w:hAnsi="仿宋" w:eastAsia="仿宋" w:cs="仿宋"/>
          <w:color w:val="000000"/>
          <w:kern w:val="0"/>
          <w:sz w:val="24"/>
          <w:szCs w:val="24"/>
        </w:rPr>
        <w:t>)</w:t>
      </w:r>
      <w:r>
        <w:rPr>
          <w:rFonts w:hint="eastAsia" w:ascii="仿宋" w:hAnsi="仿宋" w:eastAsia="仿宋" w:cs="仿宋"/>
          <w:sz w:val="24"/>
          <w:szCs w:val="24"/>
        </w:rPr>
        <w:t>，涉及辖区</w:t>
      </w:r>
      <w:r>
        <w:rPr>
          <w:rFonts w:hint="eastAsia" w:ascii="仿宋" w:hAnsi="仿宋" w:eastAsia="仿宋" w:cs="仿宋"/>
          <w:sz w:val="24"/>
          <w:szCs w:val="24"/>
          <w:lang w:val="en-US" w:eastAsia="zh-CN"/>
        </w:rPr>
        <w:t>19</w:t>
      </w:r>
      <w:r>
        <w:rPr>
          <w:rFonts w:hint="eastAsia" w:ascii="仿宋" w:hAnsi="仿宋" w:eastAsia="仿宋" w:cs="仿宋"/>
          <w:sz w:val="24"/>
          <w:szCs w:val="24"/>
        </w:rPr>
        <w:t>所学校；202</w:t>
      </w:r>
      <w:r>
        <w:rPr>
          <w:rFonts w:hint="eastAsia" w:ascii="仿宋" w:hAnsi="仿宋" w:eastAsia="仿宋" w:cs="仿宋"/>
          <w:sz w:val="24"/>
          <w:szCs w:val="24"/>
          <w:lang w:val="en-US" w:eastAsia="zh-CN"/>
        </w:rPr>
        <w:t>4</w:t>
      </w: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学年预计实施天数</w:t>
      </w:r>
      <w:r>
        <w:rPr>
          <w:rFonts w:hint="eastAsia" w:ascii="仿宋" w:hAnsi="仿宋" w:eastAsia="仿宋" w:cs="仿宋"/>
          <w:sz w:val="24"/>
          <w:szCs w:val="24"/>
          <w:lang w:val="en-US" w:eastAsia="zh-CN"/>
        </w:rPr>
        <w:t>200</w:t>
      </w:r>
      <w:r>
        <w:rPr>
          <w:rFonts w:hint="eastAsia" w:ascii="仿宋" w:hAnsi="仿宋" w:eastAsia="仿宋" w:cs="仿宋"/>
          <w:sz w:val="24"/>
          <w:szCs w:val="24"/>
        </w:rPr>
        <w:t>天，采购数量总计约</w:t>
      </w:r>
      <w:r>
        <w:rPr>
          <w:rFonts w:hint="eastAsia" w:ascii="仿宋" w:hAnsi="仿宋" w:eastAsia="仿宋" w:cs="仿宋"/>
          <w:sz w:val="24"/>
          <w:szCs w:val="24"/>
          <w:lang w:val="en-US" w:eastAsia="zh-CN"/>
        </w:rPr>
        <w:t>560000</w:t>
      </w:r>
      <w:r>
        <w:rPr>
          <w:rFonts w:hint="eastAsia" w:ascii="仿宋" w:hAnsi="仿宋" w:eastAsia="仿宋" w:cs="仿宋"/>
          <w:sz w:val="24"/>
          <w:szCs w:val="24"/>
        </w:rPr>
        <w:t>份</w:t>
      </w:r>
      <w:r>
        <w:rPr>
          <w:rFonts w:hint="eastAsia" w:ascii="仿宋" w:hAnsi="仿宋" w:eastAsia="仿宋" w:cs="仿宋"/>
          <w:color w:val="000000"/>
          <w:kern w:val="0"/>
          <w:sz w:val="24"/>
          <w:szCs w:val="24"/>
        </w:rPr>
        <w:t>（</w:t>
      </w:r>
      <w:r>
        <w:rPr>
          <w:rFonts w:hint="eastAsia" w:ascii="仿宋" w:hAnsi="仿宋" w:eastAsia="仿宋" w:cs="仿宋"/>
          <w:b/>
          <w:color w:val="000000"/>
          <w:kern w:val="0"/>
          <w:sz w:val="24"/>
          <w:szCs w:val="24"/>
        </w:rPr>
        <w:t>不含留样和损耗数量及抽检数量</w:t>
      </w:r>
      <w:r>
        <w:rPr>
          <w:rFonts w:hint="eastAsia" w:ascii="仿宋" w:hAnsi="仿宋" w:eastAsia="仿宋" w:cs="仿宋"/>
          <w:color w:val="000000"/>
          <w:kern w:val="0"/>
          <w:sz w:val="24"/>
          <w:szCs w:val="24"/>
        </w:rPr>
        <w:t>)</w:t>
      </w:r>
      <w:r>
        <w:rPr>
          <w:rFonts w:hint="eastAsia" w:ascii="仿宋" w:hAnsi="仿宋" w:eastAsia="仿宋" w:cs="仿宋"/>
          <w:sz w:val="24"/>
          <w:szCs w:val="24"/>
        </w:rPr>
        <w:t>。各学校具体数量及说明详见附件。</w:t>
      </w:r>
    </w:p>
    <w:p>
      <w:pPr>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二、 货物采购要求</w:t>
      </w:r>
    </w:p>
    <w:p>
      <w:pPr>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sz w:val="24"/>
          <w:szCs w:val="24"/>
        </w:rPr>
      </w:pPr>
      <w:r>
        <w:rPr>
          <w:rFonts w:hint="eastAsia" w:ascii="仿宋" w:hAnsi="仿宋" w:eastAsia="仿宋" w:cs="仿宋"/>
          <w:b/>
          <w:bCs/>
          <w:sz w:val="24"/>
          <w:szCs w:val="24"/>
        </w:rPr>
        <w:t>1、营养早餐食品采购要求：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每周（5天）供应包子、粥类、烘烤（焙）类、坚果类、水果类、乳制品、果汁等食品，且每天供食品不重样，每周乳制品或果汁类饮品不少于2次。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rPr>
        <w:t>粥类食品</w:t>
      </w:r>
      <w:r>
        <w:rPr>
          <w:rFonts w:hint="eastAsia" w:ascii="仿宋" w:hAnsi="仿宋" w:eastAsia="仿宋" w:cs="仿宋"/>
          <w:sz w:val="24"/>
          <w:szCs w:val="24"/>
          <w:lang w:eastAsia="zh-CN"/>
        </w:rPr>
        <w:t>：</w:t>
      </w:r>
      <w:r>
        <w:rPr>
          <w:rFonts w:hint="eastAsia" w:ascii="仿宋" w:hAnsi="仿宋" w:eastAsia="仿宋" w:cs="仿宋"/>
          <w:sz w:val="24"/>
          <w:szCs w:val="24"/>
        </w:rPr>
        <w:t>红豆粥、南瓜粥、八宝粥、小米粥、枣沫糊、黑芝麻粥（糊）蔬菜粥等食品，其主要原料为非转基因食品，重量不少于250克/份。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面点类</w:t>
      </w:r>
      <w:r>
        <w:rPr>
          <w:rFonts w:hint="eastAsia" w:ascii="仿宋" w:hAnsi="仿宋" w:eastAsia="仿宋" w:cs="仿宋"/>
          <w:sz w:val="24"/>
          <w:szCs w:val="24"/>
          <w:lang w:eastAsia="zh-CN"/>
        </w:rPr>
        <w:t>：</w:t>
      </w:r>
      <w:r>
        <w:rPr>
          <w:rFonts w:hint="eastAsia" w:ascii="仿宋" w:hAnsi="仿宋" w:eastAsia="仿宋" w:cs="仿宋"/>
          <w:sz w:val="24"/>
          <w:szCs w:val="24"/>
        </w:rPr>
        <w:t>馒头、花卷、葱油饼等食品，其主要原料为非转基因食品，重量不少于50克/份。肉包、素包等食品重量不少于90克/份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rPr>
        <w:t>禽蛋类</w:t>
      </w:r>
      <w:r>
        <w:rPr>
          <w:rFonts w:hint="eastAsia" w:ascii="仿宋" w:hAnsi="仿宋" w:eastAsia="仿宋" w:cs="仿宋"/>
          <w:sz w:val="24"/>
          <w:szCs w:val="24"/>
          <w:lang w:eastAsia="zh-CN"/>
        </w:rPr>
        <w:t>：</w:t>
      </w:r>
      <w:r>
        <w:rPr>
          <w:rFonts w:hint="eastAsia" w:ascii="仿宋" w:hAnsi="仿宋" w:eastAsia="仿宋" w:cs="仿宋"/>
          <w:sz w:val="24"/>
          <w:szCs w:val="24"/>
        </w:rPr>
        <w:t>重量不少于60克/份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（4）面包、蛋糕等烘烤（焙）类糕点类食品的主要成分是非转基因小麦粉，一周内平均每天供应的重量不少于50克/份；保质期不超过7天。</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（5）乳制品必需为知名品牌生产的学生饮用乳制品，重量不少于200ML，口味不少于3种，保质期不少于6个月，提供产品质量合格的证明资料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利乐包装</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（6）果汁类</w:t>
      </w:r>
      <w:r>
        <w:rPr>
          <w:rFonts w:hint="eastAsia" w:ascii="仿宋" w:hAnsi="仿宋" w:eastAsia="仿宋" w:cs="仿宋"/>
          <w:sz w:val="24"/>
          <w:szCs w:val="24"/>
          <w:lang w:eastAsia="zh-CN"/>
        </w:rPr>
        <w:t>：</w:t>
      </w:r>
      <w:r>
        <w:rPr>
          <w:rFonts w:hint="eastAsia" w:ascii="仿宋" w:hAnsi="仿宋" w:eastAsia="仿宋" w:cs="仿宋"/>
          <w:sz w:val="24"/>
          <w:szCs w:val="24"/>
        </w:rPr>
        <w:t>要求为100%纯果汁，口味不少于3种，重量不少于250克/份。保质期不少于12个月，</w:t>
      </w:r>
      <w:r>
        <w:rPr>
          <w:rFonts w:hint="eastAsia" w:ascii="仿宋" w:hAnsi="仿宋" w:eastAsia="仿宋" w:cs="仿宋"/>
          <w:sz w:val="24"/>
          <w:szCs w:val="24"/>
          <w:lang w:val="en-US" w:eastAsia="zh-CN"/>
        </w:rPr>
        <w:t>利乐包装。</w:t>
      </w:r>
      <w:r>
        <w:rPr>
          <w:rFonts w:hint="eastAsia" w:ascii="仿宋" w:hAnsi="仿宋" w:eastAsia="仿宋" w:cs="仿宋"/>
          <w:sz w:val="24"/>
          <w:szCs w:val="24"/>
        </w:rPr>
        <w:t>提供产品质量合格的证明资料。</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（7）坚果类</w:t>
      </w:r>
      <w:r>
        <w:rPr>
          <w:rFonts w:hint="eastAsia" w:ascii="仿宋" w:hAnsi="仿宋" w:eastAsia="仿宋" w:cs="仿宋"/>
          <w:sz w:val="24"/>
          <w:szCs w:val="24"/>
          <w:lang w:eastAsia="zh-CN"/>
        </w:rPr>
        <w:t>：</w:t>
      </w:r>
      <w:r>
        <w:rPr>
          <w:rFonts w:hint="eastAsia" w:ascii="仿宋" w:hAnsi="仿宋" w:eastAsia="仿宋" w:cs="仿宋"/>
          <w:sz w:val="24"/>
          <w:szCs w:val="24"/>
        </w:rPr>
        <w:t>要求种类多样、采用独立包装，重量不少于15克/份。保质期不少于3个月。</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（8）水果类</w:t>
      </w:r>
      <w:r>
        <w:rPr>
          <w:rFonts w:hint="eastAsia" w:ascii="仿宋" w:hAnsi="仿宋" w:eastAsia="仿宋" w:cs="仿宋"/>
          <w:sz w:val="24"/>
          <w:szCs w:val="24"/>
          <w:lang w:eastAsia="zh-CN"/>
        </w:rPr>
        <w:t>：</w:t>
      </w:r>
      <w:r>
        <w:rPr>
          <w:rFonts w:hint="eastAsia" w:ascii="仿宋" w:hAnsi="仿宋" w:eastAsia="仿宋" w:cs="仿宋"/>
          <w:sz w:val="24"/>
          <w:szCs w:val="24"/>
        </w:rPr>
        <w:t>新鲜时令水果重量不少于100克/份。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2、日供应量：预计</w:t>
      </w:r>
      <w:r>
        <w:rPr>
          <w:rFonts w:hint="eastAsia" w:ascii="仿宋" w:hAnsi="仿宋" w:eastAsia="仿宋" w:cs="仿宋"/>
          <w:sz w:val="24"/>
          <w:szCs w:val="24"/>
          <w:lang w:val="en-US" w:eastAsia="zh-CN"/>
        </w:rPr>
        <w:t>2</w:t>
      </w:r>
      <w:r>
        <w:rPr>
          <w:rFonts w:hint="eastAsia" w:ascii="仿宋" w:hAnsi="仿宋" w:eastAsia="仿宋" w:cs="仿宋"/>
          <w:sz w:val="24"/>
          <w:szCs w:val="24"/>
        </w:rPr>
        <w:t>800</w:t>
      </w:r>
      <w:r>
        <w:rPr>
          <w:rFonts w:hint="eastAsia" w:ascii="仿宋" w:hAnsi="仿宋" w:eastAsia="仿宋" w:cs="仿宋"/>
          <w:sz w:val="24"/>
          <w:szCs w:val="24"/>
          <w:lang w:val="en-US" w:eastAsia="zh-CN"/>
        </w:rPr>
        <w:t>份</w:t>
      </w:r>
      <w:r>
        <w:rPr>
          <w:rFonts w:hint="eastAsia" w:ascii="仿宋" w:hAnsi="仿宋" w:eastAsia="仿宋" w:cs="仿宋"/>
          <w:sz w:val="24"/>
          <w:szCs w:val="24"/>
        </w:rPr>
        <w:t>/天（不含留样和损耗数量及抽检数量）。</w:t>
      </w:r>
    </w:p>
    <w:p>
      <w:pPr>
        <w:keepNext w:val="0"/>
        <w:keepLines w:val="0"/>
        <w:pageBreakBefore w:val="0"/>
        <w:widowControl/>
        <w:kinsoku/>
        <w:wordWrap/>
        <w:overflowPunct/>
        <w:topLinePunct w:val="0"/>
        <w:bidi w:val="0"/>
        <w:spacing w:line="360" w:lineRule="auto"/>
        <w:ind w:firstLine="376" w:firstLineChars="157"/>
        <w:textAlignment w:val="baseline"/>
        <w:rPr>
          <w:rFonts w:hint="eastAsia" w:ascii="仿宋" w:hAnsi="仿宋" w:eastAsia="仿宋" w:cs="仿宋"/>
          <w:sz w:val="24"/>
          <w:szCs w:val="24"/>
        </w:rPr>
      </w:pPr>
      <w:r>
        <w:rPr>
          <w:rFonts w:hint="eastAsia" w:ascii="仿宋" w:hAnsi="仿宋" w:eastAsia="仿宋" w:cs="仿宋"/>
          <w:sz w:val="24"/>
          <w:szCs w:val="24"/>
        </w:rPr>
        <w:t>3、配送周期：202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月至202</w:t>
      </w:r>
      <w:r>
        <w:rPr>
          <w:rFonts w:hint="eastAsia" w:ascii="仿宋" w:hAnsi="仿宋" w:eastAsia="仿宋" w:cs="仿宋"/>
          <w:sz w:val="24"/>
          <w:szCs w:val="24"/>
          <w:lang w:val="en-US" w:eastAsia="zh-CN"/>
        </w:rPr>
        <w:t>5</w:t>
      </w:r>
      <w:r>
        <w:rPr>
          <w:rFonts w:hint="eastAsia" w:ascii="仿宋" w:hAnsi="仿宋" w:eastAsia="仿宋" w:cs="仿宋"/>
          <w:sz w:val="24"/>
          <w:szCs w:val="24"/>
        </w:rPr>
        <w:t>年7月，学生在校天数约为</w:t>
      </w:r>
      <w:r>
        <w:rPr>
          <w:rFonts w:hint="eastAsia" w:ascii="仿宋" w:hAnsi="仿宋" w:eastAsia="仿宋" w:cs="仿宋"/>
          <w:sz w:val="24"/>
          <w:szCs w:val="24"/>
          <w:lang w:val="en-US" w:eastAsia="zh-CN"/>
        </w:rPr>
        <w:t>200</w:t>
      </w:r>
      <w:r>
        <w:rPr>
          <w:rFonts w:hint="eastAsia" w:ascii="仿宋" w:hAnsi="仿宋" w:eastAsia="仿宋" w:cs="仿宋"/>
          <w:sz w:val="24"/>
          <w:szCs w:val="24"/>
        </w:rPr>
        <w:t>天，采购人将根据省、市、西咸新区及沣东新城管委会有关政策和规定进行供货时间调整；严格执行日配送制，禁止超量配送。</w:t>
      </w:r>
    </w:p>
    <w:p>
      <w:pPr>
        <w:keepNext w:val="0"/>
        <w:keepLines w:val="0"/>
        <w:pageBreakBefore w:val="0"/>
        <w:widowControl/>
        <w:tabs>
          <w:tab w:val="left" w:pos="735"/>
        </w:tabs>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Cs/>
          <w:sz w:val="24"/>
          <w:szCs w:val="24"/>
          <w:lang w:val="zh-CN"/>
        </w:rPr>
      </w:pPr>
      <w:r>
        <w:rPr>
          <w:rFonts w:hint="eastAsia" w:ascii="仿宋" w:hAnsi="仿宋" w:eastAsia="仿宋" w:cs="仿宋"/>
          <w:sz w:val="24"/>
          <w:szCs w:val="24"/>
        </w:rPr>
        <w:t>4、</w:t>
      </w:r>
      <w:r>
        <w:rPr>
          <w:rFonts w:hint="eastAsia" w:ascii="仿宋" w:hAnsi="仿宋" w:eastAsia="仿宋" w:cs="仿宋"/>
          <w:bCs/>
          <w:sz w:val="24"/>
          <w:szCs w:val="24"/>
          <w:lang w:val="zh-CN"/>
        </w:rPr>
        <w:t>供应商须按采购人提供的交货地点（各项目学校，具体见附件）送货至每所学校，</w:t>
      </w:r>
      <w:r>
        <w:rPr>
          <w:rFonts w:hint="eastAsia" w:ascii="仿宋" w:hAnsi="仿宋" w:eastAsia="仿宋" w:cs="仿宋"/>
          <w:sz w:val="24"/>
          <w:szCs w:val="24"/>
        </w:rPr>
        <w:t>如有变动另行通知。</w:t>
      </w:r>
    </w:p>
    <w:p>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5、附件《沣东新城辖区学校202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秋</w:t>
      </w:r>
      <w:r>
        <w:rPr>
          <w:rFonts w:hint="eastAsia" w:ascii="仿宋" w:hAnsi="仿宋" w:eastAsia="仿宋" w:cs="仿宋"/>
          <w:sz w:val="24"/>
          <w:szCs w:val="24"/>
        </w:rPr>
        <w:t>季学期农村义务教育学校营养改善计划营养早餐预计供应数量明细表》中的“年预计供应数量”</w:t>
      </w:r>
      <w:r>
        <w:rPr>
          <w:rFonts w:hint="eastAsia" w:ascii="仿宋" w:hAnsi="仿宋" w:eastAsia="仿宋" w:cs="仿宋"/>
          <w:bCs/>
          <w:sz w:val="24"/>
          <w:szCs w:val="24"/>
          <w:lang w:val="zh-CN"/>
        </w:rPr>
        <w:t>不含留样和被检测的食品数量。每次配送量应包含留样2份（按照产品批次、口味，每批次、每种口味留样2份），即每次的实际配送量是（每天供应量+留样数量）×配送天数，留样数量和被检测的面包数量不再另行付款。</w:t>
      </w:r>
    </w:p>
    <w:p>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bCs/>
          <w:sz w:val="24"/>
          <w:szCs w:val="24"/>
          <w:lang w:val="zh-CN"/>
        </w:rPr>
        <w:t>6、产品送到后，学校以无破损产品计数（不含留样数量），如发现因运输过程中造成的损耗（如包装严重变形、破损、食品污染、变异等情况），必须无条件更换。因运输装卸过程中造成的损耗（例如包装严重变形、破损，食品污损、变异等）由投标单位承担，发现的破损、变异食品必</w:t>
      </w:r>
      <w:r>
        <w:rPr>
          <w:rFonts w:hint="eastAsia" w:ascii="仿宋" w:hAnsi="仿宋" w:eastAsia="仿宋" w:cs="仿宋"/>
          <w:sz w:val="24"/>
          <w:szCs w:val="24"/>
        </w:rPr>
        <w:t>须无条件更换。</w:t>
      </w:r>
      <w:r>
        <w:rPr>
          <w:rFonts w:hint="eastAsia" w:ascii="仿宋" w:hAnsi="仿宋" w:eastAsia="仿宋" w:cs="仿宋"/>
          <w:bCs/>
          <w:sz w:val="24"/>
          <w:szCs w:val="24"/>
          <w:lang w:val="zh-CN"/>
        </w:rPr>
        <w:t>若因产品质量原因出现的安全问题，由供应商承担全部经济和法律责任；</w:t>
      </w:r>
    </w:p>
    <w:p>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Cs/>
          <w:sz w:val="24"/>
          <w:szCs w:val="24"/>
          <w:lang w:val="zh-CN"/>
        </w:rPr>
        <w:t>投标报价为所响应的投标产品单价和总报价，</w:t>
      </w:r>
      <w:r>
        <w:rPr>
          <w:rFonts w:hint="eastAsia" w:ascii="仿宋" w:hAnsi="仿宋" w:eastAsia="仿宋" w:cs="仿宋"/>
          <w:sz w:val="24"/>
          <w:szCs w:val="24"/>
        </w:rPr>
        <w:t>投标产品单价是完成招标内容和要求所需的单份产品的综合价格，包括单个采购货物的供应费、运杂费（含仓储费、运输费、保险费、装卸费、税金）、抽检费、运输过程中的损耗费、学校操作过程中的留样以及所有产品达到正常使用条件下所包含的一切费用，供应商应充分考虑合同期内的市场价格变化。</w:t>
      </w:r>
    </w:p>
    <w:p>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8、投标人应在配送周期内保证不少于2次将食品送至国家相关部门认可的检验或检测机构进行检测并出具质量情况证明材料。</w:t>
      </w:r>
    </w:p>
    <w:p>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9、各投标人根据每份食品价格和质量要求，提供每周的供货方案，确保搭配合理，最终供货产品以学校确认的品类为准。</w:t>
      </w: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keepNext w:val="0"/>
        <w:keepLines w:val="0"/>
        <w:pageBreakBefore w:val="0"/>
        <w:widowControl/>
        <w:tabs>
          <w:tab w:val="left" w:pos="735"/>
        </w:tabs>
        <w:kinsoku/>
        <w:wordWrap/>
        <w:overflowPunct/>
        <w:topLinePunct w:val="0"/>
        <w:autoSpaceDE w:val="0"/>
        <w:autoSpaceDN w:val="0"/>
        <w:bidi w:val="0"/>
        <w:adjustRightInd w:val="0"/>
        <w:snapToGrid w:val="0"/>
        <w:spacing w:line="360" w:lineRule="auto"/>
        <w:ind w:left="-91" w:leftChars="-70" w:hanging="77" w:hangingChars="35"/>
        <w:textAlignment w:val="baseline"/>
        <w:rPr>
          <w:rFonts w:hint="eastAsia" w:ascii="仿宋" w:hAnsi="仿宋" w:eastAsia="仿宋" w:cs="仿宋"/>
          <w:bCs/>
          <w:sz w:val="22"/>
          <w:szCs w:val="22"/>
          <w:lang w:val="zh-CN"/>
        </w:rPr>
      </w:pPr>
      <w:r>
        <w:rPr>
          <w:rFonts w:hint="eastAsia" w:ascii="仿宋" w:hAnsi="仿宋" w:eastAsia="仿宋" w:cs="仿宋"/>
          <w:sz w:val="22"/>
          <w:szCs w:val="22"/>
        </w:rPr>
        <w:t>附件： 沣东新城辖区学校202</w:t>
      </w:r>
      <w:r>
        <w:rPr>
          <w:rFonts w:hint="eastAsia" w:ascii="仿宋" w:hAnsi="仿宋" w:eastAsia="仿宋" w:cs="仿宋"/>
          <w:sz w:val="22"/>
          <w:szCs w:val="22"/>
          <w:lang w:val="en-US" w:eastAsia="zh-CN"/>
        </w:rPr>
        <w:t>4</w:t>
      </w:r>
      <w:r>
        <w:rPr>
          <w:rFonts w:hint="eastAsia" w:ascii="仿宋" w:hAnsi="仿宋" w:eastAsia="仿宋" w:cs="仿宋"/>
          <w:sz w:val="22"/>
          <w:szCs w:val="22"/>
        </w:rPr>
        <w:t>-202</w:t>
      </w:r>
      <w:r>
        <w:rPr>
          <w:rFonts w:hint="eastAsia" w:ascii="仿宋" w:hAnsi="仿宋" w:eastAsia="仿宋" w:cs="仿宋"/>
          <w:sz w:val="22"/>
          <w:szCs w:val="22"/>
          <w:lang w:val="en-US" w:eastAsia="zh-CN"/>
        </w:rPr>
        <w:t>5</w:t>
      </w:r>
      <w:r>
        <w:rPr>
          <w:rFonts w:hint="eastAsia" w:ascii="仿宋" w:hAnsi="仿宋" w:eastAsia="仿宋" w:cs="仿宋"/>
          <w:sz w:val="22"/>
          <w:szCs w:val="22"/>
        </w:rPr>
        <w:t>学年营养改善计划营养早餐预计供应数量明细表</w:t>
      </w:r>
    </w:p>
    <w:tbl>
      <w:tblPr>
        <w:tblStyle w:val="3"/>
        <w:tblW w:w="4998" w:type="pct"/>
        <w:jc w:val="center"/>
        <w:tblLayout w:type="autofit"/>
        <w:tblCellMar>
          <w:top w:w="0" w:type="dxa"/>
          <w:left w:w="108" w:type="dxa"/>
          <w:bottom w:w="0" w:type="dxa"/>
          <w:right w:w="108" w:type="dxa"/>
        </w:tblCellMar>
      </w:tblPr>
      <w:tblGrid>
        <w:gridCol w:w="620"/>
        <w:gridCol w:w="4211"/>
        <w:gridCol w:w="982"/>
        <w:gridCol w:w="1372"/>
        <w:gridCol w:w="1334"/>
      </w:tblGrid>
      <w:tr>
        <w:tblPrEx>
          <w:tblCellMar>
            <w:top w:w="0" w:type="dxa"/>
            <w:left w:w="108" w:type="dxa"/>
            <w:bottom w:w="0" w:type="dxa"/>
            <w:right w:w="108" w:type="dxa"/>
          </w:tblCellMar>
        </w:tblPrEx>
        <w:trPr>
          <w:trHeight w:val="1058" w:hRule="atLeast"/>
          <w:jc w:val="center"/>
        </w:trPr>
        <w:tc>
          <w:tcPr>
            <w:tcW w:w="36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rPr>
            </w:pPr>
            <w:r>
              <w:rPr>
                <w:rFonts w:hint="eastAsia" w:ascii="仿宋" w:hAnsi="仿宋" w:eastAsia="仿宋" w:cs="仿宋"/>
                <w:kern w:val="0"/>
                <w:sz w:val="21"/>
                <w:szCs w:val="21"/>
              </w:rPr>
              <w:t>序号</w:t>
            </w:r>
          </w:p>
        </w:tc>
        <w:tc>
          <w:tcPr>
            <w:tcW w:w="247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rPr>
            </w:pPr>
            <w:r>
              <w:rPr>
                <w:rFonts w:hint="eastAsia" w:ascii="仿宋" w:hAnsi="仿宋" w:eastAsia="仿宋" w:cs="仿宋"/>
                <w:kern w:val="0"/>
                <w:sz w:val="21"/>
                <w:szCs w:val="21"/>
              </w:rPr>
              <w:t>学校名称</w:t>
            </w:r>
          </w:p>
        </w:tc>
        <w:tc>
          <w:tcPr>
            <w:tcW w:w="576"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rPr>
            </w:pPr>
            <w:r>
              <w:rPr>
                <w:rFonts w:hint="eastAsia" w:ascii="仿宋" w:hAnsi="仿宋" w:eastAsia="仿宋" w:cs="仿宋"/>
                <w:kern w:val="0"/>
                <w:sz w:val="21"/>
                <w:szCs w:val="21"/>
              </w:rPr>
              <w:t>拟实施人数（人）</w:t>
            </w:r>
          </w:p>
        </w:tc>
        <w:tc>
          <w:tcPr>
            <w:tcW w:w="80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rPr>
            </w:pPr>
            <w:r>
              <w:rPr>
                <w:rFonts w:hint="eastAsia" w:ascii="仿宋" w:hAnsi="仿宋" w:eastAsia="仿宋" w:cs="仿宋"/>
                <w:kern w:val="0"/>
                <w:sz w:val="21"/>
                <w:szCs w:val="21"/>
              </w:rPr>
              <w:t>拟实施天数（天）</w:t>
            </w:r>
          </w:p>
        </w:tc>
        <w:tc>
          <w:tcPr>
            <w:tcW w:w="78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年预计供应数量（份）</w:t>
            </w:r>
          </w:p>
        </w:tc>
      </w:tr>
      <w:tr>
        <w:tblPrEx>
          <w:tblCellMar>
            <w:top w:w="0" w:type="dxa"/>
            <w:left w:w="108" w:type="dxa"/>
            <w:bottom w:w="0" w:type="dxa"/>
            <w:right w:w="108" w:type="dxa"/>
          </w:tblCellMar>
        </w:tblPrEx>
        <w:trPr>
          <w:trHeight w:val="419" w:hRule="atLeast"/>
          <w:jc w:val="center"/>
        </w:trPr>
        <w:tc>
          <w:tcPr>
            <w:tcW w:w="364" w:type="pct"/>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rPr>
            </w:pPr>
            <w:r>
              <w:rPr>
                <w:rFonts w:hint="eastAsia" w:ascii="仿宋" w:hAnsi="仿宋" w:eastAsia="仿宋" w:cs="仿宋"/>
                <w:sz w:val="21"/>
                <w:szCs w:val="21"/>
              </w:rPr>
              <w:t>1</w:t>
            </w:r>
          </w:p>
        </w:tc>
        <w:tc>
          <w:tcPr>
            <w:tcW w:w="2471" w:type="pct"/>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西安市长安区斗门街道中心学校</w:t>
            </w:r>
          </w:p>
        </w:tc>
        <w:tc>
          <w:tcPr>
            <w:tcW w:w="576" w:type="pct"/>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lang w:val="en-US" w:eastAsia="zh-CN"/>
              </w:rPr>
            </w:pPr>
            <w:r>
              <w:rPr>
                <w:rFonts w:hint="eastAsia" w:ascii="仿宋" w:hAnsi="仿宋" w:eastAsia="仿宋" w:cs="仿宋"/>
                <w:sz w:val="21"/>
                <w:szCs w:val="21"/>
                <w:lang w:val="en-US" w:eastAsia="zh-CN"/>
              </w:rPr>
              <w:t>17</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lang w:val="en-US" w:eastAsia="zh-CN"/>
              </w:rPr>
            </w:pPr>
            <w:r>
              <w:rPr>
                <w:rFonts w:hint="eastAsia" w:ascii="仿宋" w:hAnsi="仿宋" w:eastAsia="仿宋" w:cs="仿宋"/>
                <w:sz w:val="21"/>
                <w:szCs w:val="21"/>
                <w:lang w:val="en-US" w:eastAsia="zh-CN"/>
              </w:rPr>
              <w:t>200</w:t>
            </w:r>
          </w:p>
        </w:tc>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lang w:val="en-US" w:eastAsia="zh-CN"/>
              </w:rPr>
            </w:pPr>
            <w:r>
              <w:rPr>
                <w:rFonts w:hint="eastAsia" w:ascii="仿宋" w:hAnsi="仿宋" w:eastAsia="仿宋" w:cs="仿宋"/>
                <w:sz w:val="21"/>
                <w:szCs w:val="21"/>
                <w:lang w:val="en-US" w:eastAsia="zh-CN"/>
              </w:rPr>
              <w:t>3400</w:t>
            </w:r>
          </w:p>
        </w:tc>
      </w:tr>
      <w:tr>
        <w:tblPrEx>
          <w:tblCellMar>
            <w:top w:w="0" w:type="dxa"/>
            <w:left w:w="108" w:type="dxa"/>
            <w:bottom w:w="0" w:type="dxa"/>
            <w:right w:w="108" w:type="dxa"/>
          </w:tblCellMar>
        </w:tblPrEx>
        <w:trPr>
          <w:trHeight w:val="444"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2471"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西安市长安区王寺街道中心学校</w:t>
            </w:r>
          </w:p>
        </w:tc>
        <w:tc>
          <w:tcPr>
            <w:tcW w:w="576"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310</w:t>
            </w:r>
          </w:p>
        </w:tc>
        <w:tc>
          <w:tcPr>
            <w:tcW w:w="805"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62000</w:t>
            </w:r>
          </w:p>
        </w:tc>
      </w:tr>
      <w:tr>
        <w:tblPrEx>
          <w:tblCellMar>
            <w:top w:w="0" w:type="dxa"/>
            <w:left w:w="108" w:type="dxa"/>
            <w:bottom w:w="0" w:type="dxa"/>
            <w:right w:w="108" w:type="dxa"/>
          </w:tblCellMar>
        </w:tblPrEx>
        <w:trPr>
          <w:trHeight w:val="459"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p>
        </w:tc>
        <w:tc>
          <w:tcPr>
            <w:tcW w:w="2471"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西安市长安区斗门街道办事处落水小学</w:t>
            </w:r>
          </w:p>
        </w:tc>
        <w:tc>
          <w:tcPr>
            <w:tcW w:w="576"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546</w:t>
            </w:r>
          </w:p>
        </w:tc>
        <w:tc>
          <w:tcPr>
            <w:tcW w:w="805"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109200</w:t>
            </w:r>
          </w:p>
        </w:tc>
      </w:tr>
      <w:tr>
        <w:tblPrEx>
          <w:tblCellMar>
            <w:top w:w="0" w:type="dxa"/>
            <w:left w:w="108" w:type="dxa"/>
            <w:bottom w:w="0" w:type="dxa"/>
            <w:right w:w="108" w:type="dxa"/>
          </w:tblCellMar>
        </w:tblPrEx>
        <w:trPr>
          <w:trHeight w:val="624"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p>
        </w:tc>
        <w:tc>
          <w:tcPr>
            <w:tcW w:w="2471"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西安市长安区斗门街道办事处张旺渠小学</w:t>
            </w:r>
          </w:p>
        </w:tc>
        <w:tc>
          <w:tcPr>
            <w:tcW w:w="576"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114</w:t>
            </w:r>
          </w:p>
        </w:tc>
        <w:tc>
          <w:tcPr>
            <w:tcW w:w="805"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22800</w:t>
            </w:r>
          </w:p>
        </w:tc>
      </w:tr>
      <w:tr>
        <w:tblPrEx>
          <w:tblCellMar>
            <w:top w:w="0" w:type="dxa"/>
            <w:left w:w="108" w:type="dxa"/>
            <w:bottom w:w="0" w:type="dxa"/>
            <w:right w:w="108" w:type="dxa"/>
          </w:tblCellMar>
        </w:tblPrEx>
        <w:trPr>
          <w:trHeight w:val="624"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2471"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西安市长安区斗门街道办事处先锋小学</w:t>
            </w:r>
          </w:p>
        </w:tc>
        <w:tc>
          <w:tcPr>
            <w:tcW w:w="576"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230</w:t>
            </w:r>
          </w:p>
        </w:tc>
        <w:tc>
          <w:tcPr>
            <w:tcW w:w="805"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46000</w:t>
            </w:r>
          </w:p>
        </w:tc>
      </w:tr>
      <w:tr>
        <w:tblPrEx>
          <w:tblCellMar>
            <w:top w:w="0" w:type="dxa"/>
            <w:left w:w="108" w:type="dxa"/>
            <w:bottom w:w="0" w:type="dxa"/>
            <w:right w:w="108" w:type="dxa"/>
          </w:tblCellMar>
        </w:tblPrEx>
        <w:trPr>
          <w:trHeight w:val="459"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p>
        </w:tc>
        <w:tc>
          <w:tcPr>
            <w:tcW w:w="2471"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西安市未央区关庙小学</w:t>
            </w:r>
          </w:p>
        </w:tc>
        <w:tc>
          <w:tcPr>
            <w:tcW w:w="576"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805"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6000</w:t>
            </w:r>
          </w:p>
        </w:tc>
      </w:tr>
      <w:tr>
        <w:tblPrEx>
          <w:tblCellMar>
            <w:top w:w="0" w:type="dxa"/>
            <w:left w:w="108" w:type="dxa"/>
            <w:bottom w:w="0" w:type="dxa"/>
            <w:right w:w="108" w:type="dxa"/>
          </w:tblCellMar>
        </w:tblPrEx>
        <w:trPr>
          <w:trHeight w:val="474"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val="en-US" w:eastAsia="zh-CN"/>
              </w:rPr>
              <w:t>7</w:t>
            </w:r>
          </w:p>
        </w:tc>
        <w:tc>
          <w:tcPr>
            <w:tcW w:w="2471"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西安市未央区阿房路三校</w:t>
            </w:r>
          </w:p>
        </w:tc>
        <w:tc>
          <w:tcPr>
            <w:tcW w:w="576"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26</w:t>
            </w:r>
          </w:p>
        </w:tc>
        <w:tc>
          <w:tcPr>
            <w:tcW w:w="805"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5200</w:t>
            </w:r>
          </w:p>
        </w:tc>
      </w:tr>
      <w:tr>
        <w:tblPrEx>
          <w:tblCellMar>
            <w:top w:w="0" w:type="dxa"/>
            <w:left w:w="108" w:type="dxa"/>
            <w:bottom w:w="0" w:type="dxa"/>
            <w:right w:w="108" w:type="dxa"/>
          </w:tblCellMar>
        </w:tblPrEx>
        <w:trPr>
          <w:trHeight w:val="459"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val="en-US" w:eastAsia="zh-CN"/>
              </w:rPr>
              <w:t>8</w:t>
            </w:r>
          </w:p>
        </w:tc>
        <w:tc>
          <w:tcPr>
            <w:tcW w:w="2471"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西安市未央区阿房宫小学</w:t>
            </w:r>
          </w:p>
        </w:tc>
        <w:tc>
          <w:tcPr>
            <w:tcW w:w="576"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84</w:t>
            </w:r>
          </w:p>
        </w:tc>
        <w:tc>
          <w:tcPr>
            <w:tcW w:w="805"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16800</w:t>
            </w:r>
          </w:p>
        </w:tc>
      </w:tr>
      <w:tr>
        <w:tblPrEx>
          <w:tblCellMar>
            <w:top w:w="0" w:type="dxa"/>
            <w:left w:w="108" w:type="dxa"/>
            <w:bottom w:w="0" w:type="dxa"/>
            <w:right w:w="108" w:type="dxa"/>
          </w:tblCellMar>
        </w:tblPrEx>
        <w:trPr>
          <w:trHeight w:val="444"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val="en-US" w:eastAsia="zh-CN"/>
              </w:rPr>
              <w:t>9</w:t>
            </w:r>
          </w:p>
        </w:tc>
        <w:tc>
          <w:tcPr>
            <w:tcW w:w="2471"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西安市未央区凹里普小</w:t>
            </w:r>
          </w:p>
        </w:tc>
        <w:tc>
          <w:tcPr>
            <w:tcW w:w="576"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67</w:t>
            </w:r>
          </w:p>
        </w:tc>
        <w:tc>
          <w:tcPr>
            <w:tcW w:w="805"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13400</w:t>
            </w:r>
          </w:p>
        </w:tc>
      </w:tr>
      <w:tr>
        <w:tblPrEx>
          <w:tblCellMar>
            <w:top w:w="0" w:type="dxa"/>
            <w:left w:w="108" w:type="dxa"/>
            <w:bottom w:w="0" w:type="dxa"/>
            <w:right w:w="108" w:type="dxa"/>
          </w:tblCellMar>
        </w:tblPrEx>
        <w:trPr>
          <w:trHeight w:val="579"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2471"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武装警察部队工程大学附属子女学校</w:t>
            </w:r>
          </w:p>
        </w:tc>
        <w:tc>
          <w:tcPr>
            <w:tcW w:w="576"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27</w:t>
            </w:r>
          </w:p>
        </w:tc>
        <w:tc>
          <w:tcPr>
            <w:tcW w:w="805"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5400</w:t>
            </w:r>
          </w:p>
        </w:tc>
      </w:tr>
      <w:tr>
        <w:tblPrEx>
          <w:tblCellMar>
            <w:top w:w="0" w:type="dxa"/>
            <w:left w:w="108" w:type="dxa"/>
            <w:bottom w:w="0" w:type="dxa"/>
            <w:right w:w="108" w:type="dxa"/>
          </w:tblCellMar>
        </w:tblPrEx>
        <w:trPr>
          <w:trHeight w:val="459"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2471"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西安市未央区车张小学</w:t>
            </w:r>
          </w:p>
        </w:tc>
        <w:tc>
          <w:tcPr>
            <w:tcW w:w="576"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805"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3000</w:t>
            </w:r>
          </w:p>
        </w:tc>
      </w:tr>
      <w:tr>
        <w:tblPrEx>
          <w:tblCellMar>
            <w:top w:w="0" w:type="dxa"/>
            <w:left w:w="108" w:type="dxa"/>
            <w:bottom w:w="0" w:type="dxa"/>
            <w:right w:w="108" w:type="dxa"/>
          </w:tblCellMar>
        </w:tblPrEx>
        <w:trPr>
          <w:trHeight w:val="399"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2471"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西安市未央区阿房路二校</w:t>
            </w:r>
          </w:p>
        </w:tc>
        <w:tc>
          <w:tcPr>
            <w:tcW w:w="576"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32</w:t>
            </w:r>
          </w:p>
        </w:tc>
        <w:tc>
          <w:tcPr>
            <w:tcW w:w="805"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6400</w:t>
            </w:r>
          </w:p>
        </w:tc>
      </w:tr>
      <w:tr>
        <w:tblPrEx>
          <w:tblCellMar>
            <w:top w:w="0" w:type="dxa"/>
            <w:left w:w="108" w:type="dxa"/>
            <w:bottom w:w="0" w:type="dxa"/>
            <w:right w:w="108" w:type="dxa"/>
          </w:tblCellMar>
        </w:tblPrEx>
        <w:trPr>
          <w:trHeight w:val="459"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2471"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西安市未央区焦家村小学</w:t>
            </w:r>
          </w:p>
        </w:tc>
        <w:tc>
          <w:tcPr>
            <w:tcW w:w="576"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685</w:t>
            </w:r>
          </w:p>
        </w:tc>
        <w:tc>
          <w:tcPr>
            <w:tcW w:w="805" w:type="pct"/>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137000</w:t>
            </w:r>
          </w:p>
        </w:tc>
      </w:tr>
      <w:tr>
        <w:tblPrEx>
          <w:tblCellMar>
            <w:top w:w="0" w:type="dxa"/>
            <w:left w:w="108" w:type="dxa"/>
            <w:bottom w:w="0" w:type="dxa"/>
            <w:right w:w="108" w:type="dxa"/>
          </w:tblCellMar>
        </w:tblPrEx>
        <w:trPr>
          <w:trHeight w:val="444"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2471"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西安市未央区五一小学</w:t>
            </w:r>
          </w:p>
        </w:tc>
        <w:tc>
          <w:tcPr>
            <w:tcW w:w="576"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23</w:t>
            </w:r>
          </w:p>
        </w:tc>
        <w:tc>
          <w:tcPr>
            <w:tcW w:w="805" w:type="pct"/>
            <w:tcBorders>
              <w:top w:val="nil"/>
              <w:left w:val="nil"/>
              <w:bottom w:val="single" w:color="auto" w:sz="4" w:space="0"/>
              <w:right w:val="single" w:color="auto" w:sz="4" w:space="0"/>
            </w:tcBorders>
            <w:shd w:val="clear" w:color="auto" w:fill="auto"/>
            <w:noWrap/>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4600</w:t>
            </w:r>
          </w:p>
        </w:tc>
      </w:tr>
      <w:tr>
        <w:tblPrEx>
          <w:tblCellMar>
            <w:top w:w="0" w:type="dxa"/>
            <w:left w:w="108" w:type="dxa"/>
            <w:bottom w:w="0" w:type="dxa"/>
            <w:right w:w="108" w:type="dxa"/>
          </w:tblCellMar>
        </w:tblPrEx>
        <w:trPr>
          <w:trHeight w:val="384"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2471"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西安市西城中学</w:t>
            </w:r>
          </w:p>
        </w:tc>
        <w:tc>
          <w:tcPr>
            <w:tcW w:w="576"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88</w:t>
            </w:r>
          </w:p>
        </w:tc>
        <w:tc>
          <w:tcPr>
            <w:tcW w:w="805" w:type="pct"/>
            <w:tcBorders>
              <w:top w:val="nil"/>
              <w:left w:val="nil"/>
              <w:bottom w:val="single" w:color="auto" w:sz="4" w:space="0"/>
              <w:right w:val="single" w:color="auto" w:sz="4" w:space="0"/>
            </w:tcBorders>
            <w:shd w:val="clear" w:color="auto" w:fill="auto"/>
            <w:noWrap/>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17600</w:t>
            </w:r>
          </w:p>
        </w:tc>
      </w:tr>
      <w:tr>
        <w:tblPrEx>
          <w:tblCellMar>
            <w:top w:w="0" w:type="dxa"/>
            <w:left w:w="108" w:type="dxa"/>
            <w:bottom w:w="0" w:type="dxa"/>
            <w:right w:w="108" w:type="dxa"/>
          </w:tblCellMar>
        </w:tblPrEx>
        <w:trPr>
          <w:trHeight w:val="414"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2471"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西咸第一小学北校区</w:t>
            </w:r>
          </w:p>
        </w:tc>
        <w:tc>
          <w:tcPr>
            <w:tcW w:w="576"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77</w:t>
            </w:r>
          </w:p>
        </w:tc>
        <w:tc>
          <w:tcPr>
            <w:tcW w:w="805" w:type="pct"/>
            <w:tcBorders>
              <w:top w:val="nil"/>
              <w:left w:val="nil"/>
              <w:bottom w:val="single" w:color="auto" w:sz="4" w:space="0"/>
              <w:right w:val="single" w:color="auto" w:sz="4" w:space="0"/>
            </w:tcBorders>
            <w:shd w:val="clear" w:color="auto" w:fill="auto"/>
            <w:noWrap/>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15400</w:t>
            </w:r>
          </w:p>
        </w:tc>
      </w:tr>
      <w:tr>
        <w:tblPrEx>
          <w:tblCellMar>
            <w:top w:w="0" w:type="dxa"/>
            <w:left w:w="108" w:type="dxa"/>
            <w:bottom w:w="0" w:type="dxa"/>
            <w:right w:w="108" w:type="dxa"/>
          </w:tblCellMar>
        </w:tblPrEx>
        <w:trPr>
          <w:trHeight w:val="624"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2471"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咸阳市秦都区沣东办北槐小学</w:t>
            </w:r>
          </w:p>
        </w:tc>
        <w:tc>
          <w:tcPr>
            <w:tcW w:w="576"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221</w:t>
            </w:r>
          </w:p>
        </w:tc>
        <w:tc>
          <w:tcPr>
            <w:tcW w:w="805" w:type="pct"/>
            <w:tcBorders>
              <w:top w:val="nil"/>
              <w:left w:val="nil"/>
              <w:bottom w:val="single" w:color="auto" w:sz="4" w:space="0"/>
              <w:right w:val="single" w:color="auto" w:sz="4" w:space="0"/>
            </w:tcBorders>
            <w:shd w:val="clear" w:color="auto" w:fill="auto"/>
            <w:noWrap/>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44200</w:t>
            </w:r>
          </w:p>
        </w:tc>
      </w:tr>
      <w:tr>
        <w:tblPrEx>
          <w:tblCellMar>
            <w:top w:w="0" w:type="dxa"/>
            <w:left w:w="108" w:type="dxa"/>
            <w:bottom w:w="0" w:type="dxa"/>
            <w:right w:w="108" w:type="dxa"/>
          </w:tblCellMar>
        </w:tblPrEx>
        <w:trPr>
          <w:trHeight w:val="624"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w:t>
            </w:r>
          </w:p>
        </w:tc>
        <w:tc>
          <w:tcPr>
            <w:tcW w:w="2471"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西安市长安区细柳街道义井九年制学校</w:t>
            </w:r>
          </w:p>
        </w:tc>
        <w:tc>
          <w:tcPr>
            <w:tcW w:w="576" w:type="pct"/>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140</w:t>
            </w:r>
          </w:p>
        </w:tc>
        <w:tc>
          <w:tcPr>
            <w:tcW w:w="80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28000</w:t>
            </w:r>
          </w:p>
        </w:tc>
      </w:tr>
      <w:tr>
        <w:tblPrEx>
          <w:tblCellMar>
            <w:top w:w="0" w:type="dxa"/>
            <w:left w:w="108" w:type="dxa"/>
            <w:bottom w:w="0" w:type="dxa"/>
            <w:right w:w="108" w:type="dxa"/>
          </w:tblCellMar>
        </w:tblPrEx>
        <w:trPr>
          <w:trHeight w:val="624" w:hRule="atLeast"/>
          <w:jc w:val="center"/>
        </w:trPr>
        <w:tc>
          <w:tcPr>
            <w:tcW w:w="36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19</w:t>
            </w:r>
          </w:p>
        </w:tc>
        <w:tc>
          <w:tcPr>
            <w:tcW w:w="24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rPr>
            </w:pPr>
            <w:r>
              <w:rPr>
                <w:rFonts w:hint="eastAsia" w:ascii="仿宋" w:hAnsi="仿宋" w:eastAsia="仿宋" w:cs="仿宋"/>
                <w:kern w:val="0"/>
                <w:sz w:val="21"/>
                <w:szCs w:val="21"/>
              </w:rPr>
              <w:t>西安市长安区王寺街道古城初小</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68</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13600</w:t>
            </w:r>
          </w:p>
        </w:tc>
      </w:tr>
      <w:tr>
        <w:tblPrEx>
          <w:tblCellMar>
            <w:top w:w="0" w:type="dxa"/>
            <w:left w:w="108" w:type="dxa"/>
            <w:bottom w:w="0" w:type="dxa"/>
            <w:right w:w="108" w:type="dxa"/>
          </w:tblCellMar>
        </w:tblPrEx>
        <w:trPr>
          <w:trHeight w:val="624" w:hRule="atLeast"/>
          <w:jc w:val="center"/>
        </w:trPr>
        <w:tc>
          <w:tcPr>
            <w:tcW w:w="36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rPr>
            </w:pPr>
          </w:p>
        </w:tc>
        <w:tc>
          <w:tcPr>
            <w:tcW w:w="24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合计</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2800</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560000</w:t>
            </w:r>
          </w:p>
        </w:tc>
      </w:tr>
    </w:tbl>
    <w:p>
      <w:pPr>
        <w:keepNext w:val="0"/>
        <w:keepLines w:val="0"/>
        <w:pageBreakBefore w:val="0"/>
        <w:widowControl/>
        <w:kinsoku/>
        <w:wordWrap/>
        <w:overflowPunct/>
        <w:topLinePunct w:val="0"/>
        <w:bidi w:val="0"/>
        <w:spacing w:line="360" w:lineRule="auto"/>
        <w:textAlignment w:val="baseline"/>
        <w:rPr>
          <w:rFonts w:hint="eastAsia" w:ascii="仿宋" w:hAnsi="仿宋" w:eastAsia="仿宋" w:cs="仿宋"/>
          <w:kern w:val="0"/>
          <w:sz w:val="21"/>
          <w:szCs w:val="21"/>
        </w:rPr>
      </w:pPr>
      <w:r>
        <w:rPr>
          <w:rFonts w:hint="eastAsia" w:ascii="仿宋" w:hAnsi="仿宋" w:eastAsia="仿宋" w:cs="仿宋"/>
          <w:kern w:val="0"/>
          <w:sz w:val="21"/>
          <w:szCs w:val="21"/>
        </w:rPr>
        <w:t>备注：1、本表数据是预计供应数量，供货周期内，将根据学校营养改善计划实际享受学生人数进行调整。</w:t>
      </w:r>
    </w:p>
    <w:p>
      <w:pPr>
        <w:keepNext w:val="0"/>
        <w:keepLines w:val="0"/>
        <w:pageBreakBefore w:val="0"/>
        <w:widowControl/>
        <w:tabs>
          <w:tab w:val="left" w:pos="8820"/>
        </w:tabs>
        <w:kinsoku/>
        <w:wordWrap/>
        <w:overflowPunct/>
        <w:topLinePunct w:val="0"/>
        <w:bidi w:val="0"/>
        <w:spacing w:line="360" w:lineRule="auto"/>
        <w:ind w:firstLine="570"/>
        <w:textAlignment w:val="baseline"/>
        <w:rPr>
          <w:rFonts w:hint="eastAsia" w:ascii="仿宋" w:hAnsi="仿宋" w:eastAsia="仿宋" w:cs="仿宋"/>
          <w:sz w:val="21"/>
          <w:szCs w:val="21"/>
        </w:rPr>
      </w:pPr>
      <w:r>
        <w:rPr>
          <w:rFonts w:hint="eastAsia" w:ascii="仿宋" w:hAnsi="仿宋" w:eastAsia="仿宋" w:cs="仿宋"/>
          <w:kern w:val="0"/>
          <w:sz w:val="21"/>
          <w:szCs w:val="21"/>
        </w:rPr>
        <w:t>2、</w:t>
      </w:r>
      <w:r>
        <w:rPr>
          <w:rFonts w:hint="eastAsia" w:ascii="仿宋" w:hAnsi="仿宋" w:eastAsia="仿宋" w:cs="仿宋"/>
          <w:sz w:val="21"/>
          <w:szCs w:val="21"/>
        </w:rPr>
        <w:t>供货周期内，采购人根据省、市、西咸新区及沣东新城管委会有关政策和规定进行实施人数及实施有关情况的调整，最终据实结算。</w:t>
      </w:r>
    </w:p>
    <w:p>
      <w:pPr>
        <w:keepNext w:val="0"/>
        <w:keepLines w:val="0"/>
        <w:pageBreakBefore w:val="0"/>
        <w:widowControl/>
        <w:tabs>
          <w:tab w:val="left" w:pos="8820"/>
        </w:tabs>
        <w:kinsoku/>
        <w:wordWrap/>
        <w:overflowPunct/>
        <w:topLinePunct w:val="0"/>
        <w:bidi w:val="0"/>
        <w:spacing w:line="360" w:lineRule="auto"/>
        <w:ind w:firstLine="570"/>
        <w:textAlignment w:val="baseline"/>
        <w:rPr>
          <w:rFonts w:hint="eastAsia" w:ascii="仿宋" w:hAnsi="仿宋" w:eastAsia="仿宋" w:cs="仿宋"/>
          <w:kern w:val="0"/>
          <w:sz w:val="24"/>
          <w:szCs w:val="24"/>
        </w:rPr>
      </w:pPr>
      <w:r>
        <w:rPr>
          <w:rFonts w:hint="eastAsia" w:ascii="仿宋" w:hAnsi="仿宋" w:eastAsia="仿宋" w:cs="仿宋"/>
          <w:kern w:val="0"/>
          <w:sz w:val="21"/>
          <w:szCs w:val="21"/>
        </w:rPr>
        <w:t>3、本表中的“拟实施人数（人）”即学校每天所需供应的营养早餐的份数。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MjA4MDE1M2UyNDQ5OTZmNTY2MzZkYzY2NjJiOTQifQ=="/>
  </w:docVars>
  <w:rsids>
    <w:rsidRoot w:val="73C464C6"/>
    <w:rsid w:val="200B0D98"/>
    <w:rsid w:val="49DB37BB"/>
    <w:rsid w:val="73C46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宋体" w:hAnsi="Times New Roman" w:eastAsia="宋体" w:cstheme="minorBidi"/>
      <w:sz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kern w:val="2"/>
      <w:sz w:val="18"/>
      <w:szCs w:val="18"/>
    </w:rPr>
  </w:style>
  <w:style w:type="character" w:customStyle="1" w:styleId="5">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2024-08-06T06:52:00Z</dcterms:created>
  <dc:creator>Administrator</dc:creator>
  <cp:lastModifiedBy>Administrator</cp:lastModifiedBy>
  <dcterms:modified xsi:type="dcterms:W3CDTF">2024-08-06T06:53:04Z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2285F9A25B9E411F8B702802919ACAED_11</vt:lpwstr>
  </property>
</Properties>
</file>