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/>
        <w:pageBreakBefore/>
        <w:tabs>
          <w:tab w:val="left" w:pos="324"/>
        </w:tabs>
        <w:spacing w:line="360" w:lineRule="auto"/>
        <w:jc w:val="center"/>
        <w:outlineLvl w:val="0"/>
        <w:rPr>
          <w:rFonts w:ascii="宋体" w:hAnsi="宋体"/>
          <w:b/>
          <w:sz w:val="30"/>
          <w:szCs w:val="32"/>
        </w:rPr>
      </w:pPr>
      <w:bookmarkStart w:id="0" w:name="_GoBack"/>
      <w:r>
        <w:rPr>
          <w:rFonts w:hint="eastAsia" w:ascii="宋体" w:hAnsi="宋体"/>
          <w:b/>
          <w:sz w:val="30"/>
          <w:szCs w:val="32"/>
        </w:rPr>
        <w:t>采购内容及商务要求</w:t>
      </w:r>
    </w:p>
    <w:bookmarkEnd w:id="0"/>
    <w:p>
      <w:pPr>
        <w:pStyle w:val="3"/>
        <w:spacing w:after="0"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一、采购内容</w:t>
      </w:r>
    </w:p>
    <w:p>
      <w:pPr>
        <w:pStyle w:val="3"/>
        <w:spacing w:after="0" w:line="360" w:lineRule="auto"/>
        <w:ind w:firstLine="480" w:firstLineChars="200"/>
        <w:rPr>
          <w:rFonts w:hint="eastAsia"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本次专项规划编制范围为沣西自管范围：鄠邑区大王街道、渭丰街道（部分），长安区马王街道、高桥街道，秦都区钓台街道、陈杨寨街道，总面积115.6平方公里。</w:t>
      </w:r>
    </w:p>
    <w:p>
      <w:pPr>
        <w:pStyle w:val="3"/>
        <w:spacing w:after="0" w:line="360" w:lineRule="auto"/>
        <w:ind w:firstLine="480" w:firstLineChars="200"/>
        <w:rPr>
          <w:rFonts w:hint="eastAsia"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研究内容包含道路工程专项规划、雨水工程专项规划、污水工程专项规划、管线综合专项规划。其中：道路工程专项规划以片区规划、综合交通体系专项规划为依据，结合城市道路工程的发展，统一规划，分期实施，对城市道路网系统进行改善和完善，为城市道路的发展和建设提供科学的依据，主要包括道路平面、横断面规划，道路网竖向控制规划，道路交叉口规划（对平面交叉口进行发展用地预留，对典型交叉口进行渠化设计），确定慢行系统网络布局及近期建设规划；雨水、污水、管线综合专项规划待道路网结构确定后，根据地块的用地属性、人口指标、海绵城市要求等确定沣西新城雨水、污水的布置和管线综合规划。</w:t>
      </w:r>
    </w:p>
    <w:p>
      <w:pPr>
        <w:pStyle w:val="3"/>
        <w:spacing w:after="0" w:line="360" w:lineRule="auto"/>
        <w:ind w:firstLine="480" w:firstLineChars="200"/>
        <w:rPr>
          <w:rFonts w:hint="eastAsia"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规划研究要求：1.按现行相关规范及西咸新区要求进行市政专项规划研究；2.对已建成情况、现有专项规划执行情况进行评估，提出优化建议；3.结合国土空间规划详细规划进行同步动态研究，待国土空间规划详细规划确定后编制最终专项规划成果。</w:t>
      </w:r>
    </w:p>
    <w:p>
      <w:pPr>
        <w:pStyle w:val="3"/>
        <w:spacing w:after="0" w:line="360" w:lineRule="auto"/>
        <w:rPr>
          <w:rFonts w:hint="eastAsia" w:ascii="宋体" w:hAnsi="宋体" w:cs="宋体"/>
          <w:b/>
          <w:bCs/>
          <w:sz w:val="24"/>
          <w:szCs w:val="24"/>
          <w:lang w:val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二</w:t>
      </w:r>
      <w:r>
        <w:rPr>
          <w:rFonts w:hint="eastAsia" w:ascii="宋体" w:hAnsi="宋体" w:cs="宋体"/>
          <w:b/>
          <w:bCs/>
          <w:sz w:val="24"/>
          <w:szCs w:val="24"/>
          <w:lang w:val="zh-CN"/>
        </w:rPr>
        <w:t>、商务要求</w:t>
      </w:r>
    </w:p>
    <w:p>
      <w:pPr>
        <w:pStyle w:val="3"/>
        <w:spacing w:after="0" w:line="360" w:lineRule="auto"/>
        <w:ind w:firstLine="480" w:firstLineChars="200"/>
        <w:rPr>
          <w:rFonts w:hint="eastAsia"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2.1服务费用结算及付款方式</w:t>
      </w:r>
    </w:p>
    <w:p>
      <w:pPr>
        <w:pStyle w:val="3"/>
        <w:spacing w:after="0" w:line="360" w:lineRule="auto"/>
        <w:ind w:firstLine="480" w:firstLineChars="200"/>
        <w:rPr>
          <w:rFonts w:hint="eastAsia"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2.1.1结算单位：银行转账，由采购人以人民币负责结算。</w:t>
      </w:r>
    </w:p>
    <w:p>
      <w:pPr>
        <w:pStyle w:val="3"/>
        <w:spacing w:after="0" w:line="360" w:lineRule="auto"/>
        <w:ind w:firstLine="480" w:firstLineChars="200"/>
        <w:rPr>
          <w:rFonts w:ascii="宋体" w:hAns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2.1.2付款方式：</w:t>
      </w:r>
    </w:p>
    <w:p>
      <w:pPr>
        <w:pStyle w:val="3"/>
        <w:spacing w:after="0" w:line="360" w:lineRule="auto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①合同签订后，乙方完成初步规划成果，支付合同总价的35%，最终规划成果经专家评审会后</w:t>
      </w:r>
      <w:r>
        <w:rPr>
          <w:rFonts w:hint="eastAsia" w:ascii="宋体" w:hAnsi="宋体" w:cs="宋体"/>
          <w:b/>
          <w:bCs/>
          <w:sz w:val="24"/>
          <w:szCs w:val="24"/>
          <w:lang w:bidi="ar"/>
        </w:rPr>
        <w:t>支付至合同价款的</w:t>
      </w:r>
      <w:r>
        <w:rPr>
          <w:rFonts w:hint="eastAsia" w:ascii="宋体" w:hAnsi="宋体" w:cs="宋体"/>
          <w:b/>
          <w:bCs/>
          <w:sz w:val="24"/>
          <w:szCs w:val="24"/>
        </w:rPr>
        <w:t>75%，依据专家评审意见修改并经甲方确认后一次性支付剩余款项。</w:t>
      </w:r>
    </w:p>
    <w:p>
      <w:pPr>
        <w:pStyle w:val="3"/>
        <w:spacing w:after="0" w:line="360" w:lineRule="auto"/>
        <w:ind w:firstLine="482" w:firstLineChars="200"/>
        <w:rPr>
          <w:rFonts w:hint="eastAsia" w:ascii="宋体" w:hAnsi="宋体" w:cs="宋体"/>
          <w:b/>
          <w:bCs/>
          <w:sz w:val="24"/>
          <w:szCs w:val="24"/>
          <w:lang w:bidi="ar"/>
        </w:rPr>
      </w:pPr>
      <w:r>
        <w:rPr>
          <w:rFonts w:hint="eastAsia" w:ascii="宋体" w:hAnsi="宋体" w:cs="宋体"/>
          <w:b/>
          <w:bCs/>
          <w:sz w:val="24"/>
          <w:szCs w:val="24"/>
        </w:rPr>
        <w:t>②中标单位符合中小企业声明函（服务）的企业：合同签订后30日历日内，支付合同总价的40%作为预付款；</w:t>
      </w:r>
      <w:r>
        <w:rPr>
          <w:rFonts w:hint="eastAsia" w:ascii="宋体" w:hAnsi="宋体" w:cs="宋体"/>
          <w:b/>
          <w:bCs/>
          <w:sz w:val="24"/>
          <w:szCs w:val="24"/>
          <w:lang w:bidi="ar"/>
        </w:rPr>
        <w:t>最终规划成果经专家评审会后支付至合同价款的80%</w:t>
      </w:r>
      <w:r>
        <w:rPr>
          <w:rFonts w:hint="eastAsia" w:ascii="宋体" w:hAnsi="宋体" w:cs="宋体"/>
          <w:b/>
          <w:bCs/>
          <w:sz w:val="24"/>
          <w:szCs w:val="24"/>
        </w:rPr>
        <w:t>，依据专家评审意见修改并经甲方确认后一次性支付剩余款项。</w:t>
      </w:r>
    </w:p>
    <w:p>
      <w:pPr>
        <w:pStyle w:val="3"/>
        <w:spacing w:after="0" w:line="360" w:lineRule="auto"/>
        <w:ind w:firstLine="482" w:firstLineChars="200"/>
        <w:rPr>
          <w:rFonts w:hint="eastAsia" w:ascii="宋体" w:hAnsi="宋体" w:cs="宋体"/>
          <w:b/>
          <w:bCs/>
          <w:sz w:val="24"/>
          <w:szCs w:val="24"/>
          <w:lang w:bidi="ar"/>
        </w:rPr>
      </w:pPr>
      <w:r>
        <w:rPr>
          <w:rFonts w:hint="eastAsia" w:ascii="宋体" w:hAnsi="宋体" w:cs="宋体"/>
          <w:b/>
          <w:bCs/>
          <w:sz w:val="24"/>
          <w:szCs w:val="24"/>
          <w:lang w:bidi="ar"/>
        </w:rPr>
        <w:t>甲方在付款前，乙方应向甲方开具符合甲方要求的增值税普通发票，否则，甲方有权拒绝付款，并不承担任何责任，发票引发的法律风险由乙方承担。</w:t>
      </w:r>
    </w:p>
    <w:p>
      <w:pPr>
        <w:pStyle w:val="3"/>
        <w:spacing w:after="0" w:line="360" w:lineRule="auto"/>
        <w:ind w:left="0" w:leftChars="0" w:firstLine="420" w:firstLineChars="175"/>
        <w:rPr>
          <w:rFonts w:ascii="宋体" w:hAnsi="宋体" w:cs="宋体"/>
          <w:sz w:val="24"/>
          <w:szCs w:val="24"/>
          <w:lang w:bidi="ar"/>
        </w:rPr>
      </w:pPr>
      <w:r>
        <w:rPr>
          <w:rFonts w:hint="eastAsia" w:ascii="宋体" w:hAnsi="宋体" w:cs="宋体"/>
          <w:sz w:val="24"/>
          <w:szCs w:val="24"/>
          <w:lang w:val="zh-CN"/>
        </w:rPr>
        <w:t>2.1.3服务期限：</w:t>
      </w:r>
      <w:r>
        <w:rPr>
          <w:rFonts w:hint="eastAsia" w:ascii="宋体" w:hAnsi="宋体" w:cs="宋体"/>
          <w:sz w:val="24"/>
          <w:szCs w:val="24"/>
          <w:lang w:bidi="ar"/>
        </w:rPr>
        <w:t>自合同签订生效之日起1年。</w:t>
      </w:r>
    </w:p>
    <w:p>
      <w:pPr>
        <w:spacing w:line="360" w:lineRule="auto"/>
        <w:ind w:left="0" w:leftChars="0" w:firstLine="420" w:firstLineChars="175"/>
      </w:pPr>
      <w:r>
        <w:rPr>
          <w:rFonts w:hint="eastAsia" w:ascii="宋体" w:hAnsi="宋体" w:cs="宋体"/>
          <w:sz w:val="24"/>
          <w:szCs w:val="24"/>
          <w:lang w:bidi="ar"/>
        </w:rPr>
        <w:t>2</w:t>
      </w:r>
      <w:r>
        <w:rPr>
          <w:rFonts w:ascii="宋体" w:hAnsi="宋体" w:cs="宋体"/>
          <w:sz w:val="24"/>
          <w:szCs w:val="24"/>
          <w:lang w:bidi="ar"/>
        </w:rPr>
        <w:t>.2</w:t>
      </w:r>
      <w:r>
        <w:rPr>
          <w:rFonts w:hint="eastAsia" w:ascii="宋体" w:hAnsi="宋体" w:cs="宋体"/>
          <w:sz w:val="24"/>
          <w:szCs w:val="24"/>
          <w:lang w:bidi="ar"/>
        </w:rPr>
        <w:t>质量：符合国家行业现行规范标准；</w:t>
      </w:r>
    </w:p>
    <w:sectPr>
      <w:pgSz w:w="11906" w:h="16838"/>
      <w:pgMar w:top="1440" w:right="1247" w:bottom="1440" w:left="124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wZGU0MTRkNDY2ZTZiMjQ1YTE0M2NiYTViN2JmM2YifQ=="/>
  </w:docVars>
  <w:rsids>
    <w:rsidRoot w:val="011A3882"/>
    <w:rsid w:val="011A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360" w:lineRule="auto"/>
      <w:ind w:firstLine="480"/>
    </w:pPr>
    <w:rPr>
      <w:rFonts w:ascii="宋体" w:hAnsi="宋体"/>
      <w:szCs w:val="21"/>
    </w:r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2024-04-11T01:37:00Z</dcterms:created>
  <dc:creator>Throb°</dc:creator>
  <cp:lastModifiedBy>Throb°</cp:lastModifiedBy>
  <dcterms:modified xsi:type="dcterms:W3CDTF">2024-04-11T01:37:45Z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9031D9E408E645649C36BF12BA42D317_11</vt:lpwstr>
  </property>
</Properties>
</file>