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6795A1">
      <w:pPr>
        <w:spacing w:before="120" w:beforeLines="50" w:line="520" w:lineRule="exact"/>
        <w:jc w:val="center"/>
        <w:rPr>
          <w:rFonts w:ascii="宋体" w:hAnsi="宋体" w:cs="宋体"/>
          <w:b/>
          <w:bCs/>
          <w:color w:val="auto"/>
          <w:sz w:val="36"/>
          <w:szCs w:val="36"/>
        </w:rPr>
      </w:pPr>
      <w:r>
        <w:rPr>
          <w:rFonts w:hint="eastAsia" w:ascii="宋体" w:hAnsi="宋体" w:cs="宋体"/>
          <w:b/>
          <w:bCs/>
          <w:color w:val="auto"/>
          <w:sz w:val="36"/>
          <w:szCs w:val="36"/>
        </w:rPr>
        <w:t>竞争性谈判内容及技术要求</w:t>
      </w:r>
    </w:p>
    <w:p w14:paraId="068ED82B">
      <w:pPr>
        <w:pStyle w:val="2"/>
        <w:keepNext w:val="0"/>
        <w:keepLines w:val="0"/>
        <w:pageBreakBefore w:val="0"/>
        <w:widowControl w:val="0"/>
        <w:kinsoku/>
        <w:wordWrap/>
        <w:overflowPunct/>
        <w:topLinePunct w:val="0"/>
        <w:autoSpaceDE/>
        <w:autoSpaceDN/>
        <w:bidi w:val="0"/>
        <w:adjustRightInd/>
        <w:snapToGrid/>
        <w:spacing w:line="500" w:lineRule="exact"/>
        <w:ind w:firstLine="200"/>
        <w:textAlignment w:val="auto"/>
        <w:rPr>
          <w:rFonts w:hint="default" w:hAnsi="宋体" w:eastAsia="宋体" w:cs="Verdana"/>
          <w:b/>
          <w:color w:val="auto"/>
          <w:kern w:val="0"/>
          <w:sz w:val="24"/>
          <w:szCs w:val="24"/>
          <w:lang w:val="en-US" w:eastAsia="zh-CN"/>
        </w:rPr>
      </w:pPr>
      <w:r>
        <w:rPr>
          <w:rFonts w:hint="eastAsia" w:hAnsi="宋体" w:cs="Verdana"/>
          <w:b/>
          <w:color w:val="auto"/>
          <w:kern w:val="0"/>
          <w:sz w:val="24"/>
          <w:szCs w:val="24"/>
        </w:rPr>
        <w:t>一、</w:t>
      </w:r>
      <w:r>
        <w:rPr>
          <w:rFonts w:hint="eastAsia" w:hAnsi="宋体" w:cs="Verdana"/>
          <w:b/>
          <w:color w:val="auto"/>
          <w:kern w:val="0"/>
          <w:sz w:val="24"/>
          <w:szCs w:val="24"/>
          <w:lang w:val="en-US" w:eastAsia="zh-CN"/>
        </w:rPr>
        <w:t>主要资产情况</w:t>
      </w:r>
    </w:p>
    <w:p w14:paraId="5BB33485">
      <w:pPr>
        <w:pStyle w:val="2"/>
        <w:keepNext w:val="0"/>
        <w:keepLines w:val="0"/>
        <w:pageBreakBefore w:val="0"/>
        <w:widowControl w:val="0"/>
        <w:kinsoku/>
        <w:wordWrap/>
        <w:overflowPunct/>
        <w:topLinePunct w:val="0"/>
        <w:autoSpaceDE/>
        <w:autoSpaceDN/>
        <w:bidi w:val="0"/>
        <w:adjustRightInd/>
        <w:snapToGrid/>
        <w:spacing w:line="500" w:lineRule="exact"/>
        <w:ind w:firstLine="200"/>
        <w:textAlignment w:val="auto"/>
        <w:rPr>
          <w:rFonts w:hint="eastAsia" w:hAnsi="宋体" w:cs="Verdana"/>
          <w:b w:val="0"/>
          <w:bCs/>
          <w:color w:val="auto"/>
          <w:kern w:val="0"/>
          <w:sz w:val="24"/>
          <w:szCs w:val="24"/>
        </w:rPr>
      </w:pPr>
      <w:r>
        <w:rPr>
          <w:rFonts w:hint="eastAsia" w:hAnsi="宋体" w:cs="Verdana"/>
          <w:b w:val="0"/>
          <w:bCs/>
          <w:color w:val="auto"/>
          <w:kern w:val="0"/>
          <w:sz w:val="24"/>
          <w:szCs w:val="24"/>
        </w:rPr>
        <w:t>（</w:t>
      </w:r>
      <w:r>
        <w:rPr>
          <w:rFonts w:hint="eastAsia" w:hAnsi="宋体" w:cs="Verdana"/>
          <w:b w:val="0"/>
          <w:bCs/>
          <w:color w:val="auto"/>
          <w:kern w:val="0"/>
          <w:sz w:val="24"/>
          <w:szCs w:val="24"/>
          <w:lang w:val="en-US" w:eastAsia="zh-CN"/>
        </w:rPr>
        <w:t>一</w:t>
      </w:r>
      <w:r>
        <w:rPr>
          <w:rFonts w:hint="eastAsia" w:hAnsi="宋体" w:cs="Verdana"/>
          <w:b w:val="0"/>
          <w:bCs/>
          <w:color w:val="auto"/>
          <w:kern w:val="0"/>
          <w:sz w:val="24"/>
          <w:szCs w:val="24"/>
        </w:rPr>
        <w:t>）项目概况</w:t>
      </w:r>
    </w:p>
    <w:p w14:paraId="2F784936">
      <w:pPr>
        <w:pStyle w:val="2"/>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hAnsi="宋体" w:cs="Verdana"/>
          <w:bCs/>
          <w:color w:val="auto"/>
          <w:kern w:val="0"/>
          <w:sz w:val="24"/>
          <w:szCs w:val="24"/>
        </w:rPr>
      </w:pPr>
      <w:r>
        <w:rPr>
          <w:rFonts w:hint="eastAsia" w:hAnsi="宋体" w:cs="Verdana"/>
          <w:bCs/>
          <w:color w:val="auto"/>
          <w:kern w:val="0"/>
          <w:sz w:val="24"/>
          <w:szCs w:val="24"/>
          <w:lang w:val="en-US" w:eastAsia="zh-CN"/>
        </w:rPr>
        <w:t>根据《陕西省西咸新区秦汉新城管理委员会专项问题会议纪要》(2024年5月10日),为进一步盘活秦汉新城存量国有资产，扩大有效投资，对秦汉新城公租房经营权资产进行盘活。根据盘活实施方案，拟将秦汉新城“周礼佳苑”等3个公共租赁住房项目经营权进行转让，转让年限20年。</w:t>
      </w:r>
    </w:p>
    <w:p w14:paraId="240E8842">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240" w:firstLineChars="100"/>
        <w:textAlignment w:val="auto"/>
        <w:rPr>
          <w:rFonts w:hint="eastAsia" w:hAnsi="宋体" w:cs="Verdana"/>
          <w:bCs/>
          <w:color w:val="auto"/>
          <w:kern w:val="0"/>
          <w:sz w:val="24"/>
          <w:szCs w:val="24"/>
        </w:rPr>
      </w:pPr>
      <w:r>
        <w:rPr>
          <w:rFonts w:hint="eastAsia" w:hAnsi="宋体" w:cs="Verdana"/>
          <w:bCs/>
          <w:color w:val="auto"/>
          <w:kern w:val="0"/>
          <w:sz w:val="24"/>
          <w:szCs w:val="24"/>
          <w:lang w:eastAsia="zh-CN"/>
        </w:rPr>
        <w:t>（</w:t>
      </w:r>
      <w:r>
        <w:rPr>
          <w:rFonts w:hint="eastAsia" w:hAnsi="宋体" w:cs="Verdana"/>
          <w:bCs/>
          <w:color w:val="auto"/>
          <w:kern w:val="0"/>
          <w:sz w:val="24"/>
          <w:szCs w:val="24"/>
          <w:lang w:val="en-US" w:eastAsia="zh-CN"/>
        </w:rPr>
        <w:t>二</w:t>
      </w:r>
      <w:r>
        <w:rPr>
          <w:rFonts w:hint="eastAsia" w:hAnsi="宋体" w:cs="Verdana"/>
          <w:bCs/>
          <w:color w:val="auto"/>
          <w:kern w:val="0"/>
          <w:sz w:val="24"/>
          <w:szCs w:val="24"/>
          <w:lang w:eastAsia="zh-CN"/>
        </w:rPr>
        <w:t>）</w:t>
      </w:r>
      <w:r>
        <w:rPr>
          <w:rFonts w:hint="eastAsia" w:hAnsi="宋体" w:cs="Verdana"/>
          <w:bCs/>
          <w:color w:val="auto"/>
          <w:kern w:val="0"/>
          <w:sz w:val="24"/>
          <w:szCs w:val="24"/>
        </w:rPr>
        <w:t xml:space="preserve">资产特点及分布情况 </w:t>
      </w:r>
    </w:p>
    <w:p w14:paraId="66232865">
      <w:pPr>
        <w:pStyle w:val="2"/>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hAnsi="宋体" w:eastAsia="宋体" w:cs="Verdana"/>
          <w:b w:val="0"/>
          <w:bCs/>
          <w:color w:val="auto"/>
          <w:kern w:val="0"/>
          <w:sz w:val="24"/>
          <w:szCs w:val="24"/>
          <w:lang w:val="en-US" w:eastAsia="zh-CN"/>
        </w:rPr>
      </w:pPr>
      <w:r>
        <w:rPr>
          <w:rFonts w:hint="eastAsia" w:hAnsi="宋体" w:eastAsia="宋体" w:cs="Verdana"/>
          <w:b w:val="0"/>
          <w:bCs/>
          <w:color w:val="auto"/>
          <w:kern w:val="0"/>
          <w:sz w:val="24"/>
          <w:szCs w:val="24"/>
          <w:lang w:val="en-US" w:eastAsia="zh-CN"/>
        </w:rPr>
        <w:t>根据产权持有单位提供的资料，秦汉新城拟转让的经营权涉及西咸新区秦汉新城“周礼佳苑”、“兰池佳苑”、“渭柳佳苑”3个公共租赁住房项目4889套公共租赁住房。</w:t>
      </w:r>
    </w:p>
    <w:p w14:paraId="08412F88">
      <w:pPr>
        <w:pStyle w:val="2"/>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hAnsi="宋体" w:eastAsia="宋体" w:cs="Verdana"/>
          <w:b w:val="0"/>
          <w:bCs/>
          <w:color w:val="auto"/>
          <w:kern w:val="0"/>
          <w:sz w:val="24"/>
          <w:szCs w:val="24"/>
          <w:lang w:val="en-US" w:eastAsia="zh-CN"/>
        </w:rPr>
      </w:pPr>
      <w:r>
        <w:rPr>
          <w:rFonts w:hint="eastAsia" w:hAnsi="宋体" w:eastAsia="宋体" w:cs="Verdana"/>
          <w:b w:val="0"/>
          <w:bCs/>
          <w:color w:val="auto"/>
          <w:kern w:val="0"/>
          <w:sz w:val="24"/>
          <w:szCs w:val="24"/>
          <w:lang w:val="en-US" w:eastAsia="zh-CN"/>
        </w:rPr>
        <w:t>本次纳入评估范围内公共租赁住房统计见下表：</w:t>
      </w:r>
    </w:p>
    <w:tbl>
      <w:tblPr>
        <w:tblStyle w:val="6"/>
        <w:tblpPr w:leftFromText="180" w:rightFromText="180" w:vertAnchor="text" w:horzAnchor="page" w:tblpX="1142" w:tblpY="297"/>
        <w:tblOverlap w:val="never"/>
        <w:tblW w:w="10176"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7"/>
        <w:gridCol w:w="1485"/>
        <w:gridCol w:w="2366"/>
        <w:gridCol w:w="1607"/>
        <w:gridCol w:w="1660"/>
        <w:gridCol w:w="924"/>
        <w:gridCol w:w="1337"/>
      </w:tblGrid>
      <w:tr w14:paraId="472EE6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797" w:type="dxa"/>
            <w:noWrap w:val="0"/>
            <w:vAlign w:val="center"/>
          </w:tcPr>
          <w:p w14:paraId="79160665">
            <w:pPr>
              <w:pStyle w:val="5"/>
              <w:spacing w:before="311" w:line="222" w:lineRule="auto"/>
              <w:ind w:left="130"/>
              <w:jc w:val="center"/>
              <w:rPr>
                <w:rFonts w:hint="eastAsia" w:ascii="宋体" w:hAnsi="宋体" w:eastAsia="宋体" w:cs="宋体"/>
                <w:color w:val="auto"/>
              </w:rPr>
            </w:pPr>
            <w:r>
              <w:rPr>
                <w:rFonts w:hint="eastAsia" w:ascii="宋体" w:hAnsi="宋体" w:eastAsia="宋体" w:cs="宋体"/>
                <w:color w:val="auto"/>
                <w:spacing w:val="-3"/>
              </w:rPr>
              <w:t>序号</w:t>
            </w:r>
          </w:p>
        </w:tc>
        <w:tc>
          <w:tcPr>
            <w:tcW w:w="1485" w:type="dxa"/>
            <w:noWrap w:val="0"/>
            <w:vAlign w:val="center"/>
          </w:tcPr>
          <w:p w14:paraId="71AC265D">
            <w:pPr>
              <w:pStyle w:val="5"/>
              <w:spacing w:before="312" w:line="222" w:lineRule="auto"/>
              <w:jc w:val="center"/>
              <w:rPr>
                <w:rFonts w:hint="eastAsia" w:ascii="宋体" w:hAnsi="宋体" w:eastAsia="宋体" w:cs="宋体"/>
                <w:color w:val="auto"/>
              </w:rPr>
            </w:pPr>
            <w:r>
              <w:rPr>
                <w:rFonts w:hint="eastAsia" w:ascii="宋体" w:hAnsi="宋体" w:eastAsia="宋体" w:cs="宋体"/>
                <w:color w:val="auto"/>
                <w:spacing w:val="-4"/>
              </w:rPr>
              <w:t>小区名称</w:t>
            </w:r>
          </w:p>
        </w:tc>
        <w:tc>
          <w:tcPr>
            <w:tcW w:w="2366" w:type="dxa"/>
            <w:noWrap w:val="0"/>
            <w:vAlign w:val="center"/>
          </w:tcPr>
          <w:p w14:paraId="3C99E811">
            <w:pPr>
              <w:pStyle w:val="5"/>
              <w:spacing w:before="312" w:line="220" w:lineRule="auto"/>
              <w:jc w:val="center"/>
              <w:rPr>
                <w:rFonts w:hint="eastAsia" w:ascii="宋体" w:hAnsi="宋体" w:eastAsia="宋体" w:cs="宋体"/>
                <w:color w:val="auto"/>
              </w:rPr>
            </w:pPr>
            <w:r>
              <w:rPr>
                <w:rFonts w:hint="eastAsia" w:ascii="宋体" w:hAnsi="宋体" w:eastAsia="宋体" w:cs="宋体"/>
                <w:color w:val="auto"/>
                <w:spacing w:val="-2"/>
              </w:rPr>
              <w:t>权证编号</w:t>
            </w:r>
          </w:p>
        </w:tc>
        <w:tc>
          <w:tcPr>
            <w:tcW w:w="1607" w:type="dxa"/>
            <w:noWrap w:val="0"/>
            <w:vAlign w:val="center"/>
          </w:tcPr>
          <w:p w14:paraId="4A3F57C8">
            <w:pPr>
              <w:pStyle w:val="5"/>
              <w:spacing w:before="170" w:line="236" w:lineRule="auto"/>
              <w:ind w:left="379" w:right="253" w:hanging="116"/>
              <w:jc w:val="center"/>
              <w:rPr>
                <w:rFonts w:hint="eastAsia" w:ascii="宋体" w:hAnsi="宋体" w:eastAsia="宋体" w:cs="宋体"/>
                <w:color w:val="auto"/>
              </w:rPr>
            </w:pPr>
            <w:r>
              <w:rPr>
                <w:rFonts w:hint="eastAsia" w:ascii="宋体" w:hAnsi="宋体" w:eastAsia="宋体" w:cs="宋体"/>
                <w:color w:val="auto"/>
                <w:spacing w:val="-2"/>
              </w:rPr>
              <w:t>证载面积</w:t>
            </w:r>
            <w:r>
              <w:rPr>
                <w:rFonts w:hint="eastAsia" w:ascii="宋体" w:hAnsi="宋体" w:eastAsia="宋体" w:cs="宋体"/>
                <w:color w:val="auto"/>
              </w:rPr>
              <w:t xml:space="preserve"> </w:t>
            </w:r>
            <w:r>
              <w:rPr>
                <w:rFonts w:hint="eastAsia" w:ascii="宋体" w:hAnsi="宋体" w:eastAsia="宋体" w:cs="宋体"/>
                <w:color w:val="auto"/>
                <w:spacing w:val="-10"/>
              </w:rPr>
              <w:t>（㎡）</w:t>
            </w:r>
          </w:p>
        </w:tc>
        <w:tc>
          <w:tcPr>
            <w:tcW w:w="1660" w:type="dxa"/>
            <w:noWrap w:val="0"/>
            <w:vAlign w:val="center"/>
          </w:tcPr>
          <w:p w14:paraId="29AD2154">
            <w:pPr>
              <w:pStyle w:val="5"/>
              <w:spacing w:before="170" w:line="236" w:lineRule="auto"/>
              <w:ind w:right="276"/>
              <w:jc w:val="center"/>
              <w:rPr>
                <w:rFonts w:hint="eastAsia" w:ascii="宋体" w:hAnsi="宋体" w:eastAsia="宋体" w:cs="宋体"/>
                <w:color w:val="auto"/>
              </w:rPr>
            </w:pPr>
            <w:r>
              <w:rPr>
                <w:rFonts w:hint="eastAsia" w:ascii="宋体" w:hAnsi="宋体" w:eastAsia="宋体" w:cs="宋体"/>
                <w:color w:val="auto"/>
                <w:spacing w:val="-2"/>
                <w:lang w:val="en-US" w:eastAsia="zh-CN"/>
              </w:rPr>
              <w:t xml:space="preserve"> </w:t>
            </w:r>
            <w:r>
              <w:rPr>
                <w:rFonts w:hint="eastAsia" w:ascii="宋体" w:hAnsi="宋体" w:eastAsia="宋体" w:cs="宋体"/>
                <w:color w:val="auto"/>
                <w:spacing w:val="-2"/>
              </w:rPr>
              <w:t>计租面积</w:t>
            </w:r>
            <w:r>
              <w:rPr>
                <w:rFonts w:hint="eastAsia" w:ascii="宋体" w:hAnsi="宋体" w:eastAsia="宋体" w:cs="宋体"/>
                <w:color w:val="auto"/>
                <w:spacing w:val="-10"/>
              </w:rPr>
              <w:t>（㎡）</w:t>
            </w:r>
          </w:p>
        </w:tc>
        <w:tc>
          <w:tcPr>
            <w:tcW w:w="924" w:type="dxa"/>
            <w:noWrap w:val="0"/>
            <w:vAlign w:val="center"/>
          </w:tcPr>
          <w:p w14:paraId="403C5380">
            <w:pPr>
              <w:pStyle w:val="5"/>
              <w:spacing w:before="312" w:line="220" w:lineRule="auto"/>
              <w:ind w:left="191"/>
              <w:jc w:val="center"/>
              <w:rPr>
                <w:rFonts w:hint="eastAsia" w:ascii="宋体" w:hAnsi="宋体" w:eastAsia="宋体" w:cs="宋体"/>
                <w:color w:val="auto"/>
              </w:rPr>
            </w:pPr>
            <w:r>
              <w:rPr>
                <w:rFonts w:hint="eastAsia" w:ascii="宋体" w:hAnsi="宋体" w:eastAsia="宋体" w:cs="宋体"/>
                <w:color w:val="auto"/>
                <w:spacing w:val="-4"/>
              </w:rPr>
              <w:t>套数</w:t>
            </w:r>
          </w:p>
        </w:tc>
        <w:tc>
          <w:tcPr>
            <w:tcW w:w="1337" w:type="dxa"/>
            <w:noWrap w:val="0"/>
            <w:vAlign w:val="center"/>
          </w:tcPr>
          <w:p w14:paraId="3AE07C87">
            <w:pPr>
              <w:pStyle w:val="5"/>
              <w:spacing w:before="170" w:line="230" w:lineRule="auto"/>
              <w:ind w:right="109"/>
              <w:jc w:val="center"/>
              <w:rPr>
                <w:rFonts w:hint="eastAsia" w:ascii="宋体" w:hAnsi="宋体" w:eastAsia="宋体" w:cs="宋体"/>
                <w:color w:val="auto"/>
              </w:rPr>
            </w:pPr>
            <w:r>
              <w:rPr>
                <w:rFonts w:hint="eastAsia" w:ascii="宋体" w:hAnsi="宋体" w:eastAsia="宋体" w:cs="宋体"/>
                <w:color w:val="auto"/>
                <w:spacing w:val="-1"/>
              </w:rPr>
              <w:t>2023年出</w:t>
            </w:r>
            <w:r>
              <w:rPr>
                <w:rFonts w:hint="eastAsia" w:ascii="宋体" w:hAnsi="宋体" w:eastAsia="宋体" w:cs="宋体"/>
                <w:color w:val="auto"/>
                <w:spacing w:val="-5"/>
              </w:rPr>
              <w:t>租率</w:t>
            </w:r>
          </w:p>
        </w:tc>
      </w:tr>
      <w:tr w14:paraId="16A6F8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0" w:hRule="atLeast"/>
        </w:trPr>
        <w:tc>
          <w:tcPr>
            <w:tcW w:w="797" w:type="dxa"/>
            <w:noWrap w:val="0"/>
            <w:vAlign w:val="center"/>
          </w:tcPr>
          <w:p w14:paraId="3FF6D165">
            <w:pPr>
              <w:spacing w:before="63" w:line="189" w:lineRule="auto"/>
              <w:ind w:left="314"/>
              <w:jc w:val="center"/>
              <w:rPr>
                <w:rFonts w:hint="eastAsia" w:ascii="宋体" w:hAnsi="宋体" w:eastAsia="宋体" w:cs="宋体"/>
                <w:color w:val="auto"/>
                <w:sz w:val="22"/>
                <w:szCs w:val="22"/>
              </w:rPr>
            </w:pPr>
            <w:r>
              <w:rPr>
                <w:rFonts w:hint="eastAsia" w:ascii="宋体" w:hAnsi="宋体" w:eastAsia="宋体" w:cs="宋体"/>
                <w:color w:val="auto"/>
                <w:sz w:val="22"/>
                <w:szCs w:val="22"/>
              </w:rPr>
              <w:t>1</w:t>
            </w:r>
          </w:p>
        </w:tc>
        <w:tc>
          <w:tcPr>
            <w:tcW w:w="1485" w:type="dxa"/>
            <w:noWrap w:val="0"/>
            <w:vAlign w:val="center"/>
          </w:tcPr>
          <w:p w14:paraId="0EBA02FA">
            <w:pPr>
              <w:pStyle w:val="5"/>
              <w:spacing w:before="72" w:line="219" w:lineRule="auto"/>
              <w:jc w:val="center"/>
              <w:rPr>
                <w:rFonts w:hint="eastAsia" w:ascii="宋体" w:hAnsi="宋体" w:eastAsia="宋体" w:cs="宋体"/>
                <w:color w:val="auto"/>
              </w:rPr>
            </w:pPr>
            <w:r>
              <w:rPr>
                <w:rFonts w:hint="eastAsia" w:ascii="宋体" w:hAnsi="宋体" w:eastAsia="宋体" w:cs="宋体"/>
                <w:color w:val="auto"/>
                <w:spacing w:val="-3"/>
              </w:rPr>
              <w:t>周礼佳苑</w:t>
            </w:r>
          </w:p>
        </w:tc>
        <w:tc>
          <w:tcPr>
            <w:tcW w:w="2366" w:type="dxa"/>
            <w:noWrap w:val="0"/>
            <w:vAlign w:val="center"/>
          </w:tcPr>
          <w:p w14:paraId="091E0C1B">
            <w:pPr>
              <w:pStyle w:val="5"/>
              <w:spacing w:before="83" w:line="220" w:lineRule="auto"/>
              <w:jc w:val="center"/>
              <w:rPr>
                <w:rFonts w:hint="eastAsia" w:ascii="宋体" w:hAnsi="宋体" w:eastAsia="宋体" w:cs="宋体"/>
                <w:color w:val="auto"/>
              </w:rPr>
            </w:pPr>
            <w:r>
              <w:rPr>
                <w:rFonts w:hint="eastAsia" w:ascii="宋体" w:hAnsi="宋体" w:eastAsia="宋体" w:cs="宋体"/>
                <w:color w:val="auto"/>
                <w:spacing w:val="-3"/>
              </w:rPr>
              <w:t>陕（2021）西咸新</w:t>
            </w:r>
            <w:r>
              <w:rPr>
                <w:rFonts w:hint="eastAsia" w:ascii="宋体" w:hAnsi="宋体" w:eastAsia="宋体" w:cs="宋体"/>
                <w:color w:val="auto"/>
                <w:spacing w:val="-4"/>
              </w:rPr>
              <w:t>区不动产权第</w:t>
            </w:r>
            <w:r>
              <w:rPr>
                <w:rFonts w:hint="eastAsia" w:ascii="宋体" w:hAnsi="宋体" w:eastAsia="宋体" w:cs="宋体"/>
                <w:color w:val="auto"/>
                <w:spacing w:val="-2"/>
              </w:rPr>
              <w:t>0011449号等</w:t>
            </w:r>
            <w:r>
              <w:rPr>
                <w:rFonts w:hint="eastAsia" w:ascii="宋体" w:hAnsi="宋体" w:eastAsia="宋体" w:cs="宋体"/>
                <w:color w:val="auto"/>
                <w:spacing w:val="-44"/>
              </w:rPr>
              <w:t xml:space="preserve"> </w:t>
            </w:r>
            <w:r>
              <w:rPr>
                <w:rFonts w:hint="eastAsia" w:ascii="宋体" w:hAnsi="宋体" w:eastAsia="宋体" w:cs="宋体"/>
                <w:color w:val="auto"/>
                <w:spacing w:val="-2"/>
              </w:rPr>
              <w:t>8 项</w:t>
            </w:r>
          </w:p>
        </w:tc>
        <w:tc>
          <w:tcPr>
            <w:tcW w:w="1607" w:type="dxa"/>
            <w:noWrap w:val="0"/>
            <w:vAlign w:val="center"/>
          </w:tcPr>
          <w:p w14:paraId="4B17D598">
            <w:pPr>
              <w:spacing w:before="63" w:line="189" w:lineRule="auto"/>
              <w:ind w:left="321"/>
              <w:jc w:val="center"/>
              <w:rPr>
                <w:rFonts w:hint="eastAsia" w:ascii="宋体" w:hAnsi="宋体" w:eastAsia="宋体" w:cs="宋体"/>
                <w:color w:val="auto"/>
                <w:sz w:val="22"/>
                <w:szCs w:val="22"/>
              </w:rPr>
            </w:pPr>
            <w:r>
              <w:rPr>
                <w:rFonts w:hint="eastAsia" w:ascii="宋体" w:hAnsi="宋体" w:eastAsia="宋体" w:cs="宋体"/>
                <w:color w:val="auto"/>
                <w:spacing w:val="-2"/>
                <w:sz w:val="22"/>
                <w:szCs w:val="22"/>
              </w:rPr>
              <w:t>50,083.92</w:t>
            </w:r>
          </w:p>
        </w:tc>
        <w:tc>
          <w:tcPr>
            <w:tcW w:w="1660" w:type="dxa"/>
            <w:noWrap w:val="0"/>
            <w:vAlign w:val="center"/>
          </w:tcPr>
          <w:p w14:paraId="28340EEF">
            <w:pPr>
              <w:spacing w:before="63" w:line="189" w:lineRule="auto"/>
              <w:ind w:left="337"/>
              <w:jc w:val="center"/>
              <w:rPr>
                <w:rFonts w:hint="eastAsia" w:ascii="宋体" w:hAnsi="宋体" w:eastAsia="宋体" w:cs="宋体"/>
                <w:color w:val="auto"/>
                <w:sz w:val="22"/>
                <w:szCs w:val="22"/>
              </w:rPr>
            </w:pPr>
            <w:r>
              <w:rPr>
                <w:rFonts w:hint="eastAsia" w:ascii="宋体" w:hAnsi="宋体" w:eastAsia="宋体" w:cs="宋体"/>
                <w:color w:val="auto"/>
                <w:spacing w:val="-1"/>
                <w:sz w:val="22"/>
                <w:szCs w:val="22"/>
              </w:rPr>
              <w:t>49,641.59</w:t>
            </w:r>
          </w:p>
        </w:tc>
        <w:tc>
          <w:tcPr>
            <w:tcW w:w="924" w:type="dxa"/>
            <w:noWrap w:val="0"/>
            <w:vAlign w:val="center"/>
          </w:tcPr>
          <w:p w14:paraId="17BD1C1E">
            <w:pPr>
              <w:spacing w:before="63" w:line="189" w:lineRule="auto"/>
              <w:ind w:left="207"/>
              <w:jc w:val="center"/>
              <w:rPr>
                <w:rFonts w:hint="eastAsia" w:ascii="宋体" w:hAnsi="宋体" w:eastAsia="宋体" w:cs="宋体"/>
                <w:color w:val="auto"/>
                <w:sz w:val="22"/>
                <w:szCs w:val="22"/>
              </w:rPr>
            </w:pPr>
            <w:r>
              <w:rPr>
                <w:rFonts w:hint="eastAsia" w:ascii="宋体" w:hAnsi="宋体" w:eastAsia="宋体" w:cs="宋体"/>
                <w:color w:val="auto"/>
                <w:spacing w:val="-7"/>
                <w:sz w:val="22"/>
                <w:szCs w:val="22"/>
              </w:rPr>
              <w:t>1116</w:t>
            </w:r>
          </w:p>
        </w:tc>
        <w:tc>
          <w:tcPr>
            <w:tcW w:w="1337" w:type="dxa"/>
            <w:noWrap w:val="0"/>
            <w:vAlign w:val="center"/>
          </w:tcPr>
          <w:p w14:paraId="3414E7C3">
            <w:pPr>
              <w:spacing w:before="63" w:line="189" w:lineRule="auto"/>
              <w:ind w:left="389"/>
              <w:jc w:val="both"/>
              <w:rPr>
                <w:rFonts w:hint="eastAsia" w:ascii="宋体" w:hAnsi="宋体" w:eastAsia="宋体" w:cs="宋体"/>
                <w:color w:val="auto"/>
                <w:sz w:val="22"/>
                <w:szCs w:val="22"/>
              </w:rPr>
            </w:pPr>
            <w:r>
              <w:rPr>
                <w:rFonts w:hint="eastAsia" w:ascii="宋体" w:hAnsi="宋体" w:eastAsia="宋体" w:cs="宋体"/>
                <w:color w:val="auto"/>
                <w:spacing w:val="-4"/>
                <w:sz w:val="22"/>
                <w:szCs w:val="22"/>
              </w:rPr>
              <w:t>82%</w:t>
            </w:r>
          </w:p>
        </w:tc>
      </w:tr>
      <w:tr w14:paraId="43E994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7" w:hRule="atLeast"/>
        </w:trPr>
        <w:tc>
          <w:tcPr>
            <w:tcW w:w="797" w:type="dxa"/>
            <w:noWrap w:val="0"/>
            <w:vAlign w:val="center"/>
          </w:tcPr>
          <w:p w14:paraId="1AD1ECB7">
            <w:pPr>
              <w:spacing w:before="63" w:line="189" w:lineRule="auto"/>
              <w:ind w:left="293"/>
              <w:jc w:val="center"/>
              <w:rPr>
                <w:rFonts w:hint="eastAsia" w:ascii="宋体" w:hAnsi="宋体" w:eastAsia="宋体" w:cs="宋体"/>
                <w:color w:val="auto"/>
                <w:sz w:val="22"/>
                <w:szCs w:val="22"/>
              </w:rPr>
            </w:pPr>
            <w:r>
              <w:rPr>
                <w:rFonts w:hint="eastAsia" w:ascii="宋体" w:hAnsi="宋体" w:eastAsia="宋体" w:cs="宋体"/>
                <w:color w:val="auto"/>
                <w:sz w:val="22"/>
                <w:szCs w:val="22"/>
              </w:rPr>
              <w:t>2</w:t>
            </w:r>
          </w:p>
        </w:tc>
        <w:tc>
          <w:tcPr>
            <w:tcW w:w="1485" w:type="dxa"/>
            <w:noWrap w:val="0"/>
            <w:vAlign w:val="center"/>
          </w:tcPr>
          <w:p w14:paraId="4383C8AE">
            <w:pPr>
              <w:pStyle w:val="5"/>
              <w:spacing w:before="72" w:line="219" w:lineRule="auto"/>
              <w:jc w:val="center"/>
              <w:rPr>
                <w:rFonts w:hint="eastAsia" w:ascii="宋体" w:hAnsi="宋体" w:eastAsia="宋体" w:cs="宋体"/>
                <w:color w:val="auto"/>
              </w:rPr>
            </w:pPr>
            <w:r>
              <w:rPr>
                <w:rFonts w:hint="eastAsia" w:ascii="宋体" w:hAnsi="宋体" w:eastAsia="宋体" w:cs="宋体"/>
                <w:color w:val="auto"/>
                <w:spacing w:val="-4"/>
              </w:rPr>
              <w:t>渭柳佳苑</w:t>
            </w:r>
          </w:p>
        </w:tc>
        <w:tc>
          <w:tcPr>
            <w:tcW w:w="2366" w:type="dxa"/>
            <w:noWrap w:val="0"/>
            <w:vAlign w:val="center"/>
          </w:tcPr>
          <w:p w14:paraId="75F48AAE">
            <w:pPr>
              <w:pStyle w:val="5"/>
              <w:spacing w:before="99" w:line="220" w:lineRule="auto"/>
              <w:jc w:val="center"/>
              <w:rPr>
                <w:rFonts w:hint="eastAsia" w:ascii="宋体" w:hAnsi="宋体" w:eastAsia="宋体" w:cs="宋体"/>
                <w:color w:val="auto"/>
              </w:rPr>
            </w:pPr>
            <w:r>
              <w:rPr>
                <w:rFonts w:hint="eastAsia" w:ascii="宋体" w:hAnsi="宋体" w:eastAsia="宋体" w:cs="宋体"/>
                <w:color w:val="auto"/>
                <w:spacing w:val="-3"/>
              </w:rPr>
              <w:t>陕（2024）西咸新</w:t>
            </w:r>
            <w:r>
              <w:rPr>
                <w:rFonts w:hint="eastAsia" w:ascii="宋体" w:hAnsi="宋体" w:eastAsia="宋体" w:cs="宋体"/>
                <w:color w:val="auto"/>
                <w:spacing w:val="-4"/>
              </w:rPr>
              <w:t>区不动产权第</w:t>
            </w:r>
            <w:r>
              <w:rPr>
                <w:rFonts w:hint="eastAsia" w:ascii="宋体" w:hAnsi="宋体" w:eastAsia="宋体" w:cs="宋体"/>
                <w:color w:val="auto"/>
                <w:spacing w:val="-1"/>
              </w:rPr>
              <w:t>0015124号等</w:t>
            </w:r>
            <w:r>
              <w:rPr>
                <w:rFonts w:hint="eastAsia" w:ascii="宋体" w:hAnsi="宋体" w:eastAsia="宋体" w:cs="宋体"/>
                <w:color w:val="auto"/>
                <w:spacing w:val="-53"/>
              </w:rPr>
              <w:t xml:space="preserve"> </w:t>
            </w:r>
            <w:r>
              <w:rPr>
                <w:rFonts w:hint="eastAsia" w:ascii="宋体" w:hAnsi="宋体" w:eastAsia="宋体" w:cs="宋体"/>
                <w:color w:val="auto"/>
                <w:spacing w:val="-1"/>
              </w:rPr>
              <w:t>25 项</w:t>
            </w:r>
          </w:p>
        </w:tc>
        <w:tc>
          <w:tcPr>
            <w:tcW w:w="1607" w:type="dxa"/>
            <w:noWrap w:val="0"/>
            <w:vAlign w:val="center"/>
          </w:tcPr>
          <w:p w14:paraId="0D6F0B81">
            <w:pPr>
              <w:spacing w:before="63" w:line="189" w:lineRule="auto"/>
              <w:ind w:left="281"/>
              <w:jc w:val="center"/>
              <w:rPr>
                <w:rFonts w:hint="eastAsia" w:ascii="宋体" w:hAnsi="宋体" w:eastAsia="宋体" w:cs="宋体"/>
                <w:color w:val="auto"/>
                <w:sz w:val="22"/>
                <w:szCs w:val="22"/>
              </w:rPr>
            </w:pPr>
            <w:r>
              <w:rPr>
                <w:rFonts w:hint="eastAsia" w:ascii="宋体" w:hAnsi="宋体" w:eastAsia="宋体" w:cs="宋体"/>
                <w:color w:val="auto"/>
                <w:spacing w:val="-3"/>
                <w:sz w:val="22"/>
                <w:szCs w:val="22"/>
              </w:rPr>
              <w:t>136,792.40</w:t>
            </w:r>
          </w:p>
        </w:tc>
        <w:tc>
          <w:tcPr>
            <w:tcW w:w="1660" w:type="dxa"/>
            <w:noWrap w:val="0"/>
            <w:vAlign w:val="center"/>
          </w:tcPr>
          <w:p w14:paraId="4B14A44B">
            <w:pPr>
              <w:spacing w:before="63" w:line="189" w:lineRule="auto"/>
              <w:ind w:left="304"/>
              <w:jc w:val="center"/>
              <w:rPr>
                <w:rFonts w:hint="eastAsia" w:ascii="宋体" w:hAnsi="宋体" w:eastAsia="宋体" w:cs="宋体"/>
                <w:color w:val="auto"/>
                <w:sz w:val="22"/>
                <w:szCs w:val="22"/>
              </w:rPr>
            </w:pPr>
            <w:r>
              <w:rPr>
                <w:rFonts w:hint="eastAsia" w:ascii="宋体" w:hAnsi="宋体" w:eastAsia="宋体" w:cs="宋体"/>
                <w:color w:val="auto"/>
                <w:spacing w:val="-3"/>
                <w:sz w:val="22"/>
                <w:szCs w:val="22"/>
              </w:rPr>
              <w:t>138,086.95</w:t>
            </w:r>
          </w:p>
        </w:tc>
        <w:tc>
          <w:tcPr>
            <w:tcW w:w="924" w:type="dxa"/>
            <w:noWrap w:val="0"/>
            <w:vAlign w:val="center"/>
          </w:tcPr>
          <w:p w14:paraId="61EF38CD">
            <w:pPr>
              <w:spacing w:before="63" w:line="189" w:lineRule="auto"/>
              <w:ind w:left="186"/>
              <w:jc w:val="center"/>
              <w:rPr>
                <w:rFonts w:hint="eastAsia" w:ascii="宋体" w:hAnsi="宋体" w:eastAsia="宋体" w:cs="宋体"/>
                <w:color w:val="auto"/>
                <w:sz w:val="22"/>
                <w:szCs w:val="22"/>
              </w:rPr>
            </w:pPr>
            <w:r>
              <w:rPr>
                <w:rFonts w:hint="eastAsia" w:ascii="宋体" w:hAnsi="宋体" w:eastAsia="宋体" w:cs="宋体"/>
                <w:color w:val="auto"/>
                <w:spacing w:val="-1"/>
                <w:sz w:val="22"/>
                <w:szCs w:val="22"/>
              </w:rPr>
              <w:t>2179</w:t>
            </w:r>
          </w:p>
        </w:tc>
        <w:tc>
          <w:tcPr>
            <w:tcW w:w="1337" w:type="dxa"/>
            <w:noWrap w:val="0"/>
            <w:vAlign w:val="center"/>
          </w:tcPr>
          <w:p w14:paraId="3AB0B3F5">
            <w:pPr>
              <w:spacing w:before="63" w:line="189" w:lineRule="auto"/>
              <w:ind w:left="384"/>
              <w:jc w:val="both"/>
              <w:rPr>
                <w:rFonts w:hint="eastAsia" w:ascii="宋体" w:hAnsi="宋体" w:eastAsia="宋体" w:cs="宋体"/>
                <w:color w:val="auto"/>
                <w:sz w:val="22"/>
                <w:szCs w:val="22"/>
              </w:rPr>
            </w:pPr>
            <w:r>
              <w:rPr>
                <w:rFonts w:hint="eastAsia" w:ascii="宋体" w:hAnsi="宋体" w:eastAsia="宋体" w:cs="宋体"/>
                <w:color w:val="auto"/>
                <w:spacing w:val="-3"/>
                <w:sz w:val="22"/>
                <w:szCs w:val="22"/>
              </w:rPr>
              <w:t>36%</w:t>
            </w:r>
          </w:p>
        </w:tc>
      </w:tr>
      <w:tr w14:paraId="2FFFB6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4" w:hRule="atLeast"/>
        </w:trPr>
        <w:tc>
          <w:tcPr>
            <w:tcW w:w="797" w:type="dxa"/>
            <w:noWrap w:val="0"/>
            <w:vAlign w:val="center"/>
          </w:tcPr>
          <w:p w14:paraId="60026C18">
            <w:pPr>
              <w:spacing w:before="63" w:line="189" w:lineRule="auto"/>
              <w:ind w:left="297"/>
              <w:jc w:val="center"/>
              <w:rPr>
                <w:rFonts w:hint="eastAsia" w:ascii="宋体" w:hAnsi="宋体" w:eastAsia="宋体" w:cs="宋体"/>
                <w:color w:val="auto"/>
                <w:sz w:val="22"/>
                <w:szCs w:val="22"/>
              </w:rPr>
            </w:pPr>
            <w:r>
              <w:rPr>
                <w:rFonts w:hint="eastAsia" w:ascii="宋体" w:hAnsi="宋体" w:eastAsia="宋体" w:cs="宋体"/>
                <w:color w:val="auto"/>
                <w:sz w:val="22"/>
                <w:szCs w:val="22"/>
              </w:rPr>
              <w:t>3</w:t>
            </w:r>
          </w:p>
        </w:tc>
        <w:tc>
          <w:tcPr>
            <w:tcW w:w="1485" w:type="dxa"/>
            <w:noWrap w:val="0"/>
            <w:vAlign w:val="center"/>
          </w:tcPr>
          <w:p w14:paraId="729196E3">
            <w:pPr>
              <w:pStyle w:val="5"/>
              <w:spacing w:before="71" w:line="219" w:lineRule="auto"/>
              <w:jc w:val="center"/>
              <w:rPr>
                <w:rFonts w:hint="eastAsia" w:ascii="宋体" w:hAnsi="宋体" w:eastAsia="宋体" w:cs="宋体"/>
                <w:color w:val="auto"/>
              </w:rPr>
            </w:pPr>
            <w:r>
              <w:rPr>
                <w:rFonts w:hint="eastAsia" w:ascii="宋体" w:hAnsi="宋体" w:eastAsia="宋体" w:cs="宋体"/>
                <w:color w:val="auto"/>
                <w:spacing w:val="-2"/>
              </w:rPr>
              <w:t>兰池佳苑</w:t>
            </w:r>
          </w:p>
        </w:tc>
        <w:tc>
          <w:tcPr>
            <w:tcW w:w="2366" w:type="dxa"/>
            <w:noWrap w:val="0"/>
            <w:vAlign w:val="center"/>
          </w:tcPr>
          <w:p w14:paraId="2E4F9BE5">
            <w:pPr>
              <w:pStyle w:val="5"/>
              <w:spacing w:before="93" w:line="220" w:lineRule="auto"/>
              <w:jc w:val="center"/>
              <w:rPr>
                <w:rFonts w:hint="eastAsia" w:ascii="宋体" w:hAnsi="宋体" w:eastAsia="宋体" w:cs="宋体"/>
                <w:color w:val="auto"/>
              </w:rPr>
            </w:pPr>
            <w:r>
              <w:rPr>
                <w:rFonts w:hint="eastAsia" w:ascii="宋体" w:hAnsi="宋体" w:eastAsia="宋体" w:cs="宋体"/>
                <w:color w:val="auto"/>
                <w:spacing w:val="-3"/>
              </w:rPr>
              <w:t>陕（2024）西咸新</w:t>
            </w:r>
            <w:r>
              <w:rPr>
                <w:rFonts w:hint="eastAsia" w:ascii="宋体" w:hAnsi="宋体" w:eastAsia="宋体" w:cs="宋体"/>
                <w:color w:val="auto"/>
                <w:spacing w:val="-4"/>
              </w:rPr>
              <w:t>区不动产权第</w:t>
            </w:r>
            <w:r>
              <w:rPr>
                <w:rFonts w:hint="eastAsia" w:ascii="宋体" w:hAnsi="宋体" w:eastAsia="宋体" w:cs="宋体"/>
                <w:color w:val="auto"/>
                <w:spacing w:val="-3"/>
              </w:rPr>
              <w:t>0015121号等</w:t>
            </w:r>
            <w:r>
              <w:rPr>
                <w:rFonts w:hint="eastAsia" w:ascii="宋体" w:hAnsi="宋体" w:eastAsia="宋体" w:cs="宋体"/>
                <w:color w:val="auto"/>
                <w:spacing w:val="-32"/>
              </w:rPr>
              <w:t xml:space="preserve"> </w:t>
            </w:r>
            <w:r>
              <w:rPr>
                <w:rFonts w:hint="eastAsia" w:ascii="宋体" w:hAnsi="宋体" w:eastAsia="宋体" w:cs="宋体"/>
                <w:color w:val="auto"/>
                <w:spacing w:val="-3"/>
              </w:rPr>
              <w:t>13 项</w:t>
            </w:r>
          </w:p>
        </w:tc>
        <w:tc>
          <w:tcPr>
            <w:tcW w:w="1607" w:type="dxa"/>
            <w:noWrap w:val="0"/>
            <w:vAlign w:val="center"/>
          </w:tcPr>
          <w:p w14:paraId="354FB046">
            <w:pPr>
              <w:spacing w:before="64" w:line="189" w:lineRule="auto"/>
              <w:ind w:left="319"/>
              <w:jc w:val="center"/>
              <w:rPr>
                <w:rFonts w:hint="eastAsia" w:ascii="宋体" w:hAnsi="宋体" w:eastAsia="宋体" w:cs="宋体"/>
                <w:color w:val="auto"/>
                <w:sz w:val="22"/>
                <w:szCs w:val="22"/>
              </w:rPr>
            </w:pPr>
            <w:r>
              <w:rPr>
                <w:rFonts w:hint="eastAsia" w:ascii="宋体" w:hAnsi="宋体" w:eastAsia="宋体" w:cs="宋体"/>
                <w:color w:val="auto"/>
                <w:spacing w:val="-1"/>
                <w:sz w:val="22"/>
                <w:szCs w:val="22"/>
              </w:rPr>
              <w:t>93,229.23</w:t>
            </w:r>
          </w:p>
        </w:tc>
        <w:tc>
          <w:tcPr>
            <w:tcW w:w="1660" w:type="dxa"/>
            <w:noWrap w:val="0"/>
            <w:vAlign w:val="center"/>
          </w:tcPr>
          <w:p w14:paraId="34DAC50E">
            <w:pPr>
              <w:spacing w:before="64" w:line="189" w:lineRule="auto"/>
              <w:ind w:left="342"/>
              <w:jc w:val="center"/>
              <w:rPr>
                <w:rFonts w:hint="eastAsia" w:ascii="宋体" w:hAnsi="宋体" w:eastAsia="宋体" w:cs="宋体"/>
                <w:color w:val="auto"/>
                <w:sz w:val="22"/>
                <w:szCs w:val="22"/>
              </w:rPr>
            </w:pPr>
            <w:r>
              <w:rPr>
                <w:rFonts w:hint="eastAsia" w:ascii="宋体" w:hAnsi="宋体" w:eastAsia="宋体" w:cs="宋体"/>
                <w:color w:val="auto"/>
                <w:spacing w:val="-1"/>
                <w:sz w:val="22"/>
                <w:szCs w:val="22"/>
              </w:rPr>
              <w:t>93,800.20</w:t>
            </w:r>
          </w:p>
        </w:tc>
        <w:tc>
          <w:tcPr>
            <w:tcW w:w="924" w:type="dxa"/>
            <w:noWrap w:val="0"/>
            <w:vAlign w:val="center"/>
          </w:tcPr>
          <w:p w14:paraId="696124F6">
            <w:pPr>
              <w:spacing w:before="63" w:line="189" w:lineRule="auto"/>
              <w:ind w:left="207"/>
              <w:jc w:val="center"/>
              <w:rPr>
                <w:rFonts w:hint="eastAsia" w:ascii="宋体" w:hAnsi="宋体" w:eastAsia="宋体" w:cs="宋体"/>
                <w:color w:val="auto"/>
                <w:sz w:val="22"/>
                <w:szCs w:val="22"/>
              </w:rPr>
            </w:pPr>
            <w:r>
              <w:rPr>
                <w:rFonts w:hint="eastAsia" w:ascii="宋体" w:hAnsi="宋体" w:eastAsia="宋体" w:cs="宋体"/>
                <w:color w:val="auto"/>
                <w:spacing w:val="-7"/>
                <w:sz w:val="22"/>
                <w:szCs w:val="22"/>
              </w:rPr>
              <w:t>1594</w:t>
            </w:r>
          </w:p>
        </w:tc>
        <w:tc>
          <w:tcPr>
            <w:tcW w:w="1337" w:type="dxa"/>
            <w:noWrap w:val="0"/>
            <w:vAlign w:val="center"/>
          </w:tcPr>
          <w:p w14:paraId="77A9C344">
            <w:pPr>
              <w:spacing w:before="63" w:line="189" w:lineRule="auto"/>
              <w:ind w:left="383"/>
              <w:jc w:val="both"/>
              <w:rPr>
                <w:rFonts w:hint="eastAsia" w:ascii="宋体" w:hAnsi="宋体" w:eastAsia="宋体" w:cs="宋体"/>
                <w:color w:val="auto"/>
                <w:sz w:val="22"/>
                <w:szCs w:val="22"/>
              </w:rPr>
            </w:pPr>
            <w:r>
              <w:rPr>
                <w:rFonts w:hint="eastAsia" w:ascii="宋体" w:hAnsi="宋体" w:eastAsia="宋体" w:cs="宋体"/>
                <w:color w:val="auto"/>
                <w:spacing w:val="-3"/>
                <w:sz w:val="22"/>
                <w:szCs w:val="22"/>
              </w:rPr>
              <w:t>71%</w:t>
            </w:r>
          </w:p>
        </w:tc>
      </w:tr>
      <w:tr w14:paraId="7B4D90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4648" w:type="dxa"/>
            <w:gridSpan w:val="3"/>
            <w:noWrap w:val="0"/>
            <w:vAlign w:val="center"/>
          </w:tcPr>
          <w:p w14:paraId="4E0810FD">
            <w:pPr>
              <w:pStyle w:val="5"/>
              <w:spacing w:before="170" w:line="222" w:lineRule="auto"/>
              <w:ind w:left="1584"/>
              <w:jc w:val="center"/>
              <w:rPr>
                <w:rFonts w:hint="eastAsia" w:ascii="宋体" w:hAnsi="宋体" w:eastAsia="宋体" w:cs="宋体"/>
                <w:color w:val="auto"/>
              </w:rPr>
            </w:pPr>
            <w:r>
              <w:rPr>
                <w:rFonts w:hint="eastAsia" w:ascii="宋体" w:hAnsi="宋体" w:eastAsia="宋体" w:cs="宋体"/>
                <w:color w:val="auto"/>
                <w:spacing w:val="-5"/>
              </w:rPr>
              <w:t>合</w:t>
            </w:r>
            <w:r>
              <w:rPr>
                <w:rFonts w:hint="eastAsia" w:ascii="宋体" w:hAnsi="宋体" w:eastAsia="宋体" w:cs="宋体"/>
                <w:color w:val="auto"/>
                <w:spacing w:val="2"/>
              </w:rPr>
              <w:t xml:space="preserve">    </w:t>
            </w:r>
            <w:r>
              <w:rPr>
                <w:rFonts w:hint="eastAsia" w:ascii="宋体" w:hAnsi="宋体" w:eastAsia="宋体" w:cs="宋体"/>
                <w:color w:val="auto"/>
                <w:spacing w:val="-5"/>
              </w:rPr>
              <w:t>计</w:t>
            </w:r>
          </w:p>
        </w:tc>
        <w:tc>
          <w:tcPr>
            <w:tcW w:w="1607" w:type="dxa"/>
            <w:noWrap w:val="0"/>
            <w:vAlign w:val="center"/>
          </w:tcPr>
          <w:p w14:paraId="35CB8402">
            <w:pPr>
              <w:spacing w:before="209" w:line="189" w:lineRule="auto"/>
              <w:ind w:left="259"/>
              <w:jc w:val="center"/>
              <w:rPr>
                <w:rFonts w:hint="eastAsia" w:ascii="宋体" w:hAnsi="宋体" w:eastAsia="宋体" w:cs="宋体"/>
                <w:color w:val="auto"/>
                <w:sz w:val="22"/>
                <w:szCs w:val="22"/>
              </w:rPr>
            </w:pPr>
            <w:r>
              <w:rPr>
                <w:rFonts w:hint="eastAsia" w:ascii="宋体" w:hAnsi="宋体" w:eastAsia="宋体" w:cs="宋体"/>
                <w:color w:val="auto"/>
                <w:spacing w:val="-3"/>
                <w:sz w:val="22"/>
                <w:szCs w:val="22"/>
              </w:rPr>
              <w:t>280,105.55</w:t>
            </w:r>
          </w:p>
        </w:tc>
        <w:tc>
          <w:tcPr>
            <w:tcW w:w="1660" w:type="dxa"/>
            <w:noWrap w:val="0"/>
            <w:vAlign w:val="center"/>
          </w:tcPr>
          <w:p w14:paraId="506F7484">
            <w:pPr>
              <w:spacing w:before="209" w:line="189" w:lineRule="auto"/>
              <w:ind w:left="283"/>
              <w:jc w:val="center"/>
              <w:rPr>
                <w:rFonts w:hint="eastAsia" w:ascii="宋体" w:hAnsi="宋体" w:eastAsia="宋体" w:cs="宋体"/>
                <w:color w:val="auto"/>
                <w:sz w:val="22"/>
                <w:szCs w:val="22"/>
              </w:rPr>
            </w:pPr>
            <w:r>
              <w:rPr>
                <w:rFonts w:hint="eastAsia" w:ascii="宋体" w:hAnsi="宋体" w:eastAsia="宋体" w:cs="宋体"/>
                <w:color w:val="auto"/>
                <w:spacing w:val="-1"/>
                <w:sz w:val="22"/>
                <w:szCs w:val="22"/>
              </w:rPr>
              <w:t>281,528.74</w:t>
            </w:r>
          </w:p>
        </w:tc>
        <w:tc>
          <w:tcPr>
            <w:tcW w:w="924" w:type="dxa"/>
            <w:noWrap w:val="0"/>
            <w:vAlign w:val="center"/>
          </w:tcPr>
          <w:p w14:paraId="27C93198">
            <w:pPr>
              <w:spacing w:before="209" w:line="189" w:lineRule="auto"/>
              <w:ind w:left="185"/>
              <w:jc w:val="center"/>
              <w:rPr>
                <w:rFonts w:hint="eastAsia" w:ascii="宋体" w:hAnsi="宋体" w:eastAsia="宋体" w:cs="宋体"/>
                <w:color w:val="auto"/>
                <w:sz w:val="22"/>
                <w:szCs w:val="22"/>
              </w:rPr>
            </w:pPr>
            <w:r>
              <w:rPr>
                <w:rFonts w:hint="eastAsia" w:ascii="宋体" w:hAnsi="宋体" w:eastAsia="宋体" w:cs="宋体"/>
                <w:color w:val="auto"/>
                <w:spacing w:val="-1"/>
                <w:sz w:val="22"/>
                <w:szCs w:val="22"/>
              </w:rPr>
              <w:t>4889</w:t>
            </w:r>
          </w:p>
        </w:tc>
        <w:tc>
          <w:tcPr>
            <w:tcW w:w="1337" w:type="dxa"/>
            <w:noWrap w:val="0"/>
            <w:vAlign w:val="center"/>
          </w:tcPr>
          <w:p w14:paraId="679966B7">
            <w:pPr>
              <w:jc w:val="center"/>
              <w:rPr>
                <w:rFonts w:hint="eastAsia" w:ascii="宋体" w:hAnsi="宋体" w:eastAsia="宋体" w:cs="宋体"/>
                <w:color w:val="auto"/>
                <w:sz w:val="21"/>
              </w:rPr>
            </w:pPr>
          </w:p>
        </w:tc>
      </w:tr>
    </w:tbl>
    <w:p w14:paraId="41AED5CE">
      <w:pPr>
        <w:pStyle w:val="2"/>
        <w:keepNext w:val="0"/>
        <w:keepLines w:val="0"/>
        <w:pageBreakBefore w:val="0"/>
        <w:widowControl w:val="0"/>
        <w:kinsoku/>
        <w:wordWrap/>
        <w:overflowPunct/>
        <w:topLinePunct w:val="0"/>
        <w:autoSpaceDE/>
        <w:autoSpaceDN/>
        <w:bidi w:val="0"/>
        <w:adjustRightInd/>
        <w:snapToGrid/>
        <w:spacing w:line="500" w:lineRule="exact"/>
        <w:ind w:firstLine="468" w:firstLineChars="195"/>
        <w:textAlignment w:val="auto"/>
        <w:rPr>
          <w:rFonts w:hint="eastAsia" w:hAnsi="宋体" w:cs="Verdana"/>
          <w:bCs/>
          <w:color w:val="auto"/>
          <w:kern w:val="0"/>
          <w:sz w:val="24"/>
          <w:szCs w:val="24"/>
        </w:rPr>
      </w:pPr>
    </w:p>
    <w:p w14:paraId="4E4381A3">
      <w:pPr>
        <w:pStyle w:val="2"/>
        <w:keepNext w:val="0"/>
        <w:keepLines w:val="0"/>
        <w:pageBreakBefore w:val="0"/>
        <w:widowControl w:val="0"/>
        <w:kinsoku/>
        <w:wordWrap/>
        <w:overflowPunct/>
        <w:topLinePunct w:val="0"/>
        <w:autoSpaceDE/>
        <w:autoSpaceDN/>
        <w:bidi w:val="0"/>
        <w:adjustRightInd/>
        <w:snapToGrid/>
        <w:spacing w:line="500" w:lineRule="exact"/>
        <w:ind w:firstLine="468" w:firstLineChars="195"/>
        <w:textAlignment w:val="auto"/>
        <w:rPr>
          <w:rFonts w:hint="eastAsia" w:hAnsi="宋体" w:cs="Verdana"/>
          <w:bCs/>
          <w:color w:val="auto"/>
          <w:kern w:val="0"/>
          <w:sz w:val="24"/>
          <w:szCs w:val="24"/>
        </w:rPr>
      </w:pPr>
      <w:r>
        <w:rPr>
          <w:rFonts w:hint="eastAsia" w:ascii="宋体" w:hAnsi="宋体" w:eastAsia="宋体" w:cs="Verdana"/>
          <w:b w:val="0"/>
          <w:bCs/>
          <w:color w:val="auto"/>
          <w:kern w:val="0"/>
          <w:sz w:val="24"/>
          <w:szCs w:val="24"/>
          <w:lang w:val="en-US" w:eastAsia="zh-CN" w:bidi="ar-SA"/>
        </w:rPr>
        <w:t>以上公共租赁住房不动产产权人为陕西省西咸新区秦汉新城开发建设集团有限责任公司，陕西省西咸新区秦汉新城房屋管理和保障房管理中心负责分配、管理，陕西西咸新区秦汉物业管理有限公司提供物业服务。</w:t>
      </w:r>
    </w:p>
    <w:p w14:paraId="36F82843">
      <w:pPr>
        <w:pStyle w:val="2"/>
        <w:spacing w:line="520" w:lineRule="exact"/>
        <w:ind w:firstLine="482" w:firstLineChars="200"/>
        <w:rPr>
          <w:rFonts w:hint="eastAsia" w:hAnsi="宋体" w:cs="Verdana"/>
          <w:b/>
          <w:color w:val="auto"/>
          <w:kern w:val="0"/>
          <w:sz w:val="24"/>
          <w:szCs w:val="24"/>
        </w:rPr>
      </w:pPr>
      <w:r>
        <w:rPr>
          <w:rFonts w:hint="eastAsia" w:hAnsi="宋体" w:cs="Verdana"/>
          <w:b/>
          <w:color w:val="auto"/>
          <w:kern w:val="0"/>
          <w:sz w:val="24"/>
          <w:szCs w:val="24"/>
          <w:lang w:val="en-US" w:eastAsia="zh-CN"/>
        </w:rPr>
        <w:t>二</w:t>
      </w:r>
      <w:r>
        <w:rPr>
          <w:rFonts w:hint="eastAsia" w:hAnsi="宋体" w:cs="Verdana"/>
          <w:b/>
          <w:color w:val="auto"/>
          <w:kern w:val="0"/>
          <w:sz w:val="24"/>
          <w:szCs w:val="24"/>
        </w:rPr>
        <w:t>、服务要求</w:t>
      </w:r>
    </w:p>
    <w:p w14:paraId="12711E68">
      <w:pPr>
        <w:pStyle w:val="2"/>
        <w:spacing w:line="520" w:lineRule="exact"/>
        <w:ind w:firstLine="480" w:firstLineChars="200"/>
        <w:rPr>
          <w:rFonts w:hint="eastAsia" w:hAnsi="宋体" w:cs="Verdana"/>
          <w:bCs/>
          <w:color w:val="auto"/>
          <w:kern w:val="0"/>
          <w:sz w:val="24"/>
          <w:szCs w:val="24"/>
        </w:rPr>
      </w:pPr>
      <w:r>
        <w:rPr>
          <w:rFonts w:hint="eastAsia" w:hAnsi="宋体" w:cs="Verdana"/>
          <w:bCs/>
          <w:color w:val="auto"/>
          <w:kern w:val="0"/>
          <w:sz w:val="24"/>
          <w:szCs w:val="24"/>
        </w:rPr>
        <w:t>(一)经营方式</w:t>
      </w:r>
    </w:p>
    <w:p w14:paraId="74019F4B">
      <w:pPr>
        <w:pStyle w:val="2"/>
        <w:spacing w:line="520" w:lineRule="exact"/>
        <w:ind w:firstLine="480" w:firstLineChars="200"/>
        <w:rPr>
          <w:rFonts w:hint="eastAsia" w:hAnsi="宋体" w:cs="Verdana"/>
          <w:bCs/>
          <w:color w:val="auto"/>
          <w:kern w:val="0"/>
          <w:sz w:val="24"/>
          <w:szCs w:val="24"/>
        </w:rPr>
      </w:pPr>
      <w:r>
        <w:rPr>
          <w:rFonts w:hint="eastAsia" w:hAnsi="宋体" w:cs="Verdana"/>
          <w:bCs/>
          <w:color w:val="auto"/>
          <w:kern w:val="0"/>
          <w:sz w:val="24"/>
          <w:szCs w:val="24"/>
        </w:rPr>
        <w:t>本项目经营方式</w:t>
      </w:r>
      <w:r>
        <w:rPr>
          <w:rFonts w:hint="eastAsia" w:hAnsi="宋体" w:cs="Verdana"/>
          <w:bCs/>
          <w:color w:val="auto"/>
          <w:kern w:val="0"/>
          <w:sz w:val="24"/>
          <w:szCs w:val="24"/>
          <w:lang w:eastAsia="zh-CN"/>
        </w:rPr>
        <w:t>为</w:t>
      </w:r>
      <w:r>
        <w:rPr>
          <w:rFonts w:hint="eastAsia" w:hAnsi="宋体" w:cs="Verdana"/>
          <w:bCs/>
          <w:color w:val="auto"/>
          <w:kern w:val="0"/>
          <w:sz w:val="24"/>
          <w:szCs w:val="24"/>
        </w:rPr>
        <w:t>在合作期内，经营者</w:t>
      </w:r>
      <w:r>
        <w:rPr>
          <w:rFonts w:hint="eastAsia" w:hAnsi="宋体" w:cs="Verdana"/>
          <w:bCs/>
          <w:color w:val="auto"/>
          <w:kern w:val="0"/>
          <w:sz w:val="24"/>
          <w:szCs w:val="24"/>
          <w:lang w:eastAsia="zh-CN"/>
        </w:rPr>
        <w:t>（经营权受让者）</w:t>
      </w:r>
      <w:r>
        <w:rPr>
          <w:rFonts w:hint="eastAsia" w:hAnsi="宋体" w:cs="Verdana"/>
          <w:bCs/>
          <w:color w:val="auto"/>
          <w:kern w:val="0"/>
          <w:sz w:val="24"/>
          <w:szCs w:val="24"/>
        </w:rPr>
        <w:t>运营本项目范围内相关设施，期限届满后移交给政府或政府指定机构。</w:t>
      </w:r>
    </w:p>
    <w:p w14:paraId="14FAC77F">
      <w:pPr>
        <w:pStyle w:val="2"/>
        <w:spacing w:line="520" w:lineRule="exact"/>
        <w:ind w:firstLine="480" w:firstLineChars="200"/>
        <w:rPr>
          <w:rFonts w:hint="eastAsia" w:hAnsi="宋体" w:cs="Verdana"/>
          <w:bCs/>
          <w:color w:val="auto"/>
          <w:kern w:val="0"/>
          <w:sz w:val="24"/>
          <w:szCs w:val="24"/>
        </w:rPr>
      </w:pPr>
      <w:r>
        <w:rPr>
          <w:rFonts w:hint="eastAsia" w:hAnsi="宋体" w:cs="Verdana"/>
          <w:bCs/>
          <w:color w:val="auto"/>
          <w:kern w:val="0"/>
          <w:sz w:val="24"/>
          <w:szCs w:val="24"/>
        </w:rPr>
        <w:t>(二)</w:t>
      </w:r>
      <w:r>
        <w:rPr>
          <w:rFonts w:hint="eastAsia" w:ascii="宋体" w:hAnsi="宋体" w:cs="宋体"/>
          <w:color w:val="auto"/>
          <w:sz w:val="24"/>
          <w:szCs w:val="24"/>
        </w:rPr>
        <w:t>经营期限</w:t>
      </w:r>
    </w:p>
    <w:p w14:paraId="7A447D2B">
      <w:pPr>
        <w:pStyle w:val="2"/>
        <w:spacing w:line="520" w:lineRule="exact"/>
        <w:ind w:firstLine="480" w:firstLineChars="200"/>
        <w:rPr>
          <w:rFonts w:hint="eastAsia" w:hAnsi="宋体" w:cs="Verdana"/>
          <w:bCs/>
          <w:color w:val="auto"/>
          <w:kern w:val="0"/>
          <w:sz w:val="24"/>
          <w:szCs w:val="24"/>
        </w:rPr>
      </w:pPr>
      <w:r>
        <w:rPr>
          <w:rFonts w:hint="eastAsia" w:hAnsi="宋体" w:cs="Verdana"/>
          <w:bCs/>
          <w:color w:val="auto"/>
          <w:kern w:val="0"/>
          <w:sz w:val="24"/>
          <w:szCs w:val="24"/>
        </w:rPr>
        <w:t>本项目</w:t>
      </w:r>
      <w:r>
        <w:rPr>
          <w:rFonts w:hint="eastAsia" w:ascii="宋体" w:hAnsi="宋体" w:cs="宋体"/>
          <w:color w:val="auto"/>
          <w:sz w:val="24"/>
          <w:szCs w:val="24"/>
          <w:lang w:eastAsia="zh-CN"/>
        </w:rPr>
        <w:t>转让</w:t>
      </w:r>
      <w:r>
        <w:rPr>
          <w:rFonts w:hint="eastAsia" w:ascii="宋体" w:hAnsi="宋体" w:cs="宋体"/>
          <w:color w:val="auto"/>
          <w:sz w:val="24"/>
          <w:szCs w:val="24"/>
        </w:rPr>
        <w:t>经营</w:t>
      </w:r>
      <w:r>
        <w:rPr>
          <w:rFonts w:hint="eastAsia" w:ascii="宋体" w:hAnsi="宋体" w:cs="宋体"/>
          <w:color w:val="auto"/>
          <w:sz w:val="24"/>
          <w:szCs w:val="24"/>
          <w:lang w:eastAsia="zh-CN"/>
        </w:rPr>
        <w:t>权</w:t>
      </w:r>
      <w:r>
        <w:rPr>
          <w:rFonts w:hint="eastAsia" w:ascii="宋体" w:hAnsi="宋体" w:cs="宋体"/>
          <w:color w:val="auto"/>
          <w:sz w:val="24"/>
          <w:szCs w:val="24"/>
        </w:rPr>
        <w:t>期限</w:t>
      </w:r>
      <w:r>
        <w:rPr>
          <w:rFonts w:hint="eastAsia" w:hAnsi="宋体" w:cs="Verdana"/>
          <w:bCs/>
          <w:color w:val="auto"/>
          <w:kern w:val="0"/>
          <w:sz w:val="24"/>
          <w:szCs w:val="24"/>
        </w:rPr>
        <w:t>为 20 年。</w:t>
      </w:r>
    </w:p>
    <w:p w14:paraId="3A42E734">
      <w:pPr>
        <w:ind w:firstLine="480" w:firstLineChars="200"/>
      </w:pPr>
      <w:r>
        <w:rPr>
          <w:rFonts w:hint="eastAsia" w:hAnsi="宋体" w:cs="Verdana"/>
          <w:bCs/>
          <w:color w:val="auto"/>
          <w:kern w:val="0"/>
          <w:sz w:val="24"/>
          <w:szCs w:val="24"/>
          <w:lang w:val="en-US" w:eastAsia="zh-CN"/>
        </w:rPr>
        <w:t>（三）协</w:t>
      </w:r>
      <w:r>
        <w:rPr>
          <w:rFonts w:ascii="宋体" w:hAnsi="宋体" w:cs="宋体"/>
          <w:color w:val="auto"/>
          <w:sz w:val="24"/>
          <w:szCs w:val="24"/>
        </w:rPr>
        <w:t>议签订后</w:t>
      </w:r>
      <w:r>
        <w:rPr>
          <w:rFonts w:hint="eastAsia" w:ascii="宋体" w:hAnsi="宋体" w:cs="宋体"/>
          <w:color w:val="auto"/>
          <w:sz w:val="24"/>
          <w:szCs w:val="24"/>
        </w:rPr>
        <w:t>一</w:t>
      </w:r>
      <w:r>
        <w:rPr>
          <w:rFonts w:ascii="宋体" w:hAnsi="宋体" w:cs="宋体"/>
          <w:color w:val="auto"/>
          <w:sz w:val="24"/>
          <w:szCs w:val="24"/>
        </w:rPr>
        <w:t>个月内，</w:t>
      </w:r>
      <w:r>
        <w:rPr>
          <w:rFonts w:hint="eastAsia" w:ascii="宋体" w:hAnsi="宋体" w:cs="宋体"/>
          <w:color w:val="auto"/>
          <w:sz w:val="24"/>
          <w:szCs w:val="24"/>
          <w:lang w:val="en-US" w:eastAsia="zh-CN"/>
        </w:rPr>
        <w:t>成交供应商</w:t>
      </w:r>
      <w:r>
        <w:rPr>
          <w:rFonts w:ascii="宋体" w:hAnsi="宋体" w:cs="宋体"/>
          <w:color w:val="auto"/>
          <w:sz w:val="24"/>
          <w:szCs w:val="24"/>
        </w:rPr>
        <w:t>将出让价款一次性转账支付至</w:t>
      </w:r>
      <w:r>
        <w:rPr>
          <w:rFonts w:hint="eastAsia" w:ascii="宋体" w:hAnsi="宋体" w:cs="宋体"/>
          <w:color w:val="auto"/>
          <w:sz w:val="24"/>
          <w:szCs w:val="24"/>
          <w:lang w:val="en-US" w:eastAsia="zh-CN"/>
        </w:rPr>
        <w:t>采购人</w:t>
      </w:r>
      <w:r>
        <w:rPr>
          <w:rFonts w:ascii="宋体" w:hAnsi="宋体" w:cs="宋体"/>
          <w:color w:val="auto"/>
          <w:sz w:val="24"/>
          <w:szCs w:val="24"/>
        </w:rPr>
        <w:t>指定银行账户。</w:t>
      </w:r>
      <w:bookmarkStart w:id="0" w:name="_GoBack"/>
      <w:bookmarkEnd w:id="0"/>
    </w:p>
    <w:sectPr>
      <w:pgSz w:w="11906" w:h="16838"/>
      <w:pgMar w:top="1440" w:right="1077" w:bottom="1440" w:left="107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5Yzg0ODgzYThjNGY0ZTViMjQwMzVjYTM1MjgwZDAifQ=="/>
  </w:docVars>
  <w:rsids>
    <w:rsidRoot w:val="00000000"/>
    <w:rsid w:val="318522A3"/>
    <w:rsid w:val="474413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szCs w:val="21"/>
    </w:rPr>
  </w:style>
  <w:style w:type="paragraph" w:customStyle="1" w:styleId="5">
    <w:name w:val="Table Text"/>
    <w:qFormat/>
    <w:uiPriority w:val="0"/>
    <w:pPr>
      <w:jc w:val="center"/>
    </w:pPr>
    <w:rPr>
      <w:rFonts w:ascii="Times New Roman" w:hAnsi="Times New Roman" w:eastAsia="宋体" w:cs="Times New Roman"/>
      <w:color w:val="000000"/>
      <w:sz w:val="22"/>
      <w:lang w:val="en-US" w:eastAsia="en-US" w:bidi="ar-SA"/>
    </w:rPr>
  </w:style>
  <w:style w:type="table" w:customStyle="1" w:styleId="6">
    <w:name w:val="Table Normal"/>
    <w:basedOn w:val="3"/>
    <w:unhideWhenUsed/>
    <w:qFormat/>
    <w:uiPriority w:val="0"/>
    <w:rPr>
      <w:lang w:val="en-US" w:eastAsia="zh-CN" w:bidi="ar-SA"/>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李玉萍</cp:lastModifiedBy>
  <dcterms:modified xsi:type="dcterms:W3CDTF">2024-09-06T02:56:05Z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6B00D75D772C44ACA0D95B574A6EF09F</vt:lpwstr>
  </property>
</Properties>
</file>