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168" w:after="168" w:line="360" w:lineRule="auto"/>
        <w:jc w:val="center"/>
        <w:outlineLvl w:val="0"/>
        <w:rPr>
          <w:rFonts w:hint="eastAsia" w:ascii="仿宋" w:hAnsi="仿宋" w:eastAsia="仿宋" w:cs="仿宋"/>
          <w:b/>
          <w:bCs/>
          <w:color w:val="auto"/>
          <w:sz w:val="24"/>
          <w:szCs w:val="24"/>
          <w:highlight w:val="none"/>
          <w:lang w:val="en-US" w:eastAsia="zh-CN"/>
        </w:rPr>
      </w:pPr>
      <w:bookmarkStart w:id="0" w:name="_Toc31063"/>
      <w:r>
        <w:rPr>
          <w:rStyle w:val="7"/>
          <w:rFonts w:hint="eastAsia" w:ascii="仿宋" w:hAnsi="仿宋" w:eastAsia="仿宋" w:cs="仿宋"/>
          <w:b/>
          <w:color w:val="auto"/>
          <w:kern w:val="2"/>
          <w:sz w:val="44"/>
          <w:szCs w:val="44"/>
          <w:highlight w:val="none"/>
        </w:rPr>
        <w:t>第四章 采购内容及技术要求</w:t>
      </w:r>
      <w:bookmarkEnd w:id="0"/>
    </w:p>
    <w:p>
      <w:pPr>
        <w:keepNext w:val="0"/>
        <w:keepLines w:val="0"/>
        <w:pageBreakBefore w:val="0"/>
        <w:kinsoku/>
        <w:wordWrap/>
        <w:overflowPunct/>
        <w:topLinePunct w:val="0"/>
        <w:autoSpaceDE/>
        <w:autoSpaceDN/>
        <w:bidi w:val="0"/>
        <w:adjustRightInd/>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一、采购内容</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731"/>
        <w:gridCol w:w="1680"/>
        <w:gridCol w:w="5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42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包号</w:t>
            </w:r>
          </w:p>
        </w:tc>
        <w:tc>
          <w:tcPr>
            <w:tcW w:w="9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采购预算</w:t>
            </w:r>
          </w:p>
          <w:p>
            <w:pPr>
              <w:keepNext w:val="0"/>
              <w:keepLines w:val="0"/>
              <w:pageBreakBefore w:val="0"/>
              <w:kinsoku/>
              <w:wordWrap/>
              <w:overflowPunct/>
              <w:topLinePunct w:val="0"/>
              <w:autoSpaceDE/>
              <w:autoSpaceDN/>
              <w:bidi w:val="0"/>
              <w:adjustRightInd/>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w:t>
            </w:r>
            <w:r>
              <w:rPr>
                <w:rFonts w:hint="eastAsia" w:ascii="仿宋" w:hAnsi="仿宋" w:eastAsia="仿宋" w:cs="仿宋"/>
                <w:b/>
                <w:color w:val="auto"/>
                <w:sz w:val="24"/>
                <w:szCs w:val="24"/>
                <w:lang w:val="en-US" w:eastAsia="zh-CN"/>
              </w:rPr>
              <w:t>万</w:t>
            </w:r>
            <w:r>
              <w:rPr>
                <w:rFonts w:hint="eastAsia" w:ascii="仿宋" w:hAnsi="仿宋" w:eastAsia="仿宋" w:cs="仿宋"/>
                <w:b/>
                <w:color w:val="auto"/>
                <w:sz w:val="24"/>
                <w:szCs w:val="24"/>
              </w:rPr>
              <w:t>元）</w:t>
            </w:r>
          </w:p>
        </w:tc>
        <w:tc>
          <w:tcPr>
            <w:tcW w:w="313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42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1包</w:t>
            </w:r>
          </w:p>
        </w:tc>
        <w:tc>
          <w:tcPr>
            <w:tcW w:w="9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40</w:t>
            </w:r>
          </w:p>
        </w:tc>
        <w:tc>
          <w:tcPr>
            <w:tcW w:w="313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水、土壤</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噪声等环境质量监测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年度环境质量报告</w:t>
            </w:r>
            <w:r>
              <w:rPr>
                <w:rFonts w:hint="eastAsia" w:ascii="仿宋" w:hAnsi="仿宋" w:eastAsia="仿宋" w:cs="仿宋"/>
                <w:color w:val="auto"/>
                <w:sz w:val="24"/>
                <w:szCs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42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2包</w:t>
            </w:r>
          </w:p>
        </w:tc>
        <w:tc>
          <w:tcPr>
            <w:tcW w:w="9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40</w:t>
            </w:r>
          </w:p>
        </w:tc>
        <w:tc>
          <w:tcPr>
            <w:tcW w:w="313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大气降尘监测、燃气锅炉监测、区域溯源定点监测（颗粒物、氮氧化物、VOCs、</w:t>
            </w:r>
            <w:r>
              <w:rPr>
                <w:rFonts w:hint="eastAsia" w:ascii="仿宋" w:hAnsi="仿宋" w:eastAsia="仿宋" w:cs="仿宋"/>
                <w:color w:val="auto"/>
                <w:spacing w:val="12"/>
                <w:sz w:val="24"/>
                <w:szCs w:val="24"/>
              </w:rPr>
              <w:t>SO</w:t>
            </w:r>
            <w:r>
              <w:rPr>
                <w:rFonts w:hint="eastAsia" w:ascii="仿宋" w:hAnsi="仿宋" w:eastAsia="仿宋" w:cs="仿宋"/>
                <w:color w:val="auto"/>
                <w:spacing w:val="12"/>
                <w:sz w:val="24"/>
                <w:szCs w:val="24"/>
                <w:vertAlign w:val="subscript"/>
              </w:rPr>
              <w:t>2</w:t>
            </w:r>
            <w:r>
              <w:rPr>
                <w:rFonts w:hint="eastAsia" w:ascii="仿宋" w:hAnsi="仿宋" w:eastAsia="仿宋" w:cs="仿宋"/>
                <w:color w:val="auto"/>
                <w:spacing w:val="12"/>
                <w:sz w:val="24"/>
                <w:szCs w:val="24"/>
              </w:rPr>
              <w:t>、CO</w:t>
            </w:r>
            <w:r>
              <w:rPr>
                <w:rFonts w:hint="eastAsia" w:ascii="仿宋" w:hAnsi="仿宋" w:eastAsia="仿宋" w:cs="仿宋"/>
                <w:color w:val="auto"/>
                <w:sz w:val="24"/>
                <w:szCs w:val="24"/>
              </w:rPr>
              <w:t>）、工业企业VOCs及颗粒物排放监测、非道路移动机械尾气监测</w:t>
            </w:r>
            <w:r>
              <w:rPr>
                <w:rFonts w:hint="eastAsia" w:ascii="仿宋" w:hAnsi="仿宋" w:eastAsia="仿宋" w:cs="仿宋"/>
                <w:color w:val="auto"/>
                <w:sz w:val="24"/>
                <w:szCs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42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3包</w:t>
            </w:r>
          </w:p>
        </w:tc>
        <w:tc>
          <w:tcPr>
            <w:tcW w:w="9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65</w:t>
            </w:r>
          </w:p>
        </w:tc>
        <w:tc>
          <w:tcPr>
            <w:tcW w:w="313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shd w:val="clear" w:color="auto" w:fill="FFFFFF"/>
              </w:rPr>
              <w:t>排污单位监督性监测</w:t>
            </w:r>
            <w:r>
              <w:rPr>
                <w:rFonts w:hint="eastAsia" w:ascii="仿宋" w:hAnsi="仿宋" w:eastAsia="仿宋" w:cs="仿宋"/>
                <w:color w:val="auto"/>
                <w:sz w:val="24"/>
                <w:szCs w:val="24"/>
                <w:shd w:val="clear" w:color="auto" w:fill="FFFFFF"/>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42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4包</w:t>
            </w:r>
          </w:p>
        </w:tc>
        <w:tc>
          <w:tcPr>
            <w:tcW w:w="9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50</w:t>
            </w:r>
          </w:p>
        </w:tc>
        <w:tc>
          <w:tcPr>
            <w:tcW w:w="313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shd w:val="clear" w:color="auto" w:fill="FFFFFF"/>
              </w:rPr>
              <w:t>环保执法、应急监测、校核性监测等专项监测</w:t>
            </w:r>
            <w:r>
              <w:rPr>
                <w:rFonts w:hint="eastAsia" w:ascii="仿宋" w:hAnsi="仿宋" w:eastAsia="仿宋" w:cs="仿宋"/>
                <w:color w:val="auto"/>
                <w:sz w:val="24"/>
                <w:szCs w:val="24"/>
                <w:shd w:val="clear" w:color="auto" w:fill="FFFFFF"/>
                <w:lang w:val="en-US" w:eastAsia="zh-CN"/>
              </w:rPr>
              <w:t>等</w:t>
            </w:r>
          </w:p>
        </w:tc>
      </w:tr>
    </w:tbl>
    <w:p>
      <w:pPr>
        <w:keepNext w:val="0"/>
        <w:keepLines w:val="0"/>
        <w:pageBreakBefore w:val="0"/>
        <w:kinsoku/>
        <w:wordWrap/>
        <w:overflowPunct/>
        <w:topLinePunct w:val="0"/>
        <w:autoSpaceDE/>
        <w:autoSpaceDN/>
        <w:bidi w:val="0"/>
        <w:adjustRightInd/>
        <w:spacing w:line="360" w:lineRule="auto"/>
        <w:rPr>
          <w:rFonts w:hint="eastAsia" w:ascii="仿宋" w:hAnsi="仿宋" w:eastAsia="仿宋" w:cs="仿宋"/>
          <w:color w:val="auto"/>
          <w:sz w:val="24"/>
          <w:szCs w:val="24"/>
        </w:rPr>
      </w:pPr>
    </w:p>
    <w:p>
      <w:pPr>
        <w:keepNext w:val="0"/>
        <w:keepLines w:val="0"/>
        <w:pageBreakBefore w:val="0"/>
        <w:kinsoku/>
        <w:wordWrap/>
        <w:overflowPunct/>
        <w:topLinePunct w:val="0"/>
        <w:autoSpaceDE/>
        <w:autoSpaceDN/>
        <w:bidi w:val="0"/>
        <w:adjustRightInd/>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二、</w:t>
      </w:r>
      <w:bookmarkStart w:id="1" w:name="_GoBack"/>
      <w:bookmarkEnd w:id="1"/>
      <w:r>
        <w:rPr>
          <w:rFonts w:hint="eastAsia" w:ascii="仿宋" w:hAnsi="仿宋" w:eastAsia="仿宋" w:cs="仿宋"/>
          <w:b/>
          <w:bCs/>
          <w:color w:val="auto"/>
          <w:sz w:val="24"/>
          <w:szCs w:val="24"/>
        </w:rPr>
        <w:t>1包、2包、3包、4包服务内容及要求</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1048"/>
        <w:gridCol w:w="6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blHeader/>
          <w:jc w:val="center"/>
        </w:trPr>
        <w:tc>
          <w:tcPr>
            <w:tcW w:w="5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名称</w:t>
            </w: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b/>
                <w:color w:val="auto"/>
                <w:sz w:val="24"/>
                <w:szCs w:val="24"/>
              </w:rPr>
              <w:t>要求及内容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61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基本</w:t>
            </w:r>
          </w:p>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b/>
                <w:color w:val="auto"/>
                <w:sz w:val="24"/>
                <w:szCs w:val="24"/>
              </w:rPr>
              <w:t>要求</w:t>
            </w: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color w:val="auto"/>
                <w:sz w:val="24"/>
                <w:szCs w:val="24"/>
              </w:rPr>
              <w:t>严格按照有关的法规、政策、文件等有关规定及采购人的要求，按时按质按量提供服务。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color w:val="auto"/>
                <w:sz w:val="24"/>
                <w:szCs w:val="24"/>
              </w:rPr>
              <w:t>投标人必须在资质范围内承接业务。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color w:val="auto"/>
                <w:sz w:val="24"/>
                <w:szCs w:val="24"/>
              </w:rPr>
              <w:t>投标人应具备24小时监测能力保障，并按照采购人要求提供服务。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color w:val="auto"/>
                <w:sz w:val="24"/>
                <w:szCs w:val="24"/>
              </w:rPr>
              <w:t>投标人有健全的组织机构，完善的内控制度和质量保证体系以及经济技术档案管理制度，有良好的服务态度和较好的社会信誉。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color w:val="auto"/>
                <w:sz w:val="24"/>
                <w:szCs w:val="24"/>
              </w:rPr>
              <w:t>投标人必须设立项目联系人，该联系人必须是正式员工（社保清单中必须含有项目联系人名单），因特殊原因需更换的，须在变更前三个工作日内书面报告采购人。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61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技术</w:t>
            </w:r>
          </w:p>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b/>
                <w:color w:val="auto"/>
                <w:sz w:val="24"/>
                <w:szCs w:val="24"/>
              </w:rPr>
              <w:t>要求</w:t>
            </w: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bCs/>
                <w:color w:val="auto"/>
                <w:sz w:val="24"/>
                <w:szCs w:val="24"/>
              </w:rPr>
              <w:t>采样和分析方法：废水、废气、环境空气、地表水、地下水、噪声、土壤、固体废物、底质、辐射的采样、分析方法按现行有效的国家标准、行业标准、地方标准和国家有关规定的要求。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bCs/>
                <w:color w:val="auto"/>
                <w:sz w:val="24"/>
                <w:szCs w:val="24"/>
              </w:rPr>
              <w:t>质控要求：按照《关于加强全省重点污染源监督性监测质量控制工作的通知</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陕环办发(2011)78号）、《国控重点污染源监测质量核查办法》（总站统字〔2010〕191号）、《陕西省生态环境厅关于印发陕西省生态环境监测质量管理规定的通知》（陕环发〔2021〕42号）、《西安市生态环境局办公室关于加强购买第三方监测服务项目监管的通知》、环境监测质量管理技术导则（HJ 630-2011）、监测项目标准技术方法的质量保证和质量控制等国家、省、市颁布的监测质量管理文件的要求执行。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bCs/>
                <w:color w:val="auto"/>
                <w:sz w:val="24"/>
                <w:szCs w:val="24"/>
              </w:rPr>
              <w:t>保密要求：中标人对采购人、被监测企业的相关信息及监测数据或报告负保密责任。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61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b/>
                <w:color w:val="auto"/>
                <w:sz w:val="24"/>
                <w:szCs w:val="24"/>
              </w:rPr>
              <w:t>采样工作的实施</w:t>
            </w: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bCs/>
                <w:color w:val="auto"/>
                <w:sz w:val="24"/>
                <w:szCs w:val="24"/>
              </w:rPr>
              <w:t>采样地点：空港新城范围内，由采购人指定地点。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color w:val="auto"/>
                <w:sz w:val="24"/>
                <w:szCs w:val="24"/>
              </w:rPr>
              <w:t>采样人员：每次采样中标人安排2名以上工作人员共同参与，并提供采样相片及采样全过程视频。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bCs/>
                <w:color w:val="auto"/>
                <w:sz w:val="24"/>
                <w:szCs w:val="24"/>
              </w:rPr>
            </w:pPr>
            <w:r>
              <w:rPr>
                <w:rFonts w:hint="eastAsia" w:ascii="仿宋" w:hAnsi="仿宋" w:eastAsia="仿宋" w:cs="仿宋"/>
                <w:bCs/>
                <w:color w:val="auto"/>
                <w:sz w:val="24"/>
                <w:szCs w:val="24"/>
              </w:rPr>
              <w:t>交通工具：由中标人负责提供。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bCs/>
                <w:color w:val="auto"/>
                <w:sz w:val="24"/>
                <w:szCs w:val="24"/>
              </w:rPr>
            </w:pPr>
            <w:r>
              <w:rPr>
                <w:rFonts w:hint="eastAsia" w:ascii="仿宋" w:hAnsi="仿宋" w:eastAsia="仿宋" w:cs="仿宋"/>
                <w:color w:val="auto"/>
                <w:sz w:val="24"/>
                <w:szCs w:val="24"/>
              </w:rPr>
              <w:t>需备份样品：样品须 1式</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份。一份由中标人带回监测机构，另一份封存在采购人指定地点。如对监测结果有异议的，在样品的保存期内，可对封存的样品进行复检，监测出的结果为最终结论。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bCs/>
                <w:color w:val="auto"/>
                <w:sz w:val="24"/>
                <w:szCs w:val="24"/>
              </w:rPr>
            </w:pPr>
            <w:r>
              <w:rPr>
                <w:rFonts w:hint="eastAsia" w:ascii="仿宋" w:hAnsi="仿宋" w:eastAsia="仿宋" w:cs="仿宋"/>
                <w:bCs/>
                <w:color w:val="auto"/>
                <w:sz w:val="24"/>
                <w:szCs w:val="24"/>
              </w:rPr>
              <w:t>样品运输：中标人负责每次样品的采样与运送工作，保证运送安全。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bCs/>
                <w:color w:val="auto"/>
                <w:sz w:val="24"/>
                <w:szCs w:val="24"/>
              </w:rPr>
              <w:t>采样方案：由中标人提供具体的实施方案，经采购人审核通过后实施。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61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b/>
                <w:color w:val="auto"/>
                <w:sz w:val="24"/>
                <w:szCs w:val="24"/>
              </w:rPr>
              <w:t>监测结果的处理</w:t>
            </w: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color w:val="auto"/>
                <w:sz w:val="24"/>
                <w:szCs w:val="24"/>
              </w:rPr>
              <w:t>监测结果：中标人现场监测工作结束后，应于7个工作日内将监测结果和相关文件报送并通知采购人（土壤和固体废物监测项目除外）,中标人出具监测报告4份。中标人</w:t>
            </w:r>
            <w:r>
              <w:rPr>
                <w:rFonts w:hint="eastAsia" w:ascii="仿宋" w:hAnsi="仿宋" w:eastAsia="仿宋" w:cs="仿宋"/>
                <w:color w:val="auto"/>
                <w:sz w:val="24"/>
                <w:szCs w:val="24"/>
                <w:lang w:val="en-US" w:eastAsia="zh-CN"/>
              </w:rPr>
              <w:t>需</w:t>
            </w:r>
            <w:r>
              <w:rPr>
                <w:rFonts w:hint="eastAsia" w:ascii="仿宋" w:hAnsi="仿宋" w:eastAsia="仿宋" w:cs="仿宋"/>
                <w:color w:val="auto"/>
                <w:sz w:val="24"/>
                <w:szCs w:val="24"/>
              </w:rPr>
              <w:t>建立详细台账，以</w:t>
            </w:r>
            <w:r>
              <w:rPr>
                <w:rFonts w:hint="eastAsia" w:ascii="仿宋" w:hAnsi="仿宋" w:eastAsia="仿宋" w:cs="仿宋"/>
                <w:color w:val="auto"/>
                <w:sz w:val="24"/>
                <w:szCs w:val="24"/>
                <w:lang w:val="en-US" w:eastAsia="zh-CN"/>
              </w:rPr>
              <w:t>便</w:t>
            </w:r>
            <w:r>
              <w:rPr>
                <w:rFonts w:hint="eastAsia" w:ascii="仿宋" w:hAnsi="仿宋" w:eastAsia="仿宋" w:cs="仿宋"/>
                <w:color w:val="auto"/>
                <w:sz w:val="24"/>
                <w:szCs w:val="24"/>
              </w:rPr>
              <w:t>采购人随时查阅。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5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bCs/>
                <w:color w:val="auto"/>
                <w:sz w:val="24"/>
                <w:szCs w:val="24"/>
              </w:rPr>
            </w:pPr>
            <w:r>
              <w:rPr>
                <w:rFonts w:hint="eastAsia" w:ascii="仿宋" w:hAnsi="仿宋" w:eastAsia="仿宋" w:cs="仿宋"/>
                <w:bCs/>
                <w:color w:val="auto"/>
                <w:sz w:val="24"/>
                <w:szCs w:val="24"/>
              </w:rPr>
              <w:t>对监测结果异议的处理</w:t>
            </w:r>
          </w:p>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bCs/>
                <w:color w:val="auto"/>
                <w:sz w:val="24"/>
                <w:szCs w:val="24"/>
              </w:rPr>
            </w:pPr>
            <w:r>
              <w:rPr>
                <w:rFonts w:hint="eastAsia" w:ascii="仿宋" w:hAnsi="仿宋" w:eastAsia="仿宋" w:cs="仿宋"/>
                <w:bCs/>
                <w:color w:val="auto"/>
                <w:sz w:val="24"/>
                <w:szCs w:val="24"/>
              </w:rPr>
              <w:t>若采购人对监测结果有异议的，应自收到监测报告后在法定时间内向中标人提</w:t>
            </w:r>
            <w:r>
              <w:rPr>
                <w:rFonts w:hint="eastAsia" w:ascii="仿宋" w:hAnsi="仿宋" w:eastAsia="仿宋" w:cs="仿宋"/>
                <w:bCs/>
                <w:color w:val="auto"/>
                <w:sz w:val="24"/>
                <w:szCs w:val="24"/>
                <w:lang w:val="en-US" w:eastAsia="zh-CN"/>
              </w:rPr>
              <w:t>出</w:t>
            </w:r>
            <w:r>
              <w:rPr>
                <w:rFonts w:hint="eastAsia" w:ascii="仿宋" w:hAnsi="仿宋" w:eastAsia="仿宋" w:cs="仿宋"/>
                <w:bCs/>
                <w:color w:val="auto"/>
                <w:sz w:val="24"/>
                <w:szCs w:val="24"/>
              </w:rPr>
              <w:t>，中标人应在5个日历日内作出书面答复。</w:t>
            </w:r>
          </w:p>
          <w:p>
            <w:pPr>
              <w:keepNext w:val="0"/>
              <w:keepLines w:val="0"/>
              <w:pageBreakBefore w:val="0"/>
              <w:kinsoku/>
              <w:wordWrap/>
              <w:overflowPunct/>
              <w:topLinePunct w:val="0"/>
              <w:autoSpaceDE/>
              <w:autoSpaceDN/>
              <w:bidi w:val="0"/>
              <w:adjustRightInd/>
              <w:spacing w:line="360" w:lineRule="auto"/>
              <w:ind w:left="120" w:leftChars="50" w:right="120" w:rightChars="50"/>
              <w:rPr>
                <w:rFonts w:hint="eastAsia" w:ascii="仿宋" w:hAnsi="仿宋" w:eastAsia="仿宋" w:cs="仿宋"/>
                <w:color w:val="auto"/>
                <w:sz w:val="24"/>
                <w:szCs w:val="24"/>
              </w:rPr>
            </w:pPr>
            <w:r>
              <w:rPr>
                <w:rFonts w:hint="eastAsia" w:ascii="仿宋" w:hAnsi="仿宋" w:eastAsia="仿宋" w:cs="仿宋"/>
                <w:bCs/>
                <w:color w:val="auto"/>
                <w:sz w:val="24"/>
                <w:szCs w:val="24"/>
              </w:rPr>
              <w:t>若中标人答复后仍不能解决的，采购人有权在5个工作日内向中标人提出复检申请，并说明复检理由。复检单位由采购人在入库名单中自行选择，复检单位与初检单位不得为同一机构，复检结果为最终结果。若复检结果与初检结果相符的，采购人按规定支付该次初检和复检的费用；若复检结果与初检结果不相符的，复检费用由初检单位承担，采购人不支付该次监测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b/>
                <w:color w:val="auto"/>
                <w:sz w:val="24"/>
                <w:szCs w:val="24"/>
              </w:rPr>
              <w:t>应急工作的实施</w:t>
            </w:r>
          </w:p>
        </w:tc>
        <w:tc>
          <w:tcPr>
            <w:tcW w:w="38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0" w:leftChars="0" w:right="0" w:rightChars="0"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根据采购人需求，在应急监测处理情况下，由双方主要负责人协商临时监测方案，中标人应积极配合（在工作时间内1小时内到达现场，在非工作时间内2小时内到达现场）采购人开展应急情况监测。同时，视情况需要，如采购人要对外发布有关信息，或处理有关事宜时，中标人必须提供专家予以支持。中标人需自备监测的相关设备，不得以工作安排已满等理由推迟监测时间，或提出各种原因拒不到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其它</w:t>
            </w:r>
          </w:p>
        </w:tc>
        <w:tc>
          <w:tcPr>
            <w:tcW w:w="3851" w:type="pc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pacing w:line="360" w:lineRule="auto"/>
              <w:ind w:firstLine="0" w:firstLineChars="0"/>
              <w:rPr>
                <w:rFonts w:hint="eastAsia" w:ascii="仿宋" w:hAnsi="仿宋" w:eastAsia="仿宋" w:cs="仿宋"/>
                <w:bCs/>
                <w:color w:val="auto"/>
                <w:sz w:val="24"/>
                <w:szCs w:val="24"/>
              </w:rPr>
            </w:pPr>
            <w:r>
              <w:rPr>
                <w:rFonts w:hint="eastAsia" w:ascii="仿宋" w:hAnsi="仿宋" w:eastAsia="仿宋" w:cs="仿宋"/>
                <w:bCs/>
                <w:color w:val="auto"/>
                <w:sz w:val="24"/>
                <w:szCs w:val="24"/>
              </w:rPr>
              <w:t>监测任务必须由中标人自行完成，由于监测任务工作量过大或人员不足以开展该项监测任务的情况下，可将监测任务分包给本项目其他中标人，不得将监测任务外包或分包给其他监测机构监测，否则视为违约，立即取消其分包合同和中标资格。</w:t>
            </w:r>
          </w:p>
          <w:p>
            <w:pPr>
              <w:pStyle w:val="2"/>
              <w:keepNext w:val="0"/>
              <w:keepLines w:val="0"/>
              <w:pageBreakBefore w:val="0"/>
              <w:kinsoku/>
              <w:wordWrap/>
              <w:overflowPunct/>
              <w:topLinePunct w:val="0"/>
              <w:autoSpaceDE/>
              <w:autoSpaceDN/>
              <w:bidi w:val="0"/>
              <w:adjustRightInd/>
              <w:spacing w:line="360" w:lineRule="auto"/>
              <w:ind w:firstLine="0" w:firstLineChars="0"/>
              <w:rPr>
                <w:rFonts w:hint="eastAsia" w:ascii="仿宋" w:hAnsi="仿宋" w:eastAsia="仿宋" w:cs="仿宋"/>
                <w:color w:val="auto"/>
                <w:sz w:val="24"/>
                <w:szCs w:val="24"/>
              </w:rPr>
            </w:pPr>
            <w:r>
              <w:rPr>
                <w:rFonts w:hint="eastAsia" w:ascii="仿宋" w:hAnsi="仿宋" w:eastAsia="仿宋" w:cs="仿宋"/>
                <w:bCs/>
                <w:color w:val="auto"/>
                <w:sz w:val="24"/>
                <w:szCs w:val="24"/>
              </w:rPr>
              <w:t>中标人接到监测任务后，拒绝接受任务或者接受任务后不及时开展工作的，发生一次将被警告一次，发生两次则取消中标资格。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5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before="93" w:beforeLines="30" w:line="360" w:lineRule="auto"/>
              <w:rPr>
                <w:rFonts w:hint="eastAsia" w:ascii="仿宋" w:hAnsi="仿宋" w:eastAsia="仿宋" w:cs="仿宋"/>
                <w:bCs/>
                <w:color w:val="auto"/>
                <w:sz w:val="24"/>
                <w:szCs w:val="24"/>
              </w:rPr>
            </w:pPr>
            <w:r>
              <w:rPr>
                <w:rFonts w:hint="eastAsia" w:ascii="仿宋" w:hAnsi="仿宋" w:eastAsia="仿宋" w:cs="仿宋"/>
                <w:b/>
                <w:color w:val="auto"/>
                <w:sz w:val="24"/>
                <w:szCs w:val="24"/>
              </w:rPr>
              <w:t>不可抗力</w:t>
            </w:r>
          </w:p>
          <w:p>
            <w:pPr>
              <w:keepNext w:val="0"/>
              <w:keepLines w:val="0"/>
              <w:pageBreakBefore w:val="0"/>
              <w:kinsoku/>
              <w:wordWrap/>
              <w:overflowPunct/>
              <w:topLinePunct w:val="0"/>
              <w:autoSpaceDE/>
              <w:autoSpaceDN/>
              <w:bidi w:val="0"/>
              <w:adjustRightInd/>
              <w:spacing w:line="360" w:lineRule="auto"/>
              <w:ind w:left="120" w:leftChars="50" w:right="120" w:rightChars="50"/>
              <w:jc w:val="center"/>
              <w:rPr>
                <w:rFonts w:hint="eastAsia" w:ascii="仿宋" w:hAnsi="仿宋" w:eastAsia="仿宋" w:cs="仿宋"/>
                <w:b/>
                <w:color w:val="auto"/>
                <w:sz w:val="24"/>
                <w:szCs w:val="24"/>
              </w:rPr>
            </w:pPr>
          </w:p>
        </w:tc>
        <w:tc>
          <w:tcPr>
            <w:tcW w:w="3851" w:type="pc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pacing w:line="360" w:lineRule="auto"/>
              <w:ind w:firstLine="0" w:firstLineChars="0"/>
              <w:rPr>
                <w:rFonts w:hint="eastAsia" w:ascii="仿宋" w:hAnsi="仿宋" w:eastAsia="仿宋" w:cs="仿宋"/>
                <w:bCs/>
                <w:color w:val="auto"/>
                <w:sz w:val="24"/>
                <w:szCs w:val="24"/>
              </w:rPr>
            </w:pPr>
            <w:r>
              <w:rPr>
                <w:rFonts w:hint="eastAsia" w:ascii="仿宋" w:hAnsi="仿宋" w:eastAsia="仿宋" w:cs="仿宋"/>
                <w:bCs/>
                <w:color w:val="auto"/>
                <w:sz w:val="24"/>
                <w:szCs w:val="24"/>
              </w:rPr>
              <w:t>不可抗力系指正常情况下，经努力仍不可预见、无法控制、不可避免的事件，且直接影响一方履行合同义务的事件，比如战争、台风、地震、严重的火灾或水灾等。</w:t>
            </w:r>
          </w:p>
          <w:p>
            <w:pPr>
              <w:pStyle w:val="2"/>
              <w:keepNext w:val="0"/>
              <w:keepLines w:val="0"/>
              <w:pageBreakBefore w:val="0"/>
              <w:kinsoku/>
              <w:wordWrap/>
              <w:overflowPunct/>
              <w:topLinePunct w:val="0"/>
              <w:autoSpaceDE/>
              <w:autoSpaceDN/>
              <w:bidi w:val="0"/>
              <w:adjustRightInd/>
              <w:spacing w:line="360" w:lineRule="auto"/>
              <w:ind w:firstLine="0" w:firstLineChars="0"/>
              <w:rPr>
                <w:rFonts w:hint="eastAsia" w:ascii="仿宋" w:hAnsi="仿宋" w:eastAsia="仿宋" w:cs="仿宋"/>
                <w:bCs/>
                <w:color w:val="auto"/>
                <w:sz w:val="24"/>
                <w:szCs w:val="24"/>
              </w:rPr>
            </w:pPr>
            <w:r>
              <w:rPr>
                <w:rFonts w:hint="eastAsia" w:ascii="仿宋" w:hAnsi="仿宋" w:eastAsia="仿宋" w:cs="仿宋"/>
                <w:bCs/>
                <w:color w:val="auto"/>
                <w:sz w:val="24"/>
                <w:szCs w:val="24"/>
              </w:rPr>
              <w:t>由于不可抗力事件不能履行合同时，履行合同的期限应予以延长，具体由供需双方协商确定。</w:t>
            </w:r>
          </w:p>
        </w:tc>
      </w:tr>
    </w:tbl>
    <w:p>
      <w:pPr>
        <w:keepNext w:val="0"/>
        <w:keepLines w:val="0"/>
        <w:pageBreakBefore w:val="0"/>
        <w:kinsoku/>
        <w:wordWrap/>
        <w:overflowPunct/>
        <w:topLinePunct w:val="0"/>
        <w:autoSpaceDE/>
        <w:autoSpaceDN/>
        <w:bidi w:val="0"/>
        <w:adjustRightInd/>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三、其他要求</w:t>
      </w:r>
    </w:p>
    <w:p>
      <w:pPr>
        <w:keepNext w:val="0"/>
        <w:keepLines w:val="0"/>
        <w:pageBreakBefore w:val="0"/>
        <w:kinsoku/>
        <w:wordWrap/>
        <w:overflowPunct/>
        <w:topLinePunct w:val="0"/>
        <w:autoSpaceDE/>
        <w:autoSpaceDN/>
        <w:bidi w:val="0"/>
        <w:adjustRightInd/>
        <w:spacing w:line="360" w:lineRule="auto"/>
        <w:ind w:firstLine="480" w:firstLineChars="200"/>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1.服务期：</w:t>
      </w:r>
      <w:r>
        <w:rPr>
          <w:rFonts w:hint="eastAsia" w:ascii="仿宋" w:hAnsi="仿宋" w:eastAsia="仿宋" w:cs="仿宋"/>
          <w:bCs/>
          <w:color w:val="auto"/>
          <w:sz w:val="24"/>
          <w:szCs w:val="24"/>
          <w:lang w:eastAsia="zh-CN"/>
        </w:rPr>
        <w:t>自合同签订之日起一年</w:t>
      </w:r>
      <w:r>
        <w:rPr>
          <w:rFonts w:hint="eastAsia" w:ascii="仿宋" w:hAnsi="仿宋" w:eastAsia="仿宋" w:cs="仿宋"/>
          <w:bCs/>
          <w:color w:val="auto"/>
          <w:sz w:val="24"/>
          <w:szCs w:val="24"/>
        </w:rPr>
        <w:t>；</w:t>
      </w:r>
    </w:p>
    <w:p>
      <w:pPr>
        <w:keepNext w:val="0"/>
        <w:keepLines w:val="0"/>
        <w:pageBreakBefore w:val="0"/>
        <w:kinsoku/>
        <w:wordWrap/>
        <w:overflowPunct/>
        <w:topLinePunct w:val="0"/>
        <w:autoSpaceDE/>
        <w:autoSpaceDN/>
        <w:bidi w:val="0"/>
        <w:adjustRightInd/>
        <w:spacing w:line="360" w:lineRule="auto"/>
        <w:ind w:firstLine="480" w:firstLineChars="200"/>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2.供应商应于每个季度首月10号前向采购人提交上季度环境监测报告（包括纸质版一式四份和电子版）。</w:t>
      </w:r>
    </w:p>
    <w:p>
      <w:pPr>
        <w:pStyle w:val="3"/>
        <w:keepNext w:val="0"/>
        <w:keepLines w:val="0"/>
        <w:pageBreakBefore w:val="0"/>
        <w:kinsoku/>
        <w:wordWrap/>
        <w:overflowPunct/>
        <w:topLinePunct w:val="0"/>
        <w:autoSpaceDE/>
        <w:autoSpaceDN/>
        <w:bidi w:val="0"/>
        <w:adjustRightInd/>
        <w:spacing w:after="0" w:line="360" w:lineRule="auto"/>
        <w:ind w:firstLine="480" w:firstLineChars="200"/>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3.监测单位开展监测项目监测时，选用分析方法应符合国家环境污染物监测标准、排污许可证、项目环评等文件要求。</w:t>
      </w:r>
    </w:p>
    <w:p>
      <w:pPr>
        <w:keepNext w:val="0"/>
        <w:keepLines w:val="0"/>
        <w:pageBreakBefore w:val="0"/>
        <w:kinsoku/>
        <w:wordWrap/>
        <w:overflowPunct/>
        <w:topLinePunct w:val="0"/>
        <w:autoSpaceDE/>
        <w:autoSpaceDN/>
        <w:bidi w:val="0"/>
        <w:adjustRightInd/>
        <w:spacing w:line="360" w:lineRule="auto"/>
        <w:ind w:firstLine="480" w:firstLineChars="200"/>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3.车辆、监测人员配备情况供应商自拟。</w:t>
      </w:r>
    </w:p>
    <w:p>
      <w:pPr>
        <w:pStyle w:val="4"/>
        <w:keepNext w:val="0"/>
        <w:keepLines w:val="0"/>
        <w:pageBreakBefore w:val="0"/>
        <w:kinsoku/>
        <w:wordWrap/>
        <w:overflowPunct/>
        <w:topLinePunct w:val="0"/>
        <w:autoSpaceDE/>
        <w:autoSpaceDN/>
        <w:bidi w:val="0"/>
        <w:adjustRightInd/>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四、其他要求</w:t>
      </w:r>
    </w:p>
    <w:p>
      <w:pPr>
        <w:pStyle w:val="4"/>
        <w:keepNext w:val="0"/>
        <w:keepLines w:val="0"/>
        <w:pageBreakBefore w:val="0"/>
        <w:kinsoku/>
        <w:wordWrap/>
        <w:overflowPunct/>
        <w:topLinePunct w:val="0"/>
        <w:autoSpaceDE/>
        <w:autoSpaceDN/>
        <w:bidi w:val="0"/>
        <w:adjustRightInd/>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.供应商提交的监测成果报告须接受第三方监测机构复检，若复检结果与成果报告误差较大，采购人有权解除合同，重新选择供应商。</w:t>
      </w:r>
    </w:p>
    <w:p>
      <w:pPr>
        <w:pStyle w:val="4"/>
        <w:keepNext w:val="0"/>
        <w:keepLines w:val="0"/>
        <w:pageBreakBefore w:val="0"/>
        <w:kinsoku/>
        <w:wordWrap/>
        <w:overflowPunct/>
        <w:topLinePunct w:val="0"/>
        <w:autoSpaceDE/>
        <w:autoSpaceDN/>
        <w:bidi w:val="0"/>
        <w:adjustRightInd/>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.供应商不能按时</w:t>
      </w:r>
      <w:r>
        <w:rPr>
          <w:rFonts w:hint="eastAsia" w:ascii="仿宋" w:hAnsi="仿宋" w:eastAsia="仿宋" w:cs="仿宋"/>
          <w:color w:val="auto"/>
          <w:sz w:val="24"/>
          <w:szCs w:val="24"/>
          <w:lang w:val="en-US" w:eastAsia="zh-CN"/>
        </w:rPr>
        <w:t>递交</w:t>
      </w:r>
      <w:r>
        <w:rPr>
          <w:rFonts w:hint="eastAsia" w:ascii="仿宋" w:hAnsi="仿宋" w:eastAsia="仿宋" w:cs="仿宋"/>
          <w:color w:val="auto"/>
          <w:sz w:val="24"/>
          <w:szCs w:val="24"/>
        </w:rPr>
        <w:t>成果报告，采购人延期支付费用。</w:t>
      </w:r>
    </w:p>
    <w:p>
      <w:pPr>
        <w:keepNext w:val="0"/>
        <w:keepLines w:val="0"/>
        <w:pageBreakBefore w:val="0"/>
        <w:kinsoku/>
        <w:wordWrap/>
        <w:overflowPunct/>
        <w:topLinePunct w:val="0"/>
        <w:autoSpaceDE/>
        <w:autoSpaceDN/>
        <w:bidi w:val="0"/>
        <w:adjustRightInd/>
        <w:spacing w:line="360" w:lineRule="auto"/>
        <w:rPr>
          <w:rFonts w:hint="eastAsia" w:ascii="仿宋" w:hAnsi="仿宋" w:eastAsia="仿宋" w:cs="仿宋"/>
          <w:color w:val="auto"/>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MGMwOGJiMTk3ZDUwNTg4ZDAzMTc0NDUyMjU2YmIifQ=="/>
  </w:docVars>
  <w:rsids>
    <w:rsidRoot w:val="4E7F032F"/>
    <w:rsid w:val="4E7F0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textAlignment w:val="baseline"/>
    </w:pPr>
    <w:rPr>
      <w:rFonts w:ascii="宋体" w:hAnsi="Times New Roman" w:eastAsia="宋体" w:cstheme="minorBidi"/>
      <w:sz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00" w:lineRule="auto"/>
      <w:ind w:firstLine="420" w:firstLineChars="200"/>
    </w:pPr>
    <w:rPr>
      <w:rFonts w:ascii="Times New Roman"/>
      <w:kern w:val="2"/>
      <w:sz w:val="21"/>
      <w:szCs w:val="24"/>
    </w:rPr>
  </w:style>
  <w:style w:type="paragraph" w:styleId="3">
    <w:name w:val="Body Text"/>
    <w:basedOn w:val="1"/>
    <w:next w:val="1"/>
    <w:qFormat/>
    <w:uiPriority w:val="0"/>
    <w:pPr>
      <w:spacing w:after="120"/>
    </w:pPr>
    <w:rPr>
      <w:rFonts w:ascii="Times New Roman"/>
      <w:kern w:val="2"/>
      <w:sz w:val="21"/>
    </w:rPr>
  </w:style>
  <w:style w:type="paragraph" w:styleId="4">
    <w:name w:val="footer"/>
    <w:basedOn w:val="1"/>
    <w:qFormat/>
    <w:uiPriority w:val="0"/>
    <w:pPr>
      <w:tabs>
        <w:tab w:val="center" w:pos="4153"/>
        <w:tab w:val="right" w:pos="8306"/>
      </w:tabs>
      <w:snapToGrid w:val="0"/>
      <w:jc w:val="left"/>
    </w:pPr>
    <w:rPr>
      <w:rFonts w:ascii="Times New Roman"/>
      <w:kern w:val="2"/>
      <w:sz w:val="18"/>
      <w:szCs w:val="18"/>
    </w:rPr>
  </w:style>
  <w:style w:type="character" w:customStyle="1" w:styleId="7">
    <w:name w:val="NormalCharacter"/>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2024-04-16T06:45:00Z</dcterms:created>
  <dc:creator>R·</dc:creator>
  <cp:lastModifiedBy>R·</cp:lastModifiedBy>
  <dcterms:modified xsi:type="dcterms:W3CDTF">2024-04-16T06:46:07Z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717AAC4E916C46C6BEDFDA774083F150_11</vt:lpwstr>
  </property>
</Properties>
</file>