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B840">
      <w:pPr>
        <w:spacing w:before="120" w:beforeLines="50" w:line="520" w:lineRule="exact"/>
        <w:ind w:left="630" w:leftChars="300" w:firstLine="1446" w:firstLineChars="400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竞争性谈判内容及技术要求</w:t>
      </w:r>
    </w:p>
    <w:p w14:paraId="4C1FEA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default" w:hAnsi="宋体" w:eastAsia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</w:rPr>
        <w:t>一、</w:t>
      </w: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主要资产情况</w:t>
      </w:r>
    </w:p>
    <w:p w14:paraId="6131D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cs="Verdana"/>
          <w:b w:val="0"/>
          <w:bCs/>
          <w:color w:val="FF0000"/>
          <w:kern w:val="0"/>
          <w:sz w:val="24"/>
          <w:szCs w:val="24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</w:rPr>
        <w:t>（</w:t>
      </w: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</w:rPr>
        <w:t>）项目概况</w:t>
      </w:r>
    </w:p>
    <w:p w14:paraId="77290E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项目位于原点西一路以西、原点西二路以东、泾干二街以南、泾干一街以北，包括污水处理构（建）筑物、污泥处理构（建）筑物、辅助生产建筑物、管网工程，日处理污水规模6万m3/d（隆基企业排水4万m3/d，其他企业排水量约2万m3/d）。该项目属于重大项目，负责泾河新城工业聚集区污水处理（包括隆基及其他企业的废水），服务范围为原点大道以南，泾干二街以北，茶马大道以东，原点西一路以西区域，总面积约2.04平方公里。</w:t>
      </w:r>
    </w:p>
    <w:p w14:paraId="61759B7C">
      <w:pPr>
        <w:pStyle w:val="2"/>
        <w:spacing w:line="520" w:lineRule="exact"/>
        <w:rPr>
          <w:rFonts w:hint="eastAsia" w:hAnsi="宋体" w:cs="Verdana"/>
          <w:b/>
          <w:color w:val="auto"/>
          <w:kern w:val="0"/>
          <w:sz w:val="24"/>
          <w:szCs w:val="24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hAnsi="宋体" w:cs="Verdana"/>
          <w:b/>
          <w:color w:val="auto"/>
          <w:kern w:val="0"/>
          <w:sz w:val="24"/>
          <w:szCs w:val="24"/>
        </w:rPr>
        <w:t>、服务要求</w:t>
      </w:r>
    </w:p>
    <w:p w14:paraId="7CC0A7AF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</w:rPr>
        <w:t>(一) 特许经营方式</w:t>
      </w:r>
    </w:p>
    <w:p w14:paraId="4A6AF76B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</w:rPr>
        <w:t>本项目特许经营方式采用在合作期内，政府授予特许经营者运营本项目范围内相关设施，期限届满后移交给政府或政府指定机构。</w:t>
      </w:r>
    </w:p>
    <w:p w14:paraId="2186A2F0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</w:rPr>
        <w:t>(二) 特许经营期限</w:t>
      </w:r>
    </w:p>
    <w:p w14:paraId="74E37F7F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</w:rPr>
        <w:t>本项目特许经营期为</w:t>
      </w: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eastAsia" w:hAnsi="宋体" w:cs="Verdana"/>
          <w:bCs/>
          <w:color w:val="auto"/>
          <w:kern w:val="0"/>
          <w:sz w:val="24"/>
          <w:szCs w:val="24"/>
        </w:rPr>
        <w:t>年。</w:t>
      </w:r>
    </w:p>
    <w:p w14:paraId="6905667D">
      <w:pPr>
        <w:numPr>
          <w:ilvl w:val="0"/>
          <w:numId w:val="1"/>
        </w:numPr>
        <w:spacing w:line="52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协</w:t>
      </w:r>
      <w:r>
        <w:rPr>
          <w:rFonts w:ascii="宋体" w:hAnsi="宋体" w:cs="宋体"/>
          <w:color w:val="auto"/>
          <w:sz w:val="24"/>
          <w:szCs w:val="24"/>
        </w:rPr>
        <w:t>议签订后</w:t>
      </w:r>
      <w:r>
        <w:rPr>
          <w:rFonts w:hint="eastAsia" w:ascii="宋体" w:hAnsi="宋体" w:cs="宋体"/>
          <w:color w:val="auto"/>
          <w:sz w:val="24"/>
          <w:szCs w:val="24"/>
        </w:rPr>
        <w:t>一</w:t>
      </w:r>
      <w:r>
        <w:rPr>
          <w:rFonts w:ascii="宋体" w:hAnsi="宋体" w:cs="宋体"/>
          <w:color w:val="auto"/>
          <w:sz w:val="24"/>
          <w:szCs w:val="24"/>
        </w:rPr>
        <w:t>个月内，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成交供应商</w:t>
      </w:r>
      <w:r>
        <w:rPr>
          <w:rFonts w:ascii="宋体" w:hAnsi="宋体" w:cs="宋体"/>
          <w:color w:val="auto"/>
          <w:sz w:val="24"/>
          <w:szCs w:val="24"/>
        </w:rPr>
        <w:t>将出让价款一次性转账支付至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采购人</w:t>
      </w:r>
      <w:r>
        <w:rPr>
          <w:rFonts w:ascii="宋体" w:hAnsi="宋体" w:cs="宋体"/>
          <w:color w:val="auto"/>
          <w:sz w:val="24"/>
          <w:szCs w:val="24"/>
        </w:rPr>
        <w:t>指定银行账户。</w:t>
      </w:r>
    </w:p>
    <w:p w14:paraId="7E752E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7452B"/>
    <w:multiLevelType w:val="singleLevel"/>
    <w:tmpl w:val="87D7452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2024-12-23T13:33:51Z</dcterms:created>
  <dc:creator>刘国兵</dc:creator>
  <cp:lastModifiedBy>李玉萍</cp:lastModifiedBy>
  <dcterms:modified xsi:type="dcterms:W3CDTF">2024-12-23T13:34:00Z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E6E32F28B6C247ED81F872F4516BF462_12</vt:lpwstr>
  </property>
</Properties>
</file>