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C63F">
      <w:pPr>
        <w:pStyle w:val="22"/>
        <w:tabs>
          <w:tab w:val="right" w:leader="dot" w:pos="8306"/>
        </w:tabs>
        <w:spacing w:line="360" w:lineRule="auto"/>
        <w:jc w:val="center"/>
        <w:rPr>
          <w:rFonts w:hint="eastAsia" w:ascii="宋体" w:hAnsi="宋体" w:eastAsia="宋体" w:cs="宋体"/>
          <w:color w:val="auto"/>
          <w:szCs w:val="21"/>
          <w:highlight w:val="none"/>
          <w:lang w:val="zh-CN" w:eastAsia="zh-CN"/>
        </w:rPr>
      </w:pPr>
      <w:bookmarkStart w:id="0" w:name="OLE_LINK9"/>
    </w:p>
    <w:p w14:paraId="3956B178">
      <w:pPr>
        <w:pStyle w:val="22"/>
        <w:tabs>
          <w:tab w:val="right" w:leader="dot" w:pos="8306"/>
        </w:tabs>
        <w:spacing w:line="360" w:lineRule="auto"/>
        <w:jc w:val="center"/>
        <w:rPr>
          <w:rFonts w:hint="eastAsia" w:ascii="宋体" w:hAnsi="宋体" w:eastAsia="宋体" w:cs="宋体"/>
          <w:color w:val="auto"/>
          <w:szCs w:val="21"/>
          <w:highlight w:val="none"/>
          <w:lang w:val="zh-CN" w:eastAsia="zh-CN"/>
        </w:rPr>
      </w:pPr>
    </w:p>
    <w:p w14:paraId="3C09F134">
      <w:pPr>
        <w:pStyle w:val="22"/>
        <w:tabs>
          <w:tab w:val="right" w:leader="dot" w:pos="8306"/>
        </w:tabs>
        <w:spacing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cs="宋体"/>
          <w:b/>
          <w:bCs/>
          <w:color w:val="auto"/>
          <w:sz w:val="40"/>
          <w:szCs w:val="40"/>
          <w:highlight w:val="none"/>
        </w:rPr>
        <w:t xml:space="preserve"> 录</w:t>
      </w:r>
    </w:p>
    <w:p w14:paraId="436EF8C1">
      <w:pPr>
        <w:rPr>
          <w:color w:val="auto"/>
          <w:highlight w:val="none"/>
        </w:rPr>
      </w:pPr>
    </w:p>
    <w:p w14:paraId="1BD841A7">
      <w:pPr>
        <w:pStyle w:val="24"/>
        <w:rPr>
          <w:color w:val="auto"/>
        </w:rPr>
      </w:pPr>
    </w:p>
    <w:p w14:paraId="66DEEED0">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_Toc16274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第一部分 竞争性磋商公告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_Toc16274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324672E6">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_Toc13027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rPr>
        <w:t xml:space="preserve">第二部分 </w:t>
      </w: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lang w:val="en-US" w:eastAsia="zh-CN"/>
        </w:rPr>
        <w:t>及磋商须知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_Toc13027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7</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767EC4D7">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_Toc32501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lang w:val="en-US" w:eastAsia="zh-CN"/>
        </w:rPr>
        <w:t xml:space="preserve">第三部分 </w:t>
      </w:r>
      <w:r>
        <w:rPr>
          <w:rFonts w:hint="eastAsia" w:ascii="宋体" w:hAnsi="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r>
        <w:rPr>
          <w:rFonts w:hint="eastAsia" w:ascii="宋体" w:hAnsi="宋体" w:eastAsia="宋体" w:cs="宋体"/>
          <w:b/>
          <w:bCs/>
          <w:color w:val="auto"/>
          <w:sz w:val="28"/>
          <w:szCs w:val="28"/>
          <w:highlight w:val="none"/>
          <w:lang w:val="en-US" w:eastAsia="zh-CN"/>
        </w:rPr>
        <w:t>及要求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_Toc32501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6CB384A5">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_Toc23902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第四部分 评审标准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_Toc23902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27</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3DC93F75">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_Toc7220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kern w:val="44"/>
          <w:sz w:val="28"/>
          <w:szCs w:val="28"/>
          <w:highlight w:val="none"/>
          <w:lang w:val="en-US" w:eastAsia="zh-CN" w:bidi="ar-SA"/>
        </w:rPr>
        <w:t>第五部分 合同文本（参考格式）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_Toc7220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303E7F9D">
      <w:pPr>
        <w:pStyle w:val="22"/>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_Toc19126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kern w:val="44"/>
          <w:sz w:val="28"/>
          <w:szCs w:val="28"/>
          <w:highlight w:val="none"/>
          <w:lang w:val="en-US" w:eastAsia="zh-CN" w:bidi="ar-SA"/>
        </w:rPr>
        <w:t>第六部分 磋商响应文件格式</w:t>
      </w:r>
      <w:r>
        <w:rPr>
          <w:rFonts w:hint="eastAsia" w:ascii="宋体" w:hAnsi="宋体" w:cs="宋体"/>
          <w:b/>
          <w:bCs/>
          <w:color w:val="auto"/>
          <w:kern w:val="44"/>
          <w:sz w:val="28"/>
          <w:szCs w:val="28"/>
          <w:highlight w:val="none"/>
          <w:lang w:val="en-US" w:eastAsia="zh-CN" w:bidi="ar-SA"/>
        </w:rPr>
        <w:t xml:space="preserve"> </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_Toc19126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highlight w:val="none"/>
        </w:rPr>
        <w:fldChar w:fldCharType="end"/>
      </w:r>
    </w:p>
    <w:p w14:paraId="7D5E27B1">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14C4F98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center"/>
        <w:textAlignment w:val="auto"/>
        <w:rPr>
          <w:rFonts w:hint="default" w:ascii="宋体" w:hAnsi="宋体" w:eastAsia="宋体" w:cs="宋体"/>
          <w:b w:val="0"/>
          <w:bCs w:val="0"/>
          <w:i w:val="0"/>
          <w:iCs w:val="0"/>
          <w:caps w:val="0"/>
          <w:color w:val="auto"/>
          <w:spacing w:val="0"/>
          <w:sz w:val="24"/>
          <w:szCs w:val="24"/>
          <w:shd w:val="clear" w:fill="FFFFFF"/>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1587204">
      <w:pPr>
        <w:pStyle w:val="2"/>
        <w:outlineLvl w:val="0"/>
        <w:rPr>
          <w:rFonts w:ascii="宋体" w:hAnsi="宋体" w:cs="宋体"/>
          <w:color w:val="auto"/>
          <w:highlight w:val="none"/>
        </w:rPr>
      </w:pPr>
      <w:bookmarkStart w:id="1" w:name="_Toc27511"/>
      <w:bookmarkStart w:id="2" w:name="_Toc26575"/>
      <w:bookmarkStart w:id="3" w:name="_Toc13065117"/>
      <w:bookmarkStart w:id="4" w:name="_Toc27507"/>
      <w:bookmarkStart w:id="5" w:name="_Toc30961"/>
      <w:bookmarkStart w:id="6" w:name="_Toc21943"/>
      <w:bookmarkStart w:id="7" w:name="_Toc16274"/>
      <w:bookmarkStart w:id="8" w:name="_Toc30089"/>
      <w:bookmarkStart w:id="9" w:name="_Toc438048787"/>
      <w:bookmarkStart w:id="10" w:name="_Toc2880"/>
      <w:bookmarkStart w:id="11" w:name="_Toc31083"/>
      <w:r>
        <w:rPr>
          <w:rFonts w:hint="eastAsia" w:ascii="宋体" w:hAnsi="宋体" w:cs="宋体"/>
          <w:color w:val="auto"/>
          <w:highlight w:val="none"/>
        </w:rPr>
        <w:t>第一部分 竞争性磋商公告</w:t>
      </w:r>
      <w:bookmarkEnd w:id="1"/>
      <w:bookmarkEnd w:id="2"/>
      <w:bookmarkEnd w:id="3"/>
      <w:bookmarkEnd w:id="4"/>
      <w:bookmarkEnd w:id="5"/>
      <w:bookmarkEnd w:id="6"/>
      <w:bookmarkEnd w:id="7"/>
    </w:p>
    <w:p w14:paraId="23230934">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项目概况</w:t>
      </w:r>
    </w:p>
    <w:p w14:paraId="1388F926">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“已交楼未进行消防验收”消防技术服务采购项目</w:t>
      </w:r>
      <w:r>
        <w:rPr>
          <w:rFonts w:hint="eastAsia" w:ascii="宋体" w:hAnsi="宋体" w:eastAsia="宋体" w:cs="宋体"/>
          <w:color w:val="auto"/>
          <w:sz w:val="24"/>
          <w:szCs w:val="24"/>
        </w:rPr>
        <w:t>采购项目的潜在供应商应在华春众创工场（富平）（详细地址：富平县富兴路中段西侧紫御台B区商务楼四层）获取采购文件</w:t>
      </w:r>
      <w:r>
        <w:rPr>
          <w:rFonts w:hint="eastAsia" w:ascii="宋体" w:hAnsi="宋体" w:eastAsia="宋体" w:cs="宋体"/>
          <w:color w:val="auto"/>
          <w:sz w:val="24"/>
          <w:szCs w:val="24"/>
          <w:highlight w:val="none"/>
        </w:rPr>
        <w:t>，并于2025年0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日14时30分（北京时间）前</w:t>
      </w:r>
      <w:r>
        <w:rPr>
          <w:rFonts w:hint="eastAsia" w:ascii="宋体" w:hAnsi="宋体" w:eastAsia="宋体" w:cs="宋体"/>
          <w:color w:val="auto"/>
          <w:sz w:val="24"/>
          <w:szCs w:val="24"/>
        </w:rPr>
        <w:t>提交响应文件。</w:t>
      </w:r>
    </w:p>
    <w:p w14:paraId="02E19A22">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6AFE4302">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highlight w:val="none"/>
        </w:rPr>
        <w:t>：HCF2025—CGZB—010</w:t>
      </w:r>
    </w:p>
    <w:p w14:paraId="6843D0FA">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“已交楼未进行消防验收”消防技术服务采购项目</w:t>
      </w:r>
    </w:p>
    <w:p w14:paraId="32DE9FD7">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38F07279">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预算金额：1,</w:t>
      </w:r>
      <w:r>
        <w:rPr>
          <w:rFonts w:hint="eastAsia" w:ascii="宋体" w:hAnsi="宋体" w:cs="宋体"/>
          <w:color w:val="auto"/>
          <w:sz w:val="24"/>
          <w:szCs w:val="24"/>
          <w:lang w:val="en-US" w:eastAsia="zh-CN"/>
        </w:rPr>
        <w:t>92</w:t>
      </w:r>
      <w:r>
        <w:rPr>
          <w:rFonts w:hint="eastAsia" w:ascii="宋体" w:hAnsi="宋体" w:eastAsia="宋体" w:cs="宋体"/>
          <w:color w:val="auto"/>
          <w:sz w:val="24"/>
          <w:szCs w:val="24"/>
        </w:rPr>
        <w:t>0,000.00元</w:t>
      </w:r>
    </w:p>
    <w:p w14:paraId="07AC2E4A">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636AB3E2">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“已交楼未进行消防验收”消防技术服务采购项目</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p>
    <w:p w14:paraId="508A9B7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合同包预算金额：1,</w:t>
      </w:r>
      <w:r>
        <w:rPr>
          <w:rFonts w:hint="eastAsia" w:ascii="宋体" w:hAnsi="宋体" w:cs="宋体"/>
          <w:color w:val="auto"/>
          <w:sz w:val="24"/>
          <w:szCs w:val="24"/>
          <w:lang w:val="en-US" w:eastAsia="zh-CN"/>
        </w:rPr>
        <w:t>92</w:t>
      </w:r>
      <w:r>
        <w:rPr>
          <w:rFonts w:hint="eastAsia" w:ascii="宋体" w:hAnsi="宋体" w:eastAsia="宋体" w:cs="宋体"/>
          <w:color w:val="auto"/>
          <w:sz w:val="24"/>
          <w:szCs w:val="24"/>
        </w:rPr>
        <w:t>0,000.00元</w:t>
      </w:r>
    </w:p>
    <w:p w14:paraId="3A83F922">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合同包最高限价：1,</w:t>
      </w:r>
      <w:r>
        <w:rPr>
          <w:rFonts w:hint="eastAsia" w:ascii="宋体" w:hAnsi="宋体" w:cs="宋体"/>
          <w:color w:val="auto"/>
          <w:sz w:val="24"/>
          <w:szCs w:val="24"/>
          <w:lang w:val="en-US" w:eastAsia="zh-CN"/>
        </w:rPr>
        <w:t>92</w:t>
      </w:r>
      <w:r>
        <w:rPr>
          <w:rFonts w:hint="eastAsia" w:ascii="宋体" w:hAnsi="宋体" w:eastAsia="宋体" w:cs="宋体"/>
          <w:color w:val="auto"/>
          <w:sz w:val="24"/>
          <w:szCs w:val="24"/>
        </w:rPr>
        <w:t>0,000.00元</w:t>
      </w:r>
    </w:p>
    <w:tbl>
      <w:tblPr>
        <w:tblStyle w:val="32"/>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2"/>
        <w:gridCol w:w="1047"/>
        <w:gridCol w:w="2205"/>
        <w:gridCol w:w="1155"/>
        <w:gridCol w:w="1228"/>
        <w:gridCol w:w="1500"/>
        <w:gridCol w:w="1500"/>
      </w:tblGrid>
      <w:tr w14:paraId="07461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3" w:hRule="atLeast"/>
          <w:tblHeader/>
        </w:trPr>
        <w:tc>
          <w:tcPr>
            <w:tcW w:w="6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E3B5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0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1A9B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品目</w:t>
            </w:r>
          </w:p>
          <w:p w14:paraId="2C2103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名称</w:t>
            </w:r>
          </w:p>
        </w:tc>
        <w:tc>
          <w:tcPr>
            <w:tcW w:w="22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997F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976C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14:paraId="04EA75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2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D6F5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5581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16C2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087B3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0" w:hRule="atLeast"/>
        </w:trPr>
        <w:tc>
          <w:tcPr>
            <w:tcW w:w="6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0ECA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0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E3EF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lang w:val="en-US" w:eastAsia="zh-CN" w:bidi="ar"/>
              </w:rPr>
              <w:t>其他专业技术服务</w:t>
            </w:r>
          </w:p>
        </w:tc>
        <w:tc>
          <w:tcPr>
            <w:tcW w:w="22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1363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Fonts w:hint="eastAsia" w:ascii="宋体" w:hAnsi="宋体" w:eastAsia="宋体" w:cs="宋体"/>
                <w:kern w:val="0"/>
                <w:sz w:val="21"/>
                <w:szCs w:val="21"/>
                <w:lang w:val="en-US" w:eastAsia="zh-CN" w:bidi="ar"/>
              </w:rPr>
              <w:t>“已交楼未进行消防验收”消防技术服务采购项目</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207F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2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8713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详见</w:t>
            </w:r>
          </w:p>
          <w:p w14:paraId="440BC3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lang w:val="en-US" w:eastAsia="zh-CN" w:bidi="ar"/>
              </w:rPr>
              <w:t>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DEC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1"/>
                <w:szCs w:val="21"/>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92</w:t>
            </w:r>
            <w:r>
              <w:rPr>
                <w:rFonts w:ascii="宋体" w:hAnsi="宋体" w:eastAsia="宋体" w:cs="宋体"/>
                <w:kern w:val="0"/>
                <w:sz w:val="21"/>
                <w:szCs w:val="21"/>
                <w:lang w:val="en-US" w:eastAsia="zh-CN" w:bidi="ar"/>
              </w:rPr>
              <w:t>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040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1"/>
                <w:szCs w:val="21"/>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92</w:t>
            </w:r>
            <w:r>
              <w:rPr>
                <w:rFonts w:ascii="宋体" w:hAnsi="宋体" w:eastAsia="宋体" w:cs="宋体"/>
                <w:kern w:val="0"/>
                <w:sz w:val="21"/>
                <w:szCs w:val="21"/>
                <w:lang w:val="en-US" w:eastAsia="zh-CN" w:bidi="ar"/>
              </w:rPr>
              <w:t>0,000.00</w:t>
            </w:r>
          </w:p>
        </w:tc>
      </w:tr>
    </w:tbl>
    <w:p w14:paraId="7EC0C724">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4058573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合同履行期限：具体服务起止日期以合同签订时间为准</w:t>
      </w:r>
    </w:p>
    <w:p w14:paraId="57B86912">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14:paraId="74742CF7">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cs="宋体"/>
          <w:color w:val="auto"/>
          <w:sz w:val="24"/>
          <w:szCs w:val="24"/>
          <w:lang w:eastAsia="zh-CN"/>
        </w:rPr>
        <w:t>；</w:t>
      </w:r>
    </w:p>
    <w:p w14:paraId="2A98D217">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53F6F1A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“已交楼未进行消防验收”消防技术服务采购项目</w:t>
      </w:r>
      <w:r>
        <w:rPr>
          <w:rFonts w:hint="eastAsia" w:ascii="宋体" w:hAnsi="宋体" w:eastAsia="宋体" w:cs="宋体"/>
          <w:color w:val="auto"/>
          <w:sz w:val="24"/>
          <w:szCs w:val="24"/>
        </w:rPr>
        <w:t>)落实政府采购政策需满足的资格要求如下</w:t>
      </w:r>
      <w:r>
        <w:rPr>
          <w:rFonts w:hint="eastAsia" w:ascii="宋体" w:hAnsi="宋体" w:cs="宋体"/>
          <w:color w:val="auto"/>
          <w:sz w:val="24"/>
          <w:szCs w:val="24"/>
          <w:lang w:eastAsia="zh-CN"/>
        </w:rPr>
        <w:t>：</w:t>
      </w:r>
      <w:r>
        <w:rPr>
          <w:rFonts w:hint="eastAsia" w:ascii="宋体" w:hAnsi="宋体" w:eastAsia="宋体" w:cs="宋体"/>
          <w:color w:val="auto"/>
          <w:sz w:val="24"/>
          <w:szCs w:val="24"/>
        </w:rPr>
        <w:t>详见竞争性磋商文件。</w:t>
      </w:r>
    </w:p>
    <w:p w14:paraId="72F23373">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（1）</w:t>
      </w:r>
      <w:r>
        <w:rPr>
          <w:rFonts w:hint="eastAsia" w:ascii="宋体" w:hAnsi="宋体" w:eastAsia="宋体" w:cs="宋体"/>
          <w:color w:val="auto"/>
          <w:sz w:val="24"/>
          <w:szCs w:val="24"/>
        </w:rPr>
        <w:t>《节能产品政府采购实施意见》（财库〔2004〕185号）；</w:t>
      </w:r>
    </w:p>
    <w:p w14:paraId="2A738621">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（2）《国务院办公厅关于建立政府强制采购节能产品制度的通知》（国办发〔2007〕51号）；</w:t>
      </w:r>
    </w:p>
    <w:p w14:paraId="6D1D3339">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（3）《财政部司法部关于政府采购支持监狱企业发展有关问题的通知》（财库〔2014〕68号）；</w:t>
      </w:r>
    </w:p>
    <w:p w14:paraId="2BB1FC88">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（4）三部门联合发布《关于促进残疾人就业政府采购政策的通知》（财库〔2017〕141号）；</w:t>
      </w:r>
    </w:p>
    <w:p w14:paraId="396DCF93">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（5）《财政部发展改革委生态环境部市场监管总局关于调整优化节能产品、环境标志产品政府采购执行机制的通知》（财库〔2019〕9号）；</w:t>
      </w:r>
    </w:p>
    <w:p w14:paraId="7FFE7B37">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（6）《关于促进政府采购公平竞争优化营商环境的通知》（财库〔2019〕38号）；</w:t>
      </w:r>
    </w:p>
    <w:p w14:paraId="09EA0FF9">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（7）《财政部 农业农村部 国家乡村振兴局关于运用政府采购政策支持乡村产业振兴的通知》（财库〔2021〕19号）；</w:t>
      </w:r>
    </w:p>
    <w:p w14:paraId="00B398B1">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（8）陕西省财政厅《关于进一步加强政府绿色采购有关问题的通知》（陕财办采〔2021〕29号）；</w:t>
      </w:r>
    </w:p>
    <w:p w14:paraId="1F22EE62">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（9）陕西省财政厅关于印发《陕西省中小企业政府采购信用融资办法》（陕财办采〔2018〕23号）；</w:t>
      </w:r>
    </w:p>
    <w:p w14:paraId="0979E8B0">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（10）《陕西省财政厅关于加快推进我省中小企业政府采购信用融资工作的通知》（陕财办采〔2020〕15号）；</w:t>
      </w:r>
    </w:p>
    <w:p w14:paraId="266BEA79">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（11）《政府采购促进中小企业发展管理办法》（财库〔2020〕46号）；</w:t>
      </w:r>
    </w:p>
    <w:p w14:paraId="3D2AAF04">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（12）《关于进一步加大政府采购支持中小企业力度的通知》（财库〔2022〕19号）；</w:t>
      </w:r>
    </w:p>
    <w:p w14:paraId="64838C46">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（13）《陕西省财政厅关于进一步落实政府采购支持中小企业相关政策的通知》（陕财办采〔2023〕3号）；</w:t>
      </w:r>
    </w:p>
    <w:p w14:paraId="5AB9DB07">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（14）《陕西省财政厅关于进一步优化政府采购营商环境有关事项的通知》（陕财办采〔2023〕4号）。</w:t>
      </w:r>
    </w:p>
    <w:p w14:paraId="5CFA09AB">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07811D6A">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“已交楼未进行消防验收”消防技术服务采购项目</w:t>
      </w:r>
      <w:r>
        <w:rPr>
          <w:rFonts w:hint="eastAsia" w:ascii="宋体" w:hAnsi="宋体" w:eastAsia="宋体" w:cs="宋体"/>
          <w:color w:val="auto"/>
          <w:sz w:val="24"/>
          <w:szCs w:val="24"/>
        </w:rPr>
        <w:t>)特定资格要求如下</w:t>
      </w:r>
      <w:r>
        <w:rPr>
          <w:rFonts w:hint="eastAsia" w:ascii="宋体" w:hAnsi="宋体" w:cs="宋体"/>
          <w:color w:val="auto"/>
          <w:sz w:val="24"/>
          <w:szCs w:val="24"/>
          <w:lang w:eastAsia="zh-CN"/>
        </w:rPr>
        <w:t>：</w:t>
      </w:r>
    </w:p>
    <w:p w14:paraId="5C727089">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（1）</w:t>
      </w:r>
      <w:r>
        <w:rPr>
          <w:rFonts w:hint="eastAsia" w:ascii="宋体" w:hAnsi="宋体" w:eastAsia="宋体" w:cs="宋体"/>
          <w:color w:val="auto"/>
          <w:sz w:val="24"/>
          <w:szCs w:val="24"/>
        </w:rPr>
        <w:t>具有独立承担民事责任能力的法人、其他组织或自然人，提供合法有效年报合格的统一社会信用代码营业执照或事业单位法人证书等国家规定的相关证明，自然人参与的提供其身份证明；</w:t>
      </w:r>
    </w:p>
    <w:p w14:paraId="0A787984">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提供法定代表人授权委托书原件（附法定代表人、被授权人身份证复印件）及被授权人身份证原件（法定代表人参会只须提供其身份证原件）</w:t>
      </w:r>
      <w:r>
        <w:rPr>
          <w:rFonts w:hint="eastAsia" w:ascii="宋体" w:hAnsi="宋体" w:eastAsia="宋体" w:cs="宋体"/>
          <w:color w:val="auto"/>
          <w:sz w:val="24"/>
          <w:szCs w:val="24"/>
          <w:highlight w:val="none"/>
        </w:rPr>
        <w:t>；</w:t>
      </w:r>
    </w:p>
    <w:p w14:paraId="3F65D551">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供 应 商 信 息 须 在 “ 社 会 消 防 技 术 服 务 信 息 系 统 </w:t>
      </w:r>
    </w:p>
    <w:p w14:paraId="3E3BDD38">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（https://shhxf.119.gov.cn/templet/index_7.jsp）”中可查询，且服务类型须包含“消防设施维护保养检测”（截图并加盖单位公章）；</w:t>
      </w:r>
    </w:p>
    <w:p w14:paraId="6018DF7D">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须提供2023年至今任意一年经审计的财务报告（成立时间至提交磋商响应文件截止时间不足一年的可提供成立后任意时段的财务报表</w:t>
      </w:r>
      <w:r>
        <w:rPr>
          <w:rFonts w:hint="eastAsia" w:ascii="宋体" w:hAnsi="宋体" w:eastAsia="宋体" w:cs="宋体"/>
          <w:color w:val="auto"/>
          <w:sz w:val="24"/>
          <w:szCs w:val="24"/>
          <w:lang w:val="en-US" w:eastAsia="zh-CN"/>
        </w:rPr>
        <w:t>）；</w:t>
      </w:r>
    </w:p>
    <w:p w14:paraId="1079E401">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）须提供依法缴纳税收的良好记录（提供递交磋商响应文件截止时间前六个月内任意一个月份的缴纳凭据复印件并加盖单位公章。依法免税或开标前一年内零申报的供应商应提供相关证明文件）；</w:t>
      </w:r>
    </w:p>
    <w:p w14:paraId="01747D96">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须提供依法缴纳社会保障资金的良好记录（提供磋商响应文件递交截止时间前六个月内任意一个月份的缴纳凭据复印件并加盖单位公章。依法不需要缴纳社会保障资金的供应商应提供相关证明文件）</w:t>
      </w:r>
      <w:r>
        <w:rPr>
          <w:rFonts w:hint="eastAsia" w:ascii="宋体" w:hAnsi="宋体" w:eastAsia="宋体" w:cs="宋体"/>
          <w:color w:val="auto"/>
          <w:sz w:val="24"/>
          <w:szCs w:val="24"/>
        </w:rPr>
        <w:t>；</w:t>
      </w:r>
    </w:p>
    <w:p w14:paraId="390BD0FF">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投标截止日前不得为“信用中国”网站（www.creditchina.gov.cn）中列入失信被执行人、重大税收违法失信主体和政府采购严重违法失信行为记录名单的供应商；不得为“中国政府采购网”（www.ccgp.gov.cn）政府采购严重违法失信行为信息记录名单中被财政部门禁止参加政府采购活动的供应商。（最终以采购代理机构评审现场查询结果为准）</w:t>
      </w:r>
      <w:r>
        <w:rPr>
          <w:rFonts w:hint="eastAsia" w:ascii="宋体" w:hAnsi="宋体" w:eastAsia="宋体" w:cs="宋体"/>
          <w:color w:val="auto"/>
          <w:sz w:val="24"/>
          <w:szCs w:val="24"/>
        </w:rPr>
        <w:t>；</w:t>
      </w:r>
    </w:p>
    <w:p w14:paraId="3879F88E">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）提供近三年内在经营活动中无重大违法记录的书面声明；</w:t>
      </w:r>
    </w:p>
    <w:p w14:paraId="58259804">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磋商保证金</w:t>
      </w:r>
      <w:r>
        <w:rPr>
          <w:rFonts w:hint="eastAsia" w:ascii="宋体" w:hAnsi="宋体" w:eastAsia="宋体" w:cs="宋体"/>
          <w:color w:val="auto"/>
          <w:sz w:val="24"/>
          <w:szCs w:val="24"/>
          <w:highlight w:val="none"/>
        </w:rPr>
        <w:t>银行转账凭证</w:t>
      </w:r>
      <w:r>
        <w:rPr>
          <w:rFonts w:hint="eastAsia" w:ascii="宋体" w:hAnsi="宋体" w:eastAsia="宋体" w:cs="宋体"/>
          <w:b w:val="0"/>
          <w:bCs w:val="0"/>
          <w:sz w:val="24"/>
          <w:szCs w:val="24"/>
          <w:highlight w:val="none"/>
          <w:lang w:val="en-US" w:eastAsia="zh-CN" w:bidi="ar-SA"/>
        </w:rPr>
        <w:t>及基本存款账户信息</w:t>
      </w:r>
      <w:r>
        <w:rPr>
          <w:rFonts w:hint="eastAsia" w:ascii="宋体" w:hAnsi="宋体" w:eastAsia="宋体" w:cs="宋体"/>
          <w:color w:val="auto"/>
          <w:sz w:val="24"/>
          <w:szCs w:val="24"/>
          <w:highlight w:val="none"/>
        </w:rPr>
        <w:t>复印件或</w:t>
      </w:r>
      <w:r>
        <w:rPr>
          <w:rFonts w:hint="eastAsia" w:ascii="宋体" w:hAnsi="宋体" w:eastAsia="宋体" w:cs="宋体"/>
          <w:color w:val="auto"/>
          <w:sz w:val="24"/>
          <w:szCs w:val="24"/>
          <w:highlight w:val="none"/>
          <w:lang w:val="en-US" w:eastAsia="zh-CN"/>
        </w:rPr>
        <w:t>金融机构、担保机构</w:t>
      </w:r>
      <w:r>
        <w:rPr>
          <w:rFonts w:hint="eastAsia" w:ascii="宋体" w:hAnsi="宋体" w:eastAsia="宋体" w:cs="宋体"/>
          <w:color w:val="auto"/>
          <w:sz w:val="24"/>
          <w:szCs w:val="24"/>
          <w:highlight w:val="none"/>
        </w:rPr>
        <w:t>出具的保函</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lang w:val="en-US" w:eastAsia="zh-CN"/>
        </w:rPr>
        <w:t>复印件均须加盖公章</w:t>
      </w:r>
      <w:r>
        <w:rPr>
          <w:rFonts w:hint="eastAsia" w:ascii="宋体" w:hAnsi="宋体" w:eastAsia="宋体" w:cs="宋体"/>
          <w:color w:val="auto"/>
          <w:sz w:val="24"/>
          <w:szCs w:val="24"/>
        </w:rPr>
        <w:t>；</w:t>
      </w:r>
    </w:p>
    <w:p w14:paraId="726F6257">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）提供单位负责人为同一人或者存在直接控股、管理关系的不同供应商，不得参加同一合同项下的政府采购活动的书面声明；</w:t>
      </w:r>
    </w:p>
    <w:p w14:paraId="3DC87015">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）提供具有履行本合同所必需的设备和专业技术能力的说明及承诺；</w:t>
      </w:r>
    </w:p>
    <w:p w14:paraId="0675BC6D">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）本项目专门面向中小企业采购，供应商须提供《中小企业声明函》。</w:t>
      </w:r>
    </w:p>
    <w:p w14:paraId="0853E127">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注</w:t>
      </w:r>
      <w:r>
        <w:rPr>
          <w:rFonts w:hint="eastAsia" w:ascii="宋体" w:hAnsi="宋体" w:eastAsia="宋体" w:cs="宋体"/>
          <w:color w:val="auto"/>
          <w:sz w:val="24"/>
          <w:szCs w:val="24"/>
          <w:highlight w:val="none"/>
        </w:rPr>
        <w:t>：对于可通过互联网或相关信息系统查询的信息，可不提供纸质材料。</w:t>
      </w:r>
    </w:p>
    <w:p w14:paraId="0B25B6D2">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p>
    <w:p w14:paraId="7A03A2A8">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日至2025年0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日，每天上午08:30:00至11:30:00，下午14:30:00至17:30:00（北京时间）</w:t>
      </w:r>
    </w:p>
    <w:p w14:paraId="5788A0DA">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途径：华春众创工场（富平）（详细地址：富平县富兴路中段西侧紫御台B区商务楼四层）</w:t>
      </w:r>
    </w:p>
    <w:p w14:paraId="7197661F">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方式：现场获取</w:t>
      </w:r>
    </w:p>
    <w:p w14:paraId="01F9A8A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49B1BBDC">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四、响应文件提交</w:t>
      </w:r>
    </w:p>
    <w:p w14:paraId="61EE5F5D">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截止时间：2025年0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日14时30分00秒（北京时间）</w:t>
      </w:r>
    </w:p>
    <w:p w14:paraId="5991B68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地点：华春众创工场（富平）（详细地址：富平县富兴路中段西侧紫</w:t>
      </w:r>
      <w:r>
        <w:rPr>
          <w:rFonts w:hint="eastAsia" w:ascii="宋体" w:hAnsi="宋体" w:eastAsia="宋体" w:cs="宋体"/>
          <w:color w:val="auto"/>
          <w:sz w:val="24"/>
          <w:szCs w:val="24"/>
        </w:rPr>
        <w:t>御台B区商务楼四层）</w:t>
      </w:r>
      <w:r>
        <w:rPr>
          <w:rFonts w:hint="eastAsia" w:ascii="宋体" w:hAnsi="宋体" w:cs="宋体"/>
          <w:color w:val="auto"/>
          <w:sz w:val="24"/>
          <w:szCs w:val="24"/>
          <w:lang w:val="en-US" w:eastAsia="zh-CN"/>
        </w:rPr>
        <w:t>四楼</w:t>
      </w:r>
      <w:r>
        <w:rPr>
          <w:rFonts w:hint="eastAsia" w:ascii="宋体" w:hAnsi="宋体" w:eastAsia="宋体" w:cs="宋体"/>
          <w:color w:val="auto"/>
          <w:sz w:val="24"/>
          <w:szCs w:val="24"/>
        </w:rPr>
        <w:t>会议室</w:t>
      </w:r>
    </w:p>
    <w:p w14:paraId="15C95B19">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五、开启</w:t>
      </w:r>
    </w:p>
    <w:p w14:paraId="6C5CA3BE">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时间：2025年0</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月2</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日14时30分00秒（北京时间）</w:t>
      </w:r>
    </w:p>
    <w:p w14:paraId="227C4A51">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地点：华春众创工场（富平）（详细地址：富平县富兴路中段西侧紫御台B区商务楼四层）</w:t>
      </w:r>
      <w:r>
        <w:rPr>
          <w:rFonts w:hint="eastAsia" w:ascii="宋体" w:hAnsi="宋体" w:cs="宋体"/>
          <w:color w:val="auto"/>
          <w:sz w:val="24"/>
          <w:szCs w:val="24"/>
          <w:lang w:val="en-US" w:eastAsia="zh-CN"/>
        </w:rPr>
        <w:t>四楼</w:t>
      </w:r>
      <w:r>
        <w:rPr>
          <w:rFonts w:hint="eastAsia" w:ascii="宋体" w:hAnsi="宋体" w:eastAsia="宋体" w:cs="宋体"/>
          <w:color w:val="auto"/>
          <w:sz w:val="24"/>
          <w:szCs w:val="24"/>
        </w:rPr>
        <w:t>会议室</w:t>
      </w:r>
    </w:p>
    <w:p w14:paraId="529D06C3">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六、公告期限</w:t>
      </w:r>
    </w:p>
    <w:p w14:paraId="7B96F914">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7C8AF366">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七、其他补充事宜</w:t>
      </w:r>
    </w:p>
    <w:p w14:paraId="158C4650">
      <w:pPr>
        <w:spacing w:line="360" w:lineRule="auto"/>
        <w:ind w:firstLine="480" w:firstLineChars="200"/>
        <w:rPr>
          <w:rFonts w:hint="eastAsia"/>
          <w:sz w:val="24"/>
          <w:szCs w:val="24"/>
        </w:rPr>
      </w:pPr>
      <w:r>
        <w:rPr>
          <w:rFonts w:hint="eastAsia"/>
          <w:sz w:val="24"/>
          <w:szCs w:val="24"/>
        </w:rPr>
        <w:t>1、获取磋商文件方式：携带单位介绍信、经办人身份证原件及加盖公章的复印件到获取地点获取，获取时间为工作日。</w:t>
      </w:r>
    </w:p>
    <w:p w14:paraId="5AC66481">
      <w:pPr>
        <w:spacing w:line="360" w:lineRule="auto"/>
        <w:ind w:firstLine="480" w:firstLineChars="200"/>
        <w:rPr>
          <w:rFonts w:hint="eastAsia"/>
          <w:sz w:val="24"/>
          <w:szCs w:val="24"/>
        </w:rPr>
      </w:pPr>
      <w:r>
        <w:rPr>
          <w:rFonts w:hint="eastAsia"/>
          <w:sz w:val="24"/>
          <w:szCs w:val="24"/>
        </w:rPr>
        <w:t>2、请供应商按照《陕西省财政厅关于政府采购供应商注册登记有关事项的通知》中的要求，通过“陕西省政府采购网</w:t>
      </w:r>
      <w:r>
        <w:rPr>
          <w:rFonts w:hint="eastAsia" w:ascii="宋体" w:hAnsi="宋体" w:eastAsia="宋体" w:cs="宋体"/>
          <w:sz w:val="24"/>
          <w:szCs w:val="24"/>
        </w:rPr>
        <w:t>”（http://www.ccgp-shaanxi.gov.cn/</w:t>
      </w:r>
      <w:r>
        <w:rPr>
          <w:rFonts w:hint="eastAsia"/>
          <w:sz w:val="24"/>
          <w:szCs w:val="24"/>
        </w:rPr>
        <w:t>）注册登记加入陕西省政府采购供应商库。</w:t>
      </w:r>
    </w:p>
    <w:p w14:paraId="03E38628">
      <w:pPr>
        <w:spacing w:line="360" w:lineRule="auto"/>
        <w:ind w:firstLine="480" w:firstLineChars="200"/>
        <w:rPr>
          <w:rFonts w:hint="eastAsia"/>
          <w:sz w:val="24"/>
          <w:szCs w:val="24"/>
        </w:rPr>
      </w:pPr>
      <w:r>
        <w:rPr>
          <w:rFonts w:hint="eastAsia"/>
          <w:sz w:val="24"/>
          <w:szCs w:val="24"/>
        </w:rPr>
        <w:t>3、本项目响应文件提交截止时间、开启时间和地点如有变更另行公告。</w:t>
      </w:r>
    </w:p>
    <w:p w14:paraId="131C7411">
      <w:pPr>
        <w:pStyle w:val="137"/>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color w:val="auto"/>
          <w:sz w:val="24"/>
          <w:szCs w:val="24"/>
        </w:rPr>
      </w:pPr>
      <w:r>
        <w:rPr>
          <w:rFonts w:hint="eastAsia" w:ascii="宋体" w:hAnsi="宋体" w:eastAsia="宋体" w:cs="宋体"/>
          <w:b/>
          <w:color w:val="auto"/>
          <w:sz w:val="24"/>
          <w:szCs w:val="24"/>
        </w:rPr>
        <w:t>八、对本次招标提出询问，请按以下方式联系。</w:t>
      </w:r>
    </w:p>
    <w:p w14:paraId="1EEE699C">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74108F75">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富平县教育体育局（本级）</w:t>
      </w:r>
    </w:p>
    <w:p w14:paraId="398B0BD5">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地址：富平县莲湖大街</w:t>
      </w:r>
    </w:p>
    <w:p w14:paraId="1043C0DC">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0913-8212649</w:t>
      </w:r>
    </w:p>
    <w:p w14:paraId="46FF9194">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30208E26">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名称：华春建设工程项目管理有限责任公司</w:t>
      </w:r>
    </w:p>
    <w:p w14:paraId="1A0152D5">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地址：陕西省西安市碑林区南二环西段21号华融国际商务大厦B-1701</w:t>
      </w:r>
    </w:p>
    <w:p w14:paraId="3407609C">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联系方式：0913-8219328</w:t>
      </w:r>
    </w:p>
    <w:p w14:paraId="09B29CE8">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984361A">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项目联系人：郭工</w:t>
      </w:r>
    </w:p>
    <w:p w14:paraId="430CF31B">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Style w:val="35"/>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rPr>
        <w:t>电话：0913-8219328</w:t>
      </w:r>
    </w:p>
    <w:p w14:paraId="1B35C162">
      <w:pPr>
        <w:pStyle w:val="137"/>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Style w:val="35"/>
          <w:rFonts w:hint="eastAsia" w:ascii="宋体" w:hAnsi="宋体" w:eastAsia="宋体" w:cs="宋体"/>
          <w:b w:val="0"/>
          <w:bCs/>
          <w:color w:val="auto"/>
          <w:kern w:val="0"/>
          <w:sz w:val="24"/>
          <w:szCs w:val="24"/>
          <w:highlight w:val="yellow"/>
          <w:lang w:val="en-US" w:eastAsia="zh-CN" w:bidi="ar-SA"/>
        </w:rPr>
      </w:pPr>
    </w:p>
    <w:p w14:paraId="7D16697E">
      <w:pPr>
        <w:pStyle w:val="1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p>
    <w:p w14:paraId="47FB22E8">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highlight w:val="yellow"/>
          <w:shd w:val="clear" w:fill="FFFFFF"/>
          <w:lang w:val="en-US" w:eastAsia="zh-CN" w:bidi="ar-SA"/>
        </w:rPr>
      </w:pPr>
    </w:p>
    <w:p w14:paraId="4A984DD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contextualSpacing/>
        <w:jc w:val="left"/>
        <w:textAlignment w:val="auto"/>
        <w:outlineLvl w:val="9"/>
        <w:rPr>
          <w:rFonts w:hint="eastAsia"/>
          <w:color w:val="auto"/>
          <w:lang w:eastAsia="zh-CN"/>
        </w:rPr>
      </w:pPr>
      <w:r>
        <w:rPr>
          <w:rFonts w:hint="eastAsia"/>
          <w:color w:val="auto"/>
          <w:lang w:eastAsia="zh-CN"/>
        </w:rPr>
        <w:br w:type="page"/>
      </w:r>
    </w:p>
    <w:p w14:paraId="0DC60F82">
      <w:pPr>
        <w:pStyle w:val="2"/>
        <w:numPr>
          <w:ilvl w:val="0"/>
          <w:numId w:val="1"/>
        </w:numPr>
        <w:topLinePunct w:val="0"/>
        <w:bidi w:val="0"/>
        <w:spacing w:line="360" w:lineRule="auto"/>
        <w:outlineLvl w:val="0"/>
        <w:rPr>
          <w:rFonts w:hint="eastAsia" w:ascii="宋体" w:hAnsi="宋体" w:cs="宋体"/>
          <w:color w:val="auto"/>
          <w:highlight w:val="none"/>
        </w:rPr>
      </w:pPr>
      <w:bookmarkStart w:id="12" w:name="_Toc1918"/>
      <w:bookmarkStart w:id="13" w:name="_Toc13065118"/>
      <w:bookmarkStart w:id="14" w:name="_Toc13896"/>
      <w:bookmarkStart w:id="15" w:name="_Toc13027"/>
      <w:r>
        <w:rPr>
          <w:rFonts w:hint="eastAsia" w:ascii="宋体" w:hAnsi="宋体" w:cs="宋体"/>
          <w:color w:val="auto"/>
          <w:highlight w:val="none"/>
        </w:rPr>
        <w:t>供应商须知前附表</w:t>
      </w:r>
      <w:bookmarkEnd w:id="8"/>
      <w:bookmarkEnd w:id="9"/>
      <w:bookmarkEnd w:id="10"/>
      <w:bookmarkEnd w:id="11"/>
      <w:bookmarkEnd w:id="12"/>
      <w:bookmarkEnd w:id="13"/>
      <w:bookmarkEnd w:id="14"/>
      <w:r>
        <w:rPr>
          <w:rFonts w:hint="eastAsia" w:ascii="宋体" w:hAnsi="宋体" w:cs="宋体"/>
          <w:color w:val="auto"/>
          <w:highlight w:val="none"/>
          <w:lang w:val="en-US" w:eastAsia="zh-CN"/>
        </w:rPr>
        <w:t>及磋商须知</w:t>
      </w:r>
      <w:bookmarkEnd w:id="15"/>
    </w:p>
    <w:p w14:paraId="736FFC53">
      <w:pPr>
        <w:jc w:val="center"/>
        <w:rPr>
          <w:color w:val="auto"/>
          <w:highlight w:val="none"/>
        </w:rPr>
      </w:pPr>
      <w:r>
        <w:rPr>
          <w:rFonts w:hint="eastAsia" w:ascii="宋体" w:hAnsi="宋体"/>
          <w:b/>
          <w:color w:val="auto"/>
          <w:sz w:val="28"/>
          <w:szCs w:val="28"/>
          <w:highlight w:val="none"/>
        </w:rPr>
        <w:t>一、</w:t>
      </w:r>
      <w:r>
        <w:rPr>
          <w:rFonts w:hint="eastAsia" w:ascii="宋体" w:hAnsi="宋体"/>
          <w:b/>
          <w:color w:val="auto"/>
          <w:sz w:val="28"/>
          <w:szCs w:val="28"/>
          <w:highlight w:val="none"/>
          <w:lang w:val="en-US" w:eastAsia="zh-CN"/>
        </w:rPr>
        <w:t>供应商</w:t>
      </w:r>
      <w:r>
        <w:rPr>
          <w:rFonts w:hint="eastAsia" w:ascii="宋体" w:hAnsi="宋体"/>
          <w:b/>
          <w:color w:val="auto"/>
          <w:sz w:val="28"/>
          <w:szCs w:val="28"/>
          <w:highlight w:val="none"/>
        </w:rPr>
        <w:t>须知前附表</w:t>
      </w:r>
    </w:p>
    <w:tbl>
      <w:tblPr>
        <w:tblStyle w:val="32"/>
        <w:tblpPr w:leftFromText="180" w:rightFromText="180" w:vertAnchor="text" w:horzAnchor="page" w:tblpX="1582" w:tblpY="309"/>
        <w:tblOverlap w:val="never"/>
        <w:tblW w:w="95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8"/>
        <w:gridCol w:w="1744"/>
        <w:gridCol w:w="7183"/>
      </w:tblGrid>
      <w:tr w14:paraId="1E4E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rPr>
        <w:tc>
          <w:tcPr>
            <w:tcW w:w="598" w:type="dxa"/>
          </w:tcPr>
          <w:p w14:paraId="49505D0B">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44" w:type="dxa"/>
            <w:vAlign w:val="center"/>
          </w:tcPr>
          <w:p w14:paraId="495BD643">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w:t>
            </w:r>
          </w:p>
        </w:tc>
        <w:tc>
          <w:tcPr>
            <w:tcW w:w="7183" w:type="dxa"/>
          </w:tcPr>
          <w:p w14:paraId="2F1DB487">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DF4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76" w:hRule="atLeast"/>
        </w:trPr>
        <w:tc>
          <w:tcPr>
            <w:tcW w:w="598" w:type="dxa"/>
          </w:tcPr>
          <w:p w14:paraId="237EB6EC">
            <w:pPr>
              <w:topLinePunct w:val="0"/>
              <w:bidi w:val="0"/>
              <w:spacing w:beforeLines="50" w:line="360" w:lineRule="auto"/>
              <w:jc w:val="center"/>
              <w:rPr>
                <w:rFonts w:hint="eastAsia" w:ascii="宋体" w:hAnsi="宋体" w:cs="宋体"/>
                <w:b w:val="0"/>
                <w:bCs/>
                <w:color w:val="auto"/>
                <w:sz w:val="24"/>
                <w:szCs w:val="24"/>
                <w:highlight w:val="none"/>
                <w:lang w:val="en-US" w:eastAsia="zh-CN"/>
              </w:rPr>
            </w:pPr>
          </w:p>
          <w:p w14:paraId="3C140E8F">
            <w:pPr>
              <w:topLinePunct w:val="0"/>
              <w:bidi w:val="0"/>
              <w:spacing w:beforeLines="50"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1744" w:type="dxa"/>
            <w:vAlign w:val="center"/>
          </w:tcPr>
          <w:p w14:paraId="6F2C3D05">
            <w:pPr>
              <w:widowControl/>
              <w:wordWrap w:val="0"/>
              <w:topLinePunct w:val="0"/>
              <w:bidi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183" w:type="dxa"/>
            <w:vAlign w:val="center"/>
          </w:tcPr>
          <w:p w14:paraId="6B1F681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名称：</w:t>
            </w:r>
            <w:r>
              <w:rPr>
                <w:rFonts w:hint="eastAsia" w:cs="宋体"/>
                <w:b w:val="0"/>
                <w:color w:val="auto"/>
                <w:spacing w:val="0"/>
                <w:kern w:val="0"/>
                <w:sz w:val="24"/>
                <w:szCs w:val="24"/>
                <w:highlight w:val="none"/>
                <w:lang w:val="en-US" w:eastAsia="zh-CN" w:bidi="ar"/>
              </w:rPr>
              <w:t>富平县教育体育局</w:t>
            </w:r>
          </w:p>
          <w:p w14:paraId="799B634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eastAsia="zh-CN"/>
              </w:rPr>
              <w:t>地址：</w:t>
            </w:r>
            <w:r>
              <w:rPr>
                <w:rFonts w:hint="eastAsia" w:cs="宋体"/>
                <w:b w:val="0"/>
                <w:color w:val="auto"/>
                <w:spacing w:val="0"/>
                <w:kern w:val="0"/>
                <w:sz w:val="24"/>
                <w:szCs w:val="24"/>
                <w:highlight w:val="none"/>
                <w:lang w:val="en-US" w:eastAsia="zh-CN" w:bidi="ar"/>
              </w:rPr>
              <w:t>富平县莲湖大街</w:t>
            </w:r>
          </w:p>
          <w:p w14:paraId="4CD1F67A">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联系人：</w:t>
            </w:r>
            <w:r>
              <w:rPr>
                <w:rFonts w:hint="eastAsia" w:cs="宋体"/>
                <w:b w:val="0"/>
                <w:color w:val="auto"/>
                <w:spacing w:val="0"/>
                <w:kern w:val="0"/>
                <w:sz w:val="24"/>
                <w:szCs w:val="24"/>
                <w:highlight w:val="none"/>
                <w:lang w:val="en-US" w:eastAsia="zh-CN" w:bidi="ar"/>
              </w:rPr>
              <w:t>张老师</w:t>
            </w:r>
            <w:bookmarkStart w:id="157" w:name="_GoBack"/>
            <w:bookmarkEnd w:id="157"/>
          </w:p>
          <w:p w14:paraId="5BC82815">
            <w:pPr>
              <w:widowControl/>
              <w:wordWrap w:val="0"/>
              <w:topLinePunct w:val="0"/>
              <w:bidi w:val="0"/>
              <w:spacing w:line="360" w:lineRule="auto"/>
              <w:jc w:val="left"/>
              <w:rPr>
                <w:rFonts w:hint="default" w:ascii="宋体" w:hAnsi="宋体" w:cs="宋体"/>
                <w:color w:val="auto"/>
                <w:sz w:val="24"/>
                <w:szCs w:val="24"/>
                <w:highlight w:val="none"/>
                <w:lang w:val="en-US"/>
              </w:rPr>
            </w:pPr>
            <w:r>
              <w:rPr>
                <w:rFonts w:hint="eastAsia" w:ascii="宋体" w:hAnsi="宋体" w:eastAsia="宋体" w:cs="宋体"/>
                <w:bCs/>
                <w:color w:val="auto"/>
                <w:kern w:val="0"/>
                <w:sz w:val="24"/>
                <w:szCs w:val="24"/>
                <w:highlight w:val="none"/>
              </w:rPr>
              <w:t>电话：</w:t>
            </w:r>
            <w:r>
              <w:rPr>
                <w:rFonts w:hint="eastAsia" w:ascii="宋体" w:hAnsi="宋体" w:eastAsia="宋体" w:cs="宋体"/>
                <w:b w:val="0"/>
                <w:color w:val="auto"/>
                <w:spacing w:val="0"/>
                <w:kern w:val="0"/>
                <w:sz w:val="24"/>
                <w:szCs w:val="24"/>
                <w:highlight w:val="none"/>
                <w:lang w:val="en-US" w:eastAsia="zh-CN" w:bidi="ar"/>
              </w:rPr>
              <w:t>0913-8212649</w:t>
            </w:r>
          </w:p>
        </w:tc>
      </w:tr>
      <w:tr w14:paraId="12AA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12" w:hRule="atLeast"/>
        </w:trPr>
        <w:tc>
          <w:tcPr>
            <w:tcW w:w="598" w:type="dxa"/>
            <w:tcBorders>
              <w:top w:val="single" w:color="auto" w:sz="4" w:space="0"/>
            </w:tcBorders>
          </w:tcPr>
          <w:p w14:paraId="6E581D8C">
            <w:pPr>
              <w:topLinePunct w:val="0"/>
              <w:bidi w:val="0"/>
              <w:spacing w:beforeLines="50" w:line="360" w:lineRule="auto"/>
              <w:jc w:val="center"/>
              <w:rPr>
                <w:rFonts w:hint="eastAsia" w:ascii="宋体" w:hAnsi="宋体" w:cs="宋体"/>
                <w:b w:val="0"/>
                <w:bCs/>
                <w:color w:val="auto"/>
                <w:sz w:val="24"/>
                <w:szCs w:val="24"/>
                <w:highlight w:val="none"/>
                <w:lang w:val="en-US" w:eastAsia="zh-CN"/>
              </w:rPr>
            </w:pPr>
          </w:p>
          <w:p w14:paraId="46EBBE8C">
            <w:pPr>
              <w:topLinePunct w:val="0"/>
              <w:bidi w:val="0"/>
              <w:spacing w:beforeLines="50"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1744" w:type="dxa"/>
            <w:tcBorders>
              <w:top w:val="single" w:color="auto" w:sz="4" w:space="0"/>
            </w:tcBorders>
            <w:vAlign w:val="center"/>
          </w:tcPr>
          <w:p w14:paraId="0EBEECF0">
            <w:pPr>
              <w:topLinePunct w:val="0"/>
              <w:bidi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183" w:type="dxa"/>
            <w:tcBorders>
              <w:top w:val="single" w:color="auto" w:sz="4" w:space="0"/>
            </w:tcBorders>
            <w:vAlign w:val="center"/>
          </w:tcPr>
          <w:p w14:paraId="524FD329">
            <w:pPr>
              <w:pStyle w:val="119"/>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名称：</w:t>
            </w:r>
            <w:r>
              <w:rPr>
                <w:rFonts w:hint="eastAsia" w:ascii="宋体" w:hAnsi="宋体" w:eastAsia="宋体" w:cs="宋体"/>
                <w:b w:val="0"/>
                <w:color w:val="auto"/>
                <w:spacing w:val="0"/>
                <w:kern w:val="0"/>
                <w:sz w:val="24"/>
                <w:szCs w:val="24"/>
                <w:lang w:val="en-US" w:eastAsia="zh-CN" w:bidi="ar"/>
              </w:rPr>
              <w:t>华春建设工程项目管理有限责任公司</w:t>
            </w:r>
          </w:p>
          <w:p w14:paraId="1180AF3D">
            <w:pPr>
              <w:pStyle w:val="119"/>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地址：</w:t>
            </w:r>
            <w:r>
              <w:rPr>
                <w:rFonts w:hint="eastAsia" w:eastAsia="宋体" w:cs="宋体"/>
                <w:b w:val="0"/>
                <w:bCs/>
                <w:color w:val="auto"/>
                <w:spacing w:val="-11"/>
                <w:sz w:val="24"/>
                <w:szCs w:val="24"/>
                <w:highlight w:val="none"/>
                <w:lang w:val="en-US" w:eastAsia="zh-CN"/>
              </w:rPr>
              <w:t>陕西省</w:t>
            </w:r>
            <w:r>
              <w:rPr>
                <w:rFonts w:hint="eastAsia" w:ascii="宋体" w:hAnsi="宋体" w:eastAsia="宋体" w:cs="宋体"/>
                <w:b w:val="0"/>
                <w:bCs/>
                <w:color w:val="auto"/>
                <w:spacing w:val="-11"/>
                <w:sz w:val="24"/>
                <w:szCs w:val="24"/>
                <w:highlight w:val="none"/>
              </w:rPr>
              <w:t>西安市碑林区南二环西段21号华融国际商务大厦B-1701</w:t>
            </w:r>
          </w:p>
          <w:p w14:paraId="56A8A31E">
            <w:pPr>
              <w:pStyle w:val="119"/>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联系人：</w:t>
            </w:r>
            <w:r>
              <w:rPr>
                <w:rFonts w:hint="eastAsia" w:eastAsia="宋体" w:cs="宋体"/>
                <w:b w:val="0"/>
                <w:color w:val="auto"/>
                <w:sz w:val="24"/>
                <w:szCs w:val="24"/>
                <w:highlight w:val="none"/>
                <w:lang w:val="en-US" w:eastAsia="zh-CN"/>
              </w:rPr>
              <w:t>郭</w:t>
            </w:r>
            <w:r>
              <w:rPr>
                <w:rFonts w:hint="eastAsia" w:ascii="宋体" w:hAnsi="宋体" w:eastAsia="宋体" w:cs="宋体"/>
                <w:b w:val="0"/>
                <w:color w:val="auto"/>
                <w:sz w:val="24"/>
                <w:szCs w:val="24"/>
                <w:highlight w:val="none"/>
                <w:lang w:val="en-US" w:eastAsia="zh-CN"/>
              </w:rPr>
              <w:t>工</w:t>
            </w:r>
            <w:r>
              <w:rPr>
                <w:rFonts w:hint="eastAsia" w:ascii="宋体" w:hAnsi="宋体" w:eastAsia="宋体" w:cs="宋体"/>
                <w:b w:val="0"/>
                <w:color w:val="auto"/>
                <w:sz w:val="24"/>
                <w:szCs w:val="24"/>
                <w:highlight w:val="none"/>
              </w:rPr>
              <w:t xml:space="preserve">    </w:t>
            </w:r>
          </w:p>
          <w:p w14:paraId="3ADD98DC">
            <w:pPr>
              <w:topLinePunct w:val="0"/>
              <w:bidi w:val="0"/>
              <w:spacing w:line="360" w:lineRule="auto"/>
              <w:jc w:val="left"/>
              <w:rPr>
                <w:rFonts w:hint="default" w:ascii="宋体" w:hAnsi="宋体" w:cs="宋体"/>
                <w:color w:val="auto"/>
                <w:sz w:val="24"/>
                <w:szCs w:val="24"/>
                <w:highlight w:val="none"/>
                <w:lang w:val="en-US"/>
              </w:rPr>
            </w:pPr>
            <w:r>
              <w:rPr>
                <w:rFonts w:hint="eastAsia" w:ascii="宋体" w:hAnsi="宋体" w:eastAsia="宋体" w:cs="宋体"/>
                <w:b w:val="0"/>
                <w:color w:val="auto"/>
                <w:sz w:val="24"/>
                <w:szCs w:val="24"/>
                <w:highlight w:val="none"/>
              </w:rPr>
              <w:t>电话：</w:t>
            </w:r>
            <w:r>
              <w:rPr>
                <w:rFonts w:hint="eastAsia" w:ascii="宋体" w:hAnsi="宋体" w:eastAsia="宋体" w:cs="宋体"/>
                <w:color w:val="auto"/>
                <w:sz w:val="24"/>
                <w:szCs w:val="24"/>
                <w:lang w:val="en-US" w:eastAsia="zh-CN"/>
              </w:rPr>
              <w:t>0913-8219328</w:t>
            </w:r>
            <w:r>
              <w:rPr>
                <w:rFonts w:hint="eastAsia" w:ascii="宋体" w:hAnsi="宋体" w:cs="宋体"/>
                <w:color w:val="auto"/>
                <w:sz w:val="24"/>
                <w:szCs w:val="24"/>
                <w:lang w:val="en-US" w:eastAsia="zh-CN"/>
              </w:rPr>
              <w:t>/17392128836</w:t>
            </w:r>
          </w:p>
        </w:tc>
      </w:tr>
      <w:tr w14:paraId="2B70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98" w:type="dxa"/>
            <w:tcBorders>
              <w:top w:val="single" w:color="auto" w:sz="4" w:space="0"/>
            </w:tcBorders>
            <w:vAlign w:val="top"/>
          </w:tcPr>
          <w:p w14:paraId="44F379AB">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1744" w:type="dxa"/>
            <w:tcBorders>
              <w:top w:val="single" w:color="auto" w:sz="4" w:space="0"/>
            </w:tcBorders>
            <w:vAlign w:val="center"/>
          </w:tcPr>
          <w:p w14:paraId="4360FAB7">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项目名称</w:t>
            </w:r>
          </w:p>
        </w:tc>
        <w:tc>
          <w:tcPr>
            <w:tcW w:w="7183" w:type="dxa"/>
            <w:tcBorders>
              <w:top w:val="single" w:color="auto" w:sz="4" w:space="0"/>
            </w:tcBorders>
            <w:vAlign w:val="center"/>
          </w:tcPr>
          <w:p w14:paraId="20A239F2">
            <w:pPr>
              <w:topLinePunct w:val="0"/>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“已交楼未进行消防验收”消防技术服务采购项目</w:t>
            </w:r>
          </w:p>
        </w:tc>
      </w:tr>
      <w:tr w14:paraId="279F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7" w:hRule="atLeast"/>
        </w:trPr>
        <w:tc>
          <w:tcPr>
            <w:tcW w:w="598" w:type="dxa"/>
            <w:tcBorders>
              <w:top w:val="single" w:color="auto" w:sz="4" w:space="0"/>
            </w:tcBorders>
            <w:vAlign w:val="top"/>
          </w:tcPr>
          <w:p w14:paraId="28ED54DC">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1744" w:type="dxa"/>
            <w:tcBorders>
              <w:top w:val="single" w:color="auto" w:sz="4" w:space="0"/>
            </w:tcBorders>
            <w:vAlign w:val="center"/>
          </w:tcPr>
          <w:p w14:paraId="5DEC2641">
            <w:pPr>
              <w:topLinePunct w:val="0"/>
              <w:bidi w:val="0"/>
              <w:spacing w:line="36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项目编号</w:t>
            </w:r>
          </w:p>
        </w:tc>
        <w:tc>
          <w:tcPr>
            <w:tcW w:w="7183" w:type="dxa"/>
            <w:tcBorders>
              <w:top w:val="single" w:color="auto" w:sz="4" w:space="0"/>
            </w:tcBorders>
            <w:vAlign w:val="center"/>
          </w:tcPr>
          <w:p w14:paraId="0494B1B1">
            <w:pPr>
              <w:topLinePunct w:val="0"/>
              <w:bidi w:val="0"/>
              <w:spacing w:line="360" w:lineRule="auto"/>
              <w:jc w:val="left"/>
              <w:rPr>
                <w:rFonts w:hint="default" w:ascii="宋体" w:hAnsi="宋体" w:cs="宋体"/>
                <w:b w:val="0"/>
                <w:bCs w:val="0"/>
                <w:color w:val="auto"/>
                <w:sz w:val="24"/>
                <w:szCs w:val="24"/>
                <w:highlight w:val="none"/>
                <w:lang w:val="en-US" w:eastAsia="zh-CN"/>
              </w:rPr>
            </w:pPr>
            <w:r>
              <w:rPr>
                <w:rFonts w:hint="eastAsia" w:ascii="宋体" w:hAnsi="宋体" w:cs="宋体"/>
                <w:b w:val="0"/>
                <w:bCs w:val="0"/>
                <w:i w:val="0"/>
                <w:iCs w:val="0"/>
                <w:caps w:val="0"/>
                <w:color w:val="auto"/>
                <w:spacing w:val="0"/>
                <w:sz w:val="24"/>
                <w:szCs w:val="24"/>
                <w:shd w:val="clear" w:fill="FFFFFF"/>
                <w:lang w:val="en-US" w:eastAsia="zh-CN"/>
              </w:rPr>
              <w:t>HCF2025—CGZB—010</w:t>
            </w:r>
          </w:p>
        </w:tc>
      </w:tr>
      <w:tr w14:paraId="0DE66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trPr>
        <w:tc>
          <w:tcPr>
            <w:tcW w:w="598" w:type="dxa"/>
            <w:tcBorders>
              <w:top w:val="single" w:color="auto" w:sz="4" w:space="0"/>
            </w:tcBorders>
            <w:vAlign w:val="top"/>
          </w:tcPr>
          <w:p w14:paraId="356B4265">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1744" w:type="dxa"/>
            <w:tcBorders>
              <w:top w:val="single" w:color="auto" w:sz="4" w:space="0"/>
            </w:tcBorders>
            <w:vAlign w:val="center"/>
          </w:tcPr>
          <w:p w14:paraId="05686A4C">
            <w:pPr>
              <w:spacing w:line="400" w:lineRule="exact"/>
              <w:jc w:val="center"/>
              <w:rPr>
                <w:rFonts w:hint="eastAsia" w:ascii="宋体" w:hAnsi="宋体" w:cs="宋体"/>
                <w:color w:val="auto"/>
                <w:sz w:val="24"/>
                <w:szCs w:val="24"/>
                <w:highlight w:val="none"/>
              </w:rPr>
            </w:pPr>
            <w:r>
              <w:rPr>
                <w:rFonts w:hint="eastAsia" w:ascii="宋体" w:hAnsi="宋体"/>
                <w:bCs/>
                <w:color w:val="auto"/>
                <w:kern w:val="0"/>
                <w:sz w:val="24"/>
                <w:highlight w:val="none"/>
              </w:rPr>
              <w:t>项目性质</w:t>
            </w:r>
          </w:p>
        </w:tc>
        <w:tc>
          <w:tcPr>
            <w:tcW w:w="7183" w:type="dxa"/>
            <w:tcBorders>
              <w:top w:val="single" w:color="auto" w:sz="4" w:space="0"/>
            </w:tcBorders>
            <w:vAlign w:val="center"/>
          </w:tcPr>
          <w:p w14:paraId="75BA0F7B">
            <w:pPr>
              <w:pStyle w:val="119"/>
              <w:widowControl w:val="0"/>
              <w:spacing w:before="0" w:beforeAutospacing="0" w:after="0" w:afterAutospacing="0" w:line="400" w:lineRule="exact"/>
              <w:jc w:val="both"/>
              <w:rPr>
                <w:rFonts w:hint="eastAsia" w:ascii="宋体" w:hAnsi="宋体" w:cs="宋体"/>
                <w:color w:val="auto"/>
                <w:sz w:val="24"/>
                <w:szCs w:val="24"/>
                <w:highlight w:val="none"/>
              </w:rPr>
            </w:pPr>
            <w:r>
              <w:rPr>
                <w:rFonts w:hint="eastAsia" w:ascii="宋体" w:hAnsi="宋体" w:eastAsia="宋体" w:cs="Times New Roman"/>
                <w:b w:val="0"/>
                <w:bCs/>
                <w:color w:val="auto"/>
                <w:kern w:val="0"/>
                <w:sz w:val="24"/>
                <w:szCs w:val="22"/>
                <w:highlight w:val="none"/>
                <w:lang w:val="en-US" w:eastAsia="zh-CN" w:bidi="ar-SA"/>
              </w:rPr>
              <w:t>服务类</w:t>
            </w:r>
          </w:p>
        </w:tc>
      </w:tr>
      <w:tr w14:paraId="1180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top"/>
          </w:tcPr>
          <w:p w14:paraId="29A9B6F5">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p>
        </w:tc>
        <w:tc>
          <w:tcPr>
            <w:tcW w:w="1744" w:type="dxa"/>
            <w:tcBorders>
              <w:top w:val="single" w:color="auto" w:sz="4" w:space="0"/>
            </w:tcBorders>
            <w:vAlign w:val="center"/>
          </w:tcPr>
          <w:p w14:paraId="2A7F851E">
            <w:pPr>
              <w:pStyle w:val="119"/>
              <w:widowControl w:val="0"/>
              <w:spacing w:before="0" w:beforeAutospacing="0" w:after="0" w:afterAutospacing="0" w:line="400" w:lineRule="exact"/>
              <w:jc w:val="center"/>
              <w:rPr>
                <w:rFonts w:hint="eastAsia" w:ascii="宋体" w:hAnsi="宋体" w:eastAsia="宋体" w:cs="Times New Roman"/>
                <w:b w:val="0"/>
                <w:bCs/>
                <w:color w:val="auto"/>
                <w:kern w:val="0"/>
                <w:sz w:val="24"/>
                <w:szCs w:val="22"/>
                <w:highlight w:val="none"/>
                <w:lang w:val="en-US" w:eastAsia="zh-CN" w:bidi="ar-SA"/>
              </w:rPr>
            </w:pPr>
            <w:r>
              <w:rPr>
                <w:rFonts w:hint="eastAsia" w:ascii="宋体" w:hAnsi="宋体" w:eastAsia="宋体" w:cs="Times New Roman"/>
                <w:b w:val="0"/>
                <w:bCs/>
                <w:color w:val="auto"/>
                <w:kern w:val="0"/>
                <w:sz w:val="24"/>
                <w:szCs w:val="22"/>
                <w:highlight w:val="none"/>
                <w:lang w:val="en-US" w:eastAsia="zh-CN" w:bidi="ar-SA"/>
              </w:rPr>
              <w:t>资金来源</w:t>
            </w:r>
          </w:p>
        </w:tc>
        <w:tc>
          <w:tcPr>
            <w:tcW w:w="7183" w:type="dxa"/>
            <w:tcBorders>
              <w:top w:val="single" w:color="auto" w:sz="4" w:space="0"/>
            </w:tcBorders>
            <w:vAlign w:val="center"/>
          </w:tcPr>
          <w:p w14:paraId="5DE4CBC8">
            <w:pPr>
              <w:pStyle w:val="119"/>
              <w:widowControl w:val="0"/>
              <w:spacing w:before="0" w:beforeAutospacing="0" w:after="0" w:afterAutospacing="0" w:line="400" w:lineRule="exact"/>
              <w:jc w:val="both"/>
              <w:rPr>
                <w:rFonts w:hint="default" w:ascii="宋体" w:hAnsi="宋体" w:eastAsia="宋体" w:cs="Times New Roman"/>
                <w:b w:val="0"/>
                <w:bCs/>
                <w:color w:val="auto"/>
                <w:kern w:val="0"/>
                <w:sz w:val="24"/>
                <w:szCs w:val="22"/>
                <w:highlight w:val="none"/>
                <w:lang w:val="en-US" w:eastAsia="zh-CN" w:bidi="ar-SA"/>
              </w:rPr>
            </w:pPr>
            <w:r>
              <w:rPr>
                <w:rFonts w:hint="eastAsia" w:eastAsia="宋体" w:cs="宋体"/>
                <w:b w:val="0"/>
                <w:color w:val="auto"/>
                <w:sz w:val="24"/>
                <w:szCs w:val="24"/>
                <w:highlight w:val="none"/>
                <w:lang w:val="en-US" w:eastAsia="zh-CN"/>
              </w:rPr>
              <w:t>财政资金</w:t>
            </w:r>
          </w:p>
        </w:tc>
      </w:tr>
      <w:tr w14:paraId="20951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5" w:hRule="atLeast"/>
        </w:trPr>
        <w:tc>
          <w:tcPr>
            <w:tcW w:w="598" w:type="dxa"/>
            <w:tcBorders>
              <w:top w:val="single" w:color="auto" w:sz="4" w:space="0"/>
            </w:tcBorders>
            <w:vAlign w:val="top"/>
          </w:tcPr>
          <w:p w14:paraId="1B95CB7C">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1744" w:type="dxa"/>
            <w:tcBorders>
              <w:top w:val="single" w:color="auto" w:sz="4" w:space="0"/>
            </w:tcBorders>
            <w:vAlign w:val="center"/>
          </w:tcPr>
          <w:p w14:paraId="303B19AF">
            <w:pPr>
              <w:pStyle w:val="119"/>
              <w:widowControl w:val="0"/>
              <w:spacing w:before="0" w:beforeAutospacing="0" w:after="0" w:afterAutospacing="0" w:line="400" w:lineRule="exact"/>
              <w:rPr>
                <w:rFonts w:hint="eastAsia" w:ascii="宋体" w:hAnsi="宋体" w:cs="宋体"/>
                <w:color w:val="auto"/>
                <w:sz w:val="24"/>
                <w:szCs w:val="24"/>
                <w:highlight w:val="none"/>
              </w:rPr>
            </w:pPr>
            <w:r>
              <w:rPr>
                <w:rFonts w:hint="eastAsia" w:eastAsia="宋体"/>
                <w:b w:val="0"/>
                <w:color w:val="auto"/>
                <w:sz w:val="24"/>
                <w:szCs w:val="24"/>
                <w:highlight w:val="none"/>
                <w:lang w:val="zh-CN"/>
              </w:rPr>
              <w:t>招标范围</w:t>
            </w:r>
          </w:p>
        </w:tc>
        <w:tc>
          <w:tcPr>
            <w:tcW w:w="7183" w:type="dxa"/>
            <w:tcBorders>
              <w:top w:val="single" w:color="auto" w:sz="4" w:space="0"/>
            </w:tcBorders>
            <w:vAlign w:val="center"/>
          </w:tcPr>
          <w:p w14:paraId="5ED8CF2A">
            <w:pPr>
              <w:spacing w:line="400" w:lineRule="exact"/>
              <w:rPr>
                <w:rFonts w:hint="default" w:ascii="宋体" w:hAnsi="宋体" w:cs="宋体"/>
                <w:color w:val="auto"/>
                <w:sz w:val="24"/>
                <w:szCs w:val="24"/>
                <w:highlight w:val="none"/>
                <w:lang w:val="en-US"/>
              </w:rPr>
            </w:pPr>
            <w:r>
              <w:rPr>
                <w:rFonts w:hint="eastAsia" w:ascii="宋体" w:hAnsi="宋体" w:eastAsia="宋体" w:cs="宋体"/>
                <w:color w:val="auto"/>
                <w:spacing w:val="-6"/>
                <w:sz w:val="24"/>
                <w:szCs w:val="24"/>
                <w:highlight w:val="none"/>
                <w:lang w:val="en-US" w:eastAsia="zh-CN"/>
              </w:rPr>
              <w:t>具体详见竞争性磋商文件第三部分</w:t>
            </w:r>
            <w:r>
              <w:rPr>
                <w:rFonts w:hint="eastAsia" w:ascii="宋体" w:hAnsi="宋体" w:cs="宋体"/>
                <w:color w:val="auto"/>
                <w:spacing w:val="-6"/>
                <w:sz w:val="24"/>
                <w:szCs w:val="24"/>
                <w:highlight w:val="none"/>
                <w:lang w:val="en-US" w:eastAsia="zh-CN"/>
              </w:rPr>
              <w:t>采购</w:t>
            </w:r>
            <w:r>
              <w:rPr>
                <w:rFonts w:hint="eastAsia" w:ascii="宋体" w:hAnsi="宋体" w:eastAsia="宋体" w:cs="宋体"/>
                <w:color w:val="auto"/>
                <w:spacing w:val="-6"/>
                <w:sz w:val="24"/>
                <w:szCs w:val="24"/>
                <w:highlight w:val="none"/>
                <w:lang w:val="en-US" w:eastAsia="zh-CN"/>
              </w:rPr>
              <w:t>内容</w:t>
            </w:r>
            <w:r>
              <w:rPr>
                <w:rFonts w:hint="eastAsia" w:ascii="宋体" w:hAnsi="宋体" w:cs="宋体"/>
                <w:color w:val="auto"/>
                <w:spacing w:val="-6"/>
                <w:sz w:val="24"/>
                <w:szCs w:val="24"/>
                <w:highlight w:val="none"/>
                <w:lang w:val="en-US" w:eastAsia="zh-CN"/>
              </w:rPr>
              <w:t>及要求</w:t>
            </w:r>
          </w:p>
        </w:tc>
      </w:tr>
      <w:tr w14:paraId="462EC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5" w:hRule="atLeast"/>
        </w:trPr>
        <w:tc>
          <w:tcPr>
            <w:tcW w:w="598" w:type="dxa"/>
            <w:tcBorders>
              <w:top w:val="single" w:color="auto" w:sz="4" w:space="0"/>
            </w:tcBorders>
            <w:vAlign w:val="center"/>
          </w:tcPr>
          <w:p w14:paraId="3EECE3E6">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p>
        </w:tc>
        <w:tc>
          <w:tcPr>
            <w:tcW w:w="1744" w:type="dxa"/>
            <w:tcBorders>
              <w:top w:val="single" w:color="auto" w:sz="4" w:space="0"/>
            </w:tcBorders>
            <w:vAlign w:val="center"/>
          </w:tcPr>
          <w:p w14:paraId="1AA92898">
            <w:pPr>
              <w:pStyle w:val="119"/>
              <w:widowControl w:val="0"/>
              <w:spacing w:before="0" w:beforeAutospacing="0" w:after="0" w:afterAutospacing="0" w:line="400" w:lineRule="exact"/>
              <w:outlineLvl w:val="9"/>
              <w:rPr>
                <w:rFonts w:hint="eastAsia" w:eastAsia="宋体"/>
                <w:b w:val="0"/>
                <w:color w:val="auto"/>
                <w:sz w:val="24"/>
                <w:szCs w:val="24"/>
                <w:highlight w:val="none"/>
                <w:lang w:val="zh-CN"/>
              </w:rPr>
            </w:pPr>
            <w:r>
              <w:rPr>
                <w:rFonts w:hint="eastAsia" w:ascii="宋体" w:hAnsi="宋体" w:eastAsia="宋体" w:cs="Times New Roman"/>
                <w:b w:val="0"/>
                <w:color w:val="auto"/>
                <w:sz w:val="24"/>
                <w:szCs w:val="24"/>
                <w:lang w:val="zh-CN"/>
              </w:rPr>
              <w:t>供应商资格要求</w:t>
            </w:r>
          </w:p>
        </w:tc>
        <w:tc>
          <w:tcPr>
            <w:tcW w:w="7183" w:type="dxa"/>
            <w:tcBorders>
              <w:top w:val="single" w:color="auto" w:sz="4" w:space="0"/>
            </w:tcBorders>
            <w:vAlign w:val="center"/>
          </w:tcPr>
          <w:p w14:paraId="4D360C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highlight w:val="none"/>
                <w:lang w:val="en-US" w:eastAsia="zh-CN"/>
              </w:rPr>
              <w:t>详见竞争性磋商公告第二项申请人的资格要求</w:t>
            </w:r>
          </w:p>
        </w:tc>
      </w:tr>
      <w:tr w14:paraId="6576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3" w:hRule="atLeast"/>
        </w:trPr>
        <w:tc>
          <w:tcPr>
            <w:tcW w:w="598" w:type="dxa"/>
            <w:tcBorders>
              <w:top w:val="single" w:color="auto" w:sz="4" w:space="0"/>
            </w:tcBorders>
            <w:vAlign w:val="center"/>
          </w:tcPr>
          <w:p w14:paraId="1D5A4F8E">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p>
        </w:tc>
        <w:tc>
          <w:tcPr>
            <w:tcW w:w="1744" w:type="dxa"/>
            <w:tcBorders>
              <w:top w:val="single" w:color="auto" w:sz="4" w:space="0"/>
            </w:tcBorders>
            <w:vAlign w:val="center"/>
          </w:tcPr>
          <w:p w14:paraId="5F85F9C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期限</w:t>
            </w:r>
          </w:p>
        </w:tc>
        <w:tc>
          <w:tcPr>
            <w:tcW w:w="7183" w:type="dxa"/>
            <w:tcBorders>
              <w:top w:val="single" w:color="auto" w:sz="4" w:space="0"/>
            </w:tcBorders>
            <w:vAlign w:val="center"/>
          </w:tcPr>
          <w:p w14:paraId="596B3F41">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highlight w:val="none"/>
                <w:lang w:val="en-US" w:eastAsia="zh-CN"/>
              </w:rPr>
              <w:t>合同签订之日起150日历天内完成成果性文件。</w:t>
            </w:r>
          </w:p>
        </w:tc>
      </w:tr>
      <w:tr w14:paraId="138D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98" w:type="dxa"/>
            <w:tcBorders>
              <w:top w:val="single" w:color="auto" w:sz="4" w:space="0"/>
            </w:tcBorders>
            <w:vAlign w:val="center"/>
          </w:tcPr>
          <w:p w14:paraId="50CE1A71">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p>
        </w:tc>
        <w:tc>
          <w:tcPr>
            <w:tcW w:w="1744" w:type="dxa"/>
            <w:tcBorders>
              <w:top w:val="single" w:color="auto" w:sz="4" w:space="0"/>
            </w:tcBorders>
            <w:shd w:val="clear" w:color="auto" w:fill="auto"/>
            <w:vAlign w:val="center"/>
          </w:tcPr>
          <w:p w14:paraId="27FC267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服务地点</w:t>
            </w:r>
          </w:p>
        </w:tc>
        <w:tc>
          <w:tcPr>
            <w:tcW w:w="7183" w:type="dxa"/>
            <w:tcBorders>
              <w:top w:val="single" w:color="auto" w:sz="4" w:space="0"/>
            </w:tcBorders>
            <w:shd w:val="clear" w:color="auto" w:fill="auto"/>
            <w:vAlign w:val="center"/>
          </w:tcPr>
          <w:p w14:paraId="2DFEAFFB">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采购人指定地点</w:t>
            </w:r>
          </w:p>
        </w:tc>
      </w:tr>
      <w:tr w14:paraId="2CA5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598" w:type="dxa"/>
            <w:tcBorders>
              <w:top w:val="single" w:color="auto" w:sz="4" w:space="0"/>
            </w:tcBorders>
          </w:tcPr>
          <w:p w14:paraId="1D6395F4">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w:t>
            </w:r>
          </w:p>
        </w:tc>
        <w:tc>
          <w:tcPr>
            <w:tcW w:w="1744" w:type="dxa"/>
            <w:tcBorders>
              <w:top w:val="single" w:color="auto" w:sz="4" w:space="0"/>
            </w:tcBorders>
            <w:shd w:val="clear" w:color="auto" w:fill="auto"/>
            <w:vAlign w:val="center"/>
          </w:tcPr>
          <w:p w14:paraId="14E99A1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质量标准</w:t>
            </w:r>
          </w:p>
        </w:tc>
        <w:tc>
          <w:tcPr>
            <w:tcW w:w="7183" w:type="dxa"/>
            <w:tcBorders>
              <w:top w:val="single" w:color="auto" w:sz="4" w:space="0"/>
            </w:tcBorders>
            <w:shd w:val="clear" w:color="auto" w:fill="auto"/>
            <w:vAlign w:val="center"/>
          </w:tcPr>
          <w:p w14:paraId="1F35E512">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符合国家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行业标准</w:t>
            </w:r>
            <w:r>
              <w:rPr>
                <w:rFonts w:hint="eastAsia" w:ascii="宋体" w:hAnsi="宋体" w:cs="宋体"/>
                <w:color w:val="auto"/>
                <w:sz w:val="24"/>
                <w:szCs w:val="24"/>
                <w:highlight w:val="none"/>
                <w:lang w:val="en-US" w:eastAsia="zh-CN"/>
              </w:rPr>
              <w:t>，满足采购人要求。</w:t>
            </w:r>
          </w:p>
        </w:tc>
      </w:tr>
      <w:tr w14:paraId="459E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98" w:type="dxa"/>
            <w:tcBorders>
              <w:top w:val="single" w:color="auto" w:sz="4" w:space="0"/>
            </w:tcBorders>
          </w:tcPr>
          <w:p w14:paraId="1E66E077">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w:t>
            </w:r>
          </w:p>
        </w:tc>
        <w:tc>
          <w:tcPr>
            <w:tcW w:w="1744" w:type="dxa"/>
            <w:tcBorders>
              <w:top w:val="single" w:color="auto" w:sz="4" w:space="0"/>
            </w:tcBorders>
            <w:shd w:val="clear" w:color="auto" w:fill="auto"/>
            <w:vAlign w:val="center"/>
          </w:tcPr>
          <w:p w14:paraId="660FBC4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eastAsia="宋体" w:cs="宋体"/>
                <w:color w:val="auto"/>
                <w:sz w:val="24"/>
                <w:szCs w:val="24"/>
                <w:highlight w:val="none"/>
                <w:lang w:val="en-US" w:eastAsia="zh-CN"/>
              </w:rPr>
              <w:t>付款方式</w:t>
            </w:r>
          </w:p>
        </w:tc>
        <w:tc>
          <w:tcPr>
            <w:tcW w:w="7183" w:type="dxa"/>
            <w:tcBorders>
              <w:top w:val="single" w:color="auto" w:sz="4" w:space="0"/>
            </w:tcBorders>
            <w:shd w:val="clear" w:color="auto" w:fill="auto"/>
            <w:vAlign w:val="center"/>
          </w:tcPr>
          <w:p w14:paraId="74F0DB8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highlight w:val="none"/>
                <w:lang w:val="en-US" w:eastAsia="zh-CN"/>
              </w:rPr>
              <w:t>合同签订时以双方约定为准。</w:t>
            </w:r>
          </w:p>
        </w:tc>
      </w:tr>
      <w:tr w14:paraId="44D4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4E8A57DB">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13</w:t>
            </w:r>
          </w:p>
        </w:tc>
        <w:tc>
          <w:tcPr>
            <w:tcW w:w="1744" w:type="dxa"/>
            <w:tcBorders>
              <w:top w:val="single" w:color="auto" w:sz="4" w:space="0"/>
            </w:tcBorders>
            <w:shd w:val="clear" w:color="auto" w:fill="auto"/>
            <w:vAlign w:val="center"/>
          </w:tcPr>
          <w:p w14:paraId="71A53518">
            <w:pPr>
              <w:topLinePunct w:val="0"/>
              <w:bidi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联合体形式</w:t>
            </w:r>
          </w:p>
        </w:tc>
        <w:tc>
          <w:tcPr>
            <w:tcW w:w="7183" w:type="dxa"/>
            <w:tcBorders>
              <w:top w:val="single" w:color="auto" w:sz="4" w:space="0"/>
            </w:tcBorders>
            <w:shd w:val="clear" w:color="auto" w:fill="auto"/>
            <w:vAlign w:val="center"/>
          </w:tcPr>
          <w:p w14:paraId="429635CB">
            <w:pPr>
              <w:topLinePunct w:val="0"/>
              <w:bidi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 xml:space="preserve"> </w:t>
            </w:r>
          </w:p>
        </w:tc>
      </w:tr>
      <w:tr w14:paraId="333B4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201741F3">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w:t>
            </w:r>
          </w:p>
        </w:tc>
        <w:tc>
          <w:tcPr>
            <w:tcW w:w="1744" w:type="dxa"/>
            <w:tcBorders>
              <w:top w:val="single" w:color="auto" w:sz="4" w:space="0"/>
            </w:tcBorders>
            <w:shd w:val="clear" w:color="auto" w:fill="auto"/>
            <w:vAlign w:val="center"/>
          </w:tcPr>
          <w:p w14:paraId="60518637">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资格审查方式</w:t>
            </w:r>
          </w:p>
        </w:tc>
        <w:tc>
          <w:tcPr>
            <w:tcW w:w="7183" w:type="dxa"/>
            <w:tcBorders>
              <w:top w:val="single" w:color="auto" w:sz="4" w:space="0"/>
            </w:tcBorders>
            <w:shd w:val="clear" w:color="auto" w:fill="auto"/>
            <w:vAlign w:val="center"/>
          </w:tcPr>
          <w:p w14:paraId="5BDD3762">
            <w:pPr>
              <w:topLinePunct w:val="0"/>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pacing w:val="-2"/>
                <w:sz w:val="24"/>
                <w:highlight w:val="none"/>
              </w:rPr>
              <w:t>资格后审</w:t>
            </w:r>
          </w:p>
        </w:tc>
      </w:tr>
      <w:tr w14:paraId="0238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4C5D15EF">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c>
          <w:tcPr>
            <w:tcW w:w="1744" w:type="dxa"/>
            <w:tcBorders>
              <w:top w:val="single" w:color="auto" w:sz="4" w:space="0"/>
            </w:tcBorders>
            <w:shd w:val="clear" w:color="auto" w:fill="auto"/>
            <w:vAlign w:val="center"/>
          </w:tcPr>
          <w:p w14:paraId="76E57ACA">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磋商有效期</w:t>
            </w:r>
          </w:p>
        </w:tc>
        <w:tc>
          <w:tcPr>
            <w:tcW w:w="7183" w:type="dxa"/>
            <w:tcBorders>
              <w:top w:val="single" w:color="auto" w:sz="4" w:space="0"/>
            </w:tcBorders>
            <w:shd w:val="clear" w:color="auto" w:fill="auto"/>
            <w:vAlign w:val="center"/>
          </w:tcPr>
          <w:p w14:paraId="5AEB7489">
            <w:pPr>
              <w:topLinePunct w:val="0"/>
              <w:bidi w:val="0"/>
              <w:spacing w:line="360" w:lineRule="auto"/>
              <w:jc w:val="left"/>
              <w:rPr>
                <w:rFonts w:hint="eastAsia" w:ascii="宋体" w:hAnsi="宋体" w:eastAsia="宋体" w:cs="Times New Roman"/>
                <w:color w:val="auto"/>
                <w:spacing w:val="-2"/>
                <w:kern w:val="2"/>
                <w:sz w:val="24"/>
                <w:szCs w:val="22"/>
                <w:highlight w:val="none"/>
                <w:lang w:val="en-US" w:eastAsia="zh-CN" w:bidi="ar-SA"/>
              </w:rPr>
            </w:pPr>
            <w:r>
              <w:rPr>
                <w:rFonts w:hint="eastAsia" w:ascii="宋体" w:hAnsi="宋体" w:cs="宋体"/>
                <w:color w:val="auto"/>
                <w:sz w:val="24"/>
                <w:szCs w:val="24"/>
                <w:highlight w:val="none"/>
              </w:rPr>
              <w:t>自递交磋商响应文件截止之日起</w:t>
            </w:r>
            <w:r>
              <w:rPr>
                <w:rFonts w:hint="eastAsia" w:ascii="宋体" w:hAnsi="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日历</w:t>
            </w:r>
            <w:r>
              <w:rPr>
                <w:rFonts w:hint="eastAsia" w:ascii="宋体" w:hAnsi="宋体" w:cs="宋体"/>
                <w:color w:val="auto"/>
                <w:sz w:val="24"/>
                <w:szCs w:val="24"/>
                <w:highlight w:val="none"/>
                <w:lang w:val="en-US" w:eastAsia="zh-CN"/>
              </w:rPr>
              <w:t>天。</w:t>
            </w:r>
          </w:p>
        </w:tc>
      </w:tr>
      <w:tr w14:paraId="7CE1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7880AC8B">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16</w:t>
            </w:r>
          </w:p>
        </w:tc>
        <w:tc>
          <w:tcPr>
            <w:tcW w:w="1744" w:type="dxa"/>
            <w:tcBorders>
              <w:top w:val="single" w:color="auto" w:sz="4" w:space="0"/>
            </w:tcBorders>
            <w:shd w:val="clear" w:color="auto" w:fill="auto"/>
            <w:vAlign w:val="center"/>
          </w:tcPr>
          <w:p w14:paraId="10A96DDA">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转包、分</w:t>
            </w:r>
            <w:r>
              <w:rPr>
                <w:rFonts w:hint="eastAsia" w:ascii="宋体" w:hAnsi="宋体" w:cs="宋体"/>
                <w:color w:val="auto"/>
                <w:sz w:val="24"/>
                <w:szCs w:val="24"/>
                <w:highlight w:val="none"/>
              </w:rPr>
              <w:t>包</w:t>
            </w:r>
          </w:p>
        </w:tc>
        <w:tc>
          <w:tcPr>
            <w:tcW w:w="7183" w:type="dxa"/>
            <w:tcBorders>
              <w:top w:val="single" w:color="auto" w:sz="4" w:space="0"/>
            </w:tcBorders>
            <w:shd w:val="clear" w:color="auto" w:fill="auto"/>
            <w:vAlign w:val="center"/>
          </w:tcPr>
          <w:p w14:paraId="33B83F57">
            <w:pPr>
              <w:keepNext w:val="0"/>
              <w:keepLines w:val="0"/>
              <w:pageBreakBefore w:val="0"/>
              <w:kinsoku/>
              <w:overflowPunct/>
              <w:topLinePunct w:val="0"/>
              <w:autoSpaceDE/>
              <w:autoSpaceDN/>
              <w:bidi w:val="0"/>
              <w:adjustRightIn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不得转包、分包</w:t>
            </w:r>
          </w:p>
        </w:tc>
      </w:tr>
      <w:tr w14:paraId="20799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0B42456E">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17</w:t>
            </w:r>
          </w:p>
        </w:tc>
        <w:tc>
          <w:tcPr>
            <w:tcW w:w="1744" w:type="dxa"/>
            <w:tcBorders>
              <w:top w:val="single" w:color="auto" w:sz="4" w:space="0"/>
            </w:tcBorders>
            <w:shd w:val="clear" w:color="auto" w:fill="auto"/>
            <w:vAlign w:val="center"/>
          </w:tcPr>
          <w:p w14:paraId="75387DE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rPr>
              <w:t>现场勘查</w:t>
            </w:r>
          </w:p>
        </w:tc>
        <w:tc>
          <w:tcPr>
            <w:tcW w:w="7183" w:type="dxa"/>
            <w:tcBorders>
              <w:top w:val="single" w:color="auto" w:sz="4" w:space="0"/>
            </w:tcBorders>
            <w:shd w:val="clear" w:color="auto" w:fill="auto"/>
            <w:vAlign w:val="center"/>
          </w:tcPr>
          <w:p w14:paraId="079704A5">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rPr>
              <w:t>不</w:t>
            </w:r>
            <w:r>
              <w:rPr>
                <w:rFonts w:hint="eastAsia" w:ascii="宋体" w:hAnsi="宋体" w:cs="宋体"/>
                <w:color w:val="auto"/>
                <w:kern w:val="1"/>
                <w:sz w:val="24"/>
                <w:highlight w:val="none"/>
                <w:lang w:eastAsia="zh-CN"/>
              </w:rPr>
              <w:t>统一</w:t>
            </w:r>
            <w:r>
              <w:rPr>
                <w:rFonts w:hint="eastAsia" w:ascii="宋体" w:hAnsi="宋体" w:cs="宋体"/>
                <w:color w:val="auto"/>
                <w:kern w:val="1"/>
                <w:sz w:val="24"/>
                <w:highlight w:val="none"/>
              </w:rPr>
              <w:t>组织</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认为有必要可自行勘查，并承担所有费用及风险。</w:t>
            </w:r>
          </w:p>
        </w:tc>
      </w:tr>
      <w:tr w14:paraId="35A9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598" w:type="dxa"/>
            <w:tcBorders>
              <w:top w:val="single" w:color="auto" w:sz="4" w:space="0"/>
            </w:tcBorders>
            <w:vAlign w:val="center"/>
          </w:tcPr>
          <w:p w14:paraId="2650F49E">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18</w:t>
            </w:r>
          </w:p>
        </w:tc>
        <w:tc>
          <w:tcPr>
            <w:tcW w:w="1744" w:type="dxa"/>
            <w:tcBorders>
              <w:top w:val="single" w:color="auto" w:sz="4" w:space="0"/>
            </w:tcBorders>
            <w:shd w:val="clear" w:color="auto" w:fill="auto"/>
            <w:vAlign w:val="center"/>
          </w:tcPr>
          <w:p w14:paraId="14DEF58E">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磋商保证金</w:t>
            </w:r>
          </w:p>
        </w:tc>
        <w:tc>
          <w:tcPr>
            <w:tcW w:w="7183" w:type="dxa"/>
            <w:tcBorders>
              <w:top w:val="single" w:color="auto" w:sz="4" w:space="0"/>
            </w:tcBorders>
            <w:shd w:val="clear" w:color="auto" w:fill="auto"/>
            <w:vAlign w:val="top"/>
          </w:tcPr>
          <w:p w14:paraId="74BA26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磋商保证金</w:t>
            </w:r>
            <w:r>
              <w:rPr>
                <w:rFonts w:hint="eastAsia" w:ascii="宋体" w:hAnsi="宋体"/>
                <w:color w:val="auto"/>
                <w:sz w:val="24"/>
                <w:highlight w:val="none"/>
              </w:rPr>
              <w:t>的</w:t>
            </w:r>
            <w:r>
              <w:rPr>
                <w:rFonts w:hint="eastAsia" w:ascii="宋体" w:hAnsi="宋体"/>
                <w:color w:val="auto"/>
                <w:sz w:val="24"/>
                <w:highlight w:val="none"/>
                <w:lang w:val="en-US" w:eastAsia="zh-CN"/>
              </w:rPr>
              <w:t>缴纳</w:t>
            </w:r>
            <w:r>
              <w:rPr>
                <w:rFonts w:hint="eastAsia" w:ascii="宋体" w:hAnsi="宋体"/>
                <w:color w:val="auto"/>
                <w:sz w:val="24"/>
                <w:highlight w:val="none"/>
              </w:rPr>
              <w:t>形式：转账</w:t>
            </w:r>
            <w:r>
              <w:rPr>
                <w:rFonts w:hint="eastAsia" w:ascii="宋体" w:hAnsi="宋体"/>
                <w:color w:val="auto"/>
                <w:sz w:val="24"/>
                <w:highlight w:val="none"/>
                <w:lang w:val="en-US" w:eastAsia="zh-CN"/>
              </w:rPr>
              <w:t>/</w:t>
            </w:r>
            <w:r>
              <w:rPr>
                <w:rFonts w:hint="eastAsia" w:ascii="宋体" w:hAnsi="宋体"/>
                <w:color w:val="auto"/>
                <w:sz w:val="24"/>
                <w:highlight w:val="none"/>
              </w:rPr>
              <w:t>电汇</w:t>
            </w:r>
            <w:r>
              <w:rPr>
                <w:rFonts w:hint="eastAsia" w:ascii="宋体" w:hAnsi="宋体"/>
                <w:color w:val="auto"/>
                <w:sz w:val="24"/>
                <w:highlight w:val="none"/>
                <w:lang w:val="en-US" w:eastAsia="zh-CN"/>
              </w:rPr>
              <w:t>/</w:t>
            </w:r>
            <w:r>
              <w:rPr>
                <w:rFonts w:hint="eastAsia" w:ascii="宋体" w:hAnsi="宋体" w:cs="宋体"/>
                <w:color w:val="auto"/>
                <w:sz w:val="24"/>
                <w:szCs w:val="24"/>
                <w:highlight w:val="none"/>
                <w:lang w:val="en-US" w:eastAsia="zh-CN"/>
              </w:rPr>
              <w:t>金融机构/</w:t>
            </w:r>
            <w:r>
              <w:rPr>
                <w:rFonts w:hint="eastAsia" w:ascii="宋体" w:hAnsi="宋体"/>
                <w:color w:val="auto"/>
                <w:sz w:val="24"/>
                <w:highlight w:val="none"/>
              </w:rPr>
              <w:t>担保机构保函。</w:t>
            </w:r>
          </w:p>
          <w:p w14:paraId="559217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供应商以银行转账</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电汇形式</w:t>
            </w:r>
            <w:r>
              <w:rPr>
                <w:rFonts w:hint="eastAsia" w:ascii="宋体" w:hAnsi="宋体" w:eastAsia="宋体" w:cs="Times New Roman"/>
                <w:color w:val="auto"/>
                <w:sz w:val="24"/>
                <w:highlight w:val="none"/>
                <w:lang w:val="en-US" w:eastAsia="zh-CN"/>
              </w:rPr>
              <w:t>缴纳</w:t>
            </w:r>
            <w:r>
              <w:rPr>
                <w:rFonts w:hint="eastAsia" w:ascii="宋体" w:hAnsi="宋体" w:eastAsia="宋体" w:cs="Times New Roman"/>
                <w:color w:val="auto"/>
                <w:sz w:val="24"/>
                <w:highlight w:val="none"/>
                <w:lang w:eastAsia="zh-CN"/>
              </w:rPr>
              <w:t>保证金的，须从基本账户转出。</w:t>
            </w:r>
          </w:p>
          <w:p w14:paraId="32EAE88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contextualSpacing/>
              <w:jc w:val="left"/>
              <w:textAlignment w:val="auto"/>
              <w:outlineLvl w:val="9"/>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供应商以保函形式缴纳磋商保证金的，须在</w:t>
            </w:r>
            <w:r>
              <w:rPr>
                <w:rFonts w:hint="eastAsia" w:ascii="宋体" w:hAnsi="宋体" w:cs="宋体"/>
                <w:color w:val="auto"/>
                <w:kern w:val="1"/>
                <w:sz w:val="24"/>
                <w:highlight w:val="none"/>
                <w:lang w:val="en-US" w:eastAsia="zh-CN"/>
              </w:rPr>
              <w:t>提交响应文件截止时间之前</w:t>
            </w:r>
            <w:r>
              <w:rPr>
                <w:rFonts w:hint="eastAsia" w:ascii="宋体" w:hAnsi="宋体" w:eastAsia="宋体" w:cs="Times New Roman"/>
                <w:color w:val="auto"/>
                <w:sz w:val="24"/>
                <w:highlight w:val="none"/>
                <w:lang w:eastAsia="zh-CN"/>
              </w:rPr>
              <w:t>将</w:t>
            </w:r>
            <w:r>
              <w:rPr>
                <w:rFonts w:hint="eastAsia" w:ascii="宋体" w:hAnsi="宋体" w:cs="宋体"/>
                <w:color w:val="auto"/>
                <w:sz w:val="24"/>
                <w:szCs w:val="24"/>
                <w:highlight w:val="none"/>
                <w:lang w:val="en-US" w:eastAsia="zh-CN"/>
              </w:rPr>
              <w:t>金融机构</w:t>
            </w:r>
            <w:r>
              <w:rPr>
                <w:rFonts w:hint="eastAsia" w:cs="宋体"/>
                <w:color w:val="auto"/>
                <w:sz w:val="24"/>
                <w:szCs w:val="24"/>
                <w:highlight w:val="none"/>
                <w:lang w:val="en-US" w:eastAsia="zh-CN"/>
              </w:rPr>
              <w:t>、</w:t>
            </w:r>
            <w:r>
              <w:rPr>
                <w:rFonts w:hint="eastAsia" w:ascii="宋体" w:hAnsi="宋体" w:eastAsia="宋体" w:cs="Times New Roman"/>
                <w:color w:val="auto"/>
                <w:sz w:val="24"/>
                <w:highlight w:val="none"/>
                <w:lang w:eastAsia="zh-CN"/>
              </w:rPr>
              <w:t>担保机构保函原件提交至采购代理机构备案</w:t>
            </w:r>
            <w:r>
              <w:rPr>
                <w:rFonts w:hint="eastAsia" w:cs="Times New Roman"/>
                <w:color w:val="auto"/>
                <w:sz w:val="24"/>
                <w:highlight w:val="none"/>
                <w:lang w:eastAsia="zh-CN"/>
              </w:rPr>
              <w:t>，</w:t>
            </w:r>
            <w:r>
              <w:rPr>
                <w:rFonts w:hint="eastAsia" w:ascii="宋体" w:hAnsi="宋体" w:eastAsia="宋体" w:cs="Times New Roman"/>
                <w:b/>
                <w:bCs/>
                <w:color w:val="auto"/>
                <w:sz w:val="24"/>
                <w:highlight w:val="none"/>
                <w:lang w:val="en-US" w:eastAsia="zh-CN"/>
              </w:rPr>
              <w:t>保函原件提交至</w:t>
            </w:r>
            <w:r>
              <w:rPr>
                <w:rFonts w:hint="eastAsia" w:ascii="宋体" w:hAnsi="宋体" w:eastAsia="宋体" w:cs="宋体"/>
                <w:b/>
                <w:bCs/>
                <w:color w:val="auto"/>
                <w:kern w:val="0"/>
                <w:sz w:val="24"/>
                <w:highlight w:val="none"/>
              </w:rPr>
              <w:t>华春众创工场（富平）（详细地址：富平县富兴路中段西侧紫御台B区商务楼四层</w:t>
            </w:r>
            <w:r>
              <w:rPr>
                <w:rFonts w:hint="eastAsia" w:ascii="宋体" w:hAnsi="宋体" w:eastAsia="宋体" w:cs="Times New Roman"/>
                <w:b/>
                <w:bCs/>
                <w:color w:val="auto"/>
                <w:sz w:val="24"/>
                <w:highlight w:val="none"/>
                <w:lang w:eastAsia="zh-CN"/>
              </w:rPr>
              <w:t>）</w:t>
            </w:r>
            <w:r>
              <w:rPr>
                <w:rFonts w:hint="eastAsia" w:ascii="宋体" w:hAnsi="宋体" w:eastAsia="宋体" w:cs="Times New Roman"/>
                <w:color w:val="auto"/>
                <w:sz w:val="24"/>
                <w:highlight w:val="none"/>
                <w:lang w:eastAsia="zh-CN"/>
              </w:rPr>
              <w:t>，并将保函复印件附在磋商响应文件规定处。</w:t>
            </w:r>
          </w:p>
          <w:p w14:paraId="738549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Times New Roman"/>
                <w:b/>
                <w:color w:val="auto"/>
                <w:sz w:val="24"/>
                <w:highlight w:val="none"/>
                <w:u w:val="single"/>
                <w:lang w:val="en-US" w:eastAsia="zh-CN"/>
              </w:rPr>
            </w:pPr>
            <w:r>
              <w:rPr>
                <w:rFonts w:hint="eastAsia" w:ascii="宋体" w:hAnsi="宋体"/>
                <w:color w:val="auto"/>
                <w:sz w:val="24"/>
                <w:highlight w:val="none"/>
                <w:lang w:eastAsia="zh-CN"/>
              </w:rPr>
              <w:t>磋商保证金</w:t>
            </w:r>
            <w:r>
              <w:rPr>
                <w:rFonts w:hint="eastAsia" w:ascii="宋体" w:hAnsi="宋体"/>
                <w:color w:val="auto"/>
                <w:sz w:val="24"/>
                <w:highlight w:val="none"/>
              </w:rPr>
              <w:t>的金额（人民币）：</w:t>
            </w:r>
            <w:r>
              <w:rPr>
                <w:rFonts w:hint="eastAsia" w:ascii="宋体" w:hAnsi="宋体" w:cs="Times New Roman"/>
                <w:b/>
                <w:bCs/>
                <w:color w:val="auto"/>
                <w:sz w:val="24"/>
                <w:highlight w:val="none"/>
                <w:u w:val="single"/>
                <w:lang w:val="en-US" w:eastAsia="zh-CN"/>
              </w:rPr>
              <w:t>贰万元整（2000</w:t>
            </w:r>
            <w:r>
              <w:rPr>
                <w:rFonts w:hint="eastAsia" w:ascii="宋体" w:hAnsi="宋体" w:cs="Times New Roman"/>
                <w:b/>
                <w:color w:val="auto"/>
                <w:sz w:val="24"/>
                <w:highlight w:val="none"/>
                <w:u w:val="single"/>
                <w:lang w:val="en-US" w:eastAsia="zh-CN"/>
              </w:rPr>
              <w:t>0.00元）</w:t>
            </w:r>
          </w:p>
          <w:p w14:paraId="59C365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宋体"/>
                <w:color w:val="auto"/>
                <w:kern w:val="1"/>
                <w:sz w:val="24"/>
                <w:highlight w:val="none"/>
                <w:lang w:val="en-US" w:eastAsia="zh-CN"/>
              </w:rPr>
            </w:pPr>
            <w:r>
              <w:rPr>
                <w:rFonts w:hint="eastAsia" w:ascii="宋体" w:hAnsi="宋体" w:cs="Times New Roman"/>
                <w:b w:val="0"/>
                <w:bCs/>
                <w:color w:val="auto"/>
                <w:sz w:val="24"/>
                <w:highlight w:val="none"/>
                <w:u w:val="none"/>
                <w:lang w:val="en-US" w:eastAsia="zh-CN"/>
              </w:rPr>
              <w:t>磋商保证金提交时间：提交响应文件截</w:t>
            </w:r>
            <w:r>
              <w:rPr>
                <w:rFonts w:hint="eastAsia" w:ascii="宋体" w:hAnsi="宋体" w:cs="宋体"/>
                <w:color w:val="auto"/>
                <w:kern w:val="1"/>
                <w:sz w:val="24"/>
                <w:highlight w:val="none"/>
                <w:lang w:val="en-US" w:eastAsia="zh-CN"/>
              </w:rPr>
              <w:t>止时间之前</w:t>
            </w:r>
          </w:p>
          <w:p w14:paraId="6007EB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color w:val="auto"/>
                <w:sz w:val="24"/>
                <w:highlight w:val="none"/>
              </w:rPr>
            </w:pPr>
            <w:r>
              <w:rPr>
                <w:rFonts w:hint="eastAsia" w:ascii="宋体" w:hAnsi="宋体"/>
                <w:color w:val="auto"/>
                <w:sz w:val="24"/>
                <w:highlight w:val="none"/>
              </w:rPr>
              <w:t>汇入单位名称：</w:t>
            </w:r>
            <w:r>
              <w:rPr>
                <w:rFonts w:hint="eastAsia" w:ascii="宋体" w:hAnsi="宋体"/>
                <w:b/>
                <w:color w:val="auto"/>
                <w:sz w:val="24"/>
                <w:highlight w:val="none"/>
              </w:rPr>
              <w:t>华春建设工程项目管理有限责任公司</w:t>
            </w:r>
          </w:p>
          <w:p w14:paraId="2E16FB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color w:val="auto"/>
                <w:sz w:val="24"/>
                <w:highlight w:val="none"/>
              </w:rPr>
            </w:pPr>
            <w:r>
              <w:rPr>
                <w:rFonts w:hint="eastAsia" w:ascii="宋体" w:hAnsi="宋体"/>
                <w:color w:val="auto"/>
                <w:sz w:val="24"/>
                <w:highlight w:val="none"/>
              </w:rPr>
              <w:t>开户行名称：</w:t>
            </w:r>
            <w:r>
              <w:rPr>
                <w:rFonts w:hint="eastAsia" w:ascii="宋体" w:hAnsi="宋体"/>
                <w:b/>
                <w:color w:val="auto"/>
                <w:sz w:val="24"/>
                <w:highlight w:val="none"/>
              </w:rPr>
              <w:t>平安银行西安分行营业部</w:t>
            </w:r>
          </w:p>
          <w:p w14:paraId="392CC3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eastAsia="宋体"/>
                <w:color w:val="auto"/>
                <w:highlight w:val="none"/>
                <w:lang w:val="en-US" w:eastAsia="zh-CN"/>
              </w:rPr>
            </w:pPr>
            <w:r>
              <w:rPr>
                <w:rFonts w:hint="eastAsia" w:ascii="宋体" w:hAnsi="宋体"/>
                <w:color w:val="auto"/>
                <w:kern w:val="2"/>
                <w:sz w:val="24"/>
                <w:szCs w:val="24"/>
                <w:highlight w:val="none"/>
                <w:lang w:val="en-US" w:eastAsia="zh-CN" w:bidi="ar-SA"/>
              </w:rPr>
              <w:t>行  号：</w:t>
            </w:r>
            <w:r>
              <w:rPr>
                <w:rFonts w:hint="eastAsia" w:ascii="宋体" w:hAnsi="宋体" w:eastAsia="宋体"/>
                <w:b/>
                <w:color w:val="auto"/>
                <w:sz w:val="24"/>
                <w:highlight w:val="none"/>
              </w:rPr>
              <w:t>307584007998</w:t>
            </w:r>
            <w:r>
              <w:rPr>
                <w:rFonts w:hint="eastAsia" w:ascii="宋体" w:hAnsi="宋体" w:eastAsia="宋体"/>
                <w:b/>
                <w:color w:val="auto"/>
                <w:sz w:val="24"/>
                <w:highlight w:val="none"/>
                <w:lang w:val="en-US" w:eastAsia="zh-CN"/>
              </w:rPr>
              <w:t xml:space="preserve"> </w:t>
            </w:r>
          </w:p>
          <w:p w14:paraId="204C6752">
            <w:pPr>
              <w:pStyle w:val="12"/>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b/>
                <w:color w:val="auto"/>
                <w:sz w:val="24"/>
                <w:highlight w:val="none"/>
              </w:rPr>
            </w:pPr>
            <w:r>
              <w:rPr>
                <w:rFonts w:hint="eastAsia" w:ascii="宋体" w:hAnsi="宋体" w:eastAsia="宋体" w:cs="Times New Roman"/>
                <w:color w:val="auto"/>
                <w:kern w:val="2"/>
                <w:sz w:val="24"/>
                <w:szCs w:val="24"/>
                <w:highlight w:val="none"/>
                <w:lang w:val="en-US" w:eastAsia="zh-CN" w:bidi="ar-SA"/>
              </w:rPr>
              <w:t>账  号：</w:t>
            </w:r>
            <w:r>
              <w:rPr>
                <w:rFonts w:hint="eastAsia" w:ascii="宋体" w:hAnsi="宋体" w:cs="Times New Roman"/>
                <w:b/>
                <w:color w:val="auto"/>
                <w:kern w:val="2"/>
                <w:sz w:val="24"/>
                <w:szCs w:val="24"/>
                <w:highlight w:val="none"/>
                <w:lang w:val="en-US" w:eastAsia="zh-CN" w:bidi="ar-SA"/>
              </w:rPr>
              <w:t>30208471002285</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本账号仅用于磋商保证金的转账</w:t>
            </w:r>
            <w:r>
              <w:rPr>
                <w:rFonts w:hint="eastAsia" w:ascii="宋体" w:hAnsi="宋体"/>
                <w:b/>
                <w:color w:val="auto"/>
                <w:sz w:val="24"/>
                <w:highlight w:val="none"/>
                <w:lang w:eastAsia="zh-CN"/>
              </w:rPr>
              <w:t>）</w:t>
            </w:r>
          </w:p>
          <w:p w14:paraId="2A4D74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sz w:val="24"/>
                <w:highlight w:val="none"/>
                <w:lang w:eastAsia="zh-CN"/>
              </w:rPr>
            </w:pPr>
            <w:r>
              <w:rPr>
                <w:rFonts w:hint="eastAsia" w:ascii="宋体" w:hAnsi="宋体"/>
                <w:color w:val="auto"/>
                <w:sz w:val="24"/>
                <w:highlight w:val="none"/>
              </w:rPr>
              <w:t>汇款用途：</w:t>
            </w:r>
            <w:r>
              <w:rPr>
                <w:rFonts w:hint="eastAsia" w:ascii="宋体" w:hAnsi="宋体" w:eastAsia="宋体" w:cs="宋体"/>
                <w:color w:val="auto"/>
                <w:kern w:val="1"/>
                <w:sz w:val="24"/>
                <w:highlight w:val="none"/>
                <w:u w:val="single"/>
                <w:lang w:val="en-US" w:eastAsia="zh-CN"/>
              </w:rPr>
              <w:t xml:space="preserve">           （项目名称）</w:t>
            </w:r>
            <w:r>
              <w:rPr>
                <w:rFonts w:hint="eastAsia" w:ascii="宋体" w:hAnsi="宋体"/>
                <w:color w:val="auto"/>
                <w:spacing w:val="0"/>
                <w:sz w:val="24"/>
                <w:highlight w:val="none"/>
                <w:u w:val="none"/>
                <w:lang w:val="en-US" w:eastAsia="zh-CN"/>
              </w:rPr>
              <w:t>磋商保证金（可简写），</w:t>
            </w:r>
            <w:r>
              <w:rPr>
                <w:rFonts w:hint="eastAsia" w:ascii="宋体" w:hAnsi="宋体"/>
                <w:color w:val="auto"/>
                <w:sz w:val="24"/>
                <w:highlight w:val="none"/>
              </w:rPr>
              <w:t>开标时供应商须提供</w:t>
            </w:r>
            <w:r>
              <w:rPr>
                <w:rFonts w:hint="eastAsia" w:ascii="宋体" w:hAnsi="宋体"/>
                <w:color w:val="auto"/>
                <w:sz w:val="24"/>
                <w:highlight w:val="none"/>
                <w:lang w:val="en-US" w:eastAsia="zh-CN"/>
              </w:rPr>
              <w:t>磋商</w:t>
            </w:r>
            <w:r>
              <w:rPr>
                <w:rFonts w:hint="eastAsia" w:ascii="宋体" w:hAnsi="宋体"/>
                <w:color w:val="auto"/>
                <w:sz w:val="24"/>
                <w:highlight w:val="none"/>
              </w:rPr>
              <w:t>保证金转账凭证</w:t>
            </w:r>
            <w:r>
              <w:rPr>
                <w:rFonts w:hint="eastAsia" w:ascii="宋体" w:hAnsi="宋体"/>
                <w:color w:val="auto"/>
                <w:sz w:val="24"/>
                <w:highlight w:val="none"/>
                <w:lang w:val="en-US" w:eastAsia="zh-CN"/>
              </w:rPr>
              <w:t>和基本账户信息证明资料</w:t>
            </w:r>
            <w:r>
              <w:rPr>
                <w:rFonts w:hint="eastAsia" w:ascii="宋体" w:hAnsi="宋体"/>
                <w:color w:val="auto"/>
                <w:sz w:val="24"/>
                <w:highlight w:val="none"/>
              </w:rPr>
              <w:t>复印件</w:t>
            </w:r>
            <w:r>
              <w:rPr>
                <w:rFonts w:hint="eastAsia" w:ascii="宋体" w:hAnsi="宋体"/>
                <w:color w:val="auto"/>
                <w:sz w:val="24"/>
                <w:highlight w:val="none"/>
                <w:lang w:val="en-US" w:eastAsia="zh-CN"/>
              </w:rPr>
              <w:t>并</w:t>
            </w:r>
            <w:r>
              <w:rPr>
                <w:rFonts w:hint="eastAsia" w:ascii="宋体" w:hAnsi="宋体"/>
                <w:color w:val="auto"/>
                <w:sz w:val="24"/>
                <w:highlight w:val="none"/>
              </w:rPr>
              <w:t>加盖单位公章</w:t>
            </w:r>
            <w:r>
              <w:rPr>
                <w:rFonts w:hint="eastAsia" w:cs="宋体"/>
                <w:color w:val="auto"/>
                <w:kern w:val="0"/>
                <w:sz w:val="24"/>
                <w:szCs w:val="24"/>
                <w:highlight w:val="none"/>
                <w:lang w:val="en-US" w:eastAsia="zh-CN"/>
              </w:rPr>
              <w:t>或</w:t>
            </w:r>
            <w:r>
              <w:rPr>
                <w:rFonts w:hint="eastAsia" w:ascii="宋体" w:hAnsi="宋体" w:cs="宋体"/>
                <w:color w:val="auto"/>
                <w:sz w:val="24"/>
                <w:szCs w:val="24"/>
                <w:highlight w:val="none"/>
                <w:lang w:val="en-US" w:eastAsia="zh-CN"/>
              </w:rPr>
              <w:t>金融机构、</w:t>
            </w:r>
            <w:r>
              <w:rPr>
                <w:rFonts w:hint="eastAsia" w:cs="宋体"/>
                <w:color w:val="auto"/>
                <w:kern w:val="0"/>
                <w:sz w:val="24"/>
                <w:szCs w:val="24"/>
                <w:highlight w:val="none"/>
                <w:lang w:val="en-US" w:eastAsia="zh-CN"/>
              </w:rPr>
              <w:t>担保机构出具的保函复印件</w:t>
            </w:r>
            <w:r>
              <w:rPr>
                <w:rFonts w:hint="eastAsia" w:ascii="宋体" w:hAnsi="宋体"/>
                <w:color w:val="auto"/>
                <w:sz w:val="24"/>
                <w:highlight w:val="none"/>
              </w:rPr>
              <w:t>，否则视为自动放弃投标。磋商保证金的有效期与磋商有效期一致。</w:t>
            </w:r>
            <w:r>
              <w:rPr>
                <w:rFonts w:hint="eastAsia" w:ascii="宋体" w:hAnsi="宋体" w:cs="宋体"/>
                <w:color w:val="auto"/>
                <w:sz w:val="24"/>
                <w:szCs w:val="24"/>
                <w:highlight w:val="none"/>
                <w:lang w:val="en-US" w:eastAsia="zh-CN"/>
              </w:rPr>
              <w:t>金融机构、</w:t>
            </w:r>
            <w:r>
              <w:rPr>
                <w:rFonts w:hint="eastAsia" w:ascii="宋体" w:hAnsi="宋体"/>
                <w:color w:val="auto"/>
                <w:sz w:val="24"/>
                <w:highlight w:val="none"/>
              </w:rPr>
              <w:t>担保机构出具的保函的有效期为磋商有效期延长一个月。</w:t>
            </w:r>
          </w:p>
          <w:p w14:paraId="329C4904">
            <w:pPr>
              <w:topLinePunct w:val="0"/>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kern w:val="1"/>
                <w:sz w:val="24"/>
                <w:highlight w:val="none"/>
              </w:rPr>
              <w:t>请转款时务必在摘要处注明项目名称，同时请电话查询是否到账：（</w:t>
            </w:r>
            <w:r>
              <w:rPr>
                <w:rFonts w:hint="eastAsia" w:ascii="宋体" w:hAnsi="宋体" w:cs="宋体"/>
                <w:b/>
                <w:color w:val="auto"/>
                <w:kern w:val="1"/>
                <w:sz w:val="24"/>
                <w:highlight w:val="none"/>
                <w:lang w:val="en-US" w:eastAsia="zh-CN"/>
              </w:rPr>
              <w:t>0913-8219328</w:t>
            </w:r>
            <w:r>
              <w:rPr>
                <w:rFonts w:hint="eastAsia" w:ascii="宋体" w:hAnsi="宋体" w:cs="宋体"/>
                <w:b/>
                <w:color w:val="auto"/>
                <w:kern w:val="1"/>
                <w:sz w:val="24"/>
                <w:highlight w:val="none"/>
              </w:rPr>
              <w:t>）。</w:t>
            </w:r>
          </w:p>
        </w:tc>
      </w:tr>
      <w:tr w14:paraId="486A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98" w:type="dxa"/>
            <w:tcBorders>
              <w:top w:val="single" w:color="auto" w:sz="4" w:space="0"/>
            </w:tcBorders>
            <w:vAlign w:val="center"/>
          </w:tcPr>
          <w:p w14:paraId="10C5B174">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44" w:type="dxa"/>
            <w:tcBorders>
              <w:top w:val="single" w:color="auto" w:sz="4" w:space="0"/>
            </w:tcBorders>
            <w:shd w:val="clear" w:color="auto" w:fill="auto"/>
            <w:vAlign w:val="center"/>
          </w:tcPr>
          <w:p w14:paraId="35066E03">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w:t>
            </w:r>
          </w:p>
        </w:tc>
        <w:tc>
          <w:tcPr>
            <w:tcW w:w="7183" w:type="dxa"/>
            <w:tcBorders>
              <w:top w:val="single" w:color="auto" w:sz="4" w:space="0"/>
            </w:tcBorders>
            <w:shd w:val="clear" w:color="auto" w:fill="auto"/>
            <w:vAlign w:val="center"/>
          </w:tcPr>
          <w:p w14:paraId="0BF0D592">
            <w:pPr>
              <w:topLinePunct w:val="0"/>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lang w:val="en-US" w:eastAsia="zh-CN"/>
              </w:rPr>
              <w:t>采购代理机构参照国家计委印发《招标代理服务收费管理暂行办法》的通知（计价格〔2002〕1980号）计取、按照《</w:t>
            </w:r>
            <w:r>
              <w:rPr>
                <w:rFonts w:hint="eastAsia" w:ascii="宋体" w:hAnsi="宋体" w:eastAsia="宋体" w:cs="宋体"/>
                <w:color w:val="auto"/>
                <w:kern w:val="0"/>
                <w:sz w:val="24"/>
                <w:szCs w:val="24"/>
                <w:highlight w:val="none"/>
                <w:lang w:val="en-US" w:eastAsia="zh-CN"/>
              </w:rPr>
              <w:t>国家发展改革委办公厅关于招标代理服务收费有关问题的通知</w:t>
            </w:r>
            <w:r>
              <w:rPr>
                <w:rFonts w:hint="eastAsia" w:ascii="宋体" w:hAnsi="宋体" w:eastAsia="宋体" w:cs="宋体"/>
                <w:color w:val="auto"/>
                <w:kern w:val="1"/>
                <w:sz w:val="24"/>
                <w:szCs w:val="24"/>
                <w:highlight w:val="none"/>
                <w:lang w:val="en-US" w:eastAsia="zh-CN"/>
              </w:rPr>
              <w:t>》（发改办价格〔2003〕857号）规定向成交供应商收取</w:t>
            </w:r>
            <w:r>
              <w:rPr>
                <w:rFonts w:hint="eastAsia" w:ascii="宋体" w:hAnsi="宋体" w:cs="宋体"/>
                <w:color w:val="auto"/>
                <w:kern w:val="1"/>
                <w:sz w:val="24"/>
                <w:szCs w:val="24"/>
                <w:highlight w:val="none"/>
                <w:lang w:val="en-US" w:eastAsia="zh-CN"/>
              </w:rPr>
              <w:t>招标</w:t>
            </w:r>
            <w:r>
              <w:rPr>
                <w:rFonts w:hint="eastAsia" w:ascii="宋体" w:hAnsi="宋体" w:eastAsia="宋体" w:cs="宋体"/>
                <w:color w:val="auto"/>
                <w:kern w:val="1"/>
                <w:sz w:val="24"/>
                <w:szCs w:val="24"/>
                <w:highlight w:val="none"/>
                <w:lang w:val="en-US" w:eastAsia="zh-CN"/>
              </w:rPr>
              <w:t>代理服务费。若本次招标失败（非代理机构原因），</w:t>
            </w:r>
            <w:r>
              <w:rPr>
                <w:rFonts w:hint="eastAsia" w:ascii="宋体" w:hAnsi="宋体" w:cs="宋体"/>
                <w:color w:val="auto"/>
                <w:kern w:val="1"/>
                <w:sz w:val="24"/>
                <w:szCs w:val="24"/>
                <w:highlight w:val="none"/>
                <w:lang w:val="en-US" w:eastAsia="zh-CN"/>
              </w:rPr>
              <w:t>招标</w:t>
            </w:r>
            <w:r>
              <w:rPr>
                <w:rFonts w:hint="eastAsia" w:ascii="宋体" w:hAnsi="宋体" w:eastAsia="宋体" w:cs="宋体"/>
                <w:color w:val="auto"/>
                <w:kern w:val="1"/>
                <w:sz w:val="24"/>
                <w:szCs w:val="24"/>
                <w:highlight w:val="none"/>
                <w:lang w:val="en-US" w:eastAsia="zh-CN"/>
              </w:rPr>
              <w:t>代理服务费由采购人支付。具体金额详见</w:t>
            </w:r>
            <w:r>
              <w:rPr>
                <w:rFonts w:hint="eastAsia" w:ascii="宋体" w:hAnsi="宋体" w:cs="宋体"/>
                <w:color w:val="auto"/>
                <w:kern w:val="1"/>
                <w:sz w:val="24"/>
                <w:szCs w:val="24"/>
                <w:highlight w:val="none"/>
                <w:lang w:val="en-US" w:eastAsia="zh-CN"/>
              </w:rPr>
              <w:t>中标（成交）结果公告</w:t>
            </w:r>
            <w:r>
              <w:rPr>
                <w:rFonts w:hint="eastAsia" w:ascii="宋体" w:hAnsi="宋体" w:eastAsia="宋体" w:cs="宋体"/>
                <w:color w:val="auto"/>
                <w:kern w:val="1"/>
                <w:sz w:val="24"/>
                <w:szCs w:val="24"/>
                <w:highlight w:val="none"/>
                <w:lang w:val="en-US" w:eastAsia="zh-CN"/>
              </w:rPr>
              <w:t>，在领取成交通知书时向采购代理机构一次付清（现金或转账）</w:t>
            </w:r>
            <w:r>
              <w:rPr>
                <w:rFonts w:hint="eastAsia" w:ascii="宋体" w:hAnsi="宋体" w:eastAsia="宋体" w:cs="宋体"/>
                <w:color w:val="auto"/>
                <w:spacing w:val="0"/>
                <w:sz w:val="24"/>
                <w:szCs w:val="24"/>
                <w:highlight w:val="none"/>
                <w:u w:val="none"/>
                <w:lang w:val="en-US" w:eastAsia="zh-CN"/>
              </w:rPr>
              <w:t>。</w:t>
            </w:r>
          </w:p>
        </w:tc>
      </w:tr>
      <w:tr w14:paraId="7B99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98" w:type="dxa"/>
            <w:tcBorders>
              <w:top w:val="single" w:color="auto" w:sz="4" w:space="0"/>
            </w:tcBorders>
            <w:vAlign w:val="center"/>
          </w:tcPr>
          <w:p w14:paraId="5F80EF74">
            <w:pPr>
              <w:topLinePunct w:val="0"/>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744" w:type="dxa"/>
            <w:tcBorders>
              <w:top w:val="single" w:color="auto" w:sz="4" w:space="0"/>
            </w:tcBorders>
            <w:shd w:val="clear" w:color="auto" w:fill="auto"/>
            <w:vAlign w:val="center"/>
          </w:tcPr>
          <w:p w14:paraId="40D9C94C">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最高限价</w:t>
            </w:r>
          </w:p>
        </w:tc>
        <w:tc>
          <w:tcPr>
            <w:tcW w:w="7183" w:type="dxa"/>
            <w:tcBorders>
              <w:top w:val="single" w:color="auto" w:sz="4" w:space="0"/>
            </w:tcBorders>
            <w:shd w:val="clear" w:color="auto" w:fill="auto"/>
            <w:vAlign w:val="center"/>
          </w:tcPr>
          <w:p w14:paraId="4D24B12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人民币壹佰玖拾贰万元整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1,920,000.00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297DA6C5">
            <w:pPr>
              <w:spacing w:line="400" w:lineRule="exact"/>
              <w:ind w:left="960" w:leftChars="0" w:hanging="960" w:hangingChars="400"/>
              <w:rPr>
                <w:rFonts w:hint="eastAsia" w:ascii="宋体" w:hAnsi="宋体" w:eastAsia="宋体" w:cs="宋体"/>
                <w:b/>
                <w:bCs/>
                <w:color w:val="auto"/>
                <w:kern w:val="2"/>
                <w:sz w:val="24"/>
                <w:szCs w:val="24"/>
                <w:highlight w:val="none"/>
                <w:lang w:val="en-US" w:eastAsia="zh-CN" w:bidi="ar-SA"/>
              </w:rPr>
            </w:pPr>
            <w:r>
              <w:rPr>
                <w:rFonts w:hint="eastAsia" w:ascii="宋体" w:hAnsi="宋体"/>
                <w:color w:val="auto"/>
                <w:sz w:val="24"/>
                <w:highlight w:val="none"/>
              </w:rPr>
              <w:t>任何超过</w:t>
            </w:r>
            <w:r>
              <w:rPr>
                <w:rFonts w:hint="eastAsia" w:ascii="宋体" w:hAnsi="宋体"/>
                <w:color w:val="auto"/>
                <w:sz w:val="24"/>
                <w:highlight w:val="none"/>
                <w:lang w:val="en-US" w:eastAsia="zh-CN"/>
              </w:rPr>
              <w:t>此价</w:t>
            </w:r>
            <w:r>
              <w:rPr>
                <w:rFonts w:hint="eastAsia" w:ascii="宋体" w:hAnsi="宋体"/>
                <w:color w:val="auto"/>
                <w:sz w:val="24"/>
                <w:highlight w:val="none"/>
              </w:rPr>
              <w:t>的</w:t>
            </w:r>
            <w:r>
              <w:rPr>
                <w:rFonts w:hint="eastAsia" w:ascii="宋体" w:hAnsi="宋体"/>
                <w:color w:val="auto"/>
                <w:sz w:val="24"/>
                <w:highlight w:val="none"/>
                <w:lang w:eastAsia="zh-CN"/>
              </w:rPr>
              <w:t>磋商</w:t>
            </w:r>
            <w:r>
              <w:rPr>
                <w:rFonts w:hint="eastAsia" w:ascii="宋体" w:hAnsi="宋体"/>
                <w:color w:val="auto"/>
                <w:sz w:val="24"/>
                <w:highlight w:val="none"/>
              </w:rPr>
              <w:t>报价，采购人不予接受。</w:t>
            </w:r>
          </w:p>
        </w:tc>
      </w:tr>
      <w:tr w14:paraId="63560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8" w:hRule="atLeast"/>
        </w:trPr>
        <w:tc>
          <w:tcPr>
            <w:tcW w:w="598" w:type="dxa"/>
            <w:vAlign w:val="center"/>
          </w:tcPr>
          <w:p w14:paraId="1CE7206A">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744" w:type="dxa"/>
            <w:shd w:val="clear" w:color="auto" w:fill="auto"/>
            <w:vAlign w:val="center"/>
          </w:tcPr>
          <w:p w14:paraId="4DA32140">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递交磋商响应文件截止时间、地点</w:t>
            </w:r>
          </w:p>
        </w:tc>
        <w:tc>
          <w:tcPr>
            <w:tcW w:w="7183" w:type="dxa"/>
            <w:shd w:val="clear" w:color="auto" w:fill="auto"/>
            <w:vAlign w:val="center"/>
          </w:tcPr>
          <w:p w14:paraId="18CD3F34">
            <w:pPr>
              <w:spacing w:line="400" w:lineRule="exact"/>
              <w:ind w:left="960" w:hanging="960" w:hangingChars="400"/>
              <w:rPr>
                <w:rFonts w:hint="eastAsia" w:ascii="宋体" w:hAnsi="宋体" w:eastAsia="宋体"/>
                <w:color w:val="auto"/>
                <w:sz w:val="24"/>
                <w:highlight w:val="none"/>
                <w:lang w:eastAsia="zh-CN"/>
              </w:rPr>
            </w:pPr>
            <w:r>
              <w:rPr>
                <w:rFonts w:hint="eastAsia" w:ascii="宋体" w:hAnsi="宋体"/>
                <w:color w:val="auto"/>
                <w:sz w:val="24"/>
                <w:highlight w:val="none"/>
              </w:rPr>
              <w:t>份 数：正本一</w:t>
            </w:r>
            <w:r>
              <w:rPr>
                <w:rFonts w:hint="eastAsia" w:ascii="宋体" w:hAnsi="宋体"/>
                <w:color w:val="auto"/>
                <w:sz w:val="24"/>
                <w:highlight w:val="none"/>
                <w:lang w:val="en-US" w:eastAsia="zh-CN"/>
              </w:rPr>
              <w:t>份</w:t>
            </w:r>
            <w:r>
              <w:rPr>
                <w:rFonts w:hint="eastAsia" w:ascii="宋体" w:hAnsi="宋体"/>
                <w:color w:val="auto"/>
                <w:sz w:val="24"/>
                <w:highlight w:val="none"/>
              </w:rPr>
              <w:t>、副本</w:t>
            </w:r>
            <w:r>
              <w:rPr>
                <w:rFonts w:hint="eastAsia" w:ascii="宋体" w:hAnsi="宋体"/>
                <w:color w:val="auto"/>
                <w:sz w:val="24"/>
                <w:highlight w:val="none"/>
                <w:lang w:val="en-US" w:eastAsia="zh-CN"/>
              </w:rPr>
              <w:t>三份</w:t>
            </w:r>
            <w:r>
              <w:rPr>
                <w:rFonts w:hint="eastAsia" w:ascii="宋体" w:hAnsi="宋体"/>
                <w:color w:val="auto"/>
                <w:sz w:val="24"/>
                <w:highlight w:val="none"/>
              </w:rPr>
              <w:t>及电子U盘</w:t>
            </w:r>
            <w:r>
              <w:rPr>
                <w:rFonts w:hint="eastAsia" w:ascii="宋体" w:hAnsi="宋体"/>
                <w:color w:val="auto"/>
                <w:sz w:val="24"/>
                <w:highlight w:val="none"/>
                <w:lang w:val="en-US" w:eastAsia="zh-CN"/>
              </w:rPr>
              <w:t>三份</w:t>
            </w:r>
          </w:p>
          <w:p w14:paraId="4CD63B3C">
            <w:pPr>
              <w:spacing w:line="400" w:lineRule="exact"/>
              <w:ind w:left="960" w:hanging="960" w:hangingChars="400"/>
              <w:rPr>
                <w:rFonts w:hint="eastAsia" w:ascii="宋体" w:hAnsi="宋体"/>
                <w:color w:val="auto"/>
                <w:sz w:val="24"/>
                <w:highlight w:val="none"/>
              </w:rPr>
            </w:pPr>
            <w:r>
              <w:rPr>
                <w:rFonts w:hint="eastAsia" w:ascii="宋体" w:hAnsi="宋体"/>
                <w:color w:val="auto"/>
                <w:sz w:val="24"/>
                <w:highlight w:val="none"/>
              </w:rPr>
              <w:t>时 间：20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04</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(北京时间)</w:t>
            </w:r>
          </w:p>
          <w:p w14:paraId="3BBDF160">
            <w:pPr>
              <w:keepNext w:val="0"/>
              <w:keepLines w:val="0"/>
              <w:pageBreakBefore w:val="0"/>
              <w:widowControl w:val="0"/>
              <w:kinsoku/>
              <w:wordWrap/>
              <w:overflowPunct/>
              <w:topLinePunct w:val="0"/>
              <w:autoSpaceDE/>
              <w:autoSpaceDN/>
              <w:bidi w:val="0"/>
              <w:adjustRightInd/>
              <w:snapToGrid/>
              <w:spacing w:line="312" w:lineRule="auto"/>
              <w:ind w:left="1470" w:hanging="1470"/>
              <w:textAlignment w:val="auto"/>
              <w:rPr>
                <w:rFonts w:hint="eastAsia" w:ascii="宋体" w:hAnsi="宋体" w:cs="宋体"/>
                <w:bCs/>
                <w:color w:val="auto"/>
                <w:kern w:val="1"/>
                <w:sz w:val="24"/>
                <w:highlight w:val="none"/>
              </w:rPr>
            </w:pPr>
            <w:r>
              <w:rPr>
                <w:rFonts w:hint="eastAsia" w:ascii="宋体" w:hAnsi="宋体"/>
                <w:color w:val="auto"/>
                <w:sz w:val="24"/>
                <w:highlight w:val="none"/>
              </w:rPr>
              <w:t>地 点：华春众创工场（富平）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rPr>
              <w:t>会议室</w:t>
            </w:r>
          </w:p>
          <w:p w14:paraId="1BDB8630">
            <w:pPr>
              <w:topLinePunct w:val="0"/>
              <w:bidi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Cs/>
                <w:color w:val="auto"/>
                <w:kern w:val="1"/>
                <w:sz w:val="24"/>
                <w:highlight w:val="none"/>
              </w:rPr>
              <w:t>（</w:t>
            </w:r>
            <w:r>
              <w:rPr>
                <w:rFonts w:hint="eastAsia" w:ascii="宋体" w:hAnsi="宋体"/>
                <w:color w:val="auto"/>
                <w:sz w:val="24"/>
                <w:highlight w:val="none"/>
              </w:rPr>
              <w:t>详细地址</w:t>
            </w:r>
            <w:r>
              <w:rPr>
                <w:rFonts w:hint="eastAsia" w:ascii="宋体" w:hAnsi="宋体" w:cs="宋体"/>
                <w:bCs/>
                <w:color w:val="auto"/>
                <w:kern w:val="1"/>
                <w:sz w:val="24"/>
                <w:highlight w:val="none"/>
              </w:rPr>
              <w:t>：富平县富兴路中段西侧紫御台B区商务楼四层）</w:t>
            </w:r>
          </w:p>
        </w:tc>
      </w:tr>
      <w:tr w14:paraId="5F44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2" w:hRule="atLeast"/>
        </w:trPr>
        <w:tc>
          <w:tcPr>
            <w:tcW w:w="598" w:type="dxa"/>
            <w:vAlign w:val="center"/>
          </w:tcPr>
          <w:p w14:paraId="2537FD99">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744" w:type="dxa"/>
            <w:shd w:val="clear" w:color="auto" w:fill="auto"/>
            <w:vAlign w:val="center"/>
          </w:tcPr>
          <w:p w14:paraId="1E6DDF2B">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开标时间及地点</w:t>
            </w:r>
          </w:p>
        </w:tc>
        <w:tc>
          <w:tcPr>
            <w:tcW w:w="7183" w:type="dxa"/>
            <w:shd w:val="clear" w:color="auto" w:fill="auto"/>
            <w:vAlign w:val="center"/>
          </w:tcPr>
          <w:p w14:paraId="2CA3FA2E">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color w:val="auto"/>
                <w:sz w:val="24"/>
                <w:highlight w:val="none"/>
              </w:rPr>
              <w:t>开标时间：20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04</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(北京时间)</w:t>
            </w:r>
          </w:p>
          <w:p w14:paraId="706816B9">
            <w:pPr>
              <w:keepNext w:val="0"/>
              <w:keepLines w:val="0"/>
              <w:pageBreakBefore w:val="0"/>
              <w:widowControl w:val="0"/>
              <w:tabs>
                <w:tab w:val="left" w:pos="1080"/>
                <w:tab w:val="left" w:pos="3240"/>
              </w:tabs>
              <w:kinsoku/>
              <w:wordWrap/>
              <w:overflowPunct/>
              <w:topLinePunct w:val="0"/>
              <w:autoSpaceDE/>
              <w:autoSpaceDN/>
              <w:bidi w:val="0"/>
              <w:adjustRightInd/>
              <w:snapToGrid/>
              <w:spacing w:line="36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开标地点：华春众创工场（富平）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rPr>
              <w:t>会议室</w:t>
            </w:r>
          </w:p>
          <w:p w14:paraId="1FAD97EF">
            <w:pPr>
              <w:topLinePunct w:val="0"/>
              <w:bidi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olor w:val="auto"/>
                <w:sz w:val="24"/>
                <w:highlight w:val="none"/>
              </w:rPr>
              <w:t>（详细地址：富平县富兴路中段西侧紫御台B区商务楼四层）</w:t>
            </w:r>
          </w:p>
        </w:tc>
      </w:tr>
      <w:tr w14:paraId="090A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598" w:type="dxa"/>
            <w:vAlign w:val="center"/>
          </w:tcPr>
          <w:p w14:paraId="13CD2CD3">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744" w:type="dxa"/>
            <w:shd w:val="clear" w:color="auto" w:fill="auto"/>
            <w:vAlign w:val="center"/>
          </w:tcPr>
          <w:p w14:paraId="386561D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1"/>
                <w:sz w:val="24"/>
                <w:szCs w:val="22"/>
                <w:highlight w:val="none"/>
                <w:lang w:val="en-US" w:eastAsia="zh-CN" w:bidi="ar-SA"/>
              </w:rPr>
            </w:pPr>
            <w:r>
              <w:rPr>
                <w:rFonts w:hint="eastAsia" w:ascii="宋体" w:hAnsi="宋体" w:eastAsia="宋体" w:cs="宋体"/>
                <w:color w:val="auto"/>
                <w:kern w:val="1"/>
                <w:sz w:val="24"/>
                <w:highlight w:val="none"/>
                <w:lang w:val="en-US" w:eastAsia="zh-CN"/>
              </w:rPr>
              <w:t>磋商响应文件</w:t>
            </w:r>
          </w:p>
        </w:tc>
        <w:tc>
          <w:tcPr>
            <w:tcW w:w="7183" w:type="dxa"/>
            <w:shd w:val="clear" w:color="auto" w:fill="auto"/>
            <w:vAlign w:val="center"/>
          </w:tcPr>
          <w:p w14:paraId="119144D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1"/>
                <w:sz w:val="24"/>
                <w:szCs w:val="22"/>
                <w:highlight w:val="none"/>
                <w:lang w:val="en-US" w:eastAsia="zh-CN" w:bidi="ar-SA"/>
              </w:rPr>
            </w:pPr>
            <w:r>
              <w:rPr>
                <w:rFonts w:hint="eastAsia" w:ascii="宋体" w:hAnsi="宋体" w:eastAsia="宋体" w:cs="宋体"/>
                <w:color w:val="auto"/>
                <w:kern w:val="1"/>
                <w:sz w:val="24"/>
                <w:highlight w:val="none"/>
                <w:lang w:val="en-US" w:eastAsia="zh-CN"/>
              </w:rPr>
              <w:t>磋商响应文件正本一份、副本</w:t>
            </w:r>
            <w:r>
              <w:rPr>
                <w:rFonts w:hint="eastAsia" w:ascii="宋体" w:hAnsi="宋体" w:cs="宋体"/>
                <w:color w:val="auto"/>
                <w:kern w:val="1"/>
                <w:sz w:val="24"/>
                <w:highlight w:val="none"/>
                <w:lang w:val="en-US" w:eastAsia="zh-CN"/>
              </w:rPr>
              <w:t>三</w:t>
            </w:r>
            <w:r>
              <w:rPr>
                <w:rFonts w:hint="eastAsia" w:ascii="宋体" w:hAnsi="宋体" w:eastAsia="宋体" w:cs="宋体"/>
                <w:color w:val="auto"/>
                <w:kern w:val="1"/>
                <w:sz w:val="24"/>
                <w:highlight w:val="none"/>
                <w:lang w:val="en-US" w:eastAsia="zh-CN"/>
              </w:rPr>
              <w:t>份，分别胶装成册，且封面须清楚地标明“正本”或“副本”；若正本和副本不符，以正本书面文件为准；同时提供与正本内容一致的电子版（U盘，供应商所提供的电子版响应文件须为纸质版响应文件的所有内容，格式为word或pdf形式，须密封于正本文件中）。不</w:t>
            </w:r>
            <w:r>
              <w:rPr>
                <w:rFonts w:hint="eastAsia" w:ascii="宋体" w:hAnsi="宋体" w:cs="宋体"/>
                <w:color w:val="auto"/>
                <w:kern w:val="1"/>
                <w:sz w:val="24"/>
                <w:highlight w:val="none"/>
                <w:lang w:val="en-US" w:eastAsia="zh-CN"/>
              </w:rPr>
              <w:t>接</w:t>
            </w:r>
            <w:r>
              <w:rPr>
                <w:rFonts w:hint="eastAsia" w:ascii="宋体" w:hAnsi="宋体" w:eastAsia="宋体" w:cs="宋体"/>
                <w:color w:val="auto"/>
                <w:kern w:val="1"/>
                <w:sz w:val="24"/>
                <w:highlight w:val="none"/>
                <w:lang w:val="en-US" w:eastAsia="zh-CN"/>
              </w:rPr>
              <w:t>受邮寄的磋商响应文件。</w:t>
            </w:r>
          </w:p>
        </w:tc>
      </w:tr>
      <w:tr w14:paraId="4CD9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598" w:type="dxa"/>
            <w:vAlign w:val="center"/>
          </w:tcPr>
          <w:p w14:paraId="10C028ED">
            <w:pPr>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744" w:type="dxa"/>
            <w:shd w:val="clear" w:color="auto" w:fill="auto"/>
            <w:vAlign w:val="center"/>
          </w:tcPr>
          <w:p w14:paraId="3C8A0EE3">
            <w:pPr>
              <w:keepNext w:val="0"/>
              <w:keepLines w:val="0"/>
              <w:pageBreakBefore w:val="0"/>
              <w:widowControl/>
              <w:tabs>
                <w:tab w:val="left" w:pos="0"/>
              </w:tabs>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green"/>
                <w:lang w:val="en-US" w:eastAsia="zh-CN"/>
              </w:rPr>
            </w:pPr>
          </w:p>
          <w:p w14:paraId="10EAB99E">
            <w:pPr>
              <w:topLinePunct w:val="0"/>
              <w:bidi w:val="0"/>
              <w:spacing w:line="360" w:lineRule="auto"/>
              <w:jc w:val="center"/>
              <w:rPr>
                <w:rFonts w:hint="eastAsia" w:ascii="宋体" w:hAnsi="宋体" w:eastAsia="宋体" w:cs="宋体"/>
                <w:color w:val="auto"/>
                <w:kern w:val="2"/>
                <w:sz w:val="24"/>
                <w:szCs w:val="24"/>
                <w:highlight w:val="green"/>
                <w:lang w:val="en-US" w:eastAsia="zh-CN" w:bidi="ar-SA"/>
              </w:rPr>
            </w:pPr>
            <w:r>
              <w:rPr>
                <w:rFonts w:hint="eastAsia" w:ascii="宋体" w:hAnsi="宋体" w:cs="宋体"/>
                <w:color w:val="auto"/>
                <w:sz w:val="24"/>
                <w:szCs w:val="24"/>
                <w:highlight w:val="none"/>
              </w:rPr>
              <w:t>包装密封</w:t>
            </w:r>
          </w:p>
        </w:tc>
        <w:tc>
          <w:tcPr>
            <w:tcW w:w="7183" w:type="dxa"/>
            <w:shd w:val="clear" w:color="auto" w:fill="auto"/>
            <w:vAlign w:val="center"/>
          </w:tcPr>
          <w:p w14:paraId="38CD680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资格审查资料、磋商响应文件正本、副本需分开密封装在单独的封袋中（封袋不得有破损），电子版应与磋商响应文件正本一同封装，且在封袋正面标明“资格审查资料”“正本”“副本”字样。封袋应密封，并在封线处加盖供应商公章，封袋正面要注明供应商全称、项目名称、项目编号等标识，且磋商响应文件袋上应加盖供应商公章。如果未按上述规定进行密封，供应商的磋商响应文件有权被采购人、采购代理机构拒绝。</w:t>
            </w:r>
          </w:p>
          <w:p w14:paraId="78423D9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green"/>
                <w:lang w:val="zh-CN" w:eastAsia="zh-CN" w:bidi="ar-SA"/>
              </w:rPr>
            </w:pPr>
            <w:r>
              <w:rPr>
                <w:rFonts w:hint="eastAsia" w:ascii="宋体" w:hAnsi="宋体" w:eastAsia="宋体" w:cs="宋体"/>
                <w:color w:val="auto"/>
                <w:kern w:val="1"/>
                <w:sz w:val="24"/>
                <w:highlight w:val="none"/>
                <w:lang w:val="en-US" w:eastAsia="zh-CN"/>
              </w:rPr>
              <w:t>如果供应商未按上述要求密封及加写标记，造成磋商响应文件误投或过早启封被视为无效投标的风险由供应商自行承担。</w:t>
            </w:r>
          </w:p>
        </w:tc>
      </w:tr>
      <w:tr w14:paraId="41EA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598" w:type="dxa"/>
            <w:vAlign w:val="center"/>
          </w:tcPr>
          <w:p w14:paraId="032AD7B7">
            <w:pPr>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744" w:type="dxa"/>
            <w:shd w:val="clear" w:color="auto" w:fill="auto"/>
            <w:vAlign w:val="center"/>
          </w:tcPr>
          <w:p w14:paraId="3C1E9D4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磋商报价</w:t>
            </w:r>
          </w:p>
        </w:tc>
        <w:tc>
          <w:tcPr>
            <w:tcW w:w="7183" w:type="dxa"/>
            <w:shd w:val="clear" w:color="auto" w:fill="auto"/>
            <w:vAlign w:val="center"/>
          </w:tcPr>
          <w:p w14:paraId="21E3A6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磋商过程中采取二次报价的形式，即各供应商的开标报价为第一次报价，符合性评审合格后，磋商小组所有成员集中与单一供应商分别进行磋商，磋商后各供应商进行二次报价。在磋商过程中，磋商小组可以根据磋商文件和磋商情况实质性变动采购需求中的技术、服务要求以及合同草案条款，但不得变动磋商文件中的其他内容。</w:t>
            </w:r>
          </w:p>
          <w:p w14:paraId="7D9FF5E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2、本次报价以二次报价为最终报价，在二次报价过程中，若大小写不一致，以大写为准。</w:t>
            </w:r>
          </w:p>
        </w:tc>
      </w:tr>
      <w:tr w14:paraId="5476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598" w:type="dxa"/>
            <w:vAlign w:val="center"/>
          </w:tcPr>
          <w:p w14:paraId="71A00433">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744" w:type="dxa"/>
            <w:shd w:val="clear" w:color="auto" w:fill="auto"/>
            <w:vAlign w:val="center"/>
          </w:tcPr>
          <w:p w14:paraId="2695CB7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lang w:eastAsia="zh-CN"/>
              </w:rPr>
              <w:t>质疑与投诉</w:t>
            </w:r>
          </w:p>
        </w:tc>
        <w:tc>
          <w:tcPr>
            <w:tcW w:w="7183" w:type="dxa"/>
            <w:shd w:val="clear" w:color="auto" w:fill="auto"/>
            <w:vAlign w:val="center"/>
          </w:tcPr>
          <w:p w14:paraId="346A17C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质疑、投诉的接收和处理严格按照《中华人民共和国政府采购法》《政府采购供应商投诉处理办法》《政府采购质疑和投诉办法》《财政部关于加强政府采购供应商投诉受理审查工作的通知》等的相关规定办理。</w:t>
            </w:r>
          </w:p>
          <w:p w14:paraId="55179D3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投诉联系方式：0913-8219328</w:t>
            </w:r>
          </w:p>
          <w:p w14:paraId="3420DF1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lang w:val="en-US" w:eastAsia="zh-CN"/>
              </w:rPr>
              <w:t>投诉联系地址：同报名地址</w:t>
            </w:r>
          </w:p>
        </w:tc>
      </w:tr>
      <w:tr w14:paraId="3FBBB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598" w:type="dxa"/>
            <w:vAlign w:val="center"/>
          </w:tcPr>
          <w:p w14:paraId="4DBF4DEA">
            <w:pPr>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744" w:type="dxa"/>
            <w:shd w:val="clear" w:color="auto" w:fill="auto"/>
            <w:vAlign w:val="center"/>
          </w:tcPr>
          <w:p w14:paraId="7B91EF3B">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评分标准</w:t>
            </w:r>
          </w:p>
        </w:tc>
        <w:tc>
          <w:tcPr>
            <w:tcW w:w="7183" w:type="dxa"/>
            <w:shd w:val="clear" w:color="auto" w:fill="auto"/>
            <w:vAlign w:val="center"/>
          </w:tcPr>
          <w:p w14:paraId="23D1B829">
            <w:pPr>
              <w:topLinePunct w:val="0"/>
              <w:bidi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sz w:val="24"/>
                <w:szCs w:val="24"/>
                <w:highlight w:val="none"/>
              </w:rPr>
              <w:t>详见磋商文件</w:t>
            </w:r>
            <w:r>
              <w:rPr>
                <w:rFonts w:hint="eastAsia" w:ascii="宋体" w:hAnsi="宋体" w:cs="宋体"/>
                <w:b w:val="0"/>
                <w:bCs w:val="0"/>
                <w:color w:val="auto"/>
                <w:sz w:val="24"/>
                <w:szCs w:val="24"/>
                <w:highlight w:val="none"/>
                <w:lang w:eastAsia="zh-CN"/>
              </w:rPr>
              <w:t>第四部分评审标准</w:t>
            </w:r>
            <w:r>
              <w:rPr>
                <w:rFonts w:hint="eastAsia" w:ascii="宋体" w:hAnsi="宋体" w:cs="宋体"/>
                <w:b w:val="0"/>
                <w:bCs w:val="0"/>
                <w:color w:val="auto"/>
                <w:sz w:val="24"/>
                <w:szCs w:val="24"/>
                <w:highlight w:val="none"/>
              </w:rPr>
              <w:t>。</w:t>
            </w:r>
          </w:p>
        </w:tc>
      </w:tr>
      <w:tr w14:paraId="0AF5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598" w:type="dxa"/>
            <w:vAlign w:val="center"/>
          </w:tcPr>
          <w:p w14:paraId="71568B15">
            <w:pPr>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44" w:type="dxa"/>
            <w:shd w:val="clear" w:color="auto" w:fill="auto"/>
            <w:vAlign w:val="center"/>
          </w:tcPr>
          <w:p w14:paraId="11DEBB67">
            <w:pPr>
              <w:topLinePunct w:val="0"/>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是否面向中小企业采购</w:t>
            </w:r>
          </w:p>
        </w:tc>
        <w:tc>
          <w:tcPr>
            <w:tcW w:w="7183" w:type="dxa"/>
            <w:shd w:val="clear" w:color="auto" w:fill="auto"/>
            <w:vAlign w:val="center"/>
          </w:tcPr>
          <w:p w14:paraId="2553E85C">
            <w:pPr>
              <w:keepNext w:val="0"/>
              <w:keepLines w:val="0"/>
              <w:pageBreakBefore w:val="0"/>
              <w:widowControl w:val="0"/>
              <w:kinsoku/>
              <w:wordWrap/>
              <w:overflowPunct/>
              <w:topLinePunct w:val="0"/>
              <w:autoSpaceDE/>
              <w:autoSpaceDN/>
              <w:bidi w:val="0"/>
              <w:adjustRightInd/>
              <w:snapToGrid/>
              <w:spacing w:line="240" w:lineRule="auto"/>
              <w:ind w:left="0" w:leftChars="-9" w:hanging="19" w:hangingChars="8"/>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b w:val="0"/>
                <w:color w:val="auto"/>
                <w:kern w:val="0"/>
                <w:sz w:val="24"/>
                <w:szCs w:val="24"/>
                <w:highlight w:val="none"/>
                <w:lang w:val="en-US" w:eastAsia="zh-CN" w:bidi="ar"/>
              </w:rPr>
              <w:t>是</w:t>
            </w:r>
          </w:p>
        </w:tc>
      </w:tr>
      <w:tr w14:paraId="750C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3" w:hRule="atLeast"/>
        </w:trPr>
        <w:tc>
          <w:tcPr>
            <w:tcW w:w="598" w:type="dxa"/>
            <w:vAlign w:val="center"/>
          </w:tcPr>
          <w:p w14:paraId="7176D715">
            <w:pPr>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44" w:type="dxa"/>
            <w:shd w:val="clear" w:color="auto" w:fill="auto"/>
            <w:vAlign w:val="center"/>
          </w:tcPr>
          <w:p w14:paraId="1A1000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1"/>
                <w:sz w:val="24"/>
                <w:szCs w:val="22"/>
                <w:highlight w:val="none"/>
                <w:lang w:val="en-US" w:eastAsia="zh-CN" w:bidi="ar-SA"/>
              </w:rPr>
            </w:pPr>
            <w:r>
              <w:rPr>
                <w:rFonts w:hint="eastAsia" w:ascii="宋体" w:hAnsi="宋体" w:eastAsia="宋体" w:cs="Times New Roman"/>
                <w:color w:val="auto"/>
                <w:sz w:val="24"/>
                <w:highlight w:val="none"/>
                <w:lang w:val="en-US" w:eastAsia="zh-CN"/>
              </w:rPr>
              <w:t>所属行业</w:t>
            </w:r>
          </w:p>
        </w:tc>
        <w:tc>
          <w:tcPr>
            <w:tcW w:w="7183" w:type="dxa"/>
            <w:shd w:val="clear" w:color="auto" w:fill="auto"/>
            <w:vAlign w:val="center"/>
          </w:tcPr>
          <w:p w14:paraId="6A213259">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pacing w:val="-6"/>
                <w:kern w:val="1"/>
                <w:sz w:val="24"/>
                <w:szCs w:val="22"/>
                <w:highlight w:val="none"/>
                <w:lang w:val="en-US" w:eastAsia="zh-CN" w:bidi="ar-SA"/>
              </w:rPr>
            </w:pPr>
            <w:r>
              <w:rPr>
                <w:rFonts w:hint="eastAsia" w:ascii="宋体" w:hAnsi="宋体" w:cs="宋体"/>
                <w:color w:val="auto"/>
                <w:sz w:val="24"/>
                <w:szCs w:val="24"/>
                <w:highlight w:val="none"/>
                <w:lang w:val="en-US" w:eastAsia="zh-CN"/>
              </w:rPr>
              <w:t>其他未列明行业</w:t>
            </w:r>
          </w:p>
        </w:tc>
      </w:tr>
      <w:tr w14:paraId="1CDCF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9" w:hRule="atLeast"/>
        </w:trPr>
        <w:tc>
          <w:tcPr>
            <w:tcW w:w="598" w:type="dxa"/>
            <w:vAlign w:val="center"/>
          </w:tcPr>
          <w:p w14:paraId="33B876A3">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8927" w:type="dxa"/>
            <w:gridSpan w:val="2"/>
            <w:vAlign w:val="center"/>
          </w:tcPr>
          <w:p w14:paraId="4F511607">
            <w:pPr>
              <w:topLinePunct w:val="0"/>
              <w:bidi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本竞争性磋商文件未明确的其他事项，按照有关法律、法规或省市有关规定执行。</w:t>
            </w:r>
          </w:p>
        </w:tc>
      </w:tr>
    </w:tbl>
    <w:p w14:paraId="123BAF07">
      <w:pPr>
        <w:rPr>
          <w:rFonts w:hint="eastAsia" w:ascii="宋体" w:hAnsi="宋体" w:eastAsia="宋体"/>
          <w:b/>
          <w:color w:val="auto"/>
          <w:sz w:val="28"/>
          <w:szCs w:val="28"/>
          <w:highlight w:val="none"/>
          <w:lang w:val="en-US" w:eastAsia="zh-CN"/>
        </w:rPr>
      </w:pPr>
      <w:bookmarkStart w:id="16" w:name="_Toc13065120"/>
      <w:bookmarkStart w:id="17" w:name="_Toc26739"/>
      <w:bookmarkStart w:id="18" w:name="_Toc12064"/>
      <w:bookmarkStart w:id="19" w:name="_Toc10909"/>
      <w:r>
        <w:rPr>
          <w:rFonts w:hint="eastAsia" w:ascii="宋体" w:hAnsi="宋体"/>
          <w:b/>
          <w:color w:val="auto"/>
          <w:sz w:val="28"/>
          <w:szCs w:val="28"/>
          <w:highlight w:val="none"/>
        </w:rPr>
        <w:br w:type="page"/>
      </w:r>
    </w:p>
    <w:p w14:paraId="2CEC7B6D">
      <w:pPr>
        <w:jc w:val="center"/>
        <w:rPr>
          <w:rFonts w:hint="eastAsia" w:ascii="宋体" w:hAnsi="宋体" w:cs="宋体"/>
          <w:b/>
          <w:bCs/>
          <w:color w:val="auto"/>
          <w:kern w:val="0"/>
          <w:sz w:val="32"/>
          <w:szCs w:val="28"/>
          <w:highlight w:val="none"/>
        </w:rPr>
      </w:pPr>
      <w:r>
        <w:rPr>
          <w:rFonts w:hint="eastAsia" w:ascii="宋体" w:hAnsi="宋体"/>
          <w:b/>
          <w:color w:val="auto"/>
          <w:sz w:val="28"/>
          <w:szCs w:val="28"/>
          <w:highlight w:val="none"/>
        </w:rPr>
        <w:t>二、磋商须知</w:t>
      </w:r>
    </w:p>
    <w:p w14:paraId="43AD54F0">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总则</w:t>
      </w:r>
      <w:bookmarkEnd w:id="16"/>
      <w:bookmarkEnd w:id="17"/>
      <w:bookmarkEnd w:id="18"/>
      <w:bookmarkEnd w:id="19"/>
    </w:p>
    <w:p w14:paraId="24B65B4B">
      <w:pPr>
        <w:pStyle w:val="4"/>
        <w:numPr>
          <w:ilvl w:val="0"/>
          <w:numId w:val="2"/>
        </w:numPr>
        <w:topLinePunct w:val="0"/>
        <w:bidi w:val="0"/>
        <w:spacing w:line="360" w:lineRule="auto"/>
        <w:ind w:firstLine="482" w:firstLineChars="200"/>
        <w:rPr>
          <w:rFonts w:ascii="宋体" w:hAnsi="宋体" w:cs="宋体"/>
          <w:color w:val="auto"/>
          <w:sz w:val="24"/>
          <w:szCs w:val="24"/>
          <w:highlight w:val="none"/>
        </w:rPr>
      </w:pPr>
      <w:bookmarkStart w:id="20" w:name="_Toc9257"/>
      <w:bookmarkStart w:id="21" w:name="_Toc358364319"/>
      <w:bookmarkStart w:id="22" w:name="_Toc6742"/>
      <w:bookmarkStart w:id="23" w:name="_Toc380336725"/>
      <w:r>
        <w:rPr>
          <w:rFonts w:hint="eastAsia" w:ascii="宋体" w:hAnsi="宋体" w:cs="宋体"/>
          <w:color w:val="auto"/>
          <w:sz w:val="24"/>
          <w:szCs w:val="24"/>
          <w:highlight w:val="none"/>
        </w:rPr>
        <w:t>适用范围</w:t>
      </w:r>
      <w:bookmarkEnd w:id="20"/>
      <w:bookmarkEnd w:id="21"/>
      <w:bookmarkEnd w:id="22"/>
      <w:bookmarkEnd w:id="23"/>
    </w:p>
    <w:p w14:paraId="60EC64EB">
      <w:pPr>
        <w:widowControl/>
        <w:topLinePunct w:val="0"/>
        <w:bidi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本磋商文件适用于本次采购活动的全过程。</w:t>
      </w:r>
    </w:p>
    <w:p w14:paraId="0520F808">
      <w:pPr>
        <w:widowControl/>
        <w:topLinePunct w:val="0"/>
        <w:bidi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本次采购属政府采购，采购人、采购代理机构、供应商、磋商小组的相关行为</w:t>
      </w:r>
      <w:r>
        <w:rPr>
          <w:rFonts w:hint="eastAsia" w:ascii="宋体" w:hAnsi="宋体" w:cs="宋体"/>
          <w:color w:val="auto"/>
          <w:kern w:val="0"/>
          <w:sz w:val="24"/>
          <w:szCs w:val="24"/>
        </w:rPr>
        <w:t>均受《中华人民共和国政府采购法》《中华人民共和国政</w:t>
      </w:r>
      <w:r>
        <w:rPr>
          <w:rFonts w:hint="eastAsia" w:ascii="宋体" w:hAnsi="宋体" w:cs="宋体"/>
          <w:color w:val="auto"/>
          <w:kern w:val="0"/>
          <w:sz w:val="24"/>
          <w:szCs w:val="24"/>
          <w:highlight w:val="none"/>
        </w:rPr>
        <w:t>府采购法实施条例》</w:t>
      </w:r>
      <w:r>
        <w:rPr>
          <w:rFonts w:hint="eastAsia" w:ascii="宋体" w:hAnsi="宋体" w:cs="宋体"/>
          <w:color w:val="auto"/>
          <w:kern w:val="0"/>
          <w:sz w:val="24"/>
          <w:szCs w:val="24"/>
          <w:highlight w:val="none"/>
          <w:lang w:val="en-US" w:eastAsia="zh-CN"/>
        </w:rPr>
        <w:t>等相关法律、法规的约束</w:t>
      </w:r>
      <w:r>
        <w:rPr>
          <w:rFonts w:hint="eastAsia" w:ascii="宋体" w:hAnsi="宋体" w:cs="宋体"/>
          <w:color w:val="auto"/>
          <w:kern w:val="0"/>
          <w:sz w:val="24"/>
          <w:szCs w:val="24"/>
          <w:highlight w:val="none"/>
        </w:rPr>
        <w:t>，其权利受到上述法律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法规的保护。</w:t>
      </w:r>
    </w:p>
    <w:p w14:paraId="048A2BE4">
      <w:pPr>
        <w:pStyle w:val="4"/>
        <w:numPr>
          <w:ilvl w:val="0"/>
          <w:numId w:val="2"/>
        </w:numPr>
        <w:topLinePunct w:val="0"/>
        <w:bidi w:val="0"/>
        <w:spacing w:line="360" w:lineRule="auto"/>
        <w:ind w:firstLine="482" w:firstLineChars="200"/>
        <w:rPr>
          <w:rFonts w:hint="eastAsia" w:ascii="宋体" w:hAnsi="宋体" w:cs="宋体"/>
          <w:color w:val="auto"/>
          <w:sz w:val="24"/>
          <w:szCs w:val="24"/>
          <w:highlight w:val="none"/>
        </w:rPr>
      </w:pPr>
      <w:bookmarkStart w:id="24" w:name="_Toc358364320"/>
      <w:bookmarkStart w:id="25" w:name="_Toc380336726"/>
      <w:bookmarkStart w:id="26" w:name="_Toc11287"/>
      <w:bookmarkStart w:id="27" w:name="_Toc7922"/>
      <w:r>
        <w:rPr>
          <w:rFonts w:hint="eastAsia" w:ascii="宋体" w:hAnsi="宋体" w:cs="宋体"/>
          <w:color w:val="auto"/>
          <w:sz w:val="24"/>
          <w:szCs w:val="24"/>
          <w:highlight w:val="none"/>
        </w:rPr>
        <w:t>定义</w:t>
      </w:r>
      <w:bookmarkEnd w:id="24"/>
      <w:bookmarkEnd w:id="25"/>
      <w:bookmarkEnd w:id="26"/>
      <w:bookmarkEnd w:id="27"/>
    </w:p>
    <w:p w14:paraId="45C6755C">
      <w:pPr>
        <w:widowControl/>
        <w:topLinePunct w:val="0"/>
        <w:bidi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2.1“采购人”是指依法进行政府采购的国家机关、事业单位、团体组织。本次政府采购的采购人名称、地址、电话见供应商须知前附表。</w:t>
      </w:r>
    </w:p>
    <w:p w14:paraId="2A2158EB">
      <w:pPr>
        <w:widowControl/>
        <w:topLinePunct w:val="0"/>
        <w:bidi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2.2“采购代理机构”是指接受采购人委托，代理采购项目的集中采购机构和其他采购代理机构。本次采购代理机构名称、地址、电话见供应商须知前附表。</w:t>
      </w:r>
    </w:p>
    <w:p w14:paraId="13871A46">
      <w:pPr>
        <w:widowControl/>
        <w:topLinePunct w:val="0"/>
        <w:bidi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2.3“供应商”是</w:t>
      </w:r>
      <w:r>
        <w:rPr>
          <w:rFonts w:hint="eastAsia" w:ascii="宋体" w:hAnsi="宋体" w:cs="宋体"/>
          <w:color w:val="auto"/>
          <w:sz w:val="24"/>
          <w:szCs w:val="24"/>
          <w:highlight w:val="none"/>
        </w:rPr>
        <w:t>参与本项目磋商活动的法人、其他组织或自然人</w:t>
      </w:r>
      <w:r>
        <w:rPr>
          <w:rFonts w:hint="eastAsia" w:ascii="宋体" w:hAnsi="宋体" w:cs="宋体"/>
          <w:color w:val="auto"/>
          <w:kern w:val="0"/>
          <w:sz w:val="24"/>
          <w:szCs w:val="24"/>
          <w:highlight w:val="none"/>
        </w:rPr>
        <w:t>。</w:t>
      </w:r>
    </w:p>
    <w:p w14:paraId="6AE096E7">
      <w:pPr>
        <w:widowControl/>
        <w:topLinePunct w:val="0"/>
        <w:bidi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2.4“服务”指除了货物和工程外的其他政府采购对象。包含除货物以外规</w:t>
      </w:r>
      <w:r>
        <w:rPr>
          <w:rFonts w:hint="eastAsia" w:ascii="宋体" w:hAnsi="宋体" w:cs="宋体"/>
          <w:color w:val="auto"/>
          <w:sz w:val="24"/>
          <w:szCs w:val="24"/>
          <w:highlight w:val="none"/>
        </w:rPr>
        <w:t>定由供应商承担的与货物有关的辅助服务。</w:t>
      </w:r>
    </w:p>
    <w:p w14:paraId="29038865">
      <w:pPr>
        <w:widowControl/>
        <w:topLinePunct w:val="0"/>
        <w:bidi w:val="0"/>
        <w:spacing w:line="360" w:lineRule="auto"/>
        <w:ind w:firstLine="480" w:firstLineChars="200"/>
        <w:rPr>
          <w:rFonts w:hint="eastAsia"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2.5本项目所属行业：其他未列明行业。</w:t>
      </w:r>
    </w:p>
    <w:p w14:paraId="7D9B5B4B">
      <w:pPr>
        <w:pStyle w:val="4"/>
        <w:numPr>
          <w:ilvl w:val="0"/>
          <w:numId w:val="2"/>
        </w:numPr>
        <w:topLinePunct w:val="0"/>
        <w:bidi w:val="0"/>
        <w:spacing w:line="360" w:lineRule="auto"/>
        <w:ind w:firstLine="482" w:firstLineChars="200"/>
        <w:rPr>
          <w:rFonts w:hint="eastAsia" w:ascii="宋体" w:hAnsi="宋体" w:cs="宋体"/>
          <w:color w:val="auto"/>
          <w:sz w:val="24"/>
          <w:szCs w:val="24"/>
          <w:highlight w:val="none"/>
        </w:rPr>
      </w:pPr>
      <w:bookmarkStart w:id="28" w:name="_Toc17676"/>
      <w:bookmarkStart w:id="29" w:name="_Toc380336727"/>
      <w:bookmarkStart w:id="30" w:name="_Toc23781"/>
      <w:bookmarkStart w:id="31" w:name="_Toc358364321"/>
      <w:r>
        <w:rPr>
          <w:rFonts w:hint="eastAsia" w:ascii="宋体" w:hAnsi="宋体" w:cs="宋体"/>
          <w:color w:val="auto"/>
          <w:sz w:val="24"/>
          <w:szCs w:val="24"/>
          <w:highlight w:val="none"/>
        </w:rPr>
        <w:t>合格的</w:t>
      </w:r>
      <w:bookmarkEnd w:id="28"/>
      <w:bookmarkEnd w:id="29"/>
      <w:bookmarkEnd w:id="30"/>
      <w:bookmarkEnd w:id="31"/>
      <w:r>
        <w:rPr>
          <w:rFonts w:hint="eastAsia" w:ascii="宋体" w:hAnsi="宋体" w:cs="宋体"/>
          <w:color w:val="auto"/>
          <w:sz w:val="24"/>
          <w:szCs w:val="24"/>
          <w:highlight w:val="none"/>
        </w:rPr>
        <w:t>供应商</w:t>
      </w:r>
    </w:p>
    <w:p w14:paraId="39D98475">
      <w:pPr>
        <w:tabs>
          <w:tab w:val="left" w:pos="0"/>
        </w:tabs>
        <w:topLinePunct w:val="0"/>
        <w:bidi w:val="0"/>
        <w:spacing w:line="360" w:lineRule="auto"/>
        <w:ind w:left="6" w:firstLine="499" w:firstLineChars="20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3.1具有本项目生产、制造、加工、供应或实施能力，符合、承认并承诺履行本</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各项规定的国内供应商。</w:t>
      </w:r>
    </w:p>
    <w:p w14:paraId="250587C7">
      <w:pPr>
        <w:tabs>
          <w:tab w:val="left" w:pos="0"/>
        </w:tabs>
        <w:topLinePunct w:val="0"/>
        <w:bidi w:val="0"/>
        <w:spacing w:line="360" w:lineRule="auto"/>
        <w:ind w:left="6" w:firstLine="499" w:firstLineChars="208"/>
        <w:jc w:val="left"/>
        <w:rPr>
          <w:rFonts w:ascii="宋体" w:hAnsi="宋体" w:cs="宋体"/>
          <w:color w:val="auto"/>
          <w:sz w:val="24"/>
          <w:szCs w:val="24"/>
          <w:highlight w:val="none"/>
        </w:rPr>
      </w:pPr>
      <w:r>
        <w:rPr>
          <w:rFonts w:hint="eastAsia" w:ascii="宋体" w:hAnsi="宋体" w:cs="宋体"/>
          <w:color w:val="auto"/>
          <w:sz w:val="24"/>
          <w:szCs w:val="24"/>
          <w:highlight w:val="none"/>
        </w:rPr>
        <w:t>3.2供应商应遵守有关的国家法律、法规和条例，具备《中华人民共和国政府采购法》和本文件中规定的资格条件</w:t>
      </w:r>
      <w:r>
        <w:rPr>
          <w:rFonts w:hint="eastAsia" w:ascii="宋体" w:hAnsi="宋体" w:cs="宋体"/>
          <w:color w:val="auto"/>
          <w:sz w:val="24"/>
          <w:szCs w:val="24"/>
          <w:highlight w:val="none"/>
          <w:lang w:eastAsia="zh-CN"/>
        </w:rPr>
        <w:t>。</w:t>
      </w:r>
    </w:p>
    <w:p w14:paraId="196B378F">
      <w:pPr>
        <w:tabs>
          <w:tab w:val="left" w:pos="0"/>
        </w:tabs>
        <w:topLinePunct w:val="0"/>
        <w:bidi w:val="0"/>
        <w:spacing w:line="360" w:lineRule="auto"/>
        <w:ind w:left="6"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3.3供应商</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磋商文件时应登记备案，并提供有效联系方式。</w:t>
      </w:r>
    </w:p>
    <w:p w14:paraId="5AF18DD9">
      <w:pPr>
        <w:tabs>
          <w:tab w:val="left" w:pos="0"/>
        </w:tabs>
        <w:topLinePunct w:val="0"/>
        <w:bidi w:val="0"/>
        <w:spacing w:line="360" w:lineRule="auto"/>
        <w:ind w:left="5" w:firstLine="518" w:firstLineChars="216"/>
        <w:rPr>
          <w:rFonts w:ascii="宋体" w:hAnsi="宋体" w:cs="宋体"/>
          <w:color w:val="auto"/>
          <w:kern w:val="0"/>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供应商应独立于采购人，不得直接或间接地与采购人为采购本次招标的货物</w:t>
      </w:r>
      <w:r>
        <w:rPr>
          <w:rFonts w:hint="eastAsia" w:ascii="宋体" w:hAnsi="宋体" w:cs="宋体"/>
          <w:color w:val="auto"/>
          <w:sz w:val="24"/>
          <w:szCs w:val="24"/>
          <w:highlight w:val="none"/>
          <w:lang w:val="en-US" w:eastAsia="zh-CN"/>
        </w:rPr>
        <w:t>或服务</w:t>
      </w:r>
      <w:r>
        <w:rPr>
          <w:rFonts w:hint="eastAsia" w:ascii="宋体" w:hAnsi="宋体" w:cs="宋体"/>
          <w:color w:val="auto"/>
          <w:sz w:val="24"/>
          <w:szCs w:val="24"/>
          <w:highlight w:val="none"/>
        </w:rPr>
        <w:t>进行设计、编制技术规格和其它文件所委托的咨询公司或其附属机构有任何关联。</w:t>
      </w:r>
    </w:p>
    <w:p w14:paraId="54CCE430">
      <w:pPr>
        <w:tabs>
          <w:tab w:val="left" w:pos="0"/>
        </w:tabs>
        <w:topLinePunct w:val="0"/>
        <w:bidi w:val="0"/>
        <w:spacing w:line="360" w:lineRule="auto"/>
        <w:ind w:left="5" w:firstLine="518" w:firstLineChars="216"/>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供应商不得存在下列情形之一</w:t>
      </w:r>
      <w:r>
        <w:rPr>
          <w:rFonts w:hint="eastAsia" w:ascii="宋体" w:hAnsi="宋体" w:cs="宋体"/>
          <w:color w:val="auto"/>
          <w:sz w:val="24"/>
          <w:szCs w:val="24"/>
          <w:highlight w:val="none"/>
        </w:rPr>
        <w:t>：</w:t>
      </w:r>
    </w:p>
    <w:p w14:paraId="11CE5A2D">
      <w:pPr>
        <w:tabs>
          <w:tab w:val="left" w:pos="0"/>
        </w:tabs>
        <w:topLinePunct w:val="0"/>
        <w:bidi w:val="0"/>
        <w:spacing w:line="360" w:lineRule="auto"/>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（1）与采购人或采购代理机构存在隶属关系或者其他利害关系；</w:t>
      </w:r>
    </w:p>
    <w:p w14:paraId="26C62C40">
      <w:pPr>
        <w:tabs>
          <w:tab w:val="left" w:pos="0"/>
        </w:tabs>
        <w:topLinePunct w:val="0"/>
        <w:bidi w:val="0"/>
        <w:spacing w:line="360" w:lineRule="auto"/>
        <w:ind w:left="6"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（2）与其他供应商的法定代表人为同一人，或者与其他供应商存在直接控股、管理关系；</w:t>
      </w:r>
    </w:p>
    <w:p w14:paraId="018F317A">
      <w:pPr>
        <w:keepNext w:val="0"/>
        <w:keepLines w:val="0"/>
        <w:pageBreakBefore w:val="0"/>
        <w:widowControl w:val="0"/>
        <w:tabs>
          <w:tab w:val="left" w:pos="0"/>
        </w:tabs>
        <w:kinsoku/>
        <w:wordWrap/>
        <w:overflowPunct/>
        <w:topLinePunct w:val="0"/>
        <w:autoSpaceDE/>
        <w:autoSpaceDN/>
        <w:bidi w:val="0"/>
        <w:adjustRightInd/>
        <w:snapToGrid/>
        <w:spacing w:line="360" w:lineRule="auto"/>
        <w:ind w:left="6" w:firstLine="480" w:firstLineChars="200"/>
        <w:textAlignment w:val="auto"/>
        <w:rPr>
          <w:color w:val="auto"/>
          <w:highlight w:val="none"/>
          <w:lang w:val="en-US" w:eastAsia="zh-CN"/>
        </w:rPr>
      </w:pPr>
      <w:r>
        <w:rPr>
          <w:rFonts w:hint="eastAsia" w:ascii="宋体" w:hAnsi="宋体" w:cs="宋体"/>
          <w:color w:val="auto"/>
          <w:kern w:val="0"/>
          <w:sz w:val="24"/>
          <w:szCs w:val="24"/>
          <w:highlight w:val="none"/>
        </w:rPr>
        <w:t>（3）受到刑事处罚</w:t>
      </w:r>
      <w:r>
        <w:rPr>
          <w:rFonts w:hint="eastAsia" w:ascii="宋体" w:hAnsi="宋体" w:cs="宋体"/>
          <w:color w:val="auto"/>
          <w:kern w:val="0"/>
          <w:sz w:val="24"/>
          <w:szCs w:val="24"/>
          <w:highlight w:val="none"/>
          <w:lang w:val="en-US" w:eastAsia="zh-CN"/>
        </w:rPr>
        <w:t>或者</w:t>
      </w:r>
      <w:r>
        <w:rPr>
          <w:rFonts w:hint="eastAsia" w:ascii="宋体" w:hAnsi="宋体" w:cs="宋体"/>
          <w:color w:val="auto"/>
          <w:kern w:val="0"/>
          <w:sz w:val="24"/>
          <w:szCs w:val="24"/>
          <w:highlight w:val="none"/>
        </w:rPr>
        <w:t>责令停产停业、</w:t>
      </w:r>
      <w:r>
        <w:rPr>
          <w:rFonts w:hint="eastAsia" w:ascii="宋体" w:hAnsi="宋体" w:cs="宋体"/>
          <w:color w:val="auto"/>
          <w:kern w:val="0"/>
          <w:sz w:val="24"/>
          <w:szCs w:val="24"/>
          <w:highlight w:val="none"/>
          <w:lang w:val="en-US" w:eastAsia="zh-CN"/>
        </w:rPr>
        <w:t>吊销许可证或者执照、较大数额罚款等行政处罚。供应商在参加政府采购活动前三年内因违法经营被禁止在一定期限内参加政府活动，期限未满的。</w:t>
      </w:r>
    </w:p>
    <w:p w14:paraId="11602A9C">
      <w:pPr>
        <w:pStyle w:val="4"/>
        <w:pageBreakBefore w:val="0"/>
        <w:numPr>
          <w:ilvl w:val="0"/>
          <w:numId w:val="2"/>
        </w:numPr>
        <w:kinsoku/>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bookmarkStart w:id="32" w:name="_Toc358364322"/>
      <w:bookmarkStart w:id="33" w:name="_Toc22444"/>
      <w:bookmarkStart w:id="34" w:name="_Toc380336728"/>
      <w:bookmarkStart w:id="35" w:name="_Toc540"/>
      <w:r>
        <w:rPr>
          <w:rFonts w:hint="eastAsia" w:ascii="宋体" w:hAnsi="宋体" w:cs="宋体"/>
          <w:color w:val="auto"/>
          <w:sz w:val="24"/>
          <w:szCs w:val="24"/>
          <w:highlight w:val="none"/>
        </w:rPr>
        <w:t>费用</w:t>
      </w:r>
      <w:bookmarkEnd w:id="32"/>
      <w:bookmarkEnd w:id="33"/>
      <w:bookmarkEnd w:id="34"/>
      <w:bookmarkEnd w:id="35"/>
    </w:p>
    <w:p w14:paraId="24974820">
      <w:pPr>
        <w:pageBreakBefore w:val="0"/>
        <w:widowControl/>
        <w:kinsoku/>
        <w:wordWrap w:val="0"/>
        <w:overflowPunct/>
        <w:topLinePunct w:val="0"/>
        <w:autoSpaceDE/>
        <w:autoSpaceDN/>
        <w:bidi w:val="0"/>
        <w:adjustRightInd/>
        <w:snapToGrid w:val="0"/>
        <w:spacing w:beforeLines="50" w:line="360" w:lineRule="auto"/>
        <w:ind w:right="-90" w:rightChars="-43"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供应商应承担所有与准备和参加投标有关的费用，采购代理机构（或采购人)在任何情况下均无义务和责任承担这些费用。</w:t>
      </w:r>
    </w:p>
    <w:p w14:paraId="605050FA">
      <w:pPr>
        <w:pStyle w:val="4"/>
        <w:pageBreakBefore w:val="0"/>
        <w:numPr>
          <w:ilvl w:val="0"/>
          <w:numId w:val="2"/>
        </w:numPr>
        <w:kinsoku/>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23674E17">
      <w:pPr>
        <w:keepNext w:val="0"/>
        <w:keepLines w:val="0"/>
        <w:pageBreakBefore w:val="0"/>
        <w:widowControl w:val="0"/>
        <w:tabs>
          <w:tab w:val="left" w:pos="0"/>
        </w:tabs>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对列入财政部、</w:t>
      </w:r>
      <w:r>
        <w:rPr>
          <w:rFonts w:hint="eastAsia" w:ascii="宋体" w:hAnsi="宋体" w:cs="宋体"/>
          <w:color w:val="auto"/>
          <w:kern w:val="0"/>
          <w:sz w:val="24"/>
          <w:szCs w:val="24"/>
          <w:highlight w:val="none"/>
          <w:lang w:val="en-US" w:eastAsia="zh-CN"/>
        </w:rPr>
        <w:t>发展改革委</w:t>
      </w:r>
      <w:r>
        <w:rPr>
          <w:rFonts w:hint="eastAsia" w:ascii="宋体" w:hAnsi="宋体" w:eastAsia="宋体" w:cs="宋体"/>
          <w:color w:val="auto"/>
          <w:kern w:val="0"/>
          <w:sz w:val="24"/>
          <w:szCs w:val="24"/>
          <w:highlight w:val="none"/>
        </w:rPr>
        <w:t>发布的《节能产品政府采购</w:t>
      </w:r>
      <w:r>
        <w:rPr>
          <w:rFonts w:hint="eastAsia" w:ascii="宋体" w:hAnsi="宋体" w:eastAsia="宋体" w:cs="宋体"/>
          <w:color w:val="auto"/>
          <w:kern w:val="0"/>
          <w:sz w:val="24"/>
          <w:szCs w:val="24"/>
          <w:highlight w:val="none"/>
          <w:lang w:val="en-US" w:eastAsia="zh-CN"/>
        </w:rPr>
        <w:t>品目</w:t>
      </w:r>
      <w:r>
        <w:rPr>
          <w:rFonts w:hint="eastAsia" w:ascii="宋体" w:hAnsi="宋体" w:eastAsia="宋体" w:cs="宋体"/>
          <w:color w:val="auto"/>
          <w:kern w:val="0"/>
          <w:sz w:val="24"/>
          <w:szCs w:val="24"/>
          <w:highlight w:val="none"/>
        </w:rPr>
        <w:t xml:space="preserve">清单》且属于应当“强制采购的节能产品”，按照规定实行强制采购。 </w:t>
      </w:r>
    </w:p>
    <w:p w14:paraId="04EC0B23">
      <w:pPr>
        <w:keepNext w:val="0"/>
        <w:keepLines w:val="0"/>
        <w:pageBreakBefore w:val="0"/>
        <w:widowControl w:val="0"/>
        <w:tabs>
          <w:tab w:val="left" w:pos="0"/>
        </w:tabs>
        <w:kinsoku/>
        <w:wordWrap/>
        <w:overflowPunct/>
        <w:topLinePunct w:val="0"/>
        <w:autoSpaceDE/>
        <w:autoSpaceDN/>
        <w:bidi w:val="0"/>
        <w:adjustRightInd/>
        <w:snapToGrid/>
        <w:spacing w:line="360" w:lineRule="auto"/>
        <w:ind w:left="6"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 对列入财政部、</w:t>
      </w:r>
      <w:r>
        <w:rPr>
          <w:rFonts w:hint="eastAsia" w:ascii="宋体" w:hAnsi="宋体" w:cs="宋体"/>
          <w:color w:val="auto"/>
          <w:kern w:val="0"/>
          <w:sz w:val="24"/>
          <w:szCs w:val="24"/>
          <w:highlight w:val="none"/>
          <w:lang w:val="en-US" w:eastAsia="zh-CN"/>
        </w:rPr>
        <w:t>发展改革委</w:t>
      </w:r>
      <w:r>
        <w:rPr>
          <w:rFonts w:hint="eastAsia" w:ascii="宋体" w:hAnsi="宋体" w:eastAsia="宋体" w:cs="宋体"/>
          <w:color w:val="auto"/>
          <w:kern w:val="0"/>
          <w:sz w:val="24"/>
          <w:szCs w:val="24"/>
          <w:highlight w:val="none"/>
        </w:rPr>
        <w:t>发布的《节能产品政府采购</w:t>
      </w:r>
      <w:r>
        <w:rPr>
          <w:rFonts w:hint="eastAsia" w:ascii="宋体" w:hAnsi="宋体" w:eastAsia="宋体" w:cs="宋体"/>
          <w:color w:val="auto"/>
          <w:kern w:val="0"/>
          <w:sz w:val="24"/>
          <w:szCs w:val="24"/>
          <w:highlight w:val="none"/>
          <w:lang w:eastAsia="zh-CN"/>
        </w:rPr>
        <w:t>品目</w:t>
      </w:r>
      <w:r>
        <w:rPr>
          <w:rFonts w:hint="eastAsia" w:ascii="宋体" w:hAnsi="宋体" w:eastAsia="宋体" w:cs="宋体"/>
          <w:color w:val="auto"/>
          <w:kern w:val="0"/>
          <w:sz w:val="24"/>
          <w:szCs w:val="24"/>
          <w:highlight w:val="none"/>
        </w:rPr>
        <w:t>清单》的“非强制采购节能产品”</w:t>
      </w:r>
      <w:r>
        <w:rPr>
          <w:rFonts w:hint="eastAsia" w:ascii="宋体" w:hAnsi="宋体" w:cs="宋体"/>
          <w:color w:val="auto"/>
          <w:kern w:val="0"/>
          <w:sz w:val="24"/>
          <w:szCs w:val="24"/>
          <w:highlight w:val="none"/>
        </w:rPr>
        <w:t>，财政部、</w:t>
      </w:r>
      <w:r>
        <w:rPr>
          <w:rFonts w:hint="eastAsia" w:ascii="宋体" w:hAnsi="宋体" w:cs="宋体"/>
          <w:color w:val="auto"/>
          <w:kern w:val="0"/>
          <w:sz w:val="24"/>
          <w:szCs w:val="24"/>
          <w:highlight w:val="none"/>
          <w:lang w:val="en-US" w:eastAsia="zh-CN"/>
        </w:rPr>
        <w:t>生态环境部</w:t>
      </w:r>
      <w:r>
        <w:rPr>
          <w:rFonts w:hint="eastAsia" w:ascii="宋体" w:hAnsi="宋体" w:cs="宋体"/>
          <w:color w:val="auto"/>
          <w:kern w:val="0"/>
          <w:sz w:val="24"/>
          <w:szCs w:val="24"/>
          <w:highlight w:val="none"/>
        </w:rPr>
        <w:t>发布的《环境标志产品政府采购</w:t>
      </w:r>
      <w:r>
        <w:rPr>
          <w:rFonts w:hint="eastAsia" w:ascii="宋体" w:hAnsi="宋体" w:cs="宋体"/>
          <w:color w:val="auto"/>
          <w:kern w:val="0"/>
          <w:sz w:val="24"/>
          <w:szCs w:val="24"/>
          <w:highlight w:val="none"/>
          <w:lang w:eastAsia="zh-CN"/>
        </w:rPr>
        <w:t>品目</w:t>
      </w:r>
      <w:r>
        <w:rPr>
          <w:rFonts w:hint="eastAsia" w:ascii="宋体" w:hAnsi="宋体" w:cs="宋体"/>
          <w:color w:val="auto"/>
          <w:kern w:val="0"/>
          <w:sz w:val="24"/>
          <w:szCs w:val="24"/>
          <w:highlight w:val="none"/>
        </w:rPr>
        <w:t>清单》的“环境标志产品”以及中小企业（监狱企业</w:t>
      </w:r>
      <w:r>
        <w:rPr>
          <w:rFonts w:hint="eastAsia" w:ascii="宋体" w:hAnsi="宋体" w:cs="宋体"/>
          <w:color w:val="auto"/>
          <w:kern w:val="0"/>
          <w:sz w:val="24"/>
          <w:szCs w:val="24"/>
          <w:highlight w:val="none"/>
          <w:lang w:eastAsia="zh-CN"/>
        </w:rPr>
        <w:t>及残疾人福利性</w:t>
      </w:r>
      <w:r>
        <w:rPr>
          <w:rFonts w:hint="eastAsia" w:ascii="宋体" w:hAnsi="宋体" w:eastAsia="宋体" w:cs="宋体"/>
          <w:color w:val="auto"/>
          <w:kern w:val="0"/>
          <w:sz w:val="24"/>
          <w:szCs w:val="24"/>
          <w:highlight w:val="none"/>
          <w:lang w:eastAsia="zh-CN"/>
        </w:rPr>
        <w:t>单位</w:t>
      </w:r>
      <w:r>
        <w:rPr>
          <w:rFonts w:hint="eastAsia" w:ascii="宋体" w:hAnsi="宋体" w:eastAsia="宋体" w:cs="宋体"/>
          <w:color w:val="auto"/>
          <w:kern w:val="0"/>
          <w:sz w:val="24"/>
          <w:szCs w:val="24"/>
          <w:highlight w:val="none"/>
        </w:rPr>
        <w:t>视同小型、微型企业），实行优先采购，按照省级以上财政部门有关政策规定，评审时进行价格扣除或者加分。</w:t>
      </w:r>
    </w:p>
    <w:p w14:paraId="1D2D1593">
      <w:pPr>
        <w:pStyle w:val="12"/>
        <w:spacing w:line="360" w:lineRule="auto"/>
        <w:ind w:firstLine="480" w:firstLineChars="200"/>
        <w:rPr>
          <w:rFonts w:hint="default" w:eastAsia="宋体"/>
          <w:color w:val="auto"/>
          <w:highlight w:val="none"/>
          <w:lang w:val="en-US" w:eastAsia="zh-CN"/>
        </w:rPr>
      </w:pPr>
      <w:r>
        <w:rPr>
          <w:rFonts w:hint="eastAsia" w:ascii="宋体" w:hAnsi="宋体" w:cs="宋体"/>
          <w:color w:val="auto"/>
          <w:kern w:val="0"/>
          <w:sz w:val="24"/>
          <w:szCs w:val="24"/>
          <w:highlight w:val="none"/>
          <w:u w:val="none"/>
          <w:lang w:val="en-US" w:eastAsia="zh-CN"/>
        </w:rPr>
        <w:t>5.3根据《政府采购促进中小企业发展管理办法》（财库〔2020〕46号）、《关于进一步加大政府采购支持中小企业力度的通知》（财库〔2022〕19号）、</w:t>
      </w:r>
      <w:r>
        <w:rPr>
          <w:rFonts w:hint="eastAsia" w:ascii="宋体" w:hAnsi="宋体" w:eastAsia="宋体" w:cs="宋体"/>
          <w:color w:val="auto"/>
          <w:kern w:val="0"/>
          <w:sz w:val="24"/>
          <w:szCs w:val="24"/>
          <w:highlight w:val="none"/>
          <w:lang w:val="en-US" w:eastAsia="zh-CN"/>
        </w:rPr>
        <w:t>《陕西省财政厅关于进一步落实政府采购支持中小企业相关政策的通知》（陕财办采〔2023〕3号）</w:t>
      </w:r>
      <w:r>
        <w:rPr>
          <w:rFonts w:hint="eastAsia" w:ascii="宋体" w:hAnsi="宋体" w:cs="宋体"/>
          <w:color w:val="auto"/>
          <w:kern w:val="0"/>
          <w:sz w:val="24"/>
          <w:szCs w:val="24"/>
          <w:highlight w:val="none"/>
          <w:u w:val="none"/>
          <w:lang w:val="en-US" w:eastAsia="zh-CN"/>
        </w:rPr>
        <w:t>文件内容及本项目特点，本项目专门面向中小企业采购，不再享受价格扣除。中小企业参加政府采购活动，应当出具本办法规定的《中小企业声明函》，未提供《中小企业声明函》，按无效响应处理。</w:t>
      </w:r>
    </w:p>
    <w:p w14:paraId="0CE25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宋体"/>
          <w:color w:val="auto"/>
          <w:sz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产品同时属于“非强制采购节能产品”、环境标志产品的，评审时只有</w:t>
      </w:r>
      <w:r>
        <w:rPr>
          <w:rFonts w:hint="eastAsia" w:ascii="宋体" w:hAnsi="宋体" w:eastAsia="宋体" w:cs="宋体"/>
          <w:color w:val="auto"/>
          <w:kern w:val="0"/>
          <w:sz w:val="24"/>
          <w:szCs w:val="24"/>
          <w:highlight w:val="none"/>
        </w:rPr>
        <w:t>其中一项能享受优先待遇（供应商自行选择，并在报价文件中填写相关信息及数据）。</w:t>
      </w:r>
    </w:p>
    <w:p w14:paraId="52DF3F85">
      <w:pPr>
        <w:pStyle w:val="4"/>
        <w:pageBreakBefore w:val="0"/>
        <w:numPr>
          <w:ilvl w:val="0"/>
          <w:numId w:val="2"/>
        </w:numPr>
        <w:kinsoku/>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保证金及相关费用收取说明</w:t>
      </w:r>
    </w:p>
    <w:p w14:paraId="28E1A5D3">
      <w:pPr>
        <w:keepNext w:val="0"/>
        <w:keepLines w:val="0"/>
        <w:pageBreakBefore w:val="0"/>
        <w:widowControl/>
        <w:kinsoku/>
        <w:wordWrap w:val="0"/>
        <w:overflowPunct/>
        <w:topLinePunct w:val="0"/>
        <w:autoSpaceDE/>
        <w:autoSpaceDN/>
        <w:bidi w:val="0"/>
        <w:adjustRightInd/>
        <w:snapToGrid w:val="0"/>
        <w:spacing w:line="360" w:lineRule="auto"/>
        <w:ind w:right="-92" w:rightChars="-44" w:firstLine="480" w:firstLineChars="200"/>
        <w:jc w:val="left"/>
        <w:textAlignment w:val="auto"/>
        <w:rPr>
          <w:rFonts w:hint="eastAsia" w:ascii="宋体" w:hAnsi="宋体"/>
          <w:color w:val="auto"/>
          <w:spacing w:val="-6"/>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color w:val="auto"/>
          <w:spacing w:val="-6"/>
          <w:sz w:val="24"/>
          <w:szCs w:val="24"/>
          <w:highlight w:val="none"/>
          <w:lang w:eastAsia="zh-CN"/>
        </w:rPr>
        <w:t>磋商保证金</w:t>
      </w:r>
      <w:r>
        <w:rPr>
          <w:rFonts w:hint="eastAsia" w:ascii="宋体" w:hAnsi="宋体"/>
          <w:color w:val="auto"/>
          <w:spacing w:val="-6"/>
          <w:sz w:val="24"/>
          <w:szCs w:val="24"/>
          <w:highlight w:val="none"/>
        </w:rPr>
        <w:t>须采用</w:t>
      </w:r>
      <w:r>
        <w:rPr>
          <w:rFonts w:hint="eastAsia" w:ascii="宋体" w:hAnsi="宋体"/>
          <w:color w:val="auto"/>
          <w:spacing w:val="-6"/>
          <w:sz w:val="24"/>
          <w:szCs w:val="24"/>
          <w:highlight w:val="none"/>
          <w:lang w:val="en-US" w:eastAsia="zh-CN"/>
        </w:rPr>
        <w:t>银行转账/电汇或金融机构/担保机构出具的保函等非现金形式</w:t>
      </w:r>
      <w:r>
        <w:rPr>
          <w:rFonts w:hint="eastAsia" w:ascii="宋体" w:hAnsi="宋体"/>
          <w:color w:val="auto"/>
          <w:spacing w:val="-6"/>
          <w:sz w:val="24"/>
          <w:szCs w:val="24"/>
          <w:highlight w:val="none"/>
        </w:rPr>
        <w:t>。</w:t>
      </w:r>
    </w:p>
    <w:p w14:paraId="1D458E11">
      <w:pPr>
        <w:keepNext w:val="0"/>
        <w:keepLines w:val="0"/>
        <w:pageBreakBefore w:val="0"/>
        <w:widowControl/>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供应商以银行转账/电汇形式缴纳保证金的，须从基本账户转出，并且在磋商响应文件递交截止日前到达采购代理机构指定账户。</w:t>
      </w:r>
    </w:p>
    <w:p w14:paraId="47D74D49">
      <w:pPr>
        <w:keepNext w:val="0"/>
        <w:keepLines w:val="0"/>
        <w:pageBreakBefore w:val="0"/>
        <w:widowControl/>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pacing w:val="-6"/>
          <w:sz w:val="24"/>
          <w:szCs w:val="24"/>
          <w:highlight w:val="none"/>
        </w:rPr>
      </w:pPr>
      <w:r>
        <w:rPr>
          <w:rFonts w:hint="eastAsia" w:ascii="宋体" w:hAnsi="宋体" w:cs="宋体"/>
          <w:color w:val="auto"/>
          <w:sz w:val="24"/>
          <w:szCs w:val="24"/>
          <w:highlight w:val="none"/>
          <w:lang w:val="en-US" w:eastAsia="zh-CN"/>
        </w:rPr>
        <w:t>供应商以保函形式缴纳磋商保证金的，须在磋商响应文件递交截止时间前将保函原件提交至采购代理机构备案，并将保函复印件附在磋商响应文件规定处。</w:t>
      </w:r>
    </w:p>
    <w:p w14:paraId="3172746E">
      <w:pPr>
        <w:topLinePunct w:val="0"/>
        <w:bidi w:val="0"/>
        <w:spacing w:line="360" w:lineRule="auto"/>
        <w:ind w:firstLine="480" w:firstLineChars="200"/>
        <w:rPr>
          <w:color w:val="auto"/>
        </w:rPr>
      </w:pPr>
      <w:r>
        <w:rPr>
          <w:rFonts w:hint="eastAsia" w:ascii="宋体" w:hAnsi="宋体"/>
          <w:color w:val="auto"/>
          <w:sz w:val="24"/>
          <w:szCs w:val="24"/>
          <w:highlight w:val="none"/>
          <w:lang w:val="en-US" w:eastAsia="zh-CN"/>
        </w:rPr>
        <w:t>6.2</w:t>
      </w:r>
      <w:r>
        <w:rPr>
          <w:rFonts w:hint="eastAsia" w:ascii="宋体" w:hAnsi="宋体" w:cs="宋体"/>
          <w:color w:val="auto"/>
          <w:sz w:val="24"/>
          <w:szCs w:val="24"/>
          <w:highlight w:val="none"/>
          <w:lang w:val="en-US" w:eastAsia="zh-CN"/>
        </w:rPr>
        <w:t>供应商以银行转账/电汇形式缴纳保证金的，</w:t>
      </w:r>
      <w:r>
        <w:rPr>
          <w:rFonts w:hint="eastAsia" w:ascii="宋体" w:hAnsi="宋体"/>
          <w:color w:val="auto"/>
          <w:sz w:val="24"/>
          <w:szCs w:val="24"/>
          <w:highlight w:val="none"/>
        </w:rPr>
        <w:t>请将款项汇至以下指定的银行账户内：</w:t>
      </w:r>
    </w:p>
    <w:tbl>
      <w:tblPr>
        <w:tblStyle w:val="32"/>
        <w:tblW w:w="7920" w:type="dxa"/>
        <w:tblInd w:w="648"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7920"/>
      </w:tblGrid>
      <w:tr w14:paraId="0D563D39">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PrEx>
        <w:trPr>
          <w:trHeight w:val="418" w:hRule="atLeast"/>
        </w:trPr>
        <w:tc>
          <w:tcPr>
            <w:tcW w:w="7920" w:type="dxa"/>
            <w:tcBorders>
              <w:top w:val="triple" w:color="auto" w:sz="4" w:space="0"/>
              <w:left w:val="triple" w:color="auto" w:sz="4" w:space="0"/>
              <w:bottom w:val="dotted" w:color="auto" w:sz="4" w:space="0"/>
              <w:right w:val="triple" w:color="auto" w:sz="4" w:space="0"/>
            </w:tcBorders>
            <w:vAlign w:val="center"/>
          </w:tcPr>
          <w:p w14:paraId="5F6FC202">
            <w:pPr>
              <w:topLinePunct w:val="0"/>
              <w:bidi w:val="0"/>
              <w:spacing w:line="360" w:lineRule="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磋商保证金：</w:t>
            </w:r>
            <w:r>
              <w:rPr>
                <w:rFonts w:hint="eastAsia" w:ascii="宋体" w:hAnsi="宋体"/>
                <w:b/>
                <w:bCs/>
                <w:color w:val="auto"/>
                <w:sz w:val="24"/>
                <w:szCs w:val="24"/>
                <w:highlight w:val="none"/>
              </w:rPr>
              <w:t>人民币</w:t>
            </w:r>
            <w:r>
              <w:rPr>
                <w:rFonts w:hint="eastAsia" w:ascii="宋体" w:hAnsi="宋体" w:cs="宋体"/>
                <w:b/>
                <w:bCs/>
                <w:color w:val="auto"/>
                <w:sz w:val="24"/>
                <w:szCs w:val="24"/>
                <w:highlight w:val="none"/>
                <w:lang w:val="en-US" w:eastAsia="zh-CN"/>
              </w:rPr>
              <w:t>贰万元整</w:t>
            </w:r>
            <w:r>
              <w:rPr>
                <w:rFonts w:hint="eastAsia" w:ascii="宋体" w:hAnsi="宋体" w:eastAsia="宋体" w:cs="宋体"/>
                <w:b w:val="0"/>
                <w:bCs/>
                <w:color w:val="auto"/>
                <w:sz w:val="24"/>
                <w:szCs w:val="24"/>
                <w:highlight w:val="none"/>
                <w:u w:val="none"/>
              </w:rPr>
              <w:t>（</w:t>
            </w:r>
            <w:r>
              <w:rPr>
                <w:rFonts w:hint="eastAsia" w:ascii="宋体" w:hAnsi="宋体" w:cs="宋体"/>
                <w:b/>
                <w:color w:val="auto"/>
                <w:sz w:val="24"/>
                <w:szCs w:val="24"/>
                <w:highlight w:val="none"/>
                <w:u w:val="none"/>
                <w:lang w:val="en-US" w:eastAsia="zh-CN"/>
              </w:rPr>
              <w:t>20000.00</w:t>
            </w:r>
            <w:r>
              <w:rPr>
                <w:rFonts w:hint="eastAsia" w:ascii="宋体" w:hAnsi="宋体" w:eastAsia="宋体" w:cs="宋体"/>
                <w:b/>
                <w:color w:val="auto"/>
                <w:sz w:val="24"/>
                <w:szCs w:val="24"/>
                <w:highlight w:val="none"/>
                <w:u w:val="none"/>
                <w:lang w:val="en-US" w:eastAsia="zh-CN"/>
              </w:rPr>
              <w:t>元</w:t>
            </w:r>
            <w:r>
              <w:rPr>
                <w:rFonts w:hint="eastAsia" w:ascii="宋体" w:hAnsi="宋体" w:eastAsia="宋体" w:cs="宋体"/>
                <w:b w:val="0"/>
                <w:bCs/>
                <w:color w:val="auto"/>
                <w:sz w:val="24"/>
                <w:szCs w:val="24"/>
                <w:highlight w:val="none"/>
                <w:u w:val="none"/>
              </w:rPr>
              <w:t>）</w:t>
            </w:r>
          </w:p>
        </w:tc>
      </w:tr>
      <w:tr w14:paraId="45EBA0E5">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367" w:hRule="atLeast"/>
        </w:trPr>
        <w:tc>
          <w:tcPr>
            <w:tcW w:w="7920" w:type="dxa"/>
            <w:tcBorders>
              <w:top w:val="dotted" w:color="auto" w:sz="4" w:space="0"/>
              <w:left w:val="triple" w:color="auto" w:sz="4" w:space="0"/>
              <w:bottom w:val="triple" w:color="auto" w:sz="4" w:space="0"/>
              <w:right w:val="triple" w:color="auto" w:sz="4" w:space="0"/>
            </w:tcBorders>
            <w:vAlign w:val="center"/>
          </w:tcPr>
          <w:p w14:paraId="7DFD0189">
            <w:pPr>
              <w:topLinePunct w:val="0"/>
              <w:bidi w:val="0"/>
              <w:spacing w:line="360" w:lineRule="auto"/>
              <w:jc w:val="left"/>
              <w:rPr>
                <w:rFonts w:hint="eastAsia" w:ascii="宋体" w:hAnsi="宋体" w:eastAsia="宋体" w:cs="Times New Roman"/>
                <w:b/>
                <w:color w:val="auto"/>
                <w:kern w:val="2"/>
                <w:sz w:val="24"/>
                <w:szCs w:val="24"/>
                <w:highlight w:val="none"/>
                <w:lang w:val="zh-CN" w:eastAsia="zh-CN" w:bidi="ar-SA"/>
              </w:rPr>
            </w:pPr>
            <w:r>
              <w:rPr>
                <w:rFonts w:hint="eastAsia" w:ascii="宋体" w:hAnsi="宋体" w:eastAsia="宋体" w:cs="Times New Roman"/>
                <w:b/>
                <w:color w:val="auto"/>
                <w:kern w:val="2"/>
                <w:sz w:val="24"/>
                <w:szCs w:val="24"/>
                <w:highlight w:val="none"/>
                <w:lang w:val="zh-CN" w:eastAsia="zh-CN" w:bidi="ar-SA"/>
              </w:rPr>
              <w:t>户    名：</w:t>
            </w:r>
            <w:r>
              <w:rPr>
                <w:rFonts w:hint="eastAsia" w:ascii="宋体" w:hAnsi="宋体" w:eastAsia="宋体" w:cs="Times New Roman"/>
                <w:b/>
                <w:color w:val="auto"/>
                <w:kern w:val="2"/>
                <w:sz w:val="24"/>
                <w:szCs w:val="24"/>
                <w:highlight w:val="none"/>
                <w:lang w:val="en-US" w:eastAsia="zh-CN" w:bidi="ar-SA"/>
              </w:rPr>
              <w:t>华春建设工程项目管理有限责任公司</w:t>
            </w:r>
          </w:p>
          <w:p w14:paraId="6A0B6DE8">
            <w:pPr>
              <w:topLinePunct w:val="0"/>
              <w:bidi w:val="0"/>
              <w:spacing w:line="360" w:lineRule="auto"/>
              <w:jc w:val="left"/>
              <w:rPr>
                <w:rFonts w:hint="eastAsia" w:ascii="宋体" w:hAnsi="宋体" w:eastAsia="宋体" w:cs="Times New Roman"/>
                <w:b/>
                <w:color w:val="auto"/>
                <w:kern w:val="2"/>
                <w:sz w:val="24"/>
                <w:szCs w:val="24"/>
                <w:highlight w:val="none"/>
                <w:lang w:val="zh-CN" w:eastAsia="zh-CN" w:bidi="ar-SA"/>
              </w:rPr>
            </w:pPr>
            <w:r>
              <w:rPr>
                <w:rFonts w:hint="eastAsia" w:ascii="宋体" w:hAnsi="宋体" w:eastAsia="宋体" w:cs="Times New Roman"/>
                <w:b/>
                <w:color w:val="auto"/>
                <w:kern w:val="2"/>
                <w:sz w:val="24"/>
                <w:szCs w:val="24"/>
                <w:highlight w:val="none"/>
                <w:lang w:val="zh-CN" w:eastAsia="zh-CN" w:bidi="ar-SA"/>
              </w:rPr>
              <w:t>开户行名称：</w:t>
            </w:r>
            <w:r>
              <w:rPr>
                <w:rFonts w:hint="eastAsia" w:ascii="宋体" w:hAnsi="宋体" w:eastAsia="宋体" w:cs="Times New Roman"/>
                <w:b/>
                <w:color w:val="auto"/>
                <w:kern w:val="2"/>
                <w:sz w:val="24"/>
                <w:szCs w:val="24"/>
                <w:highlight w:val="none"/>
                <w:lang w:val="en-US" w:eastAsia="zh-CN" w:bidi="ar-SA"/>
              </w:rPr>
              <w:t>平安银行西安分行营业部</w:t>
            </w:r>
          </w:p>
          <w:p w14:paraId="0F2F3E51">
            <w:pPr>
              <w:topLinePunct w:val="0"/>
              <w:bidi w:val="0"/>
              <w:spacing w:line="360" w:lineRule="auto"/>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zh-CN" w:eastAsia="zh-CN" w:bidi="ar-SA"/>
              </w:rPr>
              <w:t>行</w:t>
            </w:r>
            <w:r>
              <w:rPr>
                <w:rFonts w:hint="eastAsia"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zh-CN" w:eastAsia="zh-CN" w:bidi="ar-SA"/>
              </w:rPr>
              <w:t>号：</w:t>
            </w:r>
            <w:r>
              <w:rPr>
                <w:rFonts w:hint="eastAsia" w:ascii="宋体" w:hAnsi="宋体" w:eastAsia="宋体" w:cs="Times New Roman"/>
                <w:b/>
                <w:color w:val="auto"/>
                <w:kern w:val="2"/>
                <w:sz w:val="24"/>
                <w:szCs w:val="24"/>
                <w:highlight w:val="none"/>
                <w:lang w:val="en-US" w:eastAsia="zh-CN" w:bidi="ar-SA"/>
              </w:rPr>
              <w:t>307584007998</w:t>
            </w:r>
          </w:p>
          <w:p w14:paraId="2BE446D3">
            <w:pPr>
              <w:topLinePunct w:val="0"/>
              <w:bidi w:val="0"/>
              <w:spacing w:line="360" w:lineRule="auto"/>
              <w:jc w:val="left"/>
              <w:rPr>
                <w:color w:val="auto"/>
              </w:rPr>
            </w:pPr>
            <w:r>
              <w:rPr>
                <w:rFonts w:hint="eastAsia" w:ascii="宋体" w:hAnsi="宋体" w:eastAsia="宋体" w:cs="宋体"/>
                <w:b/>
                <w:bCs/>
                <w:color w:val="auto"/>
                <w:kern w:val="2"/>
                <w:sz w:val="24"/>
                <w:szCs w:val="24"/>
                <w:highlight w:val="none"/>
                <w:lang w:val="zh-CN" w:eastAsia="zh-CN" w:bidi="ar-SA"/>
              </w:rPr>
              <w:t>账</w:t>
            </w: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zh-CN" w:eastAsia="zh-CN" w:bidi="ar-SA"/>
              </w:rPr>
              <w:t>号：</w:t>
            </w:r>
            <w:r>
              <w:rPr>
                <w:rFonts w:hint="eastAsia" w:ascii="宋体" w:hAnsi="宋体" w:cs="Times New Roman"/>
                <w:b/>
                <w:color w:val="auto"/>
                <w:kern w:val="2"/>
                <w:sz w:val="24"/>
                <w:szCs w:val="24"/>
                <w:highlight w:val="none"/>
                <w:lang w:val="en-US" w:eastAsia="zh-CN" w:bidi="ar-SA"/>
              </w:rPr>
              <w:t>30208471002285</w:t>
            </w:r>
          </w:p>
        </w:tc>
      </w:tr>
    </w:tbl>
    <w:p w14:paraId="67361C9B">
      <w:pPr>
        <w:pStyle w:val="51"/>
        <w:rPr>
          <w:rFonts w:hint="eastAsia"/>
          <w:color w:val="auto"/>
        </w:rPr>
      </w:pPr>
    </w:p>
    <w:p w14:paraId="4E1C239A">
      <w:pPr>
        <w:widowControl/>
        <w:numPr>
          <w:ilvl w:val="0"/>
          <w:numId w:val="0"/>
        </w:numPr>
        <w:tabs>
          <w:tab w:val="left" w:pos="2736"/>
          <w:tab w:val="center" w:pos="4210"/>
        </w:tabs>
        <w:topLinePunct w:val="0"/>
        <w:bidi w:val="0"/>
        <w:spacing w:line="360" w:lineRule="auto"/>
        <w:jc w:val="left"/>
        <w:outlineLvl w:val="1"/>
        <w:rPr>
          <w:rFonts w:ascii="宋体" w:hAnsi="宋体" w:cs="宋体"/>
          <w:b/>
          <w:bCs/>
          <w:color w:val="auto"/>
          <w:kern w:val="0"/>
          <w:sz w:val="28"/>
          <w:szCs w:val="28"/>
          <w:highlight w:val="none"/>
        </w:rPr>
      </w:pPr>
      <w:bookmarkStart w:id="36" w:name="_Toc13065121"/>
      <w:bookmarkStart w:id="37" w:name="_Toc24962"/>
      <w:bookmarkStart w:id="38" w:name="_Toc1811"/>
      <w:r>
        <w:rPr>
          <w:rFonts w:hint="eastAsia" w:ascii="宋体" w:hAnsi="宋体" w:cs="宋体"/>
          <w:b/>
          <w:bCs/>
          <w:color w:val="auto"/>
          <w:kern w:val="0"/>
          <w:sz w:val="28"/>
          <w:szCs w:val="28"/>
          <w:highlight w:val="none"/>
          <w:lang w:val="en-US" w:eastAsia="zh-CN"/>
        </w:rPr>
        <w:tab/>
      </w:r>
      <w:r>
        <w:rPr>
          <w:rFonts w:hint="eastAsia" w:ascii="宋体" w:hAnsi="宋体" w:cs="宋体"/>
          <w:b/>
          <w:bCs/>
          <w:color w:val="auto"/>
          <w:kern w:val="0"/>
          <w:sz w:val="28"/>
          <w:szCs w:val="28"/>
          <w:highlight w:val="none"/>
          <w:lang w:val="en-US" w:eastAsia="zh-CN"/>
        </w:rPr>
        <w:tab/>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竞争性磋商文件</w:t>
      </w:r>
      <w:bookmarkEnd w:id="36"/>
      <w:bookmarkEnd w:id="37"/>
      <w:bookmarkEnd w:id="38"/>
    </w:p>
    <w:p w14:paraId="04B9872B">
      <w:pPr>
        <w:pStyle w:val="4"/>
        <w:numPr>
          <w:ilvl w:val="0"/>
          <w:numId w:val="0"/>
        </w:numPr>
        <w:topLinePunct w:val="0"/>
        <w:bidi w:val="0"/>
        <w:spacing w:line="360" w:lineRule="auto"/>
        <w:ind w:firstLine="482" w:firstLineChars="200"/>
        <w:rPr>
          <w:rFonts w:hint="eastAsia" w:ascii="宋体" w:hAnsi="宋体" w:cs="宋体"/>
          <w:color w:val="auto"/>
          <w:sz w:val="24"/>
          <w:szCs w:val="24"/>
          <w:highlight w:val="none"/>
        </w:rPr>
      </w:pPr>
      <w:bookmarkStart w:id="39" w:name="_Toc5801"/>
      <w:bookmarkStart w:id="40" w:name="_Toc23299"/>
      <w:bookmarkStart w:id="41" w:name="_Toc13065122"/>
      <w:bookmarkStart w:id="42" w:name="_Toc25919"/>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竞争性磋商文件的构成</w:t>
      </w:r>
      <w:bookmarkEnd w:id="39"/>
    </w:p>
    <w:p w14:paraId="03BB28FA">
      <w:pPr>
        <w:tabs>
          <w:tab w:val="left" w:pos="0"/>
        </w:tabs>
        <w:topLinePunct w:val="0"/>
        <w:bidi w:val="0"/>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竞争性磋商文件是供应商准备磋商响应文件和参加磋商的依据，同时也是评审的重要依据，具有准法律文件性质。竞争性磋商文件用以阐明采购项目所需的资</w:t>
      </w:r>
      <w:r>
        <w:rPr>
          <w:rFonts w:hint="eastAsia" w:ascii="宋体" w:hAnsi="宋体" w:cs="宋体"/>
          <w:color w:val="auto"/>
          <w:sz w:val="24"/>
          <w:szCs w:val="24"/>
          <w:highlight w:val="none"/>
          <w:lang w:val="en-US" w:eastAsia="zh-CN"/>
        </w:rPr>
        <w:t>格</w:t>
      </w:r>
      <w:r>
        <w:rPr>
          <w:rFonts w:hint="eastAsia" w:ascii="宋体" w:hAnsi="宋体" w:cs="宋体"/>
          <w:color w:val="auto"/>
          <w:sz w:val="24"/>
          <w:szCs w:val="24"/>
          <w:highlight w:val="none"/>
        </w:rPr>
        <w:t>、技术、服务及报价等要求、磋商程序、有关规定和注意事项以及合同主要条款等。本竞争性磋商文件包括以下内容：</w:t>
      </w:r>
    </w:p>
    <w:p w14:paraId="2022FBBD">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竞争性磋商公告；</w:t>
      </w:r>
    </w:p>
    <w:p w14:paraId="7E47AB5E">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供应商须知前附表</w:t>
      </w:r>
      <w:r>
        <w:rPr>
          <w:rFonts w:hint="eastAsia" w:ascii="宋体" w:hAnsi="宋体" w:cs="宋体"/>
          <w:color w:val="auto"/>
          <w:sz w:val="24"/>
          <w:szCs w:val="24"/>
          <w:highlight w:val="none"/>
          <w:lang w:val="en-US" w:eastAsia="zh-CN"/>
        </w:rPr>
        <w:t>及磋商须知</w:t>
      </w:r>
      <w:r>
        <w:rPr>
          <w:rFonts w:hint="eastAsia" w:ascii="宋体" w:hAnsi="宋体" w:cs="宋体"/>
          <w:color w:val="auto"/>
          <w:sz w:val="24"/>
          <w:szCs w:val="24"/>
          <w:highlight w:val="none"/>
        </w:rPr>
        <w:t>；</w:t>
      </w:r>
    </w:p>
    <w:p w14:paraId="1F3F6C2F">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采购内容及要求</w:t>
      </w:r>
      <w:r>
        <w:rPr>
          <w:rFonts w:hint="eastAsia" w:ascii="宋体" w:hAnsi="宋体" w:cs="宋体"/>
          <w:color w:val="auto"/>
          <w:sz w:val="24"/>
          <w:szCs w:val="24"/>
          <w:highlight w:val="none"/>
        </w:rPr>
        <w:t>；</w:t>
      </w:r>
    </w:p>
    <w:p w14:paraId="32359257">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标准</w:t>
      </w:r>
      <w:r>
        <w:rPr>
          <w:rFonts w:hint="eastAsia" w:ascii="宋体" w:hAnsi="宋体" w:cs="宋体"/>
          <w:color w:val="auto"/>
          <w:sz w:val="24"/>
          <w:szCs w:val="24"/>
          <w:highlight w:val="none"/>
        </w:rPr>
        <w:t>；</w:t>
      </w:r>
    </w:p>
    <w:p w14:paraId="53B9C313">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合同</w:t>
      </w:r>
      <w:r>
        <w:rPr>
          <w:rFonts w:hint="eastAsia" w:ascii="宋体" w:hAnsi="宋体" w:cs="宋体"/>
          <w:color w:val="auto"/>
          <w:sz w:val="24"/>
          <w:szCs w:val="24"/>
          <w:highlight w:val="none"/>
          <w:lang w:val="en-US" w:eastAsia="zh-CN"/>
        </w:rPr>
        <w:t>文本（参考格式）</w:t>
      </w:r>
      <w:r>
        <w:rPr>
          <w:rFonts w:hint="eastAsia" w:ascii="宋体" w:hAnsi="宋体" w:cs="宋体"/>
          <w:color w:val="auto"/>
          <w:sz w:val="24"/>
          <w:szCs w:val="24"/>
          <w:highlight w:val="none"/>
        </w:rPr>
        <w:t>；</w:t>
      </w:r>
    </w:p>
    <w:p w14:paraId="53C93406">
      <w:pPr>
        <w:numPr>
          <w:ilvl w:val="0"/>
          <w:numId w:val="3"/>
        </w:numPr>
        <w:tabs>
          <w:tab w:val="left" w:pos="0"/>
        </w:tabs>
        <w:topLinePunct w:val="0"/>
        <w:bidi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磋商响应文件格式。</w:t>
      </w:r>
    </w:p>
    <w:p w14:paraId="0954AE16">
      <w:pPr>
        <w:tabs>
          <w:tab w:val="left" w:pos="0"/>
        </w:tabs>
        <w:topLinePunct w:val="0"/>
        <w:bidi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w:t>
      </w:r>
      <w:r>
        <w:rPr>
          <w:rFonts w:hint="eastAsia" w:ascii="宋体" w:hAnsi="宋体" w:cs="宋体"/>
          <w:color w:val="auto"/>
          <w:sz w:val="24"/>
          <w:highlight w:val="none"/>
          <w:lang w:val="en-US" w:eastAsia="zh-CN"/>
        </w:rPr>
        <w:t>按无效响应处理</w:t>
      </w:r>
      <w:r>
        <w:rPr>
          <w:rFonts w:hint="eastAsia" w:ascii="宋体" w:hAnsi="宋体" w:cs="宋体"/>
          <w:color w:val="auto"/>
          <w:sz w:val="24"/>
          <w:highlight w:val="none"/>
        </w:rPr>
        <w:t>。</w:t>
      </w:r>
    </w:p>
    <w:p w14:paraId="75312DC1">
      <w:pPr>
        <w:pStyle w:val="4"/>
        <w:numPr>
          <w:ilvl w:val="0"/>
          <w:numId w:val="0"/>
        </w:numPr>
        <w:topLinePunct w:val="0"/>
        <w:bidi w:val="0"/>
        <w:spacing w:line="360" w:lineRule="auto"/>
        <w:ind w:firstLine="482" w:firstLineChars="200"/>
        <w:rPr>
          <w:rFonts w:hint="eastAsia" w:ascii="宋体" w:hAnsi="宋体" w:eastAsia="宋体" w:cs="宋体"/>
          <w:color w:val="auto"/>
          <w:sz w:val="24"/>
          <w:szCs w:val="24"/>
          <w:highlight w:val="none"/>
          <w:lang w:eastAsia="zh-CN"/>
        </w:rPr>
      </w:pPr>
      <w:bookmarkStart w:id="43" w:name="_Toc19797"/>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竞争性磋商文件的</w:t>
      </w:r>
      <w:bookmarkEnd w:id="43"/>
      <w:r>
        <w:rPr>
          <w:rFonts w:hint="eastAsia" w:ascii="宋体" w:hAnsi="宋体" w:cs="宋体"/>
          <w:color w:val="auto"/>
          <w:sz w:val="24"/>
          <w:szCs w:val="24"/>
          <w:highlight w:val="none"/>
          <w:lang w:val="en-US" w:eastAsia="zh-CN"/>
        </w:rPr>
        <w:t>询问</w:t>
      </w:r>
    </w:p>
    <w:p w14:paraId="538E0B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 供应商应认真阅读和充分理解竞争性磋商文件中所有的事项，如有问题或疑</w:t>
      </w:r>
      <w:r>
        <w:rPr>
          <w:rFonts w:hint="eastAsia" w:ascii="宋体" w:hAnsi="宋体" w:cs="宋体"/>
          <w:color w:val="auto"/>
          <w:sz w:val="24"/>
          <w:szCs w:val="24"/>
          <w:highlight w:val="none"/>
          <w:lang w:val="en-US" w:eastAsia="zh-CN"/>
        </w:rPr>
        <w:t>义</w:t>
      </w:r>
      <w:r>
        <w:rPr>
          <w:rFonts w:hint="eastAsia" w:ascii="宋体" w:hAnsi="宋体" w:cs="宋体"/>
          <w:color w:val="auto"/>
          <w:sz w:val="24"/>
          <w:szCs w:val="24"/>
          <w:highlight w:val="none"/>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3DC5044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2.2</w:t>
      </w:r>
      <w:r>
        <w:rPr>
          <w:rFonts w:hint="eastAsia" w:ascii="宋体" w:hAnsi="宋体"/>
          <w:color w:val="auto"/>
          <w:sz w:val="24"/>
        </w:rPr>
        <w:t>对于在</w:t>
      </w:r>
      <w:r>
        <w:rPr>
          <w:rFonts w:hint="eastAsia" w:ascii="宋体" w:hAnsi="宋体"/>
          <w:color w:val="auto"/>
          <w:sz w:val="24"/>
          <w:lang w:eastAsia="zh-CN"/>
        </w:rPr>
        <w:t>递交磋商响应文件截止日前</w:t>
      </w:r>
      <w:r>
        <w:rPr>
          <w:rFonts w:hint="eastAsia" w:ascii="宋体" w:hAnsi="宋体"/>
          <w:color w:val="auto"/>
          <w:sz w:val="24"/>
        </w:rPr>
        <w:t>收到的</w:t>
      </w:r>
      <w:r>
        <w:rPr>
          <w:rFonts w:hint="eastAsia" w:ascii="宋体" w:hAnsi="宋体"/>
          <w:color w:val="auto"/>
          <w:sz w:val="24"/>
          <w:lang w:eastAsia="zh-CN"/>
        </w:rPr>
        <w:t>供应商</w:t>
      </w:r>
      <w:r>
        <w:rPr>
          <w:rFonts w:hint="eastAsia" w:ascii="宋体" w:hAnsi="宋体"/>
          <w:color w:val="auto"/>
          <w:sz w:val="24"/>
        </w:rPr>
        <w:t>依法提出的询问，</w:t>
      </w:r>
      <w:r>
        <w:rPr>
          <w:rFonts w:ascii="宋体" w:hAnsi="宋体"/>
          <w:color w:val="auto"/>
          <w:sz w:val="24"/>
        </w:rPr>
        <w:t>采购代理机构将</w:t>
      </w:r>
      <w:r>
        <w:rPr>
          <w:rFonts w:hint="eastAsia" w:ascii="宋体" w:hAnsi="宋体"/>
          <w:color w:val="auto"/>
          <w:sz w:val="24"/>
        </w:rPr>
        <w:t>及时作出答复，</w:t>
      </w:r>
      <w:r>
        <w:rPr>
          <w:rFonts w:hint="eastAsia" w:ascii="宋体" w:hAnsi="宋体"/>
          <w:color w:val="auto"/>
          <w:sz w:val="24"/>
          <w:highlight w:val="none"/>
        </w:rPr>
        <w:t>若对</w:t>
      </w:r>
      <w:r>
        <w:rPr>
          <w:rFonts w:hint="eastAsia" w:ascii="宋体" w:hAnsi="宋体"/>
          <w:color w:val="auto"/>
          <w:sz w:val="24"/>
          <w:highlight w:val="none"/>
          <w:lang w:val="en-US" w:eastAsia="zh-CN"/>
        </w:rPr>
        <w:t>磋商文件</w:t>
      </w:r>
      <w:r>
        <w:rPr>
          <w:rFonts w:hint="eastAsia" w:ascii="宋体" w:hAnsi="宋体"/>
          <w:color w:val="auto"/>
          <w:sz w:val="24"/>
          <w:highlight w:val="none"/>
        </w:rPr>
        <w:t>做出实质性变动，则按照相关规定延长</w:t>
      </w:r>
      <w:r>
        <w:rPr>
          <w:rFonts w:hint="eastAsia" w:ascii="宋体" w:hAnsi="宋体"/>
          <w:color w:val="auto"/>
          <w:sz w:val="24"/>
          <w:highlight w:val="none"/>
          <w:lang w:val="en-US" w:eastAsia="zh-CN"/>
        </w:rPr>
        <w:t>磋商响应文件递交</w:t>
      </w:r>
      <w:r>
        <w:rPr>
          <w:rFonts w:hint="eastAsia" w:ascii="宋体" w:hAnsi="宋体"/>
          <w:color w:val="auto"/>
          <w:sz w:val="24"/>
          <w:highlight w:val="none"/>
        </w:rPr>
        <w:t>截止时间</w:t>
      </w:r>
      <w:r>
        <w:rPr>
          <w:rFonts w:hint="eastAsia" w:ascii="宋体" w:hAnsi="宋体" w:cs="宋体"/>
          <w:color w:val="auto"/>
          <w:sz w:val="24"/>
          <w:szCs w:val="24"/>
        </w:rPr>
        <w:t>。</w:t>
      </w:r>
    </w:p>
    <w:p w14:paraId="6EEB1B8F">
      <w:pPr>
        <w:pStyle w:val="4"/>
        <w:numPr>
          <w:ilvl w:val="0"/>
          <w:numId w:val="0"/>
        </w:numPr>
        <w:topLinePunct w:val="0"/>
        <w:bidi w:val="0"/>
        <w:spacing w:line="360" w:lineRule="auto"/>
        <w:ind w:firstLine="482" w:firstLineChars="200"/>
        <w:rPr>
          <w:rFonts w:hint="eastAsia" w:ascii="宋体" w:hAnsi="宋体" w:cs="宋体"/>
          <w:color w:val="auto"/>
          <w:sz w:val="24"/>
          <w:szCs w:val="24"/>
          <w:highlight w:val="none"/>
        </w:rPr>
      </w:pPr>
      <w:bookmarkStart w:id="44" w:name="_Toc6390"/>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竞争性磋商文件的</w:t>
      </w:r>
      <w:r>
        <w:rPr>
          <w:rFonts w:hint="eastAsia" w:ascii="宋体" w:hAnsi="宋体" w:cs="宋体"/>
          <w:color w:val="auto"/>
          <w:sz w:val="24"/>
          <w:szCs w:val="24"/>
          <w:highlight w:val="none"/>
          <w:lang w:val="en-US" w:eastAsia="zh-CN"/>
        </w:rPr>
        <w:t>澄清或</w:t>
      </w:r>
      <w:r>
        <w:rPr>
          <w:rFonts w:hint="eastAsia" w:ascii="宋体" w:hAnsi="宋体" w:cs="宋体"/>
          <w:color w:val="auto"/>
          <w:sz w:val="24"/>
          <w:szCs w:val="24"/>
          <w:highlight w:val="none"/>
        </w:rPr>
        <w:t>修改</w:t>
      </w:r>
      <w:bookmarkEnd w:id="44"/>
    </w:p>
    <w:p w14:paraId="6BDE2A3F">
      <w:pPr>
        <w:tabs>
          <w:tab w:val="left" w:pos="0"/>
        </w:tabs>
        <w:topLinePunct w:val="0"/>
        <w:bidi w:val="0"/>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提交首次响应文件截止之日前，采购人、采购代理机构或者磋商小组可以对已发出的磋商文件进行必要的澄清或修改，澄清或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3ED802">
      <w:pPr>
        <w:pStyle w:val="4"/>
        <w:numPr>
          <w:ilvl w:val="0"/>
          <w:numId w:val="0"/>
        </w:numPr>
        <w:topLinePunct w:val="0"/>
        <w:bidi w:val="0"/>
        <w:spacing w:line="360" w:lineRule="auto"/>
        <w:ind w:firstLine="482" w:firstLineChars="200"/>
        <w:rPr>
          <w:rFonts w:hint="eastAsia" w:ascii="宋体" w:hAnsi="宋体" w:cs="宋体"/>
          <w:color w:val="auto"/>
          <w:sz w:val="24"/>
          <w:szCs w:val="24"/>
          <w:highlight w:val="none"/>
          <w:lang w:val="en-US" w:eastAsia="zh-CN"/>
        </w:rPr>
      </w:pPr>
      <w:bookmarkStart w:id="45" w:name="_Toc31188"/>
      <w:r>
        <w:rPr>
          <w:rFonts w:hint="eastAsia" w:ascii="宋体" w:hAnsi="宋体" w:cs="宋体"/>
          <w:color w:val="auto"/>
          <w:sz w:val="24"/>
          <w:szCs w:val="24"/>
          <w:highlight w:val="none"/>
          <w:lang w:val="en-US" w:eastAsia="zh-CN"/>
        </w:rPr>
        <w:t>4、竞争性磋商文件的获取</w:t>
      </w:r>
      <w:bookmarkEnd w:id="45"/>
    </w:p>
    <w:p w14:paraId="1F5650E7">
      <w:pPr>
        <w:tabs>
          <w:tab w:val="left" w:pos="0"/>
        </w:tabs>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4.1供应商必须从代理机构获取竞争性磋商文件，通过其他渠道获取的竞争性磋商文件为无效文件。</w:t>
      </w:r>
    </w:p>
    <w:p w14:paraId="7B712CFB">
      <w:pPr>
        <w:tabs>
          <w:tab w:val="left" w:pos="0"/>
        </w:tabs>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4.2供应商获取竞争性磋商文件后，应仔细检查竞争性磋商文件的所有内容，如有残缺等问题应在获得磋商文件3日内向采购代理机构提出，否则，由此引起的损失由供应商自行承担。</w:t>
      </w:r>
    </w:p>
    <w:p w14:paraId="07859330">
      <w:pPr>
        <w:pStyle w:val="4"/>
        <w:numPr>
          <w:ilvl w:val="0"/>
          <w:numId w:val="0"/>
        </w:numPr>
        <w:topLinePunct w:val="0"/>
        <w:bidi w:val="0"/>
        <w:spacing w:line="360" w:lineRule="auto"/>
        <w:ind w:firstLine="482" w:firstLineChars="200"/>
        <w:rPr>
          <w:rFonts w:hint="eastAsia" w:ascii="宋体" w:hAnsi="宋体" w:eastAsia="宋体" w:cs="宋体"/>
          <w:color w:val="auto"/>
          <w:sz w:val="24"/>
          <w:szCs w:val="24"/>
          <w:highlight w:val="none"/>
          <w:lang w:val="en-US" w:eastAsia="zh-CN"/>
        </w:rPr>
      </w:pPr>
      <w:bookmarkStart w:id="46" w:name="_Toc5095"/>
      <w:r>
        <w:rPr>
          <w:rFonts w:hint="eastAsia" w:ascii="宋体" w:hAnsi="宋体" w:eastAsia="宋体" w:cs="宋体"/>
          <w:color w:val="auto"/>
          <w:sz w:val="24"/>
          <w:szCs w:val="24"/>
          <w:highlight w:val="none"/>
          <w:lang w:val="en-US" w:eastAsia="zh-CN"/>
        </w:rPr>
        <w:t>5、竞争性磋商文件的解释权归采购代理机构及采购人。</w:t>
      </w:r>
      <w:bookmarkEnd w:id="46"/>
    </w:p>
    <w:p w14:paraId="4EF7929A">
      <w:pPr>
        <w:widowControl/>
        <w:numPr>
          <w:ilvl w:val="0"/>
          <w:numId w:val="0"/>
        </w:numPr>
        <w:topLinePunct w:val="0"/>
        <w:bidi w:val="0"/>
        <w:spacing w:line="360" w:lineRule="auto"/>
        <w:jc w:val="center"/>
        <w:outlineLvl w:val="1"/>
        <w:rPr>
          <w:rFonts w:hint="eastAsia" w:ascii="宋体" w:hAnsi="宋体" w:cs="宋体"/>
          <w:b/>
          <w:bCs/>
          <w:color w:val="auto"/>
          <w:kern w:val="0"/>
          <w:sz w:val="28"/>
          <w:szCs w:val="28"/>
          <w:highlight w:val="none"/>
          <w:lang w:eastAsia="zh-CN"/>
        </w:rPr>
      </w:pPr>
    </w:p>
    <w:p w14:paraId="7F52718D">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三</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磋商响应文件</w:t>
      </w:r>
      <w:bookmarkEnd w:id="40"/>
      <w:bookmarkEnd w:id="41"/>
      <w:bookmarkEnd w:id="42"/>
    </w:p>
    <w:p w14:paraId="11FEC7D8">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bookmarkStart w:id="47" w:name="_Toc17549"/>
      <w:r>
        <w:rPr>
          <w:rFonts w:hint="eastAsia" w:ascii="宋体" w:hAnsi="宋体" w:eastAsia="宋体" w:cs="宋体"/>
          <w:color w:val="auto"/>
          <w:sz w:val="24"/>
          <w:szCs w:val="24"/>
          <w:highlight w:val="none"/>
          <w:lang w:val="en-US" w:eastAsia="zh-CN"/>
        </w:rPr>
        <w:t>1、磋商响应文件的编制</w:t>
      </w:r>
      <w:bookmarkEnd w:id="47"/>
    </w:p>
    <w:p w14:paraId="4CF92032">
      <w:pPr>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磋商响应文件必须根据代理机构发</w:t>
      </w:r>
      <w:r>
        <w:rPr>
          <w:rFonts w:hint="eastAsia" w:ascii="宋体" w:hAnsi="宋体" w:eastAsia="宋体" w:cs="宋体"/>
          <w:color w:val="auto"/>
          <w:sz w:val="24"/>
          <w:szCs w:val="24"/>
          <w:highlight w:val="none"/>
          <w:lang w:eastAsia="zh-CN"/>
        </w:rPr>
        <w:t>出</w:t>
      </w:r>
      <w:r>
        <w:rPr>
          <w:rFonts w:hint="eastAsia" w:ascii="宋体" w:hAnsi="宋体" w:eastAsia="宋体" w:cs="宋体"/>
          <w:color w:val="auto"/>
          <w:sz w:val="24"/>
          <w:szCs w:val="24"/>
          <w:highlight w:val="none"/>
        </w:rPr>
        <w:t>的竞争性磋商文件格式和顺序认真编制。具体内容包括：</w:t>
      </w:r>
      <w:bookmarkStart w:id="48" w:name="_Toc3736"/>
      <w:r>
        <w:rPr>
          <w:rFonts w:hint="eastAsia" w:ascii="宋体" w:hAnsi="宋体" w:cs="宋体"/>
          <w:color w:val="auto"/>
          <w:sz w:val="24"/>
          <w:szCs w:val="24"/>
          <w:highlight w:val="none"/>
          <w:lang w:val="en-US" w:eastAsia="zh-CN"/>
        </w:rPr>
        <w:t>详见磋商响应文件格式</w:t>
      </w:r>
    </w:p>
    <w:p w14:paraId="56F6F930">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2、磋商报价</w:t>
      </w:r>
    </w:p>
    <w:p w14:paraId="03C94D3F">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bookmarkStart w:id="49" w:name="_Toc29200"/>
      <w:r>
        <w:rPr>
          <w:rFonts w:hint="eastAsia" w:ascii="宋体" w:hAnsi="宋体" w:eastAsia="宋体" w:cs="宋体"/>
          <w:color w:val="auto"/>
          <w:sz w:val="24"/>
          <w:szCs w:val="24"/>
          <w:highlight w:val="none"/>
        </w:rPr>
        <w:t>2.1供应商</w:t>
      </w:r>
      <w:r>
        <w:rPr>
          <w:rFonts w:hint="eastAsia" w:ascii="宋体" w:hAnsi="宋体" w:eastAsia="宋体" w:cs="宋体"/>
          <w:color w:val="auto"/>
          <w:sz w:val="24"/>
          <w:szCs w:val="24"/>
          <w:highlight w:val="none"/>
          <w:lang w:val="en-US" w:eastAsia="zh-CN"/>
        </w:rPr>
        <w:t>的磋商报价应为本次</w:t>
      </w:r>
      <w:r>
        <w:rPr>
          <w:rFonts w:hint="eastAsia" w:ascii="宋体" w:hAnsi="宋体" w:eastAsia="宋体" w:cs="宋体"/>
          <w:color w:val="auto"/>
          <w:sz w:val="24"/>
          <w:szCs w:val="24"/>
          <w:highlight w:val="none"/>
        </w:rPr>
        <w:t>招标所要求的服务</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所有费用，包括</w:t>
      </w:r>
      <w:r>
        <w:rPr>
          <w:rFonts w:hint="eastAsia" w:ascii="宋体" w:hAnsi="宋体" w:cs="宋体"/>
          <w:color w:val="auto"/>
          <w:sz w:val="24"/>
          <w:szCs w:val="24"/>
          <w:highlight w:val="none"/>
          <w:lang w:val="en-US" w:eastAsia="zh-CN"/>
        </w:rPr>
        <w:t>技术服务费、管理费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税金等其他费用</w:t>
      </w:r>
      <w:r>
        <w:rPr>
          <w:rFonts w:hint="eastAsia" w:ascii="宋体" w:hAnsi="宋体" w:eastAsia="宋体" w:cs="宋体"/>
          <w:color w:val="auto"/>
          <w:sz w:val="24"/>
          <w:szCs w:val="24"/>
          <w:highlight w:val="none"/>
        </w:rPr>
        <w:t>（如果有）。任何有选择的报价将不予接受，否则按无效响应处理。</w:t>
      </w:r>
    </w:p>
    <w:p w14:paraId="4ABDF39E">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2.2供应商成交后承担</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中发生的安全事故产生的所有法律及经济责任。</w:t>
      </w:r>
    </w:p>
    <w:p w14:paraId="4B17D347">
      <w:pPr>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kern w:val="24"/>
          <w:sz w:val="24"/>
          <w:szCs w:val="24"/>
          <w:highlight w:val="none"/>
        </w:rPr>
        <w:t>供应商</w:t>
      </w:r>
      <w:r>
        <w:rPr>
          <w:rFonts w:hint="eastAsia" w:ascii="宋体" w:hAnsi="宋体" w:eastAsia="宋体" w:cs="宋体"/>
          <w:color w:val="auto"/>
          <w:kern w:val="24"/>
          <w:sz w:val="24"/>
          <w:szCs w:val="24"/>
          <w:highlight w:val="none"/>
          <w:lang w:val="en-US" w:eastAsia="zh-CN"/>
        </w:rPr>
        <w:t>最终报价</w:t>
      </w:r>
      <w:r>
        <w:rPr>
          <w:rFonts w:hint="eastAsia" w:ascii="宋体" w:hAnsi="宋体" w:eastAsia="宋体" w:cs="宋体"/>
          <w:color w:val="auto"/>
          <w:kern w:val="24"/>
          <w:sz w:val="24"/>
          <w:szCs w:val="24"/>
          <w:highlight w:val="none"/>
        </w:rPr>
        <w:t>在合同实施期间不因市场变化因素而变动</w:t>
      </w:r>
      <w:r>
        <w:rPr>
          <w:rFonts w:hint="eastAsia" w:ascii="宋体" w:hAnsi="宋体" w:eastAsia="宋体" w:cs="宋体"/>
          <w:color w:val="auto"/>
          <w:kern w:val="1"/>
          <w:sz w:val="24"/>
          <w:szCs w:val="24"/>
          <w:highlight w:val="none"/>
          <w:lang w:bidi="ar"/>
        </w:rPr>
        <w:t>（政策性调整除外）</w:t>
      </w:r>
      <w:r>
        <w:rPr>
          <w:rFonts w:hint="eastAsia" w:ascii="宋体" w:hAnsi="宋体" w:eastAsia="宋体" w:cs="宋体"/>
          <w:color w:val="auto"/>
          <w:kern w:val="24"/>
          <w:sz w:val="24"/>
          <w:szCs w:val="24"/>
          <w:highlight w:val="none"/>
        </w:rPr>
        <w:t>。</w:t>
      </w:r>
    </w:p>
    <w:p w14:paraId="531F545E">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2.4供应商应在磋商响应文件中的磋商一览表上，标明总报价</w:t>
      </w:r>
      <w:r>
        <w:rPr>
          <w:rFonts w:hint="eastAsia" w:ascii="宋体" w:hAnsi="宋体" w:eastAsia="宋体" w:cs="宋体"/>
          <w:color w:val="auto"/>
          <w:sz w:val="24"/>
          <w:szCs w:val="24"/>
          <w:highlight w:val="none"/>
          <w:lang w:val="en-US" w:eastAsia="zh-CN"/>
        </w:rPr>
        <w:t>及要求的其他内容</w:t>
      </w:r>
      <w:r>
        <w:rPr>
          <w:rFonts w:hint="eastAsia" w:ascii="宋体" w:hAnsi="宋体" w:eastAsia="宋体" w:cs="宋体"/>
          <w:color w:val="auto"/>
          <w:sz w:val="24"/>
          <w:szCs w:val="24"/>
          <w:highlight w:val="none"/>
        </w:rPr>
        <w:t>；任何有选择的报价不予接受。</w:t>
      </w:r>
    </w:p>
    <w:p w14:paraId="12EBF9DD">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2.5最低报价不是成交的唯一依据。</w:t>
      </w:r>
    </w:p>
    <w:p w14:paraId="7250192F">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3、磋商货币</w:t>
      </w:r>
      <w:bookmarkEnd w:id="49"/>
    </w:p>
    <w:p w14:paraId="3184197F">
      <w:pPr>
        <w:pageBreakBefore w:val="0"/>
        <w:widowControl/>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采购人只接受人民币作为唯一磋商货币。</w:t>
      </w:r>
    </w:p>
    <w:p w14:paraId="49FD7F63">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4、磋商保证金</w:t>
      </w:r>
    </w:p>
    <w:p w14:paraId="40C46DF8">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按照供应商须知前附表要求缴纳。</w:t>
      </w:r>
    </w:p>
    <w:p w14:paraId="36644DA1">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bookmarkStart w:id="50" w:name="_Toc19668"/>
      <w:r>
        <w:rPr>
          <w:rFonts w:hint="eastAsia" w:ascii="宋体" w:hAnsi="宋体" w:eastAsia="宋体" w:cs="宋体"/>
          <w:color w:val="auto"/>
          <w:sz w:val="24"/>
          <w:szCs w:val="24"/>
          <w:highlight w:val="none"/>
        </w:rPr>
        <w:t>4.2供应商未按照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缴</w:t>
      </w:r>
      <w:r>
        <w:rPr>
          <w:rFonts w:hint="eastAsia" w:ascii="宋体" w:hAnsi="宋体" w:eastAsia="宋体" w:cs="宋体"/>
          <w:color w:val="auto"/>
          <w:sz w:val="24"/>
          <w:szCs w:val="24"/>
          <w:highlight w:val="none"/>
        </w:rPr>
        <w:t>纳</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的或</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的交付单位和供应商的名称不一致，视为无效磋商。</w:t>
      </w:r>
    </w:p>
    <w:p w14:paraId="0DDCEA49">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pacing w:val="0"/>
          <w:sz w:val="24"/>
          <w:szCs w:val="24"/>
          <w:highlight w:val="none"/>
        </w:rPr>
        <w:t>未成交供应商的</w:t>
      </w:r>
      <w:r>
        <w:rPr>
          <w:rFonts w:hint="eastAsia" w:ascii="宋体" w:hAnsi="宋体" w:eastAsia="宋体" w:cs="宋体"/>
          <w:color w:val="auto"/>
          <w:spacing w:val="0"/>
          <w:sz w:val="24"/>
          <w:szCs w:val="24"/>
          <w:highlight w:val="none"/>
          <w:lang w:eastAsia="zh-CN"/>
        </w:rPr>
        <w:t>磋商保证金</w:t>
      </w:r>
      <w:r>
        <w:rPr>
          <w:rFonts w:hint="eastAsia" w:ascii="宋体" w:hAnsi="宋体" w:eastAsia="宋体" w:cs="宋体"/>
          <w:color w:val="auto"/>
          <w:spacing w:val="0"/>
          <w:sz w:val="24"/>
          <w:szCs w:val="24"/>
          <w:highlight w:val="none"/>
        </w:rPr>
        <w:t>，在成交通知书发出后5个工作日内退还；成交供应商的</w:t>
      </w:r>
      <w:r>
        <w:rPr>
          <w:rFonts w:hint="eastAsia" w:ascii="宋体" w:hAnsi="宋体" w:eastAsia="宋体" w:cs="宋体"/>
          <w:color w:val="auto"/>
          <w:spacing w:val="0"/>
          <w:sz w:val="24"/>
          <w:szCs w:val="24"/>
          <w:highlight w:val="none"/>
          <w:lang w:eastAsia="zh-CN"/>
        </w:rPr>
        <w:t>磋商保证金</w:t>
      </w:r>
      <w:r>
        <w:rPr>
          <w:rFonts w:hint="eastAsia" w:ascii="宋体" w:hAnsi="宋体" w:eastAsia="宋体" w:cs="宋体"/>
          <w:color w:val="auto"/>
          <w:spacing w:val="0"/>
          <w:sz w:val="24"/>
          <w:szCs w:val="24"/>
          <w:highlight w:val="none"/>
        </w:rPr>
        <w:t>在</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合同签订后5个工作日内退还。</w:t>
      </w:r>
    </w:p>
    <w:p w14:paraId="3749F3F4">
      <w:pPr>
        <w:pageBreakBefore w:val="0"/>
        <w:tabs>
          <w:tab w:val="left" w:pos="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pacing w:val="-11"/>
          <w:sz w:val="24"/>
          <w:szCs w:val="24"/>
          <w:highlight w:val="none"/>
        </w:rPr>
      </w:pPr>
      <w:r>
        <w:rPr>
          <w:rFonts w:hint="eastAsia" w:ascii="宋体" w:hAnsi="宋体" w:eastAsia="宋体" w:cs="宋体"/>
          <w:b/>
          <w:bCs/>
          <w:color w:val="auto"/>
          <w:kern w:val="1"/>
          <w:sz w:val="24"/>
          <w:highlight w:val="none"/>
          <w:lang w:val="zh-CN"/>
        </w:rPr>
        <w:t>（成交供应商须在合同签订后两个工作日内，提供完整的合同扫描件发送至邮箱</w:t>
      </w:r>
      <w:r>
        <w:rPr>
          <w:rFonts w:hint="eastAsia" w:ascii="宋体" w:hAnsi="宋体" w:cs="宋体"/>
          <w:b/>
          <w:bCs/>
          <w:color w:val="auto"/>
          <w:kern w:val="1"/>
          <w:sz w:val="24"/>
          <w:highlight w:val="none"/>
          <w:lang w:val="en-US" w:eastAsia="zh-CN"/>
        </w:rPr>
        <w:t>1163938795</w:t>
      </w:r>
      <w:r>
        <w:rPr>
          <w:rFonts w:hint="eastAsia" w:ascii="宋体" w:hAnsi="宋体" w:eastAsia="宋体" w:cs="宋体"/>
          <w:b/>
          <w:bCs/>
          <w:color w:val="auto"/>
          <w:kern w:val="1"/>
          <w:sz w:val="24"/>
          <w:highlight w:val="none"/>
        </w:rPr>
        <w:t>@qq.com</w:t>
      </w:r>
      <w:r>
        <w:rPr>
          <w:rFonts w:hint="eastAsia" w:ascii="宋体" w:hAnsi="宋体" w:eastAsia="宋体" w:cs="宋体"/>
          <w:b/>
          <w:bCs/>
          <w:color w:val="auto"/>
          <w:kern w:val="1"/>
          <w:sz w:val="24"/>
          <w:highlight w:val="none"/>
          <w:lang w:val="zh-CN"/>
        </w:rPr>
        <w:t>）</w:t>
      </w:r>
      <w:r>
        <w:rPr>
          <w:rStyle w:val="41"/>
          <w:rFonts w:hint="eastAsia" w:ascii="宋体" w:hAnsi="宋体"/>
          <w:b/>
          <w:color w:val="auto"/>
          <w:sz w:val="24"/>
          <w:highlight w:val="none"/>
          <w:u w:val="none"/>
        </w:rPr>
        <w:t>。</w:t>
      </w:r>
    </w:p>
    <w:p w14:paraId="2A9B0D3E">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磋商保证金退还方式：</w:t>
      </w:r>
    </w:p>
    <w:p w14:paraId="642DC11E">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（1）供应商以银行转账/电汇形式缴纳保证金的，代理机构以银行转账形式退还至供应商基本账户。</w:t>
      </w:r>
    </w:p>
    <w:p w14:paraId="64ECC08D">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以金融机构/担保机构保函形式缴纳磋商保证金的，磋商结束之后代理机构将其保函原件退回（退还时间参照4.3条款）。</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领取保函原件时须携带法定代表人授权委托书原件。</w:t>
      </w:r>
    </w:p>
    <w:p w14:paraId="5F52BA78">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发生下列情形之一的，代理机构将不予退还供应商</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7C8EE92C">
      <w:pPr>
        <w:pageBreakBefore w:val="0"/>
        <w:numPr>
          <w:ilvl w:val="0"/>
          <w:numId w:val="4"/>
        </w:numPr>
        <w:tabs>
          <w:tab w:val="left" w:pos="0"/>
        </w:tabs>
        <w:kinsoku/>
        <w:wordWrap/>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供应商在提交响应文件截止时间后撤回响应文件的</w:t>
      </w:r>
      <w:r>
        <w:rPr>
          <w:rFonts w:hint="eastAsia" w:ascii="宋体" w:hAnsi="宋体" w:eastAsia="宋体" w:cs="宋体"/>
          <w:color w:val="auto"/>
          <w:sz w:val="24"/>
          <w:szCs w:val="24"/>
          <w:highlight w:val="none"/>
        </w:rPr>
        <w:t>；</w:t>
      </w:r>
    </w:p>
    <w:p w14:paraId="529F4C17">
      <w:pPr>
        <w:pageBreakBefore w:val="0"/>
        <w:numPr>
          <w:ilvl w:val="0"/>
          <w:numId w:val="4"/>
        </w:numPr>
        <w:kinsoku/>
        <w:wordWrap/>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供应商在响应文件中提供虚假材料的</w:t>
      </w:r>
      <w:r>
        <w:rPr>
          <w:rFonts w:hint="eastAsia" w:ascii="宋体" w:hAnsi="宋体" w:eastAsia="宋体" w:cs="宋体"/>
          <w:color w:val="auto"/>
          <w:sz w:val="24"/>
          <w:szCs w:val="24"/>
          <w:highlight w:val="none"/>
        </w:rPr>
        <w:t>；</w:t>
      </w:r>
    </w:p>
    <w:p w14:paraId="113DD0E4">
      <w:pPr>
        <w:pageBreakBefore w:val="0"/>
        <w:numPr>
          <w:ilvl w:val="0"/>
          <w:numId w:val="4"/>
        </w:numPr>
        <w:kinsoku/>
        <w:wordWrap/>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供应商与采购人、其他供应商或者采购代理除因不可抗力或竞争性磋商文件认可的情形以外，成交供应商不与采购人签订合同的</w:t>
      </w:r>
      <w:r>
        <w:rPr>
          <w:rFonts w:hint="eastAsia" w:ascii="宋体" w:hAnsi="宋体" w:eastAsia="宋体" w:cs="宋体"/>
          <w:color w:val="auto"/>
          <w:sz w:val="24"/>
          <w:szCs w:val="24"/>
          <w:highlight w:val="none"/>
        </w:rPr>
        <w:t>；</w:t>
      </w:r>
    </w:p>
    <w:p w14:paraId="6E268BCD">
      <w:pPr>
        <w:pageBreakBefore w:val="0"/>
        <w:numPr>
          <w:ilvl w:val="0"/>
          <w:numId w:val="4"/>
        </w:numPr>
        <w:kinsoku/>
        <w:wordWrap/>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供应商与采购人、其他供应商或者采购代理机构恶意串通的；</w:t>
      </w:r>
    </w:p>
    <w:p w14:paraId="43C5290D">
      <w:pPr>
        <w:pageBreakBefore w:val="0"/>
        <w:numPr>
          <w:ilvl w:val="0"/>
          <w:numId w:val="0"/>
        </w:numPr>
        <w:kinsoku/>
        <w:wordWrap/>
        <w:overflowPunct/>
        <w:topLinePunct w:val="0"/>
        <w:autoSpaceDE/>
        <w:autoSpaceDN/>
        <w:bidi w:val="0"/>
        <w:adjustRightInd/>
        <w:snapToGrid/>
        <w:spacing w:line="360" w:lineRule="auto"/>
        <w:ind w:left="42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（5）竞争性磋商文件规定的其他情形。</w:t>
      </w:r>
    </w:p>
    <w:p w14:paraId="6AF1BD63">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5、磋商有效期</w:t>
      </w:r>
      <w:bookmarkEnd w:id="50"/>
    </w:p>
    <w:p w14:paraId="0FB25CF0">
      <w:pPr>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磋商有效期见供应商须知前附表，</w:t>
      </w:r>
      <w:r>
        <w:rPr>
          <w:rFonts w:hint="eastAsia" w:ascii="宋体" w:hAnsi="宋体" w:eastAsia="宋体" w:cs="宋体"/>
          <w:color w:val="auto"/>
          <w:sz w:val="24"/>
          <w:szCs w:val="24"/>
          <w:highlight w:val="none"/>
          <w:lang w:val="en-US" w:eastAsia="zh-CN"/>
        </w:rPr>
        <w:t>不响应</w:t>
      </w:r>
      <w:r>
        <w:rPr>
          <w:rFonts w:hint="eastAsia" w:ascii="宋体" w:hAnsi="宋体" w:eastAsia="宋体" w:cs="宋体"/>
          <w:color w:val="auto"/>
          <w:sz w:val="24"/>
          <w:szCs w:val="24"/>
          <w:highlight w:val="none"/>
        </w:rPr>
        <w:t>磋商有效期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文件，其磋商响应文件将被拒绝。成交单位的磋商有效期延长至合同执行完毕。</w:t>
      </w:r>
    </w:p>
    <w:p w14:paraId="5052A70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在磋商有效期内，供应商的投标保持有效，供应商不得要求撤销或修改其磋商响应文件。</w:t>
      </w:r>
    </w:p>
    <w:p w14:paraId="459D08C2">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bookmarkStart w:id="51" w:name="_Toc24827"/>
      <w:r>
        <w:rPr>
          <w:rFonts w:hint="eastAsia" w:ascii="宋体" w:hAnsi="宋体" w:eastAsia="宋体" w:cs="宋体"/>
          <w:color w:val="auto"/>
          <w:sz w:val="24"/>
          <w:szCs w:val="24"/>
          <w:highlight w:val="none"/>
          <w:lang w:val="en-US" w:eastAsia="zh-CN"/>
        </w:rPr>
        <w:t>6、磋商响应文件的格式、装订、密封和签署</w:t>
      </w:r>
      <w:bookmarkEnd w:id="51"/>
    </w:p>
    <w:p w14:paraId="262C6121">
      <w:pPr>
        <w:pageBreakBefore w:val="0"/>
        <w:tabs>
          <w:tab w:val="left" w:pos="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6.1供应商须依据竞争性磋商文件内容和磋商响应文件格式的要求编制磋商响应文件；</w:t>
      </w:r>
    </w:p>
    <w:p w14:paraId="4F6F3F77">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24"/>
          <w:sz w:val="24"/>
          <w:szCs w:val="24"/>
          <w:highlight w:val="none"/>
          <w:lang w:val="en-US" w:eastAsia="zh-CN"/>
        </w:rPr>
      </w:pPr>
      <w:r>
        <w:rPr>
          <w:rFonts w:hint="eastAsia" w:ascii="宋体" w:hAnsi="宋体" w:eastAsia="宋体" w:cs="宋体"/>
          <w:color w:val="auto"/>
          <w:kern w:val="24"/>
          <w:sz w:val="24"/>
          <w:szCs w:val="24"/>
          <w:highlight w:val="none"/>
          <w:lang w:val="en-US" w:eastAsia="zh-CN"/>
        </w:rPr>
        <w:t>磋商</w:t>
      </w:r>
      <w:r>
        <w:rPr>
          <w:rFonts w:hint="eastAsia" w:ascii="宋体" w:hAnsi="宋体" w:eastAsia="宋体" w:cs="宋体"/>
          <w:color w:val="auto"/>
          <w:kern w:val="24"/>
          <w:sz w:val="24"/>
          <w:szCs w:val="24"/>
          <w:highlight w:val="none"/>
        </w:rPr>
        <w:t>响应文件需打印</w:t>
      </w:r>
      <w:r>
        <w:rPr>
          <w:rFonts w:hint="eastAsia" w:ascii="宋体" w:hAnsi="宋体" w:eastAsia="宋体" w:cs="宋体"/>
          <w:color w:val="auto"/>
          <w:kern w:val="24"/>
          <w:sz w:val="24"/>
          <w:szCs w:val="24"/>
          <w:highlight w:val="none"/>
          <w:lang w:val="en-US" w:eastAsia="zh-CN"/>
        </w:rPr>
        <w:t>（建议双面打印）和书写清楚工整，</w:t>
      </w:r>
      <w:r>
        <w:rPr>
          <w:rFonts w:hint="eastAsia" w:ascii="宋体" w:hAnsi="宋体" w:eastAsia="宋体" w:cs="宋体"/>
          <w:color w:val="auto"/>
          <w:kern w:val="24"/>
          <w:sz w:val="24"/>
          <w:szCs w:val="24"/>
          <w:highlight w:val="none"/>
        </w:rPr>
        <w:t>按A4规格制作，统一胶装、标码（页码应有连续性），并标明目录（目录含页码，</w:t>
      </w:r>
      <w:r>
        <w:rPr>
          <w:rFonts w:hint="eastAsia" w:ascii="宋体" w:hAnsi="宋体" w:eastAsia="宋体" w:cs="宋体"/>
          <w:color w:val="auto"/>
          <w:kern w:val="24"/>
          <w:sz w:val="24"/>
          <w:szCs w:val="24"/>
          <w:highlight w:val="none"/>
          <w:lang w:val="en-US" w:eastAsia="zh-CN"/>
        </w:rPr>
        <w:t>磋商响应</w:t>
      </w:r>
      <w:r>
        <w:rPr>
          <w:rFonts w:hint="eastAsia" w:ascii="宋体" w:hAnsi="宋体" w:eastAsia="宋体" w:cs="宋体"/>
          <w:color w:val="auto"/>
          <w:kern w:val="24"/>
          <w:sz w:val="24"/>
          <w:szCs w:val="24"/>
          <w:highlight w:val="none"/>
        </w:rPr>
        <w:t>文件格式未提供目录，请供应商自行编制）。</w:t>
      </w:r>
    </w:p>
    <w:p w14:paraId="36C324DB">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24"/>
          <w:sz w:val="24"/>
          <w:szCs w:val="24"/>
          <w:highlight w:val="none"/>
          <w:lang w:val="en-US" w:eastAsia="zh-CN"/>
        </w:rPr>
      </w:pPr>
      <w:r>
        <w:rPr>
          <w:rFonts w:hint="eastAsia" w:ascii="宋体" w:hAnsi="宋体" w:eastAsia="宋体" w:cs="宋体"/>
          <w:color w:val="auto"/>
          <w:kern w:val="24"/>
          <w:sz w:val="24"/>
          <w:szCs w:val="24"/>
          <w:highlight w:val="none"/>
        </w:rPr>
        <w:t>6.2磋商响应文件的</w:t>
      </w:r>
      <w:r>
        <w:rPr>
          <w:rFonts w:hint="eastAsia" w:ascii="宋体" w:hAnsi="宋体" w:cs="宋体"/>
          <w:color w:val="auto"/>
          <w:kern w:val="24"/>
          <w:sz w:val="24"/>
          <w:szCs w:val="24"/>
          <w:highlight w:val="none"/>
          <w:lang w:val="en-US" w:eastAsia="zh-CN"/>
        </w:rPr>
        <w:t>包装</w:t>
      </w:r>
      <w:r>
        <w:rPr>
          <w:rFonts w:hint="eastAsia" w:ascii="宋体" w:hAnsi="宋体" w:eastAsia="宋体" w:cs="宋体"/>
          <w:color w:val="auto"/>
          <w:kern w:val="24"/>
          <w:sz w:val="24"/>
          <w:szCs w:val="24"/>
          <w:highlight w:val="none"/>
          <w:lang w:val="en-US" w:eastAsia="zh-CN"/>
        </w:rPr>
        <w:t>密封</w:t>
      </w:r>
    </w:p>
    <w:p w14:paraId="3766F49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kern w:val="24"/>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详见磋商文件供应商须知前附表2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条</w:t>
      </w:r>
    </w:p>
    <w:p w14:paraId="28421313">
      <w:pPr>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6.3磋商响应文件的签署</w:t>
      </w:r>
    </w:p>
    <w:p w14:paraId="74883DB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供应商在磋商响应文件中指定页面落款处，按竞争性磋商文件要求由供应商的法定代表人或</w:t>
      </w:r>
      <w:r>
        <w:rPr>
          <w:rFonts w:hint="eastAsia" w:ascii="宋体" w:hAnsi="宋体" w:eastAsia="宋体" w:cs="宋体"/>
          <w:color w:val="auto"/>
          <w:kern w:val="2"/>
          <w:sz w:val="24"/>
          <w:szCs w:val="24"/>
          <w:highlight w:val="none"/>
          <w:lang w:val="en-US" w:eastAsia="zh-CN" w:bidi="ar-SA"/>
        </w:rPr>
        <w:t>被授权人</w:t>
      </w:r>
      <w:r>
        <w:rPr>
          <w:rFonts w:hint="eastAsia" w:ascii="宋体" w:hAnsi="宋体" w:eastAsia="宋体" w:cs="宋体"/>
          <w:color w:val="auto"/>
          <w:sz w:val="24"/>
          <w:szCs w:val="24"/>
          <w:highlight w:val="none"/>
        </w:rPr>
        <w:t>在规定的签章处签字或盖章。</w:t>
      </w:r>
    </w:p>
    <w:p w14:paraId="4AE91D7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供应商应按照磋商文件要求，在每一份磋商响应文件的正本和副本封面</w:t>
      </w:r>
      <w:r>
        <w:rPr>
          <w:rFonts w:hint="eastAsia" w:ascii="宋体" w:hAnsi="宋体" w:eastAsia="宋体" w:cs="宋体"/>
          <w:color w:val="auto"/>
          <w:sz w:val="24"/>
          <w:szCs w:val="24"/>
          <w:highlight w:val="none"/>
          <w:lang w:val="en-US" w:eastAsia="zh-CN"/>
        </w:rPr>
        <w:t>上注明</w:t>
      </w:r>
      <w:r>
        <w:rPr>
          <w:rFonts w:hint="eastAsia" w:ascii="宋体" w:hAnsi="宋体" w:eastAsia="宋体" w:cs="宋体"/>
          <w:color w:val="auto"/>
          <w:sz w:val="24"/>
          <w:szCs w:val="24"/>
          <w:highlight w:val="none"/>
        </w:rPr>
        <w:t>供应商全称并加盖公章。</w:t>
      </w:r>
    </w:p>
    <w:p w14:paraId="5328919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磋商响应文件应字迹清楚、内容齐全、不得涂改或增删。如有修改和增删，必须</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供应商法定代表人或</w:t>
      </w:r>
      <w:r>
        <w:rPr>
          <w:rFonts w:hint="eastAsia" w:ascii="宋体" w:hAnsi="宋体" w:eastAsia="宋体" w:cs="宋体"/>
          <w:color w:val="auto"/>
          <w:kern w:val="2"/>
          <w:sz w:val="24"/>
          <w:szCs w:val="24"/>
          <w:highlight w:val="none"/>
          <w:lang w:val="en-US" w:eastAsia="zh-CN" w:bidi="ar-SA"/>
        </w:rPr>
        <w:t>被授权人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w:t>
      </w:r>
    </w:p>
    <w:p w14:paraId="71166A89">
      <w:pPr>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6.4本次磋商只接受简体中文文字的磋商响应文件；如磋商响应文件中出现外文资料，必须配以中文译文。否则，由此引发的一切责任由供应商自负。</w:t>
      </w:r>
    </w:p>
    <w:p w14:paraId="639272E8">
      <w:pPr>
        <w:pStyle w:val="4"/>
        <w:pageBreakBefore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bookmarkStart w:id="52" w:name="_Toc22752"/>
      <w:r>
        <w:rPr>
          <w:rFonts w:hint="eastAsia" w:ascii="宋体" w:hAnsi="宋体" w:eastAsia="宋体" w:cs="宋体"/>
          <w:color w:val="auto"/>
          <w:sz w:val="24"/>
          <w:szCs w:val="24"/>
          <w:highlight w:val="none"/>
          <w:lang w:val="en-US" w:eastAsia="zh-CN"/>
        </w:rPr>
        <w:t>7、知识产权</w:t>
      </w:r>
      <w:bookmarkEnd w:id="52"/>
    </w:p>
    <w:p w14:paraId="2B348543">
      <w:pPr>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应保证在本项目使用的任何产品和服务（包括部分使用）时，不会产生因第三方提出侵犯其专利权、商标权或其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rPr>
        <w:t>知识产权而引起的法律和经济纠纷，如因专利权、商标权或其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rPr>
        <w:t>知识产权而引起法律纠纷和经济纠纷，由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承担所有相关责任。</w:t>
      </w:r>
    </w:p>
    <w:p w14:paraId="59941B12">
      <w:pPr>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7.2采购人享</w:t>
      </w:r>
      <w:r>
        <w:rPr>
          <w:rFonts w:hint="eastAsia" w:ascii="宋体" w:hAnsi="宋体" w:eastAsia="宋体" w:cs="宋体"/>
          <w:color w:val="auto"/>
          <w:sz w:val="24"/>
          <w:szCs w:val="24"/>
          <w:lang w:eastAsia="zh-CN"/>
        </w:rPr>
        <w:t>用</w:t>
      </w:r>
      <w:r>
        <w:rPr>
          <w:rFonts w:hint="eastAsia" w:ascii="宋体" w:hAnsi="宋体" w:eastAsia="宋体" w:cs="宋体"/>
          <w:color w:val="auto"/>
          <w:sz w:val="24"/>
          <w:szCs w:val="24"/>
        </w:rPr>
        <w:t>本项目在实施过程中产生的知识成果。</w:t>
      </w:r>
    </w:p>
    <w:p w14:paraId="048332AE">
      <w:pPr>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如欲在项目实施过程中采用自有知识成果，需在</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中声明，并提供相关知识产权证明文件。使用该知识成果后，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须提供开发接口和开发手册等技术文档，并承诺提供无限期技术支持，采购人享有永久使用权。</w:t>
      </w:r>
    </w:p>
    <w:p w14:paraId="11C79570">
      <w:pPr>
        <w:pStyle w:val="12"/>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rPr>
        <w:t>7.4如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所不拥有的知识产权，则在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报价中必须包括合法获取该知识产权的相关费用。</w:t>
      </w:r>
    </w:p>
    <w:p w14:paraId="2D0D9520">
      <w:pPr>
        <w:widowControl/>
        <w:numPr>
          <w:ilvl w:val="0"/>
          <w:numId w:val="0"/>
        </w:numPr>
        <w:topLinePunct w:val="0"/>
        <w:bidi w:val="0"/>
        <w:spacing w:line="360" w:lineRule="auto"/>
        <w:jc w:val="center"/>
        <w:outlineLvl w:val="1"/>
        <w:rPr>
          <w:rFonts w:hint="eastAsia" w:ascii="宋体" w:hAnsi="宋体" w:cs="宋体"/>
          <w:b/>
          <w:bCs/>
          <w:color w:val="auto"/>
          <w:kern w:val="0"/>
          <w:sz w:val="28"/>
          <w:szCs w:val="28"/>
          <w:highlight w:val="none"/>
          <w:lang w:eastAsia="zh-CN"/>
        </w:rPr>
      </w:pPr>
      <w:bookmarkStart w:id="53" w:name="_Toc7624"/>
      <w:bookmarkStart w:id="54" w:name="_Toc13065123"/>
      <w:bookmarkStart w:id="55" w:name="_Toc2312"/>
      <w:bookmarkStart w:id="56" w:name="_Toc3565"/>
    </w:p>
    <w:p w14:paraId="2618F343">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四</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磋商响应文件的递交</w:t>
      </w:r>
      <w:bookmarkEnd w:id="53"/>
      <w:bookmarkEnd w:id="54"/>
      <w:bookmarkEnd w:id="55"/>
      <w:bookmarkEnd w:id="56"/>
    </w:p>
    <w:bookmarkEnd w:id="48"/>
    <w:p w14:paraId="4BEC2064">
      <w:pPr>
        <w:pStyle w:val="4"/>
        <w:numPr>
          <w:ilvl w:val="0"/>
          <w:numId w:val="0"/>
        </w:numPr>
        <w:topLinePunct w:val="0"/>
        <w:bidi w:val="0"/>
        <w:spacing w:line="360" w:lineRule="auto"/>
        <w:ind w:firstLine="482" w:firstLineChars="200"/>
        <w:rPr>
          <w:rFonts w:hint="eastAsia" w:ascii="宋体" w:hAnsi="宋体" w:cs="宋体"/>
          <w:color w:val="auto"/>
          <w:sz w:val="24"/>
          <w:szCs w:val="24"/>
          <w:highlight w:val="none"/>
          <w:lang w:val="en-US" w:eastAsia="zh-CN"/>
        </w:rPr>
      </w:pPr>
      <w:bookmarkStart w:id="57" w:name="_Toc3685"/>
      <w:r>
        <w:rPr>
          <w:rFonts w:hint="eastAsia" w:ascii="宋体" w:hAnsi="宋体" w:cs="宋体"/>
          <w:color w:val="auto"/>
          <w:sz w:val="24"/>
          <w:szCs w:val="24"/>
          <w:highlight w:val="none"/>
          <w:lang w:val="en-US" w:eastAsia="zh-CN"/>
        </w:rPr>
        <w:t>1、磋商响应文件递交</w:t>
      </w:r>
      <w:bookmarkEnd w:id="57"/>
    </w:p>
    <w:p w14:paraId="4DC3B7F4">
      <w:pPr>
        <w:widowControl/>
        <w:tabs>
          <w:tab w:val="left" w:pos="0"/>
        </w:tabs>
        <w:topLinePunct w:val="0"/>
        <w:bidi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1.1供应商必须在竞争性磋商文件规定的磋商响应文件递交截止时间之前，将全部磋商响应文件</w:t>
      </w:r>
      <w:r>
        <w:rPr>
          <w:rFonts w:hint="eastAsia" w:ascii="宋体" w:hAnsi="宋体" w:cs="宋体"/>
          <w:color w:val="auto"/>
          <w:sz w:val="24"/>
          <w:szCs w:val="24"/>
          <w:highlight w:val="none"/>
          <w:lang w:val="en-US" w:eastAsia="zh-CN"/>
        </w:rPr>
        <w:t>密封</w:t>
      </w:r>
      <w:r>
        <w:rPr>
          <w:rFonts w:hint="eastAsia" w:ascii="宋体" w:hAnsi="宋体" w:cs="宋体"/>
          <w:color w:val="auto"/>
          <w:sz w:val="24"/>
          <w:szCs w:val="24"/>
          <w:highlight w:val="none"/>
        </w:rPr>
        <w:t>递交至代理机构工作人员；代理机构项目承办人在竞争性磋商文件规定的磋商响应文件递交截止时间前，只负责磋商响应文件的接收、清点、造册登记工作，并请供应商代表签字确认，对其有效性不负任何责任。</w:t>
      </w:r>
    </w:p>
    <w:p w14:paraId="5AA0A724">
      <w:pPr>
        <w:widowControl/>
        <w:tabs>
          <w:tab w:val="left" w:pos="0"/>
        </w:tabs>
        <w:topLinePunct w:val="0"/>
        <w:bidi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s="宋体"/>
          <w:color w:val="auto"/>
          <w:sz w:val="24"/>
          <w:szCs w:val="24"/>
        </w:rPr>
        <w:t>逾期送达或者未按照</w:t>
      </w:r>
      <w:r>
        <w:rPr>
          <w:rFonts w:hint="eastAsia" w:ascii="宋体" w:hAnsi="宋体" w:cs="宋体"/>
          <w:color w:val="auto"/>
          <w:sz w:val="24"/>
          <w:szCs w:val="24"/>
          <w:lang w:val="en-US" w:eastAsia="zh-CN"/>
        </w:rPr>
        <w:t>磋商文件</w:t>
      </w:r>
      <w:r>
        <w:rPr>
          <w:rFonts w:hint="eastAsia" w:ascii="宋体" w:hAnsi="宋体" w:cs="宋体"/>
          <w:color w:val="auto"/>
          <w:sz w:val="24"/>
          <w:szCs w:val="24"/>
        </w:rPr>
        <w:t>要求密封的</w:t>
      </w:r>
      <w:r>
        <w:rPr>
          <w:rFonts w:hint="eastAsia" w:ascii="宋体" w:hAnsi="宋体" w:cs="宋体"/>
          <w:color w:val="auto"/>
          <w:sz w:val="24"/>
          <w:szCs w:val="24"/>
          <w:highlight w:val="none"/>
        </w:rPr>
        <w:t>磋商响应文件</w:t>
      </w:r>
      <w:r>
        <w:rPr>
          <w:rFonts w:hint="eastAsia" w:ascii="宋体" w:hAnsi="宋体" w:cs="宋体"/>
          <w:color w:val="auto"/>
          <w:sz w:val="24"/>
          <w:szCs w:val="24"/>
        </w:rPr>
        <w:t>，采购人、采购代理机构</w:t>
      </w:r>
      <w:r>
        <w:rPr>
          <w:rFonts w:hint="eastAsia" w:ascii="宋体" w:hAnsi="宋体" w:cs="宋体"/>
          <w:color w:val="auto"/>
          <w:sz w:val="24"/>
          <w:szCs w:val="24"/>
          <w:lang w:val="en-US" w:eastAsia="zh-CN"/>
        </w:rPr>
        <w:t>有权</w:t>
      </w:r>
      <w:r>
        <w:rPr>
          <w:rFonts w:hint="eastAsia" w:ascii="宋体" w:hAnsi="宋体" w:cs="宋体"/>
          <w:color w:val="auto"/>
          <w:sz w:val="24"/>
          <w:szCs w:val="24"/>
        </w:rPr>
        <w:t>拒</w:t>
      </w:r>
      <w:r>
        <w:rPr>
          <w:rFonts w:hint="eastAsia" w:ascii="宋体" w:hAnsi="宋体" w:cs="宋体"/>
          <w:color w:val="auto"/>
          <w:sz w:val="24"/>
          <w:szCs w:val="24"/>
          <w:highlight w:val="none"/>
        </w:rPr>
        <w:t>收；</w:t>
      </w:r>
    </w:p>
    <w:p w14:paraId="03C0CB4D">
      <w:pPr>
        <w:widowControl/>
        <w:tabs>
          <w:tab w:val="left" w:pos="0"/>
        </w:tabs>
        <w:topLinePunct w:val="0"/>
        <w:bidi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1.3代理机构拒绝接受以电话、传真、</w:t>
      </w:r>
      <w:r>
        <w:rPr>
          <w:rFonts w:hint="eastAsia" w:ascii="宋体" w:hAnsi="宋体" w:cs="宋体"/>
          <w:color w:val="auto"/>
          <w:sz w:val="24"/>
          <w:szCs w:val="24"/>
          <w:highlight w:val="none"/>
          <w:lang w:eastAsia="zh-CN"/>
        </w:rPr>
        <w:t>邮寄、</w:t>
      </w: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rPr>
        <w:t>形式的磋商</w:t>
      </w:r>
      <w:r>
        <w:rPr>
          <w:rFonts w:hint="eastAsia" w:ascii="宋体" w:hAnsi="宋体" w:cs="宋体"/>
          <w:color w:val="auto"/>
          <w:sz w:val="24"/>
          <w:szCs w:val="24"/>
          <w:highlight w:val="none"/>
          <w:lang w:val="en-US" w:eastAsia="zh-CN"/>
        </w:rPr>
        <w:t>响应文件</w:t>
      </w:r>
      <w:r>
        <w:rPr>
          <w:rFonts w:hint="eastAsia" w:ascii="宋体" w:hAnsi="宋体" w:cs="宋体"/>
          <w:color w:val="auto"/>
          <w:sz w:val="24"/>
          <w:szCs w:val="24"/>
          <w:highlight w:val="none"/>
        </w:rPr>
        <w:t>；</w:t>
      </w:r>
    </w:p>
    <w:p w14:paraId="700F041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1.4无论供应商成交与否，其磋商响应文件恕不退还。</w:t>
      </w:r>
    </w:p>
    <w:p w14:paraId="5DE9848D">
      <w:pPr>
        <w:pStyle w:val="4"/>
        <w:numPr>
          <w:ilvl w:val="0"/>
          <w:numId w:val="0"/>
        </w:numPr>
        <w:topLinePunct w:val="0"/>
        <w:bidi w:val="0"/>
        <w:spacing w:line="360" w:lineRule="auto"/>
        <w:ind w:firstLine="482" w:firstLineChars="200"/>
        <w:rPr>
          <w:rFonts w:hint="eastAsia" w:ascii="宋体" w:hAnsi="宋体" w:cs="宋体"/>
          <w:color w:val="auto"/>
          <w:sz w:val="24"/>
          <w:szCs w:val="24"/>
          <w:highlight w:val="none"/>
          <w:lang w:val="en-US" w:eastAsia="zh-CN"/>
        </w:rPr>
      </w:pPr>
      <w:bookmarkStart w:id="58" w:name="_Toc12741"/>
      <w:r>
        <w:rPr>
          <w:rFonts w:hint="eastAsia" w:ascii="宋体" w:hAnsi="宋体" w:cs="宋体"/>
          <w:color w:val="auto"/>
          <w:sz w:val="24"/>
          <w:szCs w:val="24"/>
          <w:highlight w:val="none"/>
          <w:lang w:val="en-US" w:eastAsia="zh-CN"/>
        </w:rPr>
        <w:t>2、磋商响应文件的修改和撤回</w:t>
      </w:r>
      <w:bookmarkEnd w:id="58"/>
    </w:p>
    <w:p w14:paraId="0C5B38A8">
      <w:pPr>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olor w:val="auto"/>
          <w:sz w:val="24"/>
          <w:highlight w:val="none"/>
          <w:lang w:val="en-US" w:eastAsia="zh-CN"/>
        </w:rPr>
        <w:t>2.1</w:t>
      </w:r>
      <w:r>
        <w:rPr>
          <w:rFonts w:ascii="宋体" w:hAnsi="宋体"/>
          <w:color w:val="auto"/>
          <w:sz w:val="24"/>
          <w:highlight w:val="none"/>
        </w:rPr>
        <w:t>供应商在递交磋商响应文件后，可以修改或撤回其磋商响应文件，也可以提出价格变动声明，但供应商必须在规定的磋商</w:t>
      </w:r>
      <w:r>
        <w:rPr>
          <w:rFonts w:hint="eastAsia" w:ascii="宋体" w:hAnsi="宋体"/>
          <w:color w:val="auto"/>
          <w:sz w:val="24"/>
          <w:highlight w:val="none"/>
        </w:rPr>
        <w:t>响应文件递交</w:t>
      </w:r>
      <w:r>
        <w:rPr>
          <w:rFonts w:ascii="宋体" w:hAnsi="宋体"/>
          <w:color w:val="auto"/>
          <w:sz w:val="24"/>
          <w:highlight w:val="none"/>
        </w:rPr>
        <w:t>截止</w:t>
      </w:r>
      <w:r>
        <w:rPr>
          <w:rFonts w:hint="eastAsia" w:ascii="宋体" w:hAnsi="宋体"/>
          <w:color w:val="auto"/>
          <w:sz w:val="24"/>
          <w:highlight w:val="none"/>
        </w:rPr>
        <w:t>时间</w:t>
      </w:r>
      <w:r>
        <w:rPr>
          <w:rFonts w:ascii="宋体" w:hAnsi="宋体"/>
          <w:color w:val="auto"/>
          <w:sz w:val="24"/>
          <w:highlight w:val="none"/>
        </w:rPr>
        <w:t>之前将修改或撤回或变动价格的书面通知文件递交到采购代理机构。</w:t>
      </w:r>
    </w:p>
    <w:p w14:paraId="76948930">
      <w:pPr>
        <w:widowControl/>
        <w:tabs>
          <w:tab w:val="left" w:pos="0"/>
        </w:tabs>
        <w:topLinePunct w:val="0"/>
        <w:bidi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在磋商</w:t>
      </w:r>
      <w:r>
        <w:rPr>
          <w:rFonts w:hint="eastAsia" w:ascii="宋体" w:hAnsi="宋体" w:cs="宋体"/>
          <w:color w:val="auto"/>
          <w:sz w:val="24"/>
          <w:szCs w:val="24"/>
          <w:highlight w:val="none"/>
          <w:lang w:val="en-US" w:eastAsia="zh-CN"/>
        </w:rPr>
        <w:t>响应文件递交</w:t>
      </w:r>
      <w:r>
        <w:rPr>
          <w:rFonts w:hint="eastAsia" w:ascii="宋体" w:hAnsi="宋体" w:cs="宋体"/>
          <w:color w:val="auto"/>
          <w:sz w:val="24"/>
          <w:szCs w:val="24"/>
          <w:highlight w:val="none"/>
        </w:rPr>
        <w:t>截止时间之后，供应商不得对其递交的磋商响应文件做任何修改或撤回。</w:t>
      </w:r>
    </w:p>
    <w:p w14:paraId="6337F114">
      <w:pPr>
        <w:widowControl/>
        <w:tabs>
          <w:tab w:val="left" w:pos="0"/>
        </w:tabs>
        <w:topLinePunct w:val="0"/>
        <w:bidi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在磋商结束之后，对于供应商正常经营活动必须的资</w:t>
      </w:r>
      <w:r>
        <w:rPr>
          <w:rFonts w:hint="eastAsia" w:ascii="宋体" w:hAnsi="宋体" w:cs="宋体"/>
          <w:color w:val="auto"/>
          <w:sz w:val="24"/>
          <w:szCs w:val="24"/>
          <w:highlight w:val="none"/>
          <w:lang w:val="en-US" w:eastAsia="zh-CN"/>
        </w:rPr>
        <w:t>格</w:t>
      </w:r>
      <w:r>
        <w:rPr>
          <w:rFonts w:hint="eastAsia" w:ascii="宋体" w:hAnsi="宋体" w:cs="宋体"/>
          <w:color w:val="auto"/>
          <w:sz w:val="24"/>
          <w:szCs w:val="24"/>
          <w:highlight w:val="none"/>
        </w:rPr>
        <w:t>和证明文件原件，经审查后予以退还。其他磋商响应文件和资料一律不予退还。</w:t>
      </w:r>
    </w:p>
    <w:p w14:paraId="1A4DFB95">
      <w:pPr>
        <w:widowControl/>
        <w:tabs>
          <w:tab w:val="left" w:pos="0"/>
        </w:tabs>
        <w:topLinePunct w:val="0"/>
        <w:bidi w:val="0"/>
        <w:spacing w:line="360" w:lineRule="auto"/>
        <w:ind w:firstLine="480" w:firstLineChars="200"/>
        <w:jc w:val="left"/>
        <w:rPr>
          <w:rFonts w:hint="eastAsia" w:ascii="宋体" w:hAnsi="宋体" w:cs="宋体"/>
          <w:color w:val="auto"/>
          <w:sz w:val="24"/>
          <w:szCs w:val="24"/>
          <w:highlight w:val="none"/>
        </w:rPr>
      </w:pPr>
    </w:p>
    <w:p w14:paraId="26A5187E">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bookmarkStart w:id="59" w:name="_Toc30333"/>
      <w:bookmarkStart w:id="60" w:name="_Toc13065124"/>
      <w:bookmarkStart w:id="61" w:name="_Toc27217"/>
      <w:bookmarkStart w:id="62" w:name="_Toc14415"/>
      <w:bookmarkStart w:id="63" w:name="_Toc27066"/>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五</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磋商、评审、定标</w:t>
      </w:r>
      <w:bookmarkEnd w:id="59"/>
      <w:bookmarkEnd w:id="60"/>
      <w:bookmarkEnd w:id="61"/>
      <w:bookmarkEnd w:id="62"/>
      <w:bookmarkEnd w:id="63"/>
    </w:p>
    <w:p w14:paraId="5629E3E9">
      <w:pPr>
        <w:pageBreakBefore w:val="0"/>
        <w:kinsoku/>
        <w:wordWrap/>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磋商</w:t>
      </w:r>
    </w:p>
    <w:p w14:paraId="6E601945">
      <w:pPr>
        <w:pageBreakBefore w:val="0"/>
        <w:kinsoku/>
        <w:wordWrap/>
        <w:topLinePunct w:val="0"/>
        <w:autoSpaceDE/>
        <w:autoSpaceDN/>
        <w:bidi w:val="0"/>
        <w:spacing w:line="360" w:lineRule="auto"/>
        <w:ind w:firstLine="480" w:firstLineChars="200"/>
        <w:textAlignment w:val="auto"/>
        <w:rPr>
          <w:rFonts w:ascii="宋体" w:hAnsi="宋体" w:cs="宋体"/>
          <w:color w:val="auto"/>
          <w:kern w:val="1"/>
          <w:sz w:val="24"/>
          <w:szCs w:val="24"/>
          <w:highlight w:val="none"/>
          <w:lang w:val="zh-CN"/>
        </w:rPr>
      </w:pPr>
      <w:r>
        <w:rPr>
          <w:rFonts w:hint="eastAsia" w:ascii="宋体" w:hAnsi="宋体" w:cs="宋体"/>
          <w:color w:val="auto"/>
          <w:kern w:val="1"/>
          <w:sz w:val="24"/>
          <w:szCs w:val="24"/>
          <w:highlight w:val="none"/>
          <w:lang w:val="zh-CN"/>
        </w:rPr>
        <w:t>（</w:t>
      </w:r>
      <w:r>
        <w:rPr>
          <w:rFonts w:hint="eastAsia" w:ascii="宋体" w:hAnsi="宋体" w:cs="宋体"/>
          <w:color w:val="auto"/>
          <w:kern w:val="1"/>
          <w:sz w:val="24"/>
          <w:szCs w:val="24"/>
          <w:highlight w:val="none"/>
          <w:lang w:val="en-US" w:eastAsia="zh-CN"/>
        </w:rPr>
        <w:t>1</w:t>
      </w:r>
      <w:r>
        <w:rPr>
          <w:rFonts w:hint="eastAsia" w:ascii="宋体" w:hAnsi="宋体" w:cs="宋体"/>
          <w:color w:val="auto"/>
          <w:kern w:val="1"/>
          <w:sz w:val="24"/>
          <w:szCs w:val="24"/>
          <w:highlight w:val="none"/>
          <w:lang w:val="zh-CN"/>
        </w:rPr>
        <w:t>）</w:t>
      </w:r>
      <w:r>
        <w:rPr>
          <w:rFonts w:ascii="宋体" w:hAnsi="宋体" w:cs="宋体"/>
          <w:color w:val="auto"/>
          <w:kern w:val="1"/>
          <w:sz w:val="24"/>
          <w:szCs w:val="24"/>
          <w:highlight w:val="none"/>
          <w:lang w:val="zh-CN"/>
        </w:rPr>
        <w:t>在竞争性磋商文件规定的开标时间和地点，由采购代理机构组织开标工作，供应商须委派代表参加，签名报到以证明其出席。竞争性磋商整个过程接受</w:t>
      </w:r>
      <w:r>
        <w:rPr>
          <w:rFonts w:ascii="宋体" w:hAnsi="宋体" w:cs="宋体"/>
          <w:color w:val="auto"/>
          <w:kern w:val="1"/>
          <w:sz w:val="24"/>
          <w:szCs w:val="24"/>
          <w:highlight w:val="none"/>
        </w:rPr>
        <w:t>监督机构</w:t>
      </w:r>
      <w:r>
        <w:rPr>
          <w:rFonts w:ascii="宋体" w:hAnsi="宋体" w:cs="宋体"/>
          <w:color w:val="auto"/>
          <w:kern w:val="1"/>
          <w:sz w:val="24"/>
          <w:szCs w:val="24"/>
          <w:highlight w:val="none"/>
          <w:lang w:val="zh-CN"/>
        </w:rPr>
        <w:t>的监督和管理。</w:t>
      </w:r>
    </w:p>
    <w:p w14:paraId="33A9536A">
      <w:pPr>
        <w:pStyle w:val="87"/>
        <w:pageBreakBefore w:val="0"/>
        <w:numPr>
          <w:ilvl w:val="0"/>
          <w:numId w:val="6"/>
        </w:numPr>
        <w:kinsoku/>
        <w:wordWrap/>
        <w:topLinePunct w:val="0"/>
        <w:autoSpaceDE/>
        <w:autoSpaceDN/>
        <w:bidi w:val="0"/>
        <w:spacing w:line="360" w:lineRule="auto"/>
        <w:ind w:firstLine="480" w:firstLineChars="200"/>
        <w:textAlignment w:val="auto"/>
        <w:rPr>
          <w:rFonts w:ascii="宋体" w:hAnsi="宋体" w:cs="宋体"/>
          <w:color w:val="auto"/>
          <w:kern w:val="1"/>
          <w:sz w:val="24"/>
          <w:szCs w:val="24"/>
          <w:highlight w:val="none"/>
          <w:lang w:val="zh-CN"/>
        </w:rPr>
      </w:pPr>
      <w:r>
        <w:rPr>
          <w:rFonts w:ascii="宋体" w:hAnsi="宋体" w:cs="宋体"/>
          <w:color w:val="auto"/>
          <w:kern w:val="1"/>
          <w:sz w:val="24"/>
          <w:szCs w:val="24"/>
          <w:highlight w:val="none"/>
          <w:lang w:val="zh-CN"/>
        </w:rPr>
        <w:t>开标时，由供应商或其推荐的代表与监</w:t>
      </w:r>
      <w:r>
        <w:rPr>
          <w:rFonts w:hint="eastAsia" w:ascii="宋体" w:hAnsi="宋体" w:cs="宋体"/>
          <w:color w:val="auto"/>
          <w:kern w:val="1"/>
          <w:sz w:val="24"/>
          <w:szCs w:val="24"/>
          <w:highlight w:val="none"/>
          <w:lang w:val="zh-CN"/>
        </w:rPr>
        <w:t>标</w:t>
      </w:r>
      <w:r>
        <w:rPr>
          <w:rFonts w:ascii="宋体" w:hAnsi="宋体" w:cs="宋体"/>
          <w:color w:val="auto"/>
          <w:kern w:val="1"/>
          <w:sz w:val="24"/>
          <w:szCs w:val="24"/>
          <w:highlight w:val="none"/>
          <w:lang w:val="zh-CN"/>
        </w:rPr>
        <w:t>人共同检查磋商响应文件的密封情况，经检查无误后，签字确认。</w:t>
      </w:r>
    </w:p>
    <w:p w14:paraId="036B2A40">
      <w:pPr>
        <w:pStyle w:val="87"/>
        <w:pageBreakBefore w:val="0"/>
        <w:numPr>
          <w:ilvl w:val="0"/>
          <w:numId w:val="6"/>
        </w:numPr>
        <w:kinsoku/>
        <w:wordWrap/>
        <w:topLinePunct w:val="0"/>
        <w:autoSpaceDE/>
        <w:autoSpaceDN/>
        <w:bidi w:val="0"/>
        <w:spacing w:line="360" w:lineRule="auto"/>
        <w:ind w:firstLine="480" w:firstLineChars="200"/>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lang w:val="zh-CN"/>
        </w:rPr>
        <w:t>对响应文件的密封确认无误后，由采购代理机构工作人员按照顺序，</w:t>
      </w:r>
      <w:r>
        <w:rPr>
          <w:rFonts w:hint="eastAsia" w:ascii="宋体" w:hAnsi="宋体" w:cs="宋体"/>
          <w:color w:val="auto"/>
          <w:kern w:val="1"/>
          <w:sz w:val="24"/>
          <w:szCs w:val="24"/>
          <w:highlight w:val="none"/>
          <w:lang w:val="zh-CN"/>
        </w:rPr>
        <w:t>宣读供应商名称及磋商</w:t>
      </w:r>
      <w:r>
        <w:rPr>
          <w:rFonts w:hint="eastAsia" w:ascii="宋体" w:hAnsi="宋体" w:cs="宋体"/>
          <w:color w:val="auto"/>
          <w:kern w:val="1"/>
          <w:sz w:val="24"/>
          <w:szCs w:val="24"/>
          <w:highlight w:val="none"/>
          <w:lang w:val="en-US" w:eastAsia="zh-CN"/>
        </w:rPr>
        <w:t>响应</w:t>
      </w:r>
      <w:r>
        <w:rPr>
          <w:rFonts w:hint="eastAsia" w:ascii="宋体" w:hAnsi="宋体" w:cs="宋体"/>
          <w:color w:val="auto"/>
          <w:kern w:val="1"/>
          <w:sz w:val="24"/>
          <w:szCs w:val="24"/>
          <w:highlight w:val="none"/>
          <w:lang w:val="zh-CN"/>
        </w:rPr>
        <w:t>文件份数</w:t>
      </w:r>
      <w:r>
        <w:rPr>
          <w:rFonts w:ascii="宋体" w:hAnsi="宋体" w:cs="宋体"/>
          <w:color w:val="auto"/>
          <w:kern w:val="1"/>
          <w:sz w:val="24"/>
          <w:szCs w:val="24"/>
          <w:highlight w:val="none"/>
          <w:lang w:val="zh-CN"/>
        </w:rPr>
        <w:t>。</w:t>
      </w:r>
    </w:p>
    <w:p w14:paraId="575FE53A">
      <w:pPr>
        <w:pStyle w:val="87"/>
        <w:pageBreakBefore w:val="0"/>
        <w:numPr>
          <w:ilvl w:val="0"/>
          <w:numId w:val="6"/>
        </w:numPr>
        <w:kinsoku/>
        <w:wordWrap/>
        <w:topLinePunct w:val="0"/>
        <w:autoSpaceDE/>
        <w:autoSpaceDN/>
        <w:bidi w:val="0"/>
        <w:spacing w:line="360" w:lineRule="auto"/>
        <w:ind w:left="0" w:leftChars="0" w:firstLine="480" w:firstLineChars="200"/>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开标过程由采购代理机构指定专人记录</w:t>
      </w:r>
      <w:r>
        <w:rPr>
          <w:rFonts w:hint="eastAsia" w:ascii="宋体" w:hAnsi="宋体" w:cs="宋体"/>
          <w:color w:val="auto"/>
          <w:kern w:val="1"/>
          <w:sz w:val="24"/>
          <w:szCs w:val="24"/>
          <w:highlight w:val="none"/>
        </w:rPr>
        <w:t>，对开标过程进行摄像</w:t>
      </w:r>
      <w:r>
        <w:rPr>
          <w:rFonts w:ascii="宋体" w:hAnsi="宋体" w:cs="宋体"/>
          <w:color w:val="auto"/>
          <w:kern w:val="1"/>
          <w:sz w:val="24"/>
          <w:szCs w:val="24"/>
          <w:highlight w:val="none"/>
        </w:rPr>
        <w:t>。</w:t>
      </w:r>
    </w:p>
    <w:p w14:paraId="276C53FB">
      <w:pPr>
        <w:pStyle w:val="87"/>
        <w:pageBreakBefore w:val="0"/>
        <w:numPr>
          <w:ilvl w:val="0"/>
          <w:numId w:val="6"/>
        </w:numPr>
        <w:kinsoku/>
        <w:wordWrap/>
        <w:topLinePunct w:val="0"/>
        <w:autoSpaceDE/>
        <w:autoSpaceDN/>
        <w:bidi w:val="0"/>
        <w:spacing w:line="360" w:lineRule="auto"/>
        <w:ind w:left="0" w:leftChars="0" w:firstLine="480" w:firstLineChars="200"/>
        <w:textAlignment w:val="auto"/>
        <w:rPr>
          <w:rFonts w:ascii="宋体" w:hAnsi="宋体" w:cs="宋体"/>
          <w:color w:val="auto"/>
          <w:sz w:val="24"/>
          <w:szCs w:val="24"/>
          <w:highlight w:val="none"/>
        </w:rPr>
      </w:pPr>
      <w:r>
        <w:rPr>
          <w:rFonts w:ascii="宋体" w:hAnsi="宋体" w:cs="宋体"/>
          <w:color w:val="auto"/>
          <w:kern w:val="1"/>
          <w:sz w:val="24"/>
          <w:szCs w:val="24"/>
          <w:highlight w:val="none"/>
          <w:lang w:val="zh-CN"/>
        </w:rPr>
        <w:t>开标后，直到向</w:t>
      </w:r>
      <w:r>
        <w:rPr>
          <w:rFonts w:hint="eastAsia" w:ascii="宋体" w:hAnsi="宋体" w:cs="宋体"/>
          <w:color w:val="auto"/>
          <w:kern w:val="1"/>
          <w:sz w:val="24"/>
          <w:szCs w:val="24"/>
          <w:highlight w:val="none"/>
          <w:lang w:val="zh-CN"/>
        </w:rPr>
        <w:t>成交</w:t>
      </w:r>
      <w:r>
        <w:rPr>
          <w:rFonts w:ascii="宋体" w:hAnsi="宋体" w:cs="宋体"/>
          <w:color w:val="auto"/>
          <w:kern w:val="1"/>
          <w:sz w:val="24"/>
          <w:szCs w:val="24"/>
          <w:highlight w:val="none"/>
          <w:lang w:val="zh-CN"/>
        </w:rPr>
        <w:t>的供应商授予合同为止，凡与审查、澄清、评价和磋商的有关资料及授标意见等内容，任何人均不得向供应商及与评标无关的其他人透露。</w:t>
      </w:r>
    </w:p>
    <w:p w14:paraId="4DBEC606">
      <w:pPr>
        <w:keepNext w:val="0"/>
        <w:keepLines w:val="0"/>
        <w:pageBreakBefore w:val="0"/>
        <w:tabs>
          <w:tab w:val="left" w:pos="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磋商时，磋商响应文件中出现下列情况，修正原则为：</w:t>
      </w:r>
    </w:p>
    <w:p w14:paraId="320F815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①磋商</w:t>
      </w:r>
      <w:r>
        <w:rPr>
          <w:rFonts w:hint="eastAsia" w:ascii="宋体" w:hAnsi="宋体" w:cs="宋体"/>
          <w:color w:val="auto"/>
          <w:sz w:val="24"/>
          <w:szCs w:val="24"/>
          <w:highlight w:val="none"/>
          <w:lang w:val="en-US" w:eastAsia="zh-CN"/>
        </w:rPr>
        <w:t>报价表</w:t>
      </w:r>
      <w:r>
        <w:rPr>
          <w:rFonts w:hint="eastAsia" w:ascii="宋体" w:hAnsi="宋体" w:eastAsia="宋体" w:cs="宋体"/>
          <w:color w:val="auto"/>
          <w:sz w:val="24"/>
          <w:szCs w:val="24"/>
          <w:highlight w:val="none"/>
        </w:rPr>
        <w:t>内容与响应文件中相应内容不一致的，以磋商</w:t>
      </w:r>
      <w:r>
        <w:rPr>
          <w:rFonts w:hint="eastAsia" w:ascii="宋体" w:hAnsi="宋体" w:cs="宋体"/>
          <w:color w:val="auto"/>
          <w:sz w:val="24"/>
          <w:szCs w:val="24"/>
          <w:highlight w:val="none"/>
          <w:lang w:val="en-US" w:eastAsia="zh-CN"/>
        </w:rPr>
        <w:t>报价表</w:t>
      </w:r>
      <w:r>
        <w:rPr>
          <w:rFonts w:hint="eastAsia" w:ascii="宋体" w:hAnsi="宋体" w:eastAsia="宋体" w:cs="宋体"/>
          <w:color w:val="auto"/>
          <w:sz w:val="24"/>
          <w:szCs w:val="24"/>
          <w:highlight w:val="none"/>
        </w:rPr>
        <w:t>为准；</w:t>
      </w:r>
    </w:p>
    <w:p w14:paraId="0696EC84">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508616EB">
      <w:pPr>
        <w:pStyle w:val="18"/>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eastAsia="zh-CN"/>
        </w:rPr>
        <w:t>磋商报价表</w:t>
      </w:r>
      <w:r>
        <w:rPr>
          <w:rFonts w:hint="eastAsia" w:ascii="宋体" w:hAnsi="宋体" w:eastAsia="宋体" w:cs="宋体"/>
          <w:color w:val="auto"/>
          <w:sz w:val="24"/>
          <w:szCs w:val="24"/>
          <w:highlight w:val="none"/>
        </w:rPr>
        <w:t>的总价为准，并修改单价；</w:t>
      </w:r>
    </w:p>
    <w:p w14:paraId="1EB4D2B5">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总价金额与按单价汇总金额不一致的，以单价金额计算结果为准；</w:t>
      </w:r>
    </w:p>
    <w:p w14:paraId="76904F89">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响应文件正本与副本不一致的，以正本为准</w:t>
      </w:r>
      <w:r>
        <w:rPr>
          <w:rFonts w:hint="eastAsia" w:ascii="宋体" w:hAnsi="宋体" w:eastAsia="宋体" w:cs="宋体"/>
          <w:color w:val="auto"/>
          <w:sz w:val="24"/>
          <w:szCs w:val="24"/>
          <w:highlight w:val="none"/>
          <w:lang w:eastAsia="zh-CN"/>
        </w:rPr>
        <w:t>。</w:t>
      </w:r>
    </w:p>
    <w:p w14:paraId="2B1DE3C0">
      <w:pPr>
        <w:pStyle w:val="18"/>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同时出现两种以上不一致的，按照前款的顺序修正</w:t>
      </w:r>
      <w:r>
        <w:rPr>
          <w:rFonts w:hint="eastAsia" w:ascii="宋体" w:hAnsi="宋体" w:eastAsia="宋体" w:cs="宋体"/>
          <w:color w:val="auto"/>
          <w:sz w:val="24"/>
          <w:szCs w:val="24"/>
          <w:highlight w:val="none"/>
          <w:lang w:eastAsia="zh-CN"/>
        </w:rPr>
        <w:t>。</w:t>
      </w:r>
    </w:p>
    <w:p w14:paraId="345B9EFD">
      <w:pPr>
        <w:pStyle w:val="4"/>
        <w:pageBreakBefore w:val="0"/>
        <w:numPr>
          <w:ilvl w:val="0"/>
          <w:numId w:val="0"/>
        </w:numPr>
        <w:kinsoku/>
        <w:wordWrap/>
        <w:topLinePunct w:val="0"/>
        <w:autoSpaceDE/>
        <w:autoSpaceDN/>
        <w:bidi w:val="0"/>
        <w:spacing w:line="49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磋商小组</w:t>
      </w:r>
    </w:p>
    <w:p w14:paraId="157D013A">
      <w:pPr>
        <w:pageBreakBefore w:val="0"/>
        <w:widowControl/>
        <w:kinsoku/>
        <w:wordWrap/>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bookmarkStart w:id="64" w:name="_Toc386129876"/>
      <w:bookmarkStart w:id="65" w:name="_Toc385958808"/>
      <w:bookmarkStart w:id="66" w:name="_Toc28085"/>
      <w:bookmarkStart w:id="67" w:name="_Toc27940"/>
      <w:r>
        <w:rPr>
          <w:rFonts w:hint="eastAsia" w:ascii="宋体" w:hAnsi="宋体" w:cs="宋体"/>
          <w:bCs/>
          <w:color w:val="auto"/>
          <w:kern w:val="1"/>
          <w:sz w:val="24"/>
          <w:highlight w:val="none"/>
        </w:rPr>
        <w:t>按照《中华人民共和国政府采购法》《中华人民共和国政府采购法</w:t>
      </w:r>
      <w:r>
        <w:rPr>
          <w:rFonts w:hint="eastAsia" w:ascii="宋体" w:hAnsi="宋体" w:cs="宋体"/>
          <w:bCs/>
          <w:color w:val="auto"/>
          <w:kern w:val="1"/>
          <w:sz w:val="24"/>
          <w:highlight w:val="none"/>
          <w:lang w:eastAsia="zh-CN"/>
        </w:rPr>
        <w:t>实施条例</w:t>
      </w:r>
      <w:r>
        <w:rPr>
          <w:rFonts w:hint="eastAsia" w:ascii="宋体" w:hAnsi="宋体" w:cs="宋体"/>
          <w:bCs/>
          <w:color w:val="auto"/>
          <w:kern w:val="1"/>
          <w:sz w:val="24"/>
          <w:highlight w:val="none"/>
        </w:rPr>
        <w:t>》《政府采购竞争性磋商采购方式管理暂行办法》</w:t>
      </w:r>
      <w:r>
        <w:rPr>
          <w:rFonts w:hint="eastAsia" w:ascii="宋体" w:hAnsi="宋体"/>
          <w:color w:val="auto"/>
          <w:sz w:val="24"/>
        </w:rPr>
        <w:t>有关规定</w:t>
      </w:r>
      <w:r>
        <w:rPr>
          <w:rFonts w:hint="eastAsia" w:ascii="宋体" w:hAnsi="宋体" w:cs="宋体"/>
          <w:bCs/>
          <w:color w:val="auto"/>
          <w:kern w:val="1"/>
          <w:sz w:val="24"/>
          <w:highlight w:val="none"/>
        </w:rPr>
        <w:t>，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采购代理机构负责评标过程中的记录、联络及</w:t>
      </w:r>
      <w:r>
        <w:rPr>
          <w:rFonts w:hint="eastAsia" w:ascii="宋体" w:hAnsi="宋体" w:cs="宋体"/>
          <w:bCs/>
          <w:color w:val="auto"/>
          <w:kern w:val="1"/>
          <w:sz w:val="24"/>
          <w:highlight w:val="none"/>
          <w:lang w:eastAsia="zh-CN"/>
        </w:rPr>
        <w:t>磋商小组</w:t>
      </w:r>
      <w:r>
        <w:rPr>
          <w:rFonts w:hint="eastAsia" w:ascii="宋体" w:hAnsi="宋体" w:cs="宋体"/>
          <w:bCs/>
          <w:color w:val="auto"/>
          <w:kern w:val="1"/>
          <w:sz w:val="24"/>
          <w:highlight w:val="none"/>
        </w:rPr>
        <w:t>交办的其他工作</w:t>
      </w:r>
      <w:r>
        <w:rPr>
          <w:rFonts w:hint="eastAsia" w:ascii="宋体" w:hAnsi="宋体" w:cs="宋体"/>
          <w:bCs/>
          <w:color w:val="auto"/>
          <w:kern w:val="1"/>
          <w:sz w:val="24"/>
          <w:highlight w:val="none"/>
          <w:lang w:eastAsia="zh-CN"/>
        </w:rPr>
        <w:t>。</w:t>
      </w:r>
    </w:p>
    <w:p w14:paraId="45752A3F">
      <w:pPr>
        <w:pageBreakBefore w:val="0"/>
        <w:widowControl/>
        <w:kinsoku/>
        <w:wordWrap/>
        <w:topLinePunct w:val="0"/>
        <w:autoSpaceDE/>
        <w:autoSpaceDN/>
        <w:bidi w:val="0"/>
        <w:spacing w:line="360" w:lineRule="auto"/>
        <w:ind w:firstLine="480" w:firstLineChars="200"/>
        <w:textAlignment w:val="auto"/>
        <w:rPr>
          <w:rFonts w:ascii="宋体" w:hAnsi="宋体" w:cs="宋体"/>
          <w:b/>
          <w:color w:val="auto"/>
          <w:sz w:val="24"/>
          <w:szCs w:val="24"/>
          <w:highlight w:val="none"/>
        </w:rPr>
      </w:pPr>
      <w:r>
        <w:rPr>
          <w:rFonts w:hint="eastAsia" w:ascii="宋体" w:hAnsi="宋体" w:cs="宋体"/>
          <w:color w:val="auto"/>
          <w:kern w:val="0"/>
          <w:sz w:val="24"/>
          <w:szCs w:val="24"/>
          <w:highlight w:val="none"/>
        </w:rPr>
        <w:t>磋商小组对各供应商的磋商响应文件进行审查、评估和比较，并推荐出成交候</w:t>
      </w:r>
      <w:r>
        <w:rPr>
          <w:rFonts w:hint="eastAsia" w:ascii="宋体" w:hAnsi="宋体" w:cs="宋体"/>
          <w:color w:val="auto"/>
          <w:kern w:val="0"/>
          <w:sz w:val="24"/>
          <w:szCs w:val="24"/>
          <w:highlight w:val="none"/>
          <w:lang w:val="en-US" w:eastAsia="zh-CN"/>
        </w:rPr>
        <w:t>选供应商</w:t>
      </w:r>
      <w:r>
        <w:rPr>
          <w:rFonts w:hint="eastAsia" w:ascii="宋体" w:hAnsi="宋体" w:cs="宋体"/>
          <w:color w:val="auto"/>
          <w:kern w:val="0"/>
          <w:sz w:val="24"/>
          <w:szCs w:val="24"/>
          <w:highlight w:val="none"/>
        </w:rPr>
        <w:t>。</w:t>
      </w:r>
    </w:p>
    <w:p w14:paraId="74604CC2">
      <w:pPr>
        <w:pStyle w:val="4"/>
        <w:pageBreakBefore w:val="0"/>
        <w:numPr>
          <w:ilvl w:val="0"/>
          <w:numId w:val="0"/>
        </w:numPr>
        <w:kinsoku/>
        <w:wordWrap/>
        <w:topLinePunct w:val="0"/>
        <w:autoSpaceDE/>
        <w:autoSpaceDN/>
        <w:bidi w:val="0"/>
        <w:spacing w:line="490" w:lineRule="exact"/>
        <w:ind w:firstLine="482"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磋商响应文件初审</w:t>
      </w:r>
      <w:bookmarkEnd w:id="64"/>
      <w:bookmarkEnd w:id="65"/>
      <w:bookmarkEnd w:id="66"/>
      <w:bookmarkEnd w:id="67"/>
    </w:p>
    <w:p w14:paraId="78EB2D17">
      <w:pPr>
        <w:pageBreakBefore w:val="0"/>
        <w:kinsoku/>
        <w:wordWrap/>
        <w:overflowPunct w:val="0"/>
        <w:topLinePunct w:val="0"/>
        <w:autoSpaceDE/>
        <w:autoSpaceDN/>
        <w:bidi w:val="0"/>
        <w:adjustRightInd w:val="0"/>
        <w:snapToGrid w:val="0"/>
        <w:spacing w:line="4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3.1磋商响应文件的资格性审查</w:t>
      </w:r>
    </w:p>
    <w:p w14:paraId="3EE10AA4">
      <w:pPr>
        <w:keepNext w:val="0"/>
        <w:keepLines w:val="0"/>
        <w:pageBreakBefore w:val="0"/>
        <w:widowControl w:val="0"/>
        <w:kinsoku/>
        <w:wordWrap/>
        <w:topLinePunct w:val="0"/>
        <w:autoSpaceDE/>
        <w:autoSpaceDN/>
        <w:bidi w:val="0"/>
        <w:spacing w:line="49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依据《中华人民共和国政府采购法》第二十三条和竞争性磋商文件的规定，对</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的资格证明文件进行审查，确保供应商具备相应资格。</w:t>
      </w:r>
    </w:p>
    <w:p w14:paraId="621287D3">
      <w:pPr>
        <w:keepNext w:val="0"/>
        <w:keepLines w:val="0"/>
        <w:pageBreakBefore w:val="0"/>
        <w:widowControl w:val="0"/>
        <w:kinsoku/>
        <w:wordWrap/>
        <w:topLinePunct w:val="0"/>
        <w:autoSpaceDE/>
        <w:autoSpaceDN/>
        <w:bidi w:val="0"/>
        <w:spacing w:line="49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b w:val="0"/>
          <w:bCs/>
          <w:color w:val="auto"/>
          <w:sz w:val="24"/>
          <w:szCs w:val="24"/>
          <w:highlight w:val="none"/>
        </w:rPr>
        <w:t>开标结束后，由</w:t>
      </w:r>
      <w:r>
        <w:rPr>
          <w:rFonts w:hint="eastAsia" w:ascii="宋体" w:hAnsi="宋体"/>
          <w:b w:val="0"/>
          <w:bCs/>
          <w:color w:val="auto"/>
          <w:sz w:val="24"/>
          <w:szCs w:val="24"/>
          <w:highlight w:val="none"/>
          <w:lang w:val="en-US" w:eastAsia="zh-CN"/>
        </w:rPr>
        <w:t>采购人</w:t>
      </w:r>
      <w:r>
        <w:rPr>
          <w:rFonts w:hint="eastAsia" w:ascii="宋体" w:hAnsi="宋体"/>
          <w:b w:val="0"/>
          <w:bCs/>
          <w:color w:val="auto"/>
          <w:sz w:val="24"/>
          <w:szCs w:val="24"/>
          <w:highlight w:val="none"/>
        </w:rPr>
        <w:t>依法对</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的资格进行审查，审查合格的</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方可进入评标阶段，缺项或一项不符合要求即不合格，不合格的</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其投标无效</w:t>
      </w:r>
      <w:r>
        <w:rPr>
          <w:rFonts w:hint="eastAsia" w:ascii="宋体" w:hAnsi="宋体"/>
          <w:b w:val="0"/>
          <w:bCs/>
          <w:color w:val="auto"/>
          <w:sz w:val="24"/>
          <w:szCs w:val="24"/>
          <w:highlight w:val="none"/>
          <w:lang w:eastAsia="zh-CN"/>
        </w:rPr>
        <w:t>，</w:t>
      </w:r>
      <w:r>
        <w:rPr>
          <w:rFonts w:hint="eastAsia" w:ascii="宋体" w:hAnsi="宋体"/>
          <w:color w:val="auto"/>
          <w:sz w:val="24"/>
          <w:szCs w:val="24"/>
          <w:highlight w:val="none"/>
        </w:rPr>
        <w:t>不再进入下一步评审</w:t>
      </w: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须在提交</w:t>
      </w:r>
      <w:r>
        <w:rPr>
          <w:rFonts w:hint="eastAsia" w:ascii="宋体" w:hAnsi="宋体"/>
          <w:b w:val="0"/>
          <w:bCs/>
          <w:color w:val="auto"/>
          <w:sz w:val="24"/>
          <w:szCs w:val="24"/>
          <w:highlight w:val="none"/>
          <w:lang w:val="en-US" w:eastAsia="zh-CN"/>
        </w:rPr>
        <w:t>磋商</w:t>
      </w:r>
      <w:r>
        <w:rPr>
          <w:rFonts w:hint="eastAsia" w:ascii="宋体" w:hAnsi="宋体"/>
          <w:b w:val="0"/>
          <w:bCs/>
          <w:color w:val="auto"/>
          <w:sz w:val="24"/>
          <w:szCs w:val="24"/>
          <w:highlight w:val="none"/>
        </w:rPr>
        <w:t>文件截止时间前单独提交下述资</w:t>
      </w:r>
      <w:r>
        <w:rPr>
          <w:rFonts w:hint="eastAsia" w:ascii="宋体" w:hAnsi="宋体"/>
          <w:color w:val="auto"/>
          <w:sz w:val="24"/>
          <w:szCs w:val="24"/>
          <w:highlight w:val="none"/>
          <w:lang w:val="en-US" w:eastAsia="zh-CN"/>
        </w:rPr>
        <w:t>格</w:t>
      </w:r>
      <w:r>
        <w:rPr>
          <w:rFonts w:hint="eastAsia" w:ascii="宋体" w:hAnsi="宋体"/>
          <w:color w:val="auto"/>
          <w:sz w:val="24"/>
          <w:szCs w:val="24"/>
          <w:highlight w:val="none"/>
        </w:rPr>
        <w:t>证明材料原件，逾期不接受任何补充资料</w:t>
      </w:r>
      <w:r>
        <w:rPr>
          <w:rFonts w:hint="eastAsia" w:ascii="宋体" w:hAnsi="宋体"/>
          <w:color w:val="auto"/>
          <w:sz w:val="24"/>
          <w:szCs w:val="24"/>
          <w:highlight w:val="none"/>
          <w:lang w:eastAsia="zh-CN"/>
        </w:rPr>
        <w:t>。</w:t>
      </w:r>
    </w:p>
    <w:p w14:paraId="4CDA52A2">
      <w:pPr>
        <w:keepNext w:val="0"/>
        <w:keepLines w:val="0"/>
        <w:pageBreakBefore w:val="0"/>
        <w:widowControl w:val="0"/>
        <w:kinsoku/>
        <w:wordWrap/>
        <w:overflowPunct w:val="0"/>
        <w:topLinePunct w:val="0"/>
        <w:autoSpaceDE/>
        <w:autoSpaceDN/>
        <w:bidi w:val="0"/>
        <w:adjustRightInd w:val="0"/>
        <w:snapToGrid w:val="0"/>
        <w:spacing w:line="490" w:lineRule="exact"/>
        <w:ind w:firstLine="482" w:firstLineChars="200"/>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资格审查：</w:t>
      </w:r>
    </w:p>
    <w:p w14:paraId="0E876BEE">
      <w:pPr>
        <w:keepNext w:val="0"/>
        <w:keepLines w:val="0"/>
        <w:pageBreakBefore w:val="0"/>
        <w:widowControl w:val="0"/>
        <w:kinsoku/>
        <w:wordWrap/>
        <w:overflowPunct w:val="0"/>
        <w:topLinePunct w:val="0"/>
        <w:autoSpaceDE/>
        <w:autoSpaceDN/>
        <w:bidi w:val="0"/>
        <w:adjustRightInd w:val="0"/>
        <w:snapToGrid w:val="0"/>
        <w:spacing w:line="490" w:lineRule="exact"/>
        <w:ind w:firstLine="482" w:firstLineChars="200"/>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详见供应商须知前附表8条</w:t>
      </w:r>
    </w:p>
    <w:p w14:paraId="3E5DF7AE">
      <w:pPr>
        <w:pageBreakBefore w:val="0"/>
        <w:kinsoku/>
        <w:wordWrap/>
        <w:overflowPunct w:val="0"/>
        <w:topLinePunct w:val="0"/>
        <w:autoSpaceDE/>
        <w:autoSpaceDN/>
        <w:bidi w:val="0"/>
        <w:adjustRightInd w:val="0"/>
        <w:snapToGrid w:val="0"/>
        <w:spacing w:line="4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3.2磋商响应文件符合性审查</w:t>
      </w:r>
    </w:p>
    <w:p w14:paraId="4D32B29A">
      <w:pPr>
        <w:pageBreakBefore w:val="0"/>
        <w:kinsoku/>
        <w:wordWrap/>
        <w:overflowPunct w:val="0"/>
        <w:topLinePunct w:val="0"/>
        <w:autoSpaceDE/>
        <w:autoSpaceDN/>
        <w:bidi w:val="0"/>
        <w:adjustRightInd w:val="0"/>
        <w:snapToGrid w:val="0"/>
        <w:spacing w:line="49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依据竞争性磋商文件的规定，从磋商响应文件的有效性、完整性和对竞争性磋商文件的响应程度进行审查，以确定是否对竞争性磋商文件的实质性内容作出响应。</w:t>
      </w:r>
    </w:p>
    <w:p w14:paraId="27594732">
      <w:pPr>
        <w:pageBreakBefore w:val="0"/>
        <w:kinsoku/>
        <w:wordWrap/>
        <w:overflowPunct w:val="0"/>
        <w:topLinePunct w:val="0"/>
        <w:autoSpaceDE/>
        <w:autoSpaceDN/>
        <w:bidi w:val="0"/>
        <w:adjustRightInd w:val="0"/>
        <w:snapToGrid w:val="0"/>
        <w:spacing w:line="49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w:t>
      </w:r>
    </w:p>
    <w:p w14:paraId="3E4136E1">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下述内容凡有一项不合格的响应即作为无效响应处理，不再进入下一步评审：</w:t>
      </w:r>
    </w:p>
    <w:tbl>
      <w:tblPr>
        <w:tblStyle w:val="32"/>
        <w:tblW w:w="9174" w:type="dxa"/>
        <w:jc w:val="center"/>
        <w:tblLayout w:type="fixed"/>
        <w:tblCellMar>
          <w:top w:w="0" w:type="dxa"/>
          <w:left w:w="108" w:type="dxa"/>
          <w:bottom w:w="0" w:type="dxa"/>
          <w:right w:w="108" w:type="dxa"/>
        </w:tblCellMar>
      </w:tblPr>
      <w:tblGrid>
        <w:gridCol w:w="616"/>
        <w:gridCol w:w="2597"/>
        <w:gridCol w:w="5961"/>
      </w:tblGrid>
      <w:tr w14:paraId="1CAB4EE5">
        <w:tblPrEx>
          <w:tblCellMar>
            <w:top w:w="0" w:type="dxa"/>
            <w:left w:w="108" w:type="dxa"/>
            <w:bottom w:w="0" w:type="dxa"/>
            <w:right w:w="108" w:type="dxa"/>
          </w:tblCellMar>
        </w:tblPrEx>
        <w:trPr>
          <w:trHeight w:val="90" w:hRule="atLeast"/>
          <w:jc w:val="center"/>
        </w:trPr>
        <w:tc>
          <w:tcPr>
            <w:tcW w:w="616" w:type="dxa"/>
            <w:vMerge w:val="restart"/>
            <w:tcBorders>
              <w:top w:val="single" w:color="auto" w:sz="4" w:space="0"/>
              <w:left w:val="single" w:color="auto" w:sz="4" w:space="0"/>
              <w:right w:val="single" w:color="auto" w:sz="4" w:space="0"/>
            </w:tcBorders>
            <w:noWrap w:val="0"/>
            <w:vAlign w:val="center"/>
          </w:tcPr>
          <w:p w14:paraId="4B05CA8F">
            <w:pPr>
              <w:pageBreakBefore w:val="0"/>
              <w:kinsoku/>
              <w:wordWrap/>
              <w:topLinePunct w:val="0"/>
              <w:autoSpaceDE/>
              <w:autoSpaceDN/>
              <w:bidi w:val="0"/>
              <w:adjustRightInd w:val="0"/>
              <w:snapToGrid w:val="0"/>
              <w:spacing w:line="490" w:lineRule="exact"/>
              <w:ind w:right="210" w:rightChars="100"/>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符合性</w:t>
            </w:r>
          </w:p>
          <w:p w14:paraId="382816CD">
            <w:pPr>
              <w:pageBreakBefore w:val="0"/>
              <w:kinsoku/>
              <w:wordWrap/>
              <w:topLinePunct w:val="0"/>
              <w:autoSpaceDE/>
              <w:autoSpaceDN/>
              <w:bidi w:val="0"/>
              <w:adjustRightInd w:val="0"/>
              <w:snapToGrid w:val="0"/>
              <w:spacing w:line="490" w:lineRule="exact"/>
              <w:ind w:right="210" w:rightChars="100"/>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评审</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04D790F">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供应商名称</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220E1F2A">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与营业执照一致</w:t>
            </w:r>
          </w:p>
        </w:tc>
      </w:tr>
      <w:tr w14:paraId="5E017690">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2B6644B1">
            <w:pPr>
              <w:pageBreakBefore w:val="0"/>
              <w:kinsoku/>
              <w:wordWrap/>
              <w:topLinePunct w:val="0"/>
              <w:autoSpaceDE/>
              <w:autoSpaceDN/>
              <w:bidi w:val="0"/>
              <w:adjustRightInd w:val="0"/>
              <w:snapToGrid w:val="0"/>
              <w:spacing w:line="490" w:lineRule="exact"/>
              <w:ind w:right="210" w:rightChars="100"/>
              <w:jc w:val="center"/>
              <w:textAlignment w:val="auto"/>
              <w:rPr>
                <w:rFonts w:hint="eastAsia" w:ascii="宋体" w:hAnsi="宋体"/>
                <w:color w:val="auto"/>
                <w:sz w:val="24"/>
                <w:szCs w:val="24"/>
                <w:highlight w:val="none"/>
                <w:lang w:val="en-US" w:eastAsia="zh-CN"/>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DCF9528">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响应文件报价</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5E4C6D6C">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内容无重大缺漏项，报价唯一，且</w:t>
            </w:r>
            <w:r>
              <w:rPr>
                <w:rFonts w:hint="eastAsia" w:ascii="宋体" w:hAnsi="宋体"/>
                <w:color w:val="auto"/>
                <w:sz w:val="24"/>
                <w:szCs w:val="24"/>
                <w:highlight w:val="none"/>
                <w:lang w:val="en-US" w:eastAsia="zh-CN"/>
              </w:rPr>
              <w:t>不能</w:t>
            </w:r>
            <w:r>
              <w:rPr>
                <w:rFonts w:hint="eastAsia" w:ascii="宋体" w:hAnsi="宋体"/>
                <w:color w:val="auto"/>
                <w:sz w:val="24"/>
                <w:szCs w:val="24"/>
                <w:highlight w:val="none"/>
              </w:rPr>
              <w:t>高于</w:t>
            </w:r>
            <w:r>
              <w:rPr>
                <w:rFonts w:hint="eastAsia" w:ascii="宋体" w:hAnsi="宋体"/>
                <w:color w:val="auto"/>
                <w:sz w:val="24"/>
                <w:szCs w:val="24"/>
                <w:highlight w:val="none"/>
                <w:lang w:val="en-US" w:eastAsia="zh-CN"/>
              </w:rPr>
              <w:t>最高限价</w:t>
            </w:r>
            <w:r>
              <w:rPr>
                <w:rFonts w:hint="eastAsia" w:ascii="宋体" w:hAnsi="宋体"/>
                <w:color w:val="auto"/>
                <w:sz w:val="24"/>
                <w:szCs w:val="24"/>
                <w:highlight w:val="none"/>
              </w:rPr>
              <w:t>。</w:t>
            </w:r>
          </w:p>
        </w:tc>
      </w:tr>
      <w:tr w14:paraId="7B0DC8E5">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4A317586">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0C55A56">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响应文件有效性</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73CA0B29">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响应文件的签署、加盖印章是否合格、有效</w:t>
            </w:r>
            <w:r>
              <w:rPr>
                <w:rFonts w:hint="eastAsia" w:ascii="宋体" w:hAnsi="宋体"/>
                <w:color w:val="auto"/>
                <w:sz w:val="24"/>
                <w:szCs w:val="24"/>
                <w:highlight w:val="none"/>
                <w:lang w:eastAsia="zh-CN"/>
              </w:rPr>
              <w:t>。</w:t>
            </w:r>
          </w:p>
        </w:tc>
      </w:tr>
      <w:tr w14:paraId="370E3B25">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580E3DA2">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F21B8BD">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default" w:ascii="宋体" w:hAnsi="宋体"/>
                <w:color w:val="auto"/>
                <w:sz w:val="24"/>
                <w:szCs w:val="24"/>
                <w:highlight w:val="none"/>
                <w:lang w:val="en-US"/>
              </w:rPr>
            </w:pPr>
            <w:r>
              <w:rPr>
                <w:rFonts w:hint="eastAsia" w:ascii="宋体" w:hAnsi="宋体" w:cs="Times New Roman"/>
                <w:color w:val="auto"/>
                <w:sz w:val="24"/>
                <w:szCs w:val="24"/>
                <w:highlight w:val="none"/>
                <w:lang w:val="en-US" w:eastAsia="zh-CN"/>
              </w:rPr>
              <w:t>响应文件格式、份数</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323EF0D7">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val="en-US" w:eastAsia="zh-CN"/>
              </w:rPr>
              <w:t>符合磋商文件要求。</w:t>
            </w:r>
          </w:p>
        </w:tc>
      </w:tr>
      <w:tr w14:paraId="36132FBC">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403FD7DD">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877B58">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磋商有效期</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53539353">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符合或优于磋商文件要求。</w:t>
            </w:r>
          </w:p>
        </w:tc>
      </w:tr>
      <w:tr w14:paraId="55D83316">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36111B22">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right w:val="single" w:color="auto" w:sz="4" w:space="0"/>
            </w:tcBorders>
            <w:noWrap w:val="0"/>
            <w:vAlign w:val="center"/>
          </w:tcPr>
          <w:p w14:paraId="4EE668E7">
            <w:pPr>
              <w:keepNext w:val="0"/>
              <w:keepLines w:val="0"/>
              <w:pageBreakBefore w:val="0"/>
              <w:widowControl w:val="0"/>
              <w:kinsoku/>
              <w:wordWrap/>
              <w:overflowPunct/>
              <w:topLinePunct w:val="0"/>
              <w:autoSpaceDE/>
              <w:autoSpaceDN/>
              <w:bidi w:val="0"/>
              <w:adjustRightInd w:val="0"/>
              <w:snapToGrid w:val="0"/>
              <w:spacing w:line="440" w:lineRule="exact"/>
              <w:ind w:right="210" w:rightChars="1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质量标准</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35DB4850">
            <w:pPr>
              <w:keepNext w:val="0"/>
              <w:keepLines w:val="0"/>
              <w:pageBreakBefore w:val="0"/>
              <w:widowControl w:val="0"/>
              <w:kinsoku/>
              <w:wordWrap/>
              <w:overflowPunct/>
              <w:topLinePunct w:val="0"/>
              <w:autoSpaceDE/>
              <w:autoSpaceDN/>
              <w:bidi w:val="0"/>
              <w:adjustRightInd w:val="0"/>
              <w:snapToGrid w:val="0"/>
              <w:spacing w:line="440" w:lineRule="exact"/>
              <w:ind w:right="210" w:rightChars="10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w:t>
            </w:r>
            <w:r>
              <w:rPr>
                <w:rFonts w:hint="eastAsia" w:ascii="宋体" w:hAnsi="宋体"/>
                <w:color w:val="auto"/>
                <w:sz w:val="24"/>
                <w:szCs w:val="24"/>
                <w:highlight w:val="none"/>
                <w:lang w:val="en-US" w:eastAsia="zh-CN"/>
              </w:rPr>
              <w:t>。</w:t>
            </w:r>
          </w:p>
        </w:tc>
      </w:tr>
      <w:tr w14:paraId="2B3C509B">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0FF7449F">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62A3636">
            <w:pPr>
              <w:keepNext w:val="0"/>
              <w:keepLines w:val="0"/>
              <w:pageBreakBefore w:val="0"/>
              <w:widowControl w:val="0"/>
              <w:kinsoku/>
              <w:wordWrap/>
              <w:overflowPunct/>
              <w:topLinePunct w:val="0"/>
              <w:autoSpaceDE/>
              <w:autoSpaceDN/>
              <w:bidi w:val="0"/>
              <w:adjustRightInd w:val="0"/>
              <w:snapToGrid w:val="0"/>
              <w:spacing w:line="440" w:lineRule="exact"/>
              <w:ind w:right="210" w:right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635C6671">
            <w:pPr>
              <w:keepNext w:val="0"/>
              <w:keepLines w:val="0"/>
              <w:pageBreakBefore w:val="0"/>
              <w:widowControl w:val="0"/>
              <w:kinsoku/>
              <w:wordWrap/>
              <w:overflowPunct/>
              <w:topLinePunct w:val="0"/>
              <w:autoSpaceDE/>
              <w:autoSpaceDN/>
              <w:bidi w:val="0"/>
              <w:adjustRightInd w:val="0"/>
              <w:snapToGrid w:val="0"/>
              <w:spacing w:line="440" w:lineRule="exact"/>
              <w:ind w:right="210" w:rightChars="10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w:t>
            </w:r>
            <w:r>
              <w:rPr>
                <w:rFonts w:hint="eastAsia" w:ascii="宋体" w:hAnsi="宋体"/>
                <w:color w:val="auto"/>
                <w:sz w:val="24"/>
                <w:szCs w:val="24"/>
                <w:highlight w:val="none"/>
                <w:lang w:val="en-US" w:eastAsia="zh-CN"/>
              </w:rPr>
              <w:t>。</w:t>
            </w:r>
          </w:p>
        </w:tc>
      </w:tr>
      <w:tr w14:paraId="2AE89619">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right w:val="single" w:color="auto" w:sz="4" w:space="0"/>
            </w:tcBorders>
            <w:noWrap w:val="0"/>
            <w:vAlign w:val="center"/>
          </w:tcPr>
          <w:p w14:paraId="0A8431E3">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1FB2122">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内容及</w:t>
            </w:r>
            <w:r>
              <w:rPr>
                <w:rFonts w:hint="eastAsia" w:ascii="宋体" w:hAnsi="宋体" w:eastAsia="宋体" w:cs="宋体"/>
                <w:sz w:val="24"/>
                <w:szCs w:val="24"/>
                <w:highlight w:val="none"/>
                <w:lang w:val="en-US" w:eastAsia="zh-CN"/>
              </w:rPr>
              <w:t>要求</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5F476D18">
            <w:pPr>
              <w:keepNext w:val="0"/>
              <w:keepLines w:val="0"/>
              <w:pageBreakBefore w:val="0"/>
              <w:widowControl w:val="0"/>
              <w:kinsoku/>
              <w:wordWrap/>
              <w:overflowPunct/>
              <w:topLinePunct w:val="0"/>
              <w:autoSpaceDE/>
              <w:autoSpaceDN/>
              <w:bidi w:val="0"/>
              <w:adjustRightInd w:val="0"/>
              <w:snapToGrid w:val="0"/>
              <w:spacing w:line="440" w:lineRule="exact"/>
              <w:ind w:right="210" w:rightChars="1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符合或优于磋商文件要求。</w:t>
            </w:r>
          </w:p>
        </w:tc>
      </w:tr>
      <w:tr w14:paraId="3CA652B4">
        <w:tblPrEx>
          <w:tblCellMar>
            <w:top w:w="0" w:type="dxa"/>
            <w:left w:w="108" w:type="dxa"/>
            <w:bottom w:w="0" w:type="dxa"/>
            <w:right w:w="108" w:type="dxa"/>
          </w:tblCellMar>
        </w:tblPrEx>
        <w:trPr>
          <w:trHeight w:val="90" w:hRule="atLeast"/>
          <w:jc w:val="center"/>
        </w:trPr>
        <w:tc>
          <w:tcPr>
            <w:tcW w:w="616" w:type="dxa"/>
            <w:vMerge w:val="continue"/>
            <w:tcBorders>
              <w:left w:val="single" w:color="auto" w:sz="4" w:space="0"/>
              <w:bottom w:val="single" w:color="auto" w:sz="4" w:space="0"/>
              <w:right w:val="single" w:color="auto" w:sz="4" w:space="0"/>
            </w:tcBorders>
            <w:noWrap w:val="0"/>
            <w:vAlign w:val="center"/>
          </w:tcPr>
          <w:p w14:paraId="42E505EE">
            <w:pPr>
              <w:pageBreakBefore w:val="0"/>
              <w:kinsoku/>
              <w:wordWrap/>
              <w:topLinePunct w:val="0"/>
              <w:autoSpaceDE/>
              <w:autoSpaceDN/>
              <w:bidi w:val="0"/>
              <w:adjustRightInd w:val="0"/>
              <w:snapToGrid w:val="0"/>
              <w:spacing w:line="490" w:lineRule="exact"/>
              <w:ind w:right="210" w:rightChars="100"/>
              <w:textAlignment w:val="auto"/>
              <w:rPr>
                <w:rFonts w:hint="eastAsia" w:ascii="宋体" w:hAnsi="宋体"/>
                <w:color w:val="auto"/>
                <w:sz w:val="24"/>
                <w:szCs w:val="24"/>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616239E">
            <w:pPr>
              <w:adjustRightInd w:val="0"/>
              <w:snapToGrid w:val="0"/>
              <w:spacing w:line="240" w:lineRule="auto"/>
              <w:ind w:right="210" w:rightChars="100"/>
              <w:rPr>
                <w:rFonts w:hint="eastAsia" w:ascii="宋体" w:hAnsi="宋体" w:cs="宋体"/>
                <w:color w:val="auto"/>
                <w:sz w:val="24"/>
                <w:szCs w:val="24"/>
                <w:highlight w:val="none"/>
                <w:lang w:val="en-US" w:eastAsia="zh-CN"/>
              </w:rPr>
            </w:pPr>
            <w:r>
              <w:rPr>
                <w:rFonts w:hint="eastAsia" w:ascii="宋体" w:hAnsi="宋体" w:cs="宋体"/>
                <w:color w:val="auto"/>
                <w:kern w:val="1"/>
                <w:sz w:val="24"/>
                <w:highlight w:val="none"/>
                <w:lang w:val="en-US" w:eastAsia="zh-CN"/>
              </w:rPr>
              <w:t>磋商文件、</w:t>
            </w:r>
            <w:r>
              <w:rPr>
                <w:rFonts w:hint="eastAsia" w:ascii="宋体" w:hAnsi="宋体" w:cs="宋体"/>
                <w:color w:val="auto"/>
                <w:kern w:val="1"/>
                <w:sz w:val="24"/>
                <w:highlight w:val="none"/>
              </w:rPr>
              <w:t>法律、法规及行业有规定的其他情形</w:t>
            </w:r>
          </w:p>
        </w:tc>
        <w:tc>
          <w:tcPr>
            <w:tcW w:w="5961" w:type="dxa"/>
            <w:tcBorders>
              <w:top w:val="single" w:color="auto" w:sz="4" w:space="0"/>
              <w:left w:val="single" w:color="auto" w:sz="4" w:space="0"/>
              <w:bottom w:val="single" w:color="auto" w:sz="4" w:space="0"/>
              <w:right w:val="single" w:color="auto" w:sz="4" w:space="0"/>
            </w:tcBorders>
            <w:noWrap w:val="0"/>
            <w:vAlign w:val="center"/>
          </w:tcPr>
          <w:p w14:paraId="7B7CDF9F">
            <w:pPr>
              <w:adjustRightInd w:val="0"/>
              <w:snapToGrid w:val="0"/>
              <w:spacing w:line="490" w:lineRule="exact"/>
              <w:ind w:right="210" w:rightChars="100"/>
              <w:rPr>
                <w:rFonts w:hint="eastAsia" w:ascii="宋体" w:hAnsi="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无</w:t>
            </w:r>
            <w:r>
              <w:rPr>
                <w:rFonts w:hint="eastAsia" w:ascii="宋体" w:hAnsi="宋体" w:cs="Times New Roman"/>
                <w:color w:val="auto"/>
                <w:sz w:val="24"/>
                <w:szCs w:val="24"/>
                <w:highlight w:val="none"/>
                <w:lang w:val="en-US" w:eastAsia="zh-CN"/>
              </w:rPr>
              <w:t>磋商文件、</w:t>
            </w:r>
            <w:r>
              <w:rPr>
                <w:rFonts w:hint="eastAsia" w:ascii="宋体" w:hAnsi="宋体" w:cs="宋体"/>
                <w:color w:val="auto"/>
                <w:kern w:val="1"/>
                <w:sz w:val="24"/>
                <w:highlight w:val="none"/>
              </w:rPr>
              <w:t>法律、法规及行业有规定的其他</w:t>
            </w:r>
            <w:r>
              <w:rPr>
                <w:rFonts w:hint="eastAsia" w:ascii="宋体" w:hAnsi="宋体" w:cs="宋体"/>
                <w:color w:val="auto"/>
                <w:kern w:val="1"/>
                <w:sz w:val="24"/>
                <w:highlight w:val="none"/>
                <w:lang w:val="en-US" w:eastAsia="zh-CN"/>
              </w:rPr>
              <w:t>无效</w:t>
            </w:r>
            <w:r>
              <w:rPr>
                <w:rFonts w:hint="eastAsia" w:ascii="宋体" w:hAnsi="宋体" w:cs="宋体"/>
                <w:color w:val="auto"/>
                <w:kern w:val="1"/>
                <w:sz w:val="24"/>
                <w:highlight w:val="none"/>
              </w:rPr>
              <w:t>情形</w:t>
            </w:r>
            <w:r>
              <w:rPr>
                <w:rFonts w:hint="eastAsia" w:ascii="宋体" w:hAnsi="宋体"/>
                <w:color w:val="auto"/>
                <w:sz w:val="24"/>
                <w:szCs w:val="24"/>
                <w:highlight w:val="none"/>
                <w:lang w:val="en-US" w:eastAsia="zh-CN"/>
              </w:rPr>
              <w:t>。</w:t>
            </w:r>
          </w:p>
        </w:tc>
      </w:tr>
    </w:tbl>
    <w:p w14:paraId="61E5A4BE">
      <w:pPr>
        <w:pageBreakBefore w:val="0"/>
        <w:kinsoku/>
        <w:wordWrap/>
        <w:overflowPunct w:val="0"/>
        <w:topLinePunct w:val="0"/>
        <w:autoSpaceDE/>
        <w:autoSpaceDN/>
        <w:bidi w:val="0"/>
        <w:adjustRightInd/>
        <w:snapToGrid/>
        <w:spacing w:line="360" w:lineRule="auto"/>
        <w:ind w:lef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3.3经过对供应商磋商响应文件审查，出现下列情况者（但不限于），按无效</w:t>
      </w:r>
      <w:r>
        <w:rPr>
          <w:rFonts w:hint="eastAsia" w:ascii="宋体" w:hAnsi="宋体" w:cs="宋体"/>
          <w:color w:val="auto"/>
          <w:kern w:val="0"/>
          <w:sz w:val="24"/>
          <w:szCs w:val="24"/>
          <w:highlight w:val="none"/>
          <w:lang w:eastAsia="zh-CN"/>
        </w:rPr>
        <w:t>响应</w:t>
      </w:r>
      <w:r>
        <w:rPr>
          <w:rFonts w:hint="eastAsia" w:ascii="宋体" w:hAnsi="宋体" w:cs="宋体"/>
          <w:color w:val="auto"/>
          <w:kern w:val="0"/>
          <w:sz w:val="24"/>
          <w:szCs w:val="24"/>
          <w:highlight w:val="none"/>
        </w:rPr>
        <w:t>处理。</w:t>
      </w:r>
    </w:p>
    <w:p w14:paraId="72711242">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供应商的响应报价超过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w:t>
      </w:r>
    </w:p>
    <w:p w14:paraId="2914BC95">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供应商未经过正常渠道</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竞争性磋商文件，或供应商名称与</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竞争性磋商文件时登记的供应商名称不符的；</w:t>
      </w:r>
    </w:p>
    <w:p w14:paraId="300C110D">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磋商响应文件的装订、签署、盖章不符合竞争性磋商文件要求；无磋商有效期或有效期达不到竞争性磋商文件要求的；</w:t>
      </w:r>
    </w:p>
    <w:p w14:paraId="4DF19307">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供应商未按照竞争性磋商文件要求</w:t>
      </w:r>
      <w:r>
        <w:rPr>
          <w:rFonts w:hint="eastAsia" w:ascii="宋体" w:hAnsi="宋体" w:cs="宋体"/>
          <w:color w:val="auto"/>
          <w:sz w:val="24"/>
          <w:szCs w:val="24"/>
          <w:highlight w:val="none"/>
          <w:lang w:eastAsia="zh-CN"/>
        </w:rPr>
        <w:t>缴纳磋商保证金</w:t>
      </w:r>
      <w:r>
        <w:rPr>
          <w:rFonts w:hint="eastAsia" w:ascii="宋体" w:hAnsi="宋体" w:cs="宋体"/>
          <w:color w:val="auto"/>
          <w:sz w:val="24"/>
          <w:szCs w:val="24"/>
          <w:highlight w:val="none"/>
        </w:rPr>
        <w:t>的或</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的交付单位和供应商的名称不一致；</w:t>
      </w:r>
    </w:p>
    <w:p w14:paraId="20D6D9CE">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供应商针对同一项目递交两份或多份内容不同的磋商响应文件，未书面声明哪一份是有效的或出现选择性报价的；</w:t>
      </w:r>
    </w:p>
    <w:p w14:paraId="5DA90598">
      <w:pPr>
        <w:pageBreakBefore w:val="0"/>
        <w:numPr>
          <w:ilvl w:val="0"/>
          <w:numId w:val="7"/>
        </w:numPr>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磋商响应文件在商务响应方面（</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服务地点、付款方式、</w:t>
      </w:r>
      <w:r>
        <w:rPr>
          <w:rFonts w:hint="eastAsia" w:ascii="宋体" w:hAnsi="宋体" w:eastAsia="宋体" w:cs="宋体"/>
          <w:color w:val="auto"/>
          <w:sz w:val="24"/>
          <w:szCs w:val="24"/>
          <w:highlight w:val="none"/>
          <w:lang w:val="en-US" w:eastAsia="zh-CN"/>
        </w:rPr>
        <w:t>质量标准、磋商有效期</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rPr>
        <w:t>与竞争性磋商文件要求不一致或附加了采购单位难以接受的条件或条款的；</w:t>
      </w:r>
    </w:p>
    <w:p w14:paraId="32D6B3C9">
      <w:pPr>
        <w:pageBreakBefore w:val="0"/>
        <w:numPr>
          <w:ilvl w:val="0"/>
          <w:numId w:val="0"/>
        </w:numPr>
        <w:kinsoku/>
        <w:wordWrap/>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如澄清、补正、说明的内容与磋商响应文件内容有重大相悖或矛盾</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w:t>
      </w:r>
    </w:p>
    <w:p w14:paraId="022B2C5D">
      <w:pPr>
        <w:pStyle w:val="4"/>
        <w:pageBreakBefore w:val="0"/>
        <w:numPr>
          <w:ilvl w:val="0"/>
          <w:numId w:val="0"/>
        </w:numPr>
        <w:kinsoku/>
        <w:wordWrap/>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lang w:val="en-US" w:eastAsia="zh-CN"/>
        </w:rPr>
      </w:pPr>
      <w:bookmarkStart w:id="68" w:name="_Toc17705"/>
      <w:r>
        <w:rPr>
          <w:rFonts w:hint="eastAsia" w:ascii="宋体" w:hAnsi="宋体" w:eastAsia="宋体" w:cs="宋体"/>
          <w:color w:val="auto"/>
          <w:sz w:val="24"/>
          <w:szCs w:val="24"/>
          <w:highlight w:val="none"/>
          <w:lang w:val="en-US" w:eastAsia="zh-CN"/>
        </w:rPr>
        <w:t>4、磋商响应文件澄清</w:t>
      </w:r>
      <w:bookmarkEnd w:id="68"/>
    </w:p>
    <w:p w14:paraId="1FBA0CF4">
      <w:pPr>
        <w:pageBreakBefore w:val="0"/>
        <w:numPr>
          <w:ilvl w:val="0"/>
          <w:numId w:val="0"/>
        </w:numPr>
        <w:kinsoku/>
        <w:wordWrap/>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35F56A">
      <w:pPr>
        <w:pageBreakBefore w:val="0"/>
        <w:numPr>
          <w:ilvl w:val="0"/>
          <w:numId w:val="0"/>
        </w:numPr>
        <w:kinsoku/>
        <w:wordWrap/>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磋商小组要求供应商澄清、说明或者更正响应文件应当以书面形式作出。供应商的澄清、说明或者更正应当由法定代表人或被授权人签字或者加盖公章。由被授权人签字的，应当附法定代表人授权书。供应商为自然人的，应当由本人签字并附身份证明。</w:t>
      </w:r>
    </w:p>
    <w:p w14:paraId="6B8C3E91">
      <w:pPr>
        <w:pageBreakBefore w:val="0"/>
        <w:widowControl w:val="0"/>
        <w:kinsoku/>
        <w:wordWrap/>
        <w:overflowPunct w:val="0"/>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p>
    <w:p w14:paraId="5189D2EC">
      <w:pPr>
        <w:pageBreakBefore w:val="0"/>
        <w:widowControl w:val="0"/>
        <w:kinsoku/>
        <w:wordWrap/>
        <w:overflowPunct w:val="0"/>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4.2供应商应采用书面形式进行澄清或说明，但不得超出磋商响应文件的范围或改变磋商响应文件的实质性内容。</w:t>
      </w:r>
    </w:p>
    <w:p w14:paraId="2D442A99">
      <w:pPr>
        <w:pStyle w:val="4"/>
        <w:pageBreakBefore w:val="0"/>
        <w:numPr>
          <w:ilvl w:val="0"/>
          <w:numId w:val="0"/>
        </w:numPr>
        <w:kinsoku/>
        <w:wordWrap/>
        <w:topLinePunct w:val="0"/>
        <w:autoSpaceDE/>
        <w:autoSpaceDN/>
        <w:bidi w:val="0"/>
        <w:adjustRightInd/>
        <w:snapToGrid/>
        <w:spacing w:line="360" w:lineRule="auto"/>
        <w:ind w:left="0" w:firstLine="482"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评审</w:t>
      </w:r>
    </w:p>
    <w:p w14:paraId="24CC6431">
      <w:pPr>
        <w:pageBreakBefore w:val="0"/>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bookmarkStart w:id="69" w:name="_Toc12947"/>
      <w:r>
        <w:rPr>
          <w:rFonts w:hint="eastAsia" w:ascii="宋体" w:hAnsi="宋体" w:cs="宋体"/>
          <w:color w:val="auto"/>
          <w:sz w:val="24"/>
          <w:szCs w:val="24"/>
          <w:highlight w:val="none"/>
        </w:rPr>
        <w:t>5.1磋商小组有权对在磋商、评审过程中出现的一切问题，根据《中华人民共和国政府采购法》《政府采购竞争性磋商采购方式管理暂行办法》</w:t>
      </w:r>
      <w:r>
        <w:rPr>
          <w:rFonts w:hint="eastAsia" w:ascii="宋体" w:hAnsi="宋体" w:cs="宋体"/>
          <w:bCs/>
          <w:color w:val="auto"/>
          <w:kern w:val="1"/>
          <w:sz w:val="24"/>
          <w:highlight w:val="none"/>
          <w:lang w:eastAsia="zh-CN"/>
        </w:rPr>
        <w:t>及</w:t>
      </w:r>
      <w:r>
        <w:rPr>
          <w:rFonts w:hint="eastAsia" w:ascii="宋体" w:hAnsi="宋体"/>
          <w:color w:val="auto"/>
          <w:sz w:val="24"/>
          <w:highlight w:val="none"/>
        </w:rPr>
        <w:t>《财政部关于政府采购竞争性磋商采购方式管理暂行办法有关问题的补充通知》</w:t>
      </w:r>
      <w:r>
        <w:rPr>
          <w:rFonts w:hint="eastAsia" w:ascii="宋体" w:hAnsi="宋体" w:cs="宋体"/>
          <w:color w:val="auto"/>
          <w:sz w:val="24"/>
          <w:szCs w:val="24"/>
          <w:highlight w:val="none"/>
        </w:rPr>
        <w:t xml:space="preserve">的条款，本着公开、公平、公正的原则进行处理。 </w:t>
      </w:r>
    </w:p>
    <w:p w14:paraId="28D139C0">
      <w:pPr>
        <w:pageBreakBefore w:val="0"/>
        <w:kinsoku/>
        <w:wordWrap/>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5.2磋商流程</w:t>
      </w:r>
    </w:p>
    <w:p w14:paraId="32E56CB4">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先对供应商作资格性</w:t>
      </w:r>
      <w:r>
        <w:rPr>
          <w:rFonts w:hint="eastAsia" w:ascii="宋体" w:hAnsi="宋体" w:cs="宋体"/>
          <w:color w:val="auto"/>
          <w:sz w:val="24"/>
          <w:szCs w:val="24"/>
          <w:highlight w:val="none"/>
          <w:lang w:val="en-US" w:eastAsia="zh-CN"/>
        </w:rPr>
        <w:t>审查</w:t>
      </w:r>
      <w:r>
        <w:rPr>
          <w:rFonts w:hint="eastAsia" w:ascii="宋体" w:hAnsi="宋体" w:cs="宋体"/>
          <w:color w:val="auto"/>
          <w:sz w:val="24"/>
          <w:szCs w:val="24"/>
          <w:highlight w:val="none"/>
        </w:rPr>
        <w:t>，只有通过资格性审查的供应商，才能进入</w:t>
      </w:r>
      <w:r>
        <w:rPr>
          <w:rFonts w:hint="eastAsia" w:ascii="宋体" w:hAnsi="宋体" w:cs="宋体"/>
          <w:color w:val="auto"/>
          <w:sz w:val="24"/>
          <w:szCs w:val="24"/>
          <w:highlight w:val="none"/>
          <w:lang w:eastAsia="zh-CN"/>
        </w:rPr>
        <w:t>下一</w:t>
      </w:r>
      <w:r>
        <w:rPr>
          <w:rFonts w:hint="eastAsia" w:ascii="宋体" w:hAnsi="宋体" w:cs="宋体"/>
          <w:color w:val="auto"/>
          <w:sz w:val="24"/>
          <w:szCs w:val="24"/>
          <w:highlight w:val="none"/>
        </w:rPr>
        <w:t>阶段的</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，否则被淘汰。</w:t>
      </w:r>
    </w:p>
    <w:p w14:paraId="666F6C39">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磋商小组应当对</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rPr>
        <w:t>的供应商的响应文件进行符合性审查，只有通过符合性审查的供应商，才能进入下一项，否则被淘汰。</w:t>
      </w:r>
    </w:p>
    <w:p w14:paraId="56C7B8A2">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所有成员集中与单一供应商分别进行磋商，并给予所有参加磋商的供应商平等的磋商机会。</w:t>
      </w:r>
    </w:p>
    <w:p w14:paraId="58C097ED">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如磋商小组一致认为某个供应商的报价明显不合理，有降低质量、不能诚信履行的可能时，磋商小组有权决定是否通知供应商</w:t>
      </w:r>
      <w:r>
        <w:rPr>
          <w:rFonts w:hint="eastAsia" w:ascii="宋体" w:hAnsi="宋体" w:cs="宋体"/>
          <w:color w:val="auto"/>
          <w:kern w:val="1"/>
          <w:sz w:val="24"/>
          <w:highlight w:val="none"/>
          <w:lang w:val="en-US" w:eastAsia="zh-CN"/>
        </w:rPr>
        <w:t>在合理的时间内</w:t>
      </w:r>
      <w:r>
        <w:rPr>
          <w:rFonts w:hint="eastAsia" w:ascii="宋体" w:hAnsi="宋体" w:cs="宋体"/>
          <w:color w:val="auto"/>
          <w:kern w:val="0"/>
          <w:sz w:val="24"/>
          <w:szCs w:val="24"/>
          <w:highlight w:val="none"/>
        </w:rPr>
        <w:t>进行书面解释或提供相关证明材料。若已要求，而该供应商</w:t>
      </w:r>
      <w:r>
        <w:rPr>
          <w:rFonts w:hint="eastAsia" w:ascii="宋体" w:hAnsi="宋体" w:cs="宋体"/>
          <w:color w:val="auto"/>
          <w:kern w:val="1"/>
          <w:sz w:val="24"/>
          <w:highlight w:val="none"/>
          <w:lang w:val="en-US" w:eastAsia="zh-CN"/>
        </w:rPr>
        <w:t>在合理的时间</w:t>
      </w:r>
      <w:r>
        <w:rPr>
          <w:rFonts w:hint="eastAsia" w:ascii="宋体" w:hAnsi="宋体" w:cs="宋体"/>
          <w:color w:val="auto"/>
          <w:kern w:val="0"/>
          <w:sz w:val="24"/>
          <w:szCs w:val="24"/>
          <w:highlight w:val="none"/>
        </w:rPr>
        <w:t>内未做出解释、做出的解释不合理或不能提供证明材料的，磋商小组有权拒绝该投标。</w:t>
      </w:r>
    </w:p>
    <w:p w14:paraId="317E6C21">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14:paraId="524C6C32">
      <w:pPr>
        <w:pageBreakBefore w:val="0"/>
        <w:numPr>
          <w:ilvl w:val="0"/>
          <w:numId w:val="8"/>
        </w:numPr>
        <w:kinsoku/>
        <w:wordWrap/>
        <w:topLinePunct w:val="0"/>
        <w:autoSpaceDE/>
        <w:autoSpaceDN/>
        <w:bidi w:val="0"/>
        <w:adjustRightInd/>
        <w:snapToGrid/>
        <w:spacing w:line="360" w:lineRule="auto"/>
        <w:ind w:left="0"/>
        <w:textAlignment w:val="auto"/>
        <w:rPr>
          <w:rFonts w:ascii="宋体" w:hAnsi="宋体" w:cs="宋体"/>
          <w:color w:val="auto"/>
          <w:sz w:val="24"/>
          <w:szCs w:val="24"/>
          <w:highlight w:val="none"/>
          <w:shd w:val="clear" w:color="FFFFFF" w:fill="D9D9D9"/>
        </w:rPr>
      </w:pPr>
      <w:r>
        <w:rPr>
          <w:rFonts w:hint="eastAsia" w:ascii="宋体" w:hAnsi="宋体" w:cs="宋体"/>
          <w:color w:val="auto"/>
          <w:sz w:val="24"/>
          <w:szCs w:val="24"/>
          <w:highlight w:val="none"/>
        </w:rPr>
        <w:t>磋商结束后，磋商小组要求参加磋商的各供应商在规定的时间内集中提交最终报价。</w:t>
      </w:r>
    </w:p>
    <w:p w14:paraId="674CA268">
      <w:pPr>
        <w:pageBreakBefore w:val="0"/>
        <w:widowControl/>
        <w:numPr>
          <w:ilvl w:val="0"/>
          <w:numId w:val="8"/>
        </w:numPr>
        <w:kinsoku/>
        <w:wordWrap/>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在确定最终采购需求和提交最</w:t>
      </w:r>
      <w:r>
        <w:rPr>
          <w:rFonts w:hint="eastAsia" w:ascii="宋体" w:hAnsi="宋体" w:cs="宋体"/>
          <w:color w:val="auto"/>
          <w:sz w:val="24"/>
          <w:szCs w:val="24"/>
          <w:highlight w:val="none"/>
          <w:lang w:eastAsia="zh-CN"/>
        </w:rPr>
        <w:t>终</w:t>
      </w:r>
      <w:r>
        <w:rPr>
          <w:rFonts w:hint="eastAsia" w:ascii="宋体" w:hAnsi="宋体" w:cs="宋体"/>
          <w:color w:val="auto"/>
          <w:sz w:val="24"/>
          <w:szCs w:val="24"/>
          <w:highlight w:val="none"/>
        </w:rPr>
        <w:t>报价的供应商后，由磋商小组采用综合评分法对提交最</w:t>
      </w:r>
      <w:r>
        <w:rPr>
          <w:rFonts w:hint="eastAsia" w:ascii="宋体" w:hAnsi="宋体" w:cs="宋体"/>
          <w:color w:val="auto"/>
          <w:sz w:val="24"/>
          <w:szCs w:val="24"/>
          <w:highlight w:val="none"/>
          <w:lang w:eastAsia="zh-CN"/>
        </w:rPr>
        <w:t>终</w:t>
      </w:r>
      <w:r>
        <w:rPr>
          <w:rFonts w:hint="eastAsia" w:ascii="宋体" w:hAnsi="宋体" w:cs="宋体"/>
          <w:color w:val="auto"/>
          <w:sz w:val="24"/>
          <w:szCs w:val="24"/>
          <w:highlight w:val="none"/>
        </w:rPr>
        <w:t>报价的供应商进行综合评分。磋商小组</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第四部分评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标准规定的各项因素进行比较、自主打分、综合评审。磋商小组将评审得分汇总后，按评审总得分由高到低汇总排序，推荐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名</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2名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成交候选</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；评审得分相同的，按照最</w:t>
      </w:r>
      <w:r>
        <w:rPr>
          <w:rFonts w:hint="eastAsia" w:ascii="宋体" w:hAnsi="宋体" w:cs="宋体"/>
          <w:color w:val="auto"/>
          <w:sz w:val="24"/>
          <w:szCs w:val="24"/>
          <w:highlight w:val="none"/>
          <w:lang w:val="en-US" w:eastAsia="zh-CN"/>
        </w:rPr>
        <w:t>后报价由低到高的</w:t>
      </w:r>
      <w:r>
        <w:rPr>
          <w:rFonts w:hint="eastAsia" w:ascii="宋体" w:hAnsi="宋体" w:cs="宋体"/>
          <w:color w:val="auto"/>
          <w:sz w:val="24"/>
          <w:szCs w:val="24"/>
          <w:highlight w:val="none"/>
        </w:rPr>
        <w:t>顺序推荐。评</w:t>
      </w:r>
      <w:r>
        <w:rPr>
          <w:rFonts w:hint="eastAsia" w:ascii="宋体" w:hAnsi="宋体" w:eastAsia="宋体" w:cs="宋体"/>
          <w:color w:val="auto"/>
          <w:sz w:val="24"/>
          <w:szCs w:val="24"/>
          <w:highlight w:val="none"/>
        </w:rPr>
        <w:t>审得分且</w:t>
      </w:r>
      <w:r>
        <w:rPr>
          <w:rFonts w:hint="eastAsia" w:ascii="宋体" w:hAnsi="宋体" w:eastAsia="宋体" w:cs="宋体"/>
          <w:color w:val="auto"/>
          <w:sz w:val="24"/>
          <w:szCs w:val="24"/>
          <w:highlight w:val="none"/>
          <w:lang w:val="en-US" w:eastAsia="zh-CN"/>
        </w:rPr>
        <w:t>最终磋商</w:t>
      </w:r>
      <w:r>
        <w:rPr>
          <w:rFonts w:hint="eastAsia" w:ascii="宋体" w:hAnsi="宋体" w:eastAsia="宋体" w:cs="宋体"/>
          <w:color w:val="auto"/>
          <w:sz w:val="24"/>
          <w:szCs w:val="24"/>
          <w:highlight w:val="none"/>
        </w:rPr>
        <w:t>报价相同的，按</w:t>
      </w:r>
      <w:r>
        <w:rPr>
          <w:rFonts w:hint="eastAsia" w:ascii="宋体" w:hAnsi="宋体" w:eastAsia="宋体" w:cs="宋体"/>
          <w:color w:val="auto"/>
          <w:sz w:val="24"/>
          <w:szCs w:val="24"/>
          <w:highlight w:val="none"/>
          <w:lang w:val="en-US" w:eastAsia="zh-CN"/>
        </w:rPr>
        <w:t>技术部分</w:t>
      </w:r>
      <w:r>
        <w:rPr>
          <w:rFonts w:hint="eastAsia" w:ascii="宋体" w:hAnsi="宋体" w:eastAsia="宋体" w:cs="宋体"/>
          <w:color w:val="auto"/>
          <w:sz w:val="24"/>
          <w:szCs w:val="24"/>
          <w:highlight w:val="none"/>
        </w:rPr>
        <w:t>得分顺序排列名次。</w:t>
      </w:r>
    </w:p>
    <w:p w14:paraId="618BE381">
      <w:pPr>
        <w:pStyle w:val="4"/>
        <w:pageBreakBefore w:val="0"/>
        <w:numPr>
          <w:ilvl w:val="0"/>
          <w:numId w:val="0"/>
        </w:numPr>
        <w:kinsoku/>
        <w:wordWrap/>
        <w:topLinePunct w:val="0"/>
        <w:autoSpaceDE/>
        <w:autoSpaceDN/>
        <w:bidi w:val="0"/>
        <w:adjustRightInd/>
        <w:snapToGrid/>
        <w:spacing w:line="360" w:lineRule="auto"/>
        <w:ind w:left="0" w:firstLine="482"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定标</w:t>
      </w:r>
      <w:bookmarkEnd w:id="69"/>
    </w:p>
    <w:p w14:paraId="46BF43E9">
      <w:pPr>
        <w:pageBreakBefore w:val="0"/>
        <w:kinsoku/>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6.1代理机构在评审结束后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个工作日内将评审报告送达采购单位，采购单位在收到评审报告后</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个工作日内，按照评审报告中推荐的成交候选</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顺序确认第一成交候选</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为成交单位，同时书面复函代理机构</w:t>
      </w:r>
      <w:r>
        <w:rPr>
          <w:rFonts w:hint="eastAsia" w:ascii="宋体" w:hAnsi="宋体" w:cs="宋体"/>
          <w:color w:val="auto"/>
          <w:sz w:val="24"/>
          <w:szCs w:val="24"/>
          <w:highlight w:val="none"/>
          <w:lang w:eastAsia="zh-CN"/>
        </w:rPr>
        <w:t>。</w:t>
      </w:r>
    </w:p>
    <w:p w14:paraId="5504EE5E">
      <w:pPr>
        <w:pageBreakBefore w:val="0"/>
        <w:kinsoku/>
        <w:wordWrap/>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cs="宋体"/>
          <w:color w:val="auto"/>
          <w:sz w:val="24"/>
          <w:szCs w:val="24"/>
          <w:highlight w:val="none"/>
        </w:rPr>
        <w:t>供应商对</w:t>
      </w:r>
      <w:r>
        <w:rPr>
          <w:rFonts w:hint="eastAsia" w:ascii="宋体" w:hAnsi="宋体"/>
          <w:color w:val="auto"/>
          <w:sz w:val="24"/>
          <w:highlight w:val="none"/>
          <w:lang w:val="en-US" w:eastAsia="zh-CN"/>
        </w:rPr>
        <w:t>中标（成交）结果</w:t>
      </w:r>
      <w:r>
        <w:rPr>
          <w:rFonts w:ascii="宋体" w:hAnsi="宋体"/>
          <w:color w:val="auto"/>
          <w:sz w:val="24"/>
          <w:highlight w:val="none"/>
        </w:rPr>
        <w:t>公告</w:t>
      </w:r>
      <w:r>
        <w:rPr>
          <w:rFonts w:hint="eastAsia" w:ascii="宋体" w:hAnsi="宋体" w:cs="宋体"/>
          <w:color w:val="auto"/>
          <w:sz w:val="24"/>
          <w:szCs w:val="24"/>
          <w:highlight w:val="none"/>
        </w:rPr>
        <w:t>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4D9A86E9">
      <w:pPr>
        <w:pageBreakBefore w:val="0"/>
        <w:kinsoku/>
        <w:wordWrap/>
        <w:topLinePunct w:val="0"/>
        <w:autoSpaceDE/>
        <w:autoSpaceDN/>
        <w:bidi w:val="0"/>
        <w:adjustRightInd/>
        <w:snapToGrid/>
        <w:spacing w:line="360" w:lineRule="auto"/>
        <w:ind w:left="0" w:firstLine="360" w:firstLineChars="15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采购人或者采购代理机构应当在成交供应商确定后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r>
        <w:rPr>
          <w:rFonts w:hint="eastAsia" w:ascii="宋体" w:hAnsi="宋体" w:cs="宋体"/>
          <w:sz w:val="24"/>
          <w:szCs w:val="24"/>
          <w:highlight w:val="none"/>
        </w:rPr>
        <w:t>结果公告期限为1个工作日。</w:t>
      </w:r>
    </w:p>
    <w:p w14:paraId="2FC2A7E8">
      <w:pPr>
        <w:pageBreakBefore w:val="0"/>
        <w:kinsoku/>
        <w:wordWrap/>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cs="宋体"/>
          <w:color w:val="auto"/>
          <w:sz w:val="24"/>
          <w:szCs w:val="24"/>
          <w:highlight w:val="none"/>
        </w:rPr>
        <w:t>成交供应商拒绝与采购人签订合同的，采购人可以按照评</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rPr>
        <w:t>报告推荐的成交</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名单排序，确定下一候选人为成交供应商，也可以重新开展政府采购活动。</w:t>
      </w:r>
    </w:p>
    <w:p w14:paraId="0A52611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ascii="宋体" w:hAnsi="宋体"/>
          <w:b/>
          <w:color w:val="auto"/>
          <w:sz w:val="24"/>
          <w:highlight w:val="none"/>
          <w:lang w:eastAsia="zh-CN"/>
        </w:rPr>
        <w:t>成交</w:t>
      </w:r>
      <w:r>
        <w:rPr>
          <w:rFonts w:hint="eastAsia" w:ascii="宋体" w:hAnsi="宋体"/>
          <w:b/>
          <w:color w:val="auto"/>
          <w:sz w:val="24"/>
          <w:highlight w:val="none"/>
        </w:rPr>
        <w:t>通知</w:t>
      </w:r>
    </w:p>
    <w:p w14:paraId="27A3F91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.1</w:t>
      </w:r>
      <w:r>
        <w:rPr>
          <w:rFonts w:hint="eastAsia" w:ascii="宋体" w:hAnsi="宋体"/>
          <w:color w:val="auto"/>
          <w:sz w:val="24"/>
          <w:highlight w:val="none"/>
        </w:rPr>
        <w:t xml:space="preserve"> 成交供应商确定之后，</w:t>
      </w:r>
      <w:r>
        <w:rPr>
          <w:rFonts w:hint="eastAsia" w:ascii="宋体" w:hAnsi="宋体"/>
          <w:color w:val="auto"/>
          <w:sz w:val="24"/>
          <w:highlight w:val="none"/>
          <w:lang w:eastAsia="zh-CN"/>
        </w:rPr>
        <w:t>采购代理机构</w:t>
      </w:r>
      <w:r>
        <w:rPr>
          <w:rFonts w:hint="eastAsia" w:ascii="宋体" w:hAnsi="宋体"/>
          <w:color w:val="auto"/>
          <w:sz w:val="24"/>
          <w:highlight w:val="none"/>
        </w:rPr>
        <w:t>将</w:t>
      </w:r>
      <w:r>
        <w:rPr>
          <w:rFonts w:ascii="宋体" w:hAnsi="宋体"/>
          <w:color w:val="auto"/>
          <w:sz w:val="24"/>
          <w:highlight w:val="none"/>
        </w:rPr>
        <w:t>发出</w:t>
      </w:r>
      <w:r>
        <w:rPr>
          <w:rFonts w:hint="eastAsia" w:ascii="宋体" w:hAnsi="宋体"/>
          <w:color w:val="auto"/>
          <w:sz w:val="24"/>
          <w:highlight w:val="none"/>
          <w:lang w:eastAsia="zh-CN"/>
        </w:rPr>
        <w:t>成交</w:t>
      </w:r>
      <w:r>
        <w:rPr>
          <w:rFonts w:ascii="宋体" w:hAnsi="宋体"/>
          <w:color w:val="auto"/>
          <w:sz w:val="24"/>
          <w:highlight w:val="none"/>
        </w:rPr>
        <w:t xml:space="preserve">通知书。 </w:t>
      </w:r>
    </w:p>
    <w:p w14:paraId="733944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olor w:val="auto"/>
          <w:spacing w:val="-6"/>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.2</w:t>
      </w:r>
      <w:r>
        <w:rPr>
          <w:rFonts w:hint="eastAsia" w:ascii="宋体" w:hAnsi="宋体"/>
          <w:color w:val="auto"/>
          <w:sz w:val="24"/>
          <w:highlight w:val="none"/>
          <w:lang w:eastAsia="zh-CN"/>
        </w:rPr>
        <w:t>成交</w:t>
      </w:r>
      <w:r>
        <w:rPr>
          <w:rFonts w:ascii="宋体" w:hAnsi="宋体"/>
          <w:color w:val="auto"/>
          <w:sz w:val="24"/>
          <w:highlight w:val="none"/>
        </w:rPr>
        <w:t>通知书对采购人和成交供应商具有同等法律效力。</w:t>
      </w:r>
      <w:r>
        <w:rPr>
          <w:rFonts w:hint="eastAsia" w:ascii="宋体" w:hAnsi="宋体"/>
          <w:color w:val="auto"/>
          <w:sz w:val="24"/>
          <w:highlight w:val="none"/>
          <w:lang w:eastAsia="zh-CN"/>
        </w:rPr>
        <w:t>成交</w:t>
      </w:r>
      <w:r>
        <w:rPr>
          <w:rFonts w:ascii="宋体" w:hAnsi="宋体"/>
          <w:color w:val="auto"/>
          <w:sz w:val="24"/>
          <w:highlight w:val="none"/>
        </w:rPr>
        <w:t>通知书发出</w:t>
      </w:r>
      <w:r>
        <w:rPr>
          <w:rFonts w:ascii="宋体" w:hAnsi="宋体"/>
          <w:color w:val="auto"/>
          <w:spacing w:val="-6"/>
          <w:sz w:val="24"/>
          <w:highlight w:val="none"/>
        </w:rPr>
        <w:t>之后，采购人改变成交结果，或者成交供应商放弃成交，应当承担相应的法律责任。</w:t>
      </w:r>
    </w:p>
    <w:p w14:paraId="2FD75BCE">
      <w:pPr>
        <w:pStyle w:val="12"/>
        <w:pageBreakBefore w:val="0"/>
        <w:kinsoku/>
        <w:wordWrap/>
        <w:topLinePunct w:val="0"/>
        <w:autoSpaceDE/>
        <w:autoSpaceDN/>
        <w:bidi w:val="0"/>
        <w:adjustRightInd/>
        <w:snapToGrid/>
        <w:spacing w:line="360" w:lineRule="auto"/>
        <w:ind w:left="0" w:firstLine="480" w:firstLineChars="200"/>
        <w:textAlignment w:val="auto"/>
        <w:rPr>
          <w:rFonts w:hint="eastAsia"/>
          <w:color w:val="auto"/>
          <w:highlight w:val="none"/>
        </w:rPr>
      </w:pPr>
      <w:r>
        <w:rPr>
          <w:rFonts w:hint="eastAsia" w:ascii="宋体" w:hAnsi="宋体"/>
          <w:color w:val="auto"/>
          <w:sz w:val="24"/>
          <w:highlight w:val="none"/>
          <w:lang w:val="en-US" w:eastAsia="zh-CN"/>
        </w:rPr>
        <w:t>7</w:t>
      </w:r>
      <w:r>
        <w:rPr>
          <w:rFonts w:ascii="宋体" w:hAnsi="宋体"/>
          <w:color w:val="auto"/>
          <w:sz w:val="24"/>
          <w:highlight w:val="none"/>
        </w:rPr>
        <w:t xml:space="preserve">.3 </w:t>
      </w:r>
      <w:r>
        <w:rPr>
          <w:rFonts w:hint="eastAsia" w:ascii="宋体" w:hAnsi="宋体"/>
          <w:color w:val="auto"/>
          <w:sz w:val="24"/>
          <w:highlight w:val="none"/>
          <w:lang w:eastAsia="zh-CN"/>
        </w:rPr>
        <w:t>成交通知书</w:t>
      </w:r>
      <w:r>
        <w:rPr>
          <w:rFonts w:ascii="宋体" w:hAnsi="宋体"/>
          <w:color w:val="auto"/>
          <w:sz w:val="24"/>
          <w:highlight w:val="none"/>
        </w:rPr>
        <w:t>发出后</w:t>
      </w:r>
      <w:r>
        <w:rPr>
          <w:rFonts w:hint="eastAsia" w:ascii="宋体" w:hAnsi="宋体"/>
          <w:color w:val="auto"/>
          <w:sz w:val="24"/>
          <w:highlight w:val="none"/>
        </w:rPr>
        <w:t>5</w:t>
      </w:r>
      <w:r>
        <w:rPr>
          <w:rFonts w:ascii="宋体" w:hAnsi="宋体"/>
          <w:color w:val="auto"/>
          <w:sz w:val="24"/>
          <w:highlight w:val="none"/>
        </w:rPr>
        <w:t>个工作日内，</w:t>
      </w:r>
      <w:r>
        <w:rPr>
          <w:rFonts w:hint="eastAsia" w:ascii="宋体" w:hAnsi="宋体"/>
          <w:color w:val="auto"/>
          <w:sz w:val="24"/>
          <w:highlight w:val="none"/>
          <w:lang w:val="en-US" w:eastAsia="zh-CN"/>
        </w:rPr>
        <w:t>代理机构</w:t>
      </w:r>
      <w:r>
        <w:rPr>
          <w:rFonts w:ascii="宋体" w:hAnsi="宋体"/>
          <w:color w:val="auto"/>
          <w:sz w:val="24"/>
          <w:highlight w:val="none"/>
        </w:rPr>
        <w:t>将通知未成交的供应商，</w:t>
      </w:r>
      <w:r>
        <w:rPr>
          <w:rFonts w:hint="eastAsia" w:ascii="宋体" w:hAnsi="宋体"/>
          <w:color w:val="auto"/>
          <w:sz w:val="24"/>
          <w:highlight w:val="none"/>
        </w:rPr>
        <w:t>并</w:t>
      </w:r>
      <w:r>
        <w:rPr>
          <w:rFonts w:ascii="宋体" w:hAnsi="宋体"/>
          <w:color w:val="auto"/>
          <w:sz w:val="24"/>
          <w:highlight w:val="none"/>
        </w:rPr>
        <w:t>退还</w:t>
      </w:r>
      <w:r>
        <w:rPr>
          <w:rFonts w:hint="eastAsia" w:ascii="宋体" w:hAnsi="宋体"/>
          <w:color w:val="auto"/>
          <w:sz w:val="24"/>
          <w:highlight w:val="none"/>
        </w:rPr>
        <w:t>其</w:t>
      </w:r>
      <w:r>
        <w:rPr>
          <w:rFonts w:hint="eastAsia" w:ascii="宋体" w:hAnsi="宋体"/>
          <w:color w:val="auto"/>
          <w:sz w:val="24"/>
          <w:highlight w:val="none"/>
          <w:lang w:eastAsia="zh-CN"/>
        </w:rPr>
        <w:t>磋商保证金</w:t>
      </w:r>
      <w:r>
        <w:rPr>
          <w:rFonts w:hint="eastAsia" w:ascii="宋体" w:hAnsi="宋体"/>
          <w:color w:val="auto"/>
          <w:sz w:val="24"/>
          <w:highlight w:val="none"/>
        </w:rPr>
        <w:t>；</w:t>
      </w:r>
      <w:r>
        <w:rPr>
          <w:rFonts w:hint="eastAsia" w:ascii="宋体" w:hAnsi="宋体"/>
          <w:color w:val="auto"/>
          <w:sz w:val="24"/>
          <w:highlight w:val="none"/>
          <w:lang w:eastAsia="zh-CN"/>
        </w:rPr>
        <w:t>采购</w:t>
      </w:r>
      <w:r>
        <w:rPr>
          <w:rFonts w:hint="eastAsia" w:ascii="宋体" w:hAnsi="宋体"/>
          <w:color w:val="auto"/>
          <w:sz w:val="24"/>
          <w:highlight w:val="none"/>
        </w:rPr>
        <w:t>合同签订后5个工作日内退还</w:t>
      </w:r>
      <w:r>
        <w:rPr>
          <w:rFonts w:hint="eastAsia" w:ascii="宋体" w:hAnsi="宋体"/>
          <w:color w:val="auto"/>
          <w:sz w:val="24"/>
          <w:highlight w:val="none"/>
          <w:lang w:eastAsia="zh-CN"/>
        </w:rPr>
        <w:t>成交供应商</w:t>
      </w:r>
      <w:r>
        <w:rPr>
          <w:rFonts w:hint="eastAsia" w:ascii="宋体" w:hAnsi="宋体"/>
          <w:color w:val="auto"/>
          <w:sz w:val="24"/>
          <w:highlight w:val="none"/>
        </w:rPr>
        <w:t>的保证金。</w:t>
      </w:r>
    </w:p>
    <w:p w14:paraId="3E6585DF">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bookmarkStart w:id="70" w:name="_Toc13065125"/>
      <w:bookmarkStart w:id="71" w:name="_Toc19972"/>
      <w:bookmarkStart w:id="72" w:name="_Toc794"/>
      <w:bookmarkStart w:id="73" w:name="_Toc740"/>
      <w:bookmarkStart w:id="74" w:name="_Toc25308"/>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六</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签订合同</w:t>
      </w:r>
      <w:bookmarkEnd w:id="70"/>
      <w:bookmarkEnd w:id="71"/>
      <w:bookmarkEnd w:id="72"/>
      <w:bookmarkEnd w:id="73"/>
      <w:bookmarkEnd w:id="74"/>
    </w:p>
    <w:p w14:paraId="1E5B5BF6">
      <w:pPr>
        <w:topLinePunct w:val="0"/>
        <w:bidi w:val="0"/>
        <w:spacing w:line="360" w:lineRule="auto"/>
        <w:ind w:firstLine="360" w:firstLineChars="15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1、采购人应当自</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通知书发出之日起</w:t>
      </w:r>
      <w:r>
        <w:rPr>
          <w:rFonts w:hint="eastAsia" w:ascii="宋体" w:hAnsi="宋体" w:cs="宋体"/>
          <w:color w:val="auto"/>
          <w:sz w:val="24"/>
          <w:szCs w:val="24"/>
          <w:highlight w:val="none"/>
          <w:lang w:val="en-US" w:eastAsia="zh-CN"/>
        </w:rPr>
        <w:t>二十五</w:t>
      </w:r>
      <w:r>
        <w:rPr>
          <w:rFonts w:hint="eastAsia" w:ascii="宋体" w:hAnsi="宋体" w:cs="宋体"/>
          <w:color w:val="auto"/>
          <w:sz w:val="24"/>
          <w:szCs w:val="24"/>
          <w:highlight w:val="none"/>
        </w:rPr>
        <w:t>日内，按照磋商文件和成交供应商的响应文件（包括磋商评审中形成的最后报价等补充文件），与成交供应商签订书面合同</w:t>
      </w:r>
      <w:r>
        <w:rPr>
          <w:rFonts w:hint="eastAsia" w:ascii="宋体" w:hAnsi="宋体" w:cs="宋体"/>
          <w:b/>
          <w:bCs/>
          <w:color w:val="auto"/>
          <w:sz w:val="24"/>
          <w:szCs w:val="24"/>
          <w:highlight w:val="none"/>
          <w:lang w:val="en-US" w:eastAsia="zh-CN"/>
        </w:rPr>
        <w:t>（成交供应商须在合同签订后2个工作日内，提供完整的合同扫描件发送至邮箱</w:t>
      </w:r>
      <w:r>
        <w:rPr>
          <w:rFonts w:hint="eastAsia" w:ascii="宋体" w:hAnsi="宋体" w:cs="宋体"/>
          <w:b/>
          <w:bCs/>
          <w:color w:val="auto"/>
          <w:kern w:val="1"/>
          <w:sz w:val="24"/>
          <w:highlight w:val="none"/>
          <w:lang w:val="en-US" w:eastAsia="zh-CN"/>
        </w:rPr>
        <w:t>1163938795</w:t>
      </w:r>
      <w:r>
        <w:rPr>
          <w:rFonts w:hint="eastAsia" w:ascii="宋体" w:hAnsi="宋体" w:cs="宋体"/>
          <w:b/>
          <w:bCs/>
          <w:color w:val="auto"/>
          <w:sz w:val="24"/>
          <w:szCs w:val="24"/>
          <w:highlight w:val="none"/>
          <w:lang w:val="en-US" w:eastAsia="zh-CN"/>
        </w:rPr>
        <w:t>@qq.com）</w:t>
      </w:r>
      <w:r>
        <w:rPr>
          <w:rFonts w:hint="eastAsia" w:ascii="宋体" w:hAnsi="宋体" w:cs="宋体"/>
          <w:color w:val="auto"/>
          <w:sz w:val="24"/>
          <w:szCs w:val="24"/>
          <w:highlight w:val="none"/>
        </w:rPr>
        <w:t>。成交供应商无正当理由不得拖延或拒绝与采购人签订书面合同，否则，采购人有权取消该供应商</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资格，因此给采购人造成损失的，成交供应商还应赔偿其全部损失</w:t>
      </w:r>
      <w:r>
        <w:rPr>
          <w:rFonts w:hint="eastAsia" w:ascii="宋体" w:hAnsi="宋体" w:cs="宋体"/>
          <w:color w:val="auto"/>
          <w:sz w:val="24"/>
          <w:szCs w:val="24"/>
          <w:highlight w:val="none"/>
          <w:lang w:eastAsia="zh-CN"/>
        </w:rPr>
        <w:t>。</w:t>
      </w:r>
    </w:p>
    <w:p w14:paraId="1DCE2E5B">
      <w:pPr>
        <w:topLinePunct w:val="0"/>
        <w:bidi w:val="0"/>
        <w:spacing w:line="360" w:lineRule="auto"/>
        <w:ind w:firstLine="360" w:firstLineChars="150"/>
        <w:jc w:val="left"/>
        <w:rPr>
          <w:rFonts w:hint="eastAsia" w:ascii="宋体" w:hAnsi="宋体" w:cs="宋体"/>
          <w:color w:val="auto"/>
          <w:sz w:val="24"/>
          <w:szCs w:val="24"/>
          <w:highlight w:val="none"/>
          <w:lang w:val="en-US" w:eastAsia="zh-CN"/>
        </w:rPr>
      </w:pPr>
      <w:bookmarkStart w:id="75" w:name="_Toc12821"/>
      <w:bookmarkStart w:id="76" w:name="_Toc21460"/>
      <w:bookmarkStart w:id="77" w:name="_Toc8117"/>
      <w:r>
        <w:rPr>
          <w:rFonts w:hint="eastAsia" w:ascii="宋体" w:hAnsi="宋体" w:cs="宋体"/>
          <w:color w:val="auto"/>
          <w:sz w:val="24"/>
          <w:szCs w:val="24"/>
          <w:highlight w:val="none"/>
          <w:lang w:val="en-US" w:eastAsia="zh-CN"/>
        </w:rPr>
        <w:t>2、</w:t>
      </w:r>
      <w:bookmarkEnd w:id="75"/>
      <w:bookmarkEnd w:id="76"/>
      <w:r>
        <w:rPr>
          <w:rFonts w:hint="eastAsia" w:ascii="宋体" w:hAnsi="宋体" w:cs="宋体"/>
          <w:color w:val="auto"/>
          <w:sz w:val="24"/>
          <w:szCs w:val="24"/>
          <w:highlight w:val="none"/>
          <w:lang w:val="en-US" w:eastAsia="zh-CN"/>
        </w:rPr>
        <w:t>采购人应当在合同签订后2个工作日内将政府采购合同在陕西省政府采购网进行公示，磋商文件及成交供应商的磋商响应文件均作为合同的组成部分。</w:t>
      </w:r>
    </w:p>
    <w:p w14:paraId="1DAB4DE9">
      <w:pPr>
        <w:topLinePunct w:val="0"/>
        <w:bidi w:val="0"/>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根据需要，代理机构应协助采购人监督、协调和处理履约过程中出现的</w:t>
      </w:r>
      <w:bookmarkEnd w:id="77"/>
      <w:bookmarkStart w:id="78" w:name="_Toc2868"/>
      <w:r>
        <w:rPr>
          <w:rFonts w:hint="eastAsia" w:ascii="宋体" w:hAnsi="宋体" w:cs="宋体"/>
          <w:color w:val="auto"/>
          <w:sz w:val="24"/>
          <w:szCs w:val="24"/>
          <w:highlight w:val="none"/>
        </w:rPr>
        <w:t>问题。</w:t>
      </w:r>
      <w:bookmarkEnd w:id="78"/>
    </w:p>
    <w:p w14:paraId="73D77008">
      <w:pPr>
        <w:topLinePunct w:val="0"/>
        <w:bidi w:val="0"/>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4、富平县</w:t>
      </w:r>
      <w:r>
        <w:rPr>
          <w:rFonts w:hint="eastAsia" w:ascii="宋体" w:hAnsi="宋体" w:cs="宋体"/>
          <w:color w:val="auto"/>
          <w:sz w:val="24"/>
          <w:szCs w:val="24"/>
          <w:highlight w:val="none"/>
        </w:rPr>
        <w:t>财政局在合同履行期间以及履行期后，可以随时检查项目的执行情况，对采购标准、采购内容进行调查核实，并对发现的问题进行处理。</w:t>
      </w:r>
    </w:p>
    <w:p w14:paraId="39DD328D">
      <w:pPr>
        <w:pStyle w:val="31"/>
        <w:widowControl w:val="0"/>
        <w:numPr>
          <w:ilvl w:val="0"/>
          <w:numId w:val="0"/>
        </w:numPr>
        <w:jc w:val="both"/>
        <w:rPr>
          <w:rFonts w:hint="eastAsia"/>
          <w:color w:val="auto"/>
          <w:highlight w:val="none"/>
        </w:rPr>
      </w:pPr>
    </w:p>
    <w:p w14:paraId="2EEF4102">
      <w:pPr>
        <w:widowControl/>
        <w:numPr>
          <w:ilvl w:val="0"/>
          <w:numId w:val="0"/>
        </w:numPr>
        <w:topLinePunct w:val="0"/>
        <w:bidi w:val="0"/>
        <w:spacing w:line="360" w:lineRule="auto"/>
        <w:jc w:val="center"/>
        <w:outlineLvl w:val="1"/>
        <w:rPr>
          <w:rFonts w:hint="eastAsia" w:ascii="宋体" w:hAnsi="宋体" w:cs="宋体"/>
          <w:b/>
          <w:bCs/>
          <w:color w:val="auto"/>
          <w:kern w:val="0"/>
          <w:sz w:val="32"/>
          <w:szCs w:val="28"/>
          <w:highlight w:val="none"/>
        </w:rPr>
      </w:pP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七</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成交合同的履约验收</w:t>
      </w:r>
    </w:p>
    <w:p w14:paraId="4BB5EDC4">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olor w:val="auto"/>
          <w:sz w:val="24"/>
          <w:highlight w:val="magenta"/>
          <w:lang w:eastAsia="zh-CN"/>
        </w:rPr>
      </w:pPr>
      <w:r>
        <w:rPr>
          <w:rFonts w:hint="eastAsia" w:ascii="宋体" w:hAnsi="宋体"/>
          <w:color w:val="auto"/>
          <w:sz w:val="24"/>
          <w:highlight w:val="none"/>
          <w:lang w:val="en-US" w:eastAsia="zh-CN"/>
        </w:rPr>
        <w:t>依据相关规定及</w:t>
      </w:r>
      <w:r>
        <w:rPr>
          <w:rFonts w:hint="eastAsia" w:ascii="宋体" w:hAnsi="宋体"/>
          <w:color w:val="auto"/>
          <w:sz w:val="24"/>
          <w:highlight w:val="none"/>
        </w:rPr>
        <w:t>采购人</w:t>
      </w:r>
      <w:r>
        <w:rPr>
          <w:rFonts w:hint="eastAsia" w:ascii="宋体" w:hAnsi="宋体"/>
          <w:color w:val="auto"/>
          <w:sz w:val="24"/>
          <w:highlight w:val="none"/>
          <w:lang w:val="en-US" w:eastAsia="zh-CN"/>
        </w:rPr>
        <w:t>要求</w:t>
      </w:r>
      <w:r>
        <w:rPr>
          <w:rFonts w:hint="eastAsia" w:ascii="宋体" w:hAnsi="宋体"/>
          <w:color w:val="auto"/>
          <w:sz w:val="24"/>
          <w:highlight w:val="none"/>
        </w:rPr>
        <w:t>对供应商履约情况进行验收。</w:t>
      </w:r>
    </w:p>
    <w:p w14:paraId="2C449240">
      <w:pPr>
        <w:pStyle w:val="12"/>
        <w:rPr>
          <w:color w:val="auto"/>
          <w:highlight w:val="magenta"/>
        </w:rPr>
      </w:pPr>
    </w:p>
    <w:p w14:paraId="4233D997">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bookmarkStart w:id="79" w:name="_Toc6476"/>
      <w:bookmarkStart w:id="80" w:name="_Toc28110"/>
      <w:bookmarkStart w:id="81" w:name="_Toc28603"/>
      <w:bookmarkStart w:id="82" w:name="_Toc26132"/>
      <w:bookmarkStart w:id="83" w:name="_Toc13065126"/>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八</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招标</w:t>
      </w:r>
      <w:r>
        <w:rPr>
          <w:rFonts w:hint="eastAsia" w:ascii="宋体" w:hAnsi="宋体" w:cs="宋体"/>
          <w:b/>
          <w:bCs/>
          <w:color w:val="auto"/>
          <w:kern w:val="0"/>
          <w:sz w:val="28"/>
          <w:szCs w:val="28"/>
          <w:highlight w:val="none"/>
        </w:rPr>
        <w:t>代理</w:t>
      </w:r>
      <w:r>
        <w:rPr>
          <w:rFonts w:hint="eastAsia" w:ascii="宋体" w:hAnsi="宋体" w:cs="宋体"/>
          <w:b/>
          <w:bCs/>
          <w:color w:val="auto"/>
          <w:kern w:val="0"/>
          <w:sz w:val="28"/>
          <w:szCs w:val="28"/>
          <w:highlight w:val="none"/>
          <w:lang w:val="en-US" w:eastAsia="zh-CN"/>
        </w:rPr>
        <w:t>服务</w:t>
      </w:r>
      <w:r>
        <w:rPr>
          <w:rFonts w:hint="eastAsia" w:ascii="宋体" w:hAnsi="宋体" w:cs="宋体"/>
          <w:b/>
          <w:bCs/>
          <w:color w:val="auto"/>
          <w:kern w:val="0"/>
          <w:sz w:val="28"/>
          <w:szCs w:val="28"/>
          <w:highlight w:val="none"/>
        </w:rPr>
        <w:t>费</w:t>
      </w:r>
      <w:bookmarkEnd w:id="79"/>
      <w:bookmarkEnd w:id="80"/>
      <w:bookmarkEnd w:id="81"/>
      <w:bookmarkEnd w:id="82"/>
      <w:bookmarkEnd w:id="83"/>
    </w:p>
    <w:p w14:paraId="4319A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color w:val="auto"/>
          <w:kern w:val="1"/>
          <w:sz w:val="24"/>
          <w:szCs w:val="24"/>
          <w:highlight w:val="none"/>
          <w:lang w:val="en-US" w:eastAsia="zh-CN"/>
        </w:rPr>
        <w:t>采购代理机构参照国家计委印发《招标代理服务收费管理暂行办法》的通知（计价格</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1"/>
          <w:sz w:val="24"/>
          <w:szCs w:val="24"/>
          <w:highlight w:val="none"/>
          <w:lang w:val="en-US" w:eastAsia="zh-CN"/>
        </w:rPr>
        <w:t>2002</w:t>
      </w:r>
      <w:r>
        <w:rPr>
          <w:rFonts w:hint="eastAsia" w:ascii="宋体" w:hAnsi="宋体"/>
          <w:color w:val="auto"/>
          <w:spacing w:val="4"/>
          <w:sz w:val="24"/>
          <w:highlight w:val="none"/>
        </w:rPr>
        <w:t>〕</w:t>
      </w:r>
      <w:r>
        <w:rPr>
          <w:rFonts w:hint="eastAsia" w:ascii="宋体" w:hAnsi="宋体" w:eastAsia="宋体" w:cs="宋体"/>
          <w:color w:val="auto"/>
          <w:kern w:val="1"/>
          <w:sz w:val="24"/>
          <w:szCs w:val="24"/>
          <w:highlight w:val="none"/>
          <w:lang w:val="en-US" w:eastAsia="zh-CN"/>
        </w:rPr>
        <w:t>1980号）计取、按照</w:t>
      </w:r>
      <w:r>
        <w:rPr>
          <w:rFonts w:hint="eastAsia" w:ascii="宋体" w:hAnsi="宋体" w:eastAsia="宋体" w:cs="宋体"/>
          <w:color w:val="auto"/>
          <w:kern w:val="0"/>
          <w:sz w:val="24"/>
          <w:szCs w:val="24"/>
          <w:highlight w:val="none"/>
          <w:lang w:val="en-US" w:eastAsia="zh-CN"/>
        </w:rPr>
        <w:t>《国家发展改革委办公厅关于招标代理服务收费有关问题的通知》</w:t>
      </w:r>
      <w:r>
        <w:rPr>
          <w:rFonts w:hint="eastAsia" w:ascii="宋体" w:hAnsi="宋体" w:eastAsia="宋体" w:cs="宋体"/>
          <w:color w:val="auto"/>
          <w:kern w:val="1"/>
          <w:sz w:val="24"/>
          <w:szCs w:val="24"/>
          <w:highlight w:val="none"/>
          <w:lang w:val="en-US" w:eastAsia="zh-CN"/>
        </w:rPr>
        <w:t>（发改办价格〔2003〕857号）规定向成交供应商收取</w:t>
      </w:r>
      <w:r>
        <w:rPr>
          <w:rFonts w:hint="eastAsia" w:ascii="宋体" w:hAnsi="宋体" w:cs="宋体"/>
          <w:color w:val="auto"/>
          <w:kern w:val="1"/>
          <w:sz w:val="24"/>
          <w:szCs w:val="24"/>
          <w:highlight w:val="none"/>
          <w:lang w:val="en-US" w:eastAsia="zh-CN"/>
        </w:rPr>
        <w:t>招标</w:t>
      </w:r>
      <w:r>
        <w:rPr>
          <w:rFonts w:hint="eastAsia" w:ascii="宋体" w:hAnsi="宋体" w:eastAsia="宋体" w:cs="宋体"/>
          <w:color w:val="auto"/>
          <w:kern w:val="1"/>
          <w:sz w:val="24"/>
          <w:szCs w:val="24"/>
          <w:highlight w:val="none"/>
          <w:lang w:val="en-US" w:eastAsia="zh-CN"/>
        </w:rPr>
        <w:t>代理服务费。若本次招标失败（非代理机构原因），</w:t>
      </w:r>
      <w:r>
        <w:rPr>
          <w:rFonts w:hint="eastAsia" w:ascii="宋体" w:hAnsi="宋体" w:cs="宋体"/>
          <w:color w:val="auto"/>
          <w:kern w:val="1"/>
          <w:sz w:val="24"/>
          <w:szCs w:val="24"/>
          <w:highlight w:val="none"/>
          <w:lang w:val="en-US" w:eastAsia="zh-CN"/>
        </w:rPr>
        <w:t>招标</w:t>
      </w:r>
      <w:r>
        <w:rPr>
          <w:rFonts w:hint="eastAsia" w:ascii="宋体" w:hAnsi="宋体" w:eastAsia="宋体" w:cs="宋体"/>
          <w:color w:val="auto"/>
          <w:kern w:val="1"/>
          <w:sz w:val="24"/>
          <w:szCs w:val="24"/>
          <w:highlight w:val="none"/>
          <w:lang w:val="en-US" w:eastAsia="zh-CN"/>
        </w:rPr>
        <w:t>代理服务费由采购人支付。具体金额详见</w:t>
      </w:r>
      <w:r>
        <w:rPr>
          <w:rFonts w:hint="eastAsia" w:ascii="宋体" w:hAnsi="宋体" w:cs="宋体"/>
          <w:color w:val="auto"/>
          <w:kern w:val="1"/>
          <w:sz w:val="24"/>
          <w:szCs w:val="24"/>
          <w:highlight w:val="none"/>
          <w:lang w:val="en-US" w:eastAsia="zh-CN"/>
        </w:rPr>
        <w:t>中标（成交）结果公告</w:t>
      </w:r>
      <w:r>
        <w:rPr>
          <w:rFonts w:hint="eastAsia" w:ascii="宋体" w:hAnsi="宋体" w:eastAsia="宋体" w:cs="宋体"/>
          <w:color w:val="auto"/>
          <w:kern w:val="1"/>
          <w:sz w:val="24"/>
          <w:szCs w:val="24"/>
          <w:highlight w:val="none"/>
          <w:lang w:val="en-US" w:eastAsia="zh-CN"/>
        </w:rPr>
        <w:t>，在领取成交通知书时向采购代理机构一次付清（现金或转账）。</w:t>
      </w:r>
    </w:p>
    <w:p w14:paraId="6739A1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2、代理服务费以转账、电汇或现金等形式</w:t>
      </w:r>
      <w:r>
        <w:rPr>
          <w:rFonts w:hint="eastAsia" w:ascii="宋体" w:hAnsi="宋体" w:cs="宋体"/>
          <w:color w:val="auto"/>
          <w:sz w:val="24"/>
          <w:szCs w:val="24"/>
          <w:highlight w:val="none"/>
          <w:lang w:eastAsia="zh-CN"/>
        </w:rPr>
        <w:t>缴纳</w:t>
      </w:r>
      <w:r>
        <w:rPr>
          <w:rFonts w:hint="eastAsia" w:ascii="宋体" w:hAnsi="宋体" w:cs="宋体"/>
          <w:color w:val="auto"/>
          <w:sz w:val="24"/>
          <w:szCs w:val="24"/>
          <w:highlight w:val="none"/>
        </w:rPr>
        <w:t>。</w:t>
      </w:r>
    </w:p>
    <w:p w14:paraId="3230A860">
      <w:pPr>
        <w:widowControl/>
        <w:numPr>
          <w:ilvl w:val="0"/>
          <w:numId w:val="0"/>
        </w:numPr>
        <w:topLinePunct w:val="0"/>
        <w:bidi w:val="0"/>
        <w:spacing w:line="360" w:lineRule="auto"/>
        <w:jc w:val="center"/>
        <w:outlineLvl w:val="1"/>
        <w:rPr>
          <w:rFonts w:hint="eastAsia" w:ascii="宋体" w:hAnsi="宋体" w:cs="宋体"/>
          <w:b/>
          <w:bCs/>
          <w:color w:val="auto"/>
          <w:kern w:val="0"/>
          <w:sz w:val="32"/>
          <w:szCs w:val="28"/>
          <w:highlight w:val="none"/>
          <w:lang w:val="en-US" w:eastAsia="zh-CN"/>
        </w:rPr>
      </w:pPr>
      <w:r>
        <w:rPr>
          <w:rFonts w:hint="eastAsia" w:ascii="宋体" w:hAnsi="宋体" w:cs="宋体"/>
          <w:b/>
          <w:bCs/>
          <w:color w:val="auto"/>
          <w:kern w:val="0"/>
          <w:sz w:val="28"/>
          <w:szCs w:val="28"/>
          <w:highlight w:val="none"/>
          <w:lang w:val="en-US" w:eastAsia="zh-CN"/>
        </w:rPr>
        <w:t>（九）其他</w:t>
      </w:r>
    </w:p>
    <w:p w14:paraId="342C78A8">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bookmarkStart w:id="84" w:name="_Toc8030"/>
      <w:bookmarkStart w:id="85" w:name="_Toc19588"/>
      <w:bookmarkStart w:id="86" w:name="_Toc10430"/>
      <w:bookmarkStart w:id="87" w:name="_Toc3298"/>
      <w:r>
        <w:rPr>
          <w:rFonts w:hint="eastAsia" w:ascii="宋体" w:hAnsi="宋体"/>
          <w:color w:val="auto"/>
          <w:sz w:val="24"/>
          <w:highlight w:val="none"/>
          <w:lang w:val="en-US" w:eastAsia="zh-CN"/>
        </w:rPr>
        <w:t>1、</w:t>
      </w:r>
      <w:r>
        <w:rPr>
          <w:rFonts w:hint="eastAsia" w:ascii="宋体" w:hAnsi="宋体"/>
          <w:color w:val="auto"/>
          <w:sz w:val="24"/>
          <w:highlight w:val="none"/>
        </w:rPr>
        <w:t>磋商开始后，</w:t>
      </w:r>
      <w:r>
        <w:rPr>
          <w:rFonts w:ascii="宋体" w:hAnsi="宋体"/>
          <w:color w:val="auto"/>
          <w:sz w:val="24"/>
          <w:highlight w:val="none"/>
        </w:rPr>
        <w:t>出现下列情形之一的，采购代理机构</w:t>
      </w:r>
      <w:r>
        <w:rPr>
          <w:rFonts w:hint="eastAsia" w:ascii="宋体" w:hAnsi="宋体"/>
          <w:color w:val="auto"/>
          <w:sz w:val="24"/>
          <w:highlight w:val="none"/>
        </w:rPr>
        <w:t>将</w:t>
      </w:r>
      <w:r>
        <w:rPr>
          <w:rFonts w:ascii="宋体" w:hAnsi="宋体"/>
          <w:color w:val="auto"/>
          <w:sz w:val="24"/>
          <w:highlight w:val="none"/>
        </w:rPr>
        <w:t>终止竞争性磋商采购活动，发布项目终止公告并说明原因，重新开展采购活动：</w:t>
      </w:r>
    </w:p>
    <w:p w14:paraId="0FA2D630">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r>
        <w:rPr>
          <w:rFonts w:ascii="宋体" w:hAnsi="宋体"/>
          <w:color w:val="auto"/>
          <w:sz w:val="24"/>
          <w:highlight w:val="none"/>
        </w:rPr>
        <w:t>（一）因情况变化，不再符合规定的竞争性磋商采购方式适用情形的；</w:t>
      </w:r>
    </w:p>
    <w:p w14:paraId="61D2A04E">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（二）出现影响采购公正的违法、违规行为的；</w:t>
      </w:r>
    </w:p>
    <w:p w14:paraId="76B32C97">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）磋商</w:t>
      </w:r>
      <w:r>
        <w:rPr>
          <w:rFonts w:hint="eastAsia" w:ascii="宋体" w:hAnsi="宋体"/>
          <w:color w:val="auto"/>
          <w:sz w:val="24"/>
          <w:highlight w:val="none"/>
        </w:rPr>
        <w:t>截止时间前递交磋商响应文件的供应商不足3家的；</w:t>
      </w:r>
    </w:p>
    <w:p w14:paraId="471670CA">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）在采购过程中符合要求的供应商不足</w:t>
      </w:r>
      <w:r>
        <w:rPr>
          <w:rFonts w:hint="eastAsia" w:ascii="宋体" w:hAnsi="宋体"/>
          <w:color w:val="auto"/>
          <w:sz w:val="24"/>
          <w:highlight w:val="none"/>
          <w:lang w:val="en-US" w:eastAsia="zh-CN"/>
        </w:rPr>
        <w:t>2</w:t>
      </w:r>
      <w:r>
        <w:rPr>
          <w:rFonts w:hint="eastAsia" w:ascii="宋体" w:hAnsi="宋体"/>
          <w:color w:val="auto"/>
          <w:sz w:val="24"/>
          <w:highlight w:val="none"/>
        </w:rPr>
        <w:t>家的；</w:t>
      </w:r>
    </w:p>
    <w:p w14:paraId="7C08A75C">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color w:val="auto"/>
          <w:sz w:val="24"/>
          <w:highlight w:val="none"/>
        </w:rPr>
        <w:t>）报价未超过</w:t>
      </w:r>
      <w:r>
        <w:rPr>
          <w:rFonts w:hint="eastAsia" w:ascii="宋体" w:hAnsi="宋体"/>
          <w:color w:val="auto"/>
          <w:sz w:val="24"/>
          <w:highlight w:val="none"/>
          <w:lang w:val="en-US" w:eastAsia="zh-CN"/>
        </w:rPr>
        <w:t>最高限价</w:t>
      </w:r>
      <w:r>
        <w:rPr>
          <w:rFonts w:hint="eastAsia" w:ascii="宋体" w:hAnsi="宋体"/>
          <w:color w:val="auto"/>
          <w:sz w:val="24"/>
          <w:highlight w:val="none"/>
        </w:rPr>
        <w:t>的供应商不足</w:t>
      </w:r>
      <w:r>
        <w:rPr>
          <w:rFonts w:hint="eastAsia" w:ascii="宋体" w:hAnsi="宋体"/>
          <w:color w:val="auto"/>
          <w:sz w:val="24"/>
          <w:highlight w:val="none"/>
          <w:lang w:val="en-US" w:eastAsia="zh-CN"/>
        </w:rPr>
        <w:t>2</w:t>
      </w:r>
      <w:r>
        <w:rPr>
          <w:rFonts w:hint="eastAsia" w:ascii="宋体" w:hAnsi="宋体"/>
          <w:color w:val="auto"/>
          <w:sz w:val="24"/>
          <w:highlight w:val="none"/>
        </w:rPr>
        <w:t>家的。</w:t>
      </w:r>
    </w:p>
    <w:p w14:paraId="596E6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报价产品符合财库</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19</w:t>
      </w:r>
      <w:r>
        <w:rPr>
          <w:rFonts w:hint="eastAsia" w:ascii="宋体" w:hAnsi="宋体"/>
          <w:color w:val="auto"/>
          <w:spacing w:val="4"/>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号文件精神，进入节能产品政府采购</w:t>
      </w:r>
      <w:r>
        <w:rPr>
          <w:rFonts w:hint="eastAsia" w:ascii="宋体" w:hAnsi="宋体" w:cs="宋体"/>
          <w:color w:val="auto"/>
          <w:sz w:val="24"/>
          <w:highlight w:val="none"/>
          <w:lang w:eastAsia="zh-CN"/>
        </w:rPr>
        <w:t>品目</w:t>
      </w:r>
      <w:r>
        <w:rPr>
          <w:rFonts w:hint="eastAsia" w:ascii="宋体" w:hAnsi="宋体" w:cs="宋体"/>
          <w:color w:val="auto"/>
          <w:sz w:val="24"/>
          <w:highlight w:val="none"/>
        </w:rPr>
        <w:t>清单（有效期内）的</w:t>
      </w:r>
      <w:r>
        <w:rPr>
          <w:rFonts w:hint="eastAsia" w:ascii="宋体" w:hAnsi="宋体" w:cs="宋体"/>
          <w:color w:val="auto"/>
          <w:sz w:val="24"/>
          <w:highlight w:val="none"/>
          <w:lang w:eastAsia="zh-CN"/>
        </w:rPr>
        <w:t>，</w:t>
      </w:r>
      <w:r>
        <w:rPr>
          <w:rFonts w:hint="eastAsia" w:ascii="宋体" w:hAnsi="宋体" w:cs="宋体"/>
          <w:color w:val="auto"/>
          <w:sz w:val="24"/>
          <w:highlight w:val="none"/>
        </w:rPr>
        <w:t>符合财库</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19</w:t>
      </w:r>
      <w:r>
        <w:rPr>
          <w:rFonts w:hint="eastAsia" w:ascii="宋体" w:hAnsi="宋体"/>
          <w:color w:val="auto"/>
          <w:spacing w:val="4"/>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号文件精神，进入环境标志产品政府采购</w:t>
      </w:r>
      <w:r>
        <w:rPr>
          <w:rFonts w:hint="eastAsia" w:ascii="宋体" w:hAnsi="宋体" w:cs="宋体"/>
          <w:color w:val="auto"/>
          <w:sz w:val="24"/>
          <w:highlight w:val="none"/>
          <w:lang w:eastAsia="zh-CN"/>
        </w:rPr>
        <w:t>品目</w:t>
      </w:r>
      <w:r>
        <w:rPr>
          <w:rFonts w:hint="eastAsia" w:ascii="宋体" w:hAnsi="宋体" w:cs="宋体"/>
          <w:color w:val="auto"/>
          <w:sz w:val="24"/>
          <w:highlight w:val="none"/>
        </w:rPr>
        <w:t>清单（有效期内）的，提供证明文件，在评审中享受评标价格优惠折扣(详见评审</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)。磋商响应单位属于（财库〔20</w:t>
      </w:r>
      <w:r>
        <w:rPr>
          <w:rFonts w:hint="eastAsia" w:ascii="宋体" w:hAnsi="宋体" w:cs="宋体"/>
          <w:color w:val="auto"/>
          <w:sz w:val="24"/>
          <w:highlight w:val="none"/>
          <w:lang w:val="en-US" w:eastAsia="zh-CN"/>
        </w:rPr>
        <w:t>20</w:t>
      </w:r>
      <w:r>
        <w:rPr>
          <w:rFonts w:hint="eastAsia" w:ascii="宋体" w:hAnsi="宋体"/>
          <w:color w:val="auto"/>
          <w:spacing w:val="4"/>
          <w:sz w:val="24"/>
          <w:highlight w:val="none"/>
        </w:rPr>
        <w:t>〕</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号</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bidi="ar-SA"/>
        </w:rPr>
        <w:t>财库〔2022〕19号</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（陕财办采〔2023〕3号）</w:t>
      </w:r>
      <w:r>
        <w:rPr>
          <w:rFonts w:hint="eastAsia" w:ascii="宋体" w:hAnsi="宋体" w:cs="宋体"/>
          <w:color w:val="auto"/>
          <w:sz w:val="24"/>
          <w:highlight w:val="none"/>
        </w:rPr>
        <w:t>文件规定的小微企业的，应当出具本办法规定的《中小企业声明函》，未提供《中小企业声明函》，按无效响应处理。磋商响应单位属于（财库</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rPr>
        <w:t>2014</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rPr>
        <w:t>68号）文件规定的监狱企业的，提供由省级以上监狱管理局、戒毒管理局出具的属于监狱企业的证明文件，在评审中享受评审价格优惠折扣 (详见评审</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)。磋商响应单位属于（财库</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rPr>
        <w:t>201</w:t>
      </w:r>
      <w:r>
        <w:rPr>
          <w:rFonts w:hint="eastAsia" w:ascii="宋体" w:hAnsi="宋体" w:cs="宋体"/>
          <w:color w:val="auto"/>
          <w:sz w:val="24"/>
          <w:highlight w:val="none"/>
          <w:lang w:val="en-US" w:eastAsia="zh-CN"/>
        </w:rPr>
        <w:t>7</w:t>
      </w:r>
      <w:r>
        <w:rPr>
          <w:rFonts w:hint="eastAsia" w:ascii="宋体" w:hAnsi="宋体" w:eastAsia="宋体" w:cs="宋体"/>
          <w:color w:val="auto"/>
          <w:sz w:val="24"/>
          <w:szCs w:val="18"/>
          <w:highlight w:val="none"/>
          <w:lang w:val="en-US" w:eastAsia="zh-CN"/>
        </w:rPr>
        <w:t>〕</w:t>
      </w:r>
      <w:r>
        <w:rPr>
          <w:rFonts w:hint="eastAsia" w:ascii="宋体" w:hAnsi="宋体" w:cs="宋体"/>
          <w:color w:val="auto"/>
          <w:sz w:val="24"/>
          <w:highlight w:val="none"/>
          <w:lang w:val="en-US" w:eastAsia="zh-CN"/>
        </w:rPr>
        <w:t>141</w:t>
      </w:r>
      <w:r>
        <w:rPr>
          <w:rFonts w:hint="eastAsia" w:ascii="宋体" w:hAnsi="宋体" w:cs="宋体"/>
          <w:color w:val="auto"/>
          <w:sz w:val="24"/>
          <w:highlight w:val="none"/>
        </w:rPr>
        <w:t>号）文件规定的</w:t>
      </w:r>
      <w:r>
        <w:rPr>
          <w:rFonts w:hint="eastAsia" w:ascii="宋体" w:hAnsi="宋体" w:cs="宋体"/>
          <w:color w:val="auto"/>
          <w:sz w:val="24"/>
          <w:highlight w:val="none"/>
          <w:lang w:val="en-US" w:eastAsia="zh-CN"/>
        </w:rPr>
        <w:t>残疾人福利性单位</w:t>
      </w:r>
      <w:r>
        <w:rPr>
          <w:rFonts w:hint="eastAsia" w:ascii="宋体" w:hAnsi="宋体" w:cs="宋体"/>
          <w:color w:val="auto"/>
          <w:sz w:val="24"/>
          <w:highlight w:val="none"/>
        </w:rPr>
        <w:t>的，提供</w:t>
      </w:r>
      <w:r>
        <w:rPr>
          <w:rFonts w:hint="eastAsia" w:ascii="宋体" w:hAnsi="宋体" w:cs="宋体"/>
          <w:color w:val="auto"/>
          <w:sz w:val="24"/>
          <w:highlight w:val="none"/>
          <w:lang w:val="en-US" w:eastAsia="zh-CN"/>
        </w:rPr>
        <w:t>残疾人福利性单位声明</w:t>
      </w:r>
      <w:r>
        <w:rPr>
          <w:rFonts w:hint="eastAsia" w:ascii="宋体" w:hAnsi="宋体" w:cs="宋体"/>
          <w:color w:val="auto"/>
          <w:sz w:val="24"/>
          <w:highlight w:val="none"/>
        </w:rPr>
        <w:t>函（见</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文件</w:t>
      </w:r>
      <w:r>
        <w:rPr>
          <w:rFonts w:hint="eastAsia" w:ascii="宋体" w:hAnsi="宋体" w:cs="宋体"/>
          <w:color w:val="auto"/>
          <w:sz w:val="24"/>
          <w:highlight w:val="none"/>
        </w:rPr>
        <w:t>格式附件），视同小微企业，在评审中享受评审价格优惠折扣 (详见评审</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w:t>
      </w:r>
    </w:p>
    <w:p w14:paraId="479C4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3、政府采购信用担保及信用融资政策</w:t>
      </w:r>
    </w:p>
    <w:p w14:paraId="16771AA9">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w:t>
      </w:r>
      <w:r>
        <w:rPr>
          <w:rFonts w:hint="eastAsia" w:ascii="宋体" w:hAnsi="宋体" w:cs="宋体"/>
          <w:color w:val="auto"/>
          <w:sz w:val="24"/>
          <w:highlight w:val="none"/>
          <w:lang w:val="en-US" w:eastAsia="zh-CN"/>
        </w:rPr>
        <w:t>以及渭南市</w:t>
      </w:r>
      <w:r>
        <w:rPr>
          <w:rFonts w:hint="eastAsia" w:ascii="宋体" w:hAnsi="宋体" w:eastAsia="宋体" w:cs="宋体"/>
          <w:color w:val="auto"/>
          <w:sz w:val="24"/>
          <w:highlight w:val="none"/>
          <w:lang w:val="en-US" w:eastAsia="zh-CN"/>
        </w:rPr>
        <w:t>财政局</w:t>
      </w:r>
      <w:r>
        <w:rPr>
          <w:rFonts w:hint="eastAsia" w:ascii="宋体" w:hAnsi="宋体" w:cs="宋体"/>
          <w:color w:val="auto"/>
          <w:sz w:val="24"/>
          <w:highlight w:val="none"/>
          <w:lang w:val="en-US" w:eastAsia="zh-CN"/>
        </w:rPr>
        <w:t>关于转发</w:t>
      </w:r>
      <w:r>
        <w:rPr>
          <w:rFonts w:hint="eastAsia" w:ascii="宋体" w:hAnsi="宋体" w:eastAsia="宋体" w:cs="宋体"/>
          <w:color w:val="auto"/>
          <w:sz w:val="24"/>
          <w:highlight w:val="none"/>
          <w:lang w:val="en-US" w:eastAsia="zh-CN"/>
        </w:rPr>
        <w:t>《陕西省中小企业政府采购信用融资办法》</w:t>
      </w:r>
      <w:r>
        <w:rPr>
          <w:rFonts w:hint="eastAsia" w:ascii="宋体" w:hAnsi="宋体" w:cs="宋体"/>
          <w:color w:val="auto"/>
          <w:sz w:val="24"/>
          <w:highlight w:val="none"/>
          <w:lang w:val="en-US" w:eastAsia="zh-CN"/>
        </w:rPr>
        <w:t>的通知</w:t>
      </w:r>
      <w:r>
        <w:rPr>
          <w:rFonts w:hint="eastAsia" w:ascii="宋体" w:hAnsi="宋体" w:eastAsia="宋体" w:cs="宋体"/>
          <w:color w:val="auto"/>
          <w:sz w:val="24"/>
          <w:highlight w:val="none"/>
          <w:lang w:val="en-US" w:eastAsia="zh-CN"/>
        </w:rPr>
        <w:t>，为参与</w:t>
      </w:r>
      <w:r>
        <w:rPr>
          <w:rFonts w:hint="eastAsia" w:ascii="宋体" w:hAnsi="宋体" w:cs="宋体"/>
          <w:color w:val="auto"/>
          <w:sz w:val="24"/>
          <w:highlight w:val="none"/>
          <w:lang w:val="en-US" w:eastAsia="zh-CN"/>
        </w:rPr>
        <w:t>渭南市</w:t>
      </w:r>
      <w:r>
        <w:rPr>
          <w:rFonts w:hint="eastAsia" w:ascii="宋体" w:hAnsi="宋体" w:eastAsia="宋体" w:cs="宋体"/>
          <w:color w:val="auto"/>
          <w:sz w:val="24"/>
          <w:highlight w:val="none"/>
          <w:lang w:val="en-US" w:eastAsia="zh-CN"/>
        </w:rPr>
        <w:t>政府采购项目的供应商提供政府采购信用担保和融资服务，并按照程序确定了合作的担保机构和商业银行。</w:t>
      </w:r>
    </w:p>
    <w:p w14:paraId="5E83F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w:t>
      </w:r>
      <w:r>
        <w:rPr>
          <w:rFonts w:hint="eastAsia" w:ascii="宋体" w:hAnsi="宋体" w:cs="宋体"/>
          <w:color w:val="auto"/>
          <w:sz w:val="24"/>
          <w:highlight w:val="none"/>
          <w:lang w:val="en-US" w:eastAsia="zh-CN"/>
        </w:rPr>
        <w:t>录</w:t>
      </w:r>
      <w:r>
        <w:rPr>
          <w:rFonts w:hint="eastAsia" w:ascii="宋体" w:hAnsi="宋体" w:eastAsia="宋体" w:cs="宋体"/>
          <w:color w:val="auto"/>
          <w:sz w:val="24"/>
          <w:highlight w:val="none"/>
          <w:lang w:val="en-US" w:eastAsia="zh-CN"/>
        </w:rPr>
        <w:t>陕西省政府采购网                                                                                                                                                （www.ccgp-shaanxi.gov.cn/）重要通知专栏中查询了解。</w:t>
      </w:r>
    </w:p>
    <w:p w14:paraId="506874C8">
      <w:pPr>
        <w:pStyle w:val="12"/>
        <w:rPr>
          <w:rFonts w:hint="eastAsia"/>
          <w:color w:val="auto"/>
          <w:highlight w:val="none"/>
          <w:lang w:val="en-US" w:eastAsia="zh-CN"/>
        </w:rPr>
      </w:pPr>
    </w:p>
    <w:p w14:paraId="0BF8C3FA">
      <w:pPr>
        <w:widowControl/>
        <w:numPr>
          <w:ilvl w:val="0"/>
          <w:numId w:val="0"/>
        </w:numPr>
        <w:topLinePunct w:val="0"/>
        <w:bidi w:val="0"/>
        <w:spacing w:line="360" w:lineRule="auto"/>
        <w:jc w:val="center"/>
        <w:outlineLvl w:val="1"/>
        <w:rPr>
          <w:rFonts w:ascii="宋体" w:hAnsi="宋体" w:cs="宋体"/>
          <w:b/>
          <w:bCs/>
          <w:color w:val="auto"/>
          <w:kern w:val="0"/>
          <w:sz w:val="32"/>
          <w:szCs w:val="28"/>
          <w:highlight w:val="none"/>
        </w:rPr>
      </w:pPr>
      <w:bookmarkStart w:id="88" w:name="_Toc13048"/>
      <w:bookmarkStart w:id="89" w:name="_Toc13065127"/>
      <w:bookmarkStart w:id="90" w:name="_Toc14280"/>
      <w:bookmarkStart w:id="91" w:name="_Toc13674"/>
      <w:bookmarkStart w:id="92" w:name="_Toc11862"/>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十</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质疑和投诉</w:t>
      </w:r>
      <w:bookmarkEnd w:id="88"/>
      <w:bookmarkEnd w:id="89"/>
      <w:bookmarkEnd w:id="90"/>
      <w:bookmarkEnd w:id="91"/>
      <w:bookmarkEnd w:id="92"/>
    </w:p>
    <w:p w14:paraId="2B736E02">
      <w:pPr>
        <w:topLinePunct w:val="0"/>
        <w:bidi w:val="0"/>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质疑、投诉的接收和处理严格按照《中华人</w:t>
      </w:r>
      <w:r>
        <w:rPr>
          <w:rFonts w:hint="eastAsia" w:asciiTheme="minorEastAsia" w:hAnsiTheme="minorEastAsia" w:cstheme="minorEastAsia"/>
          <w:color w:val="auto"/>
          <w:sz w:val="24"/>
          <w:szCs w:val="24"/>
          <w:highlight w:val="none"/>
          <w:lang w:val="en-US" w:eastAsia="zh-CN"/>
        </w:rPr>
        <w:t>民</w:t>
      </w:r>
      <w:r>
        <w:rPr>
          <w:rFonts w:hint="eastAsia" w:asciiTheme="minorEastAsia" w:hAnsiTheme="minorEastAsia" w:cstheme="minorEastAsia"/>
          <w:color w:val="auto"/>
          <w:sz w:val="24"/>
          <w:szCs w:val="24"/>
          <w:highlight w:val="none"/>
        </w:rPr>
        <w:t xml:space="preserve">共和国政府采购法》《政府采购质疑和投诉办法》《财政部关于加强政府采购供应商投诉受理审查工作的通知》等的相关规定办理。 </w:t>
      </w:r>
    </w:p>
    <w:p w14:paraId="41BCD4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rPr>
        <w:t>供应商认为</w:t>
      </w:r>
      <w:r>
        <w:rPr>
          <w:rFonts w:hint="eastAsia" w:asciiTheme="minorEastAsia" w:hAnsiTheme="minorEastAsia" w:cstheme="minorEastAsia"/>
          <w:color w:val="auto"/>
          <w:sz w:val="24"/>
          <w:szCs w:val="24"/>
          <w:highlight w:val="none"/>
          <w:lang w:val="en-US" w:eastAsia="zh-CN"/>
        </w:rPr>
        <w:t>竞争性磋商文件</w:t>
      </w:r>
      <w:r>
        <w:rPr>
          <w:rFonts w:hint="eastAsia" w:asciiTheme="minorEastAsia" w:hAnsiTheme="minorEastAsia" w:cstheme="minorEastAsia"/>
          <w:color w:val="auto"/>
          <w:sz w:val="24"/>
          <w:szCs w:val="24"/>
          <w:highlight w:val="none"/>
        </w:rPr>
        <w:t>、采购过程和</w:t>
      </w:r>
      <w:r>
        <w:rPr>
          <w:rFonts w:hint="eastAsia" w:asciiTheme="minorEastAsia" w:hAnsiTheme="minorEastAsia" w:cstheme="minorEastAsia"/>
          <w:color w:val="auto"/>
          <w:sz w:val="24"/>
          <w:szCs w:val="24"/>
          <w:highlight w:val="none"/>
          <w:lang w:val="en-US" w:eastAsia="zh-CN"/>
        </w:rPr>
        <w:t>成交</w:t>
      </w:r>
      <w:r>
        <w:rPr>
          <w:rFonts w:hint="eastAsia" w:asciiTheme="minorEastAsia" w:hAnsiTheme="minorEastAsia" w:cstheme="minorEastAsia"/>
          <w:color w:val="auto"/>
          <w:sz w:val="24"/>
          <w:szCs w:val="24"/>
          <w:highlight w:val="none"/>
        </w:rPr>
        <w:t>结果使自己的权益受到损害的，可以在知道或者应知其权益受到损害之日起七个工作日内，以书面原件形式向采购人或采购代理机构提出质疑，供应商应该在法定质疑期内一次性提出针对同一采购程序环节的质疑，逾期质疑无效。</w:t>
      </w:r>
    </w:p>
    <w:p w14:paraId="4B1555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质疑文件应当包括下列主要内容：</w:t>
      </w:r>
    </w:p>
    <w:p w14:paraId="0CC468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1）供应商的</w:t>
      </w:r>
      <w:r>
        <w:rPr>
          <w:rFonts w:hint="eastAsia" w:asciiTheme="minorEastAsia" w:hAnsiTheme="minorEastAsia" w:cstheme="minorEastAsia"/>
          <w:color w:val="auto"/>
          <w:sz w:val="24"/>
          <w:szCs w:val="24"/>
          <w:highlight w:val="none"/>
          <w:lang w:val="en-US" w:eastAsia="zh-CN"/>
        </w:rPr>
        <w:t>姓名或者</w:t>
      </w:r>
      <w:r>
        <w:rPr>
          <w:rFonts w:hint="eastAsia" w:asciiTheme="minorEastAsia" w:hAnsiTheme="minorEastAsia" w:cstheme="minorEastAsia"/>
          <w:color w:val="auto"/>
          <w:sz w:val="24"/>
          <w:szCs w:val="24"/>
          <w:highlight w:val="none"/>
        </w:rPr>
        <w:t>名称、地址、</w:t>
      </w:r>
      <w:r>
        <w:rPr>
          <w:rFonts w:hint="eastAsia" w:asciiTheme="minorEastAsia" w:hAnsiTheme="minorEastAsia" w:cstheme="minorEastAsia"/>
          <w:color w:val="auto"/>
          <w:sz w:val="24"/>
          <w:szCs w:val="24"/>
          <w:highlight w:val="none"/>
          <w:lang w:val="en-US" w:eastAsia="zh-CN"/>
        </w:rPr>
        <w:t>邮编、</w:t>
      </w:r>
      <w:r>
        <w:rPr>
          <w:rFonts w:hint="eastAsia" w:asciiTheme="minorEastAsia" w:hAnsiTheme="minorEastAsia" w:cstheme="minorEastAsia"/>
          <w:color w:val="auto"/>
          <w:sz w:val="24"/>
          <w:szCs w:val="24"/>
          <w:highlight w:val="none"/>
        </w:rPr>
        <w:t>联系人及联系电话；</w:t>
      </w:r>
    </w:p>
    <w:p w14:paraId="4A6A6F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2）质疑项目</w:t>
      </w:r>
      <w:r>
        <w:rPr>
          <w:rFonts w:hint="eastAsia" w:asciiTheme="minorEastAsia" w:hAnsiTheme="minorEastAsia" w:cstheme="minorEastAsia"/>
          <w:color w:val="auto"/>
          <w:sz w:val="24"/>
          <w:szCs w:val="24"/>
          <w:highlight w:val="none"/>
          <w:lang w:val="en-US" w:eastAsia="zh-CN"/>
        </w:rPr>
        <w:t>的名称、</w:t>
      </w:r>
      <w:r>
        <w:rPr>
          <w:rFonts w:hint="eastAsia" w:asciiTheme="minorEastAsia" w:hAnsiTheme="minorEastAsia" w:cstheme="minorEastAsia"/>
          <w:color w:val="auto"/>
          <w:sz w:val="24"/>
          <w:szCs w:val="24"/>
          <w:highlight w:val="none"/>
        </w:rPr>
        <w:t>编号；</w:t>
      </w:r>
    </w:p>
    <w:p w14:paraId="4B531E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具体、明确的质疑事项和与质疑事项相关的请求</w:t>
      </w:r>
      <w:r>
        <w:rPr>
          <w:rFonts w:hint="eastAsia" w:asciiTheme="minorEastAsia" w:hAnsiTheme="minorEastAsia" w:cstheme="minorEastAsia"/>
          <w:color w:val="auto"/>
          <w:sz w:val="24"/>
          <w:szCs w:val="24"/>
          <w:highlight w:val="none"/>
        </w:rPr>
        <w:t>；</w:t>
      </w:r>
    </w:p>
    <w:p w14:paraId="684558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w:t>
      </w:r>
      <w:r>
        <w:rPr>
          <w:rFonts w:hint="eastAsia" w:asciiTheme="minorEastAsia" w:hAnsiTheme="minorEastAsia" w:cstheme="minorEastAsia"/>
          <w:color w:val="auto"/>
          <w:sz w:val="24"/>
          <w:szCs w:val="24"/>
          <w:highlight w:val="none"/>
          <w:lang w:val="en-US" w:eastAsia="zh-CN"/>
        </w:rPr>
        <w:t>事实依据；</w:t>
      </w:r>
    </w:p>
    <w:p w14:paraId="05C9F1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5）必要的法律依据；</w:t>
      </w:r>
    </w:p>
    <w:p w14:paraId="2700AF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6）提出质疑的日期</w:t>
      </w:r>
      <w:r>
        <w:rPr>
          <w:rFonts w:hint="eastAsia" w:asciiTheme="minorEastAsia" w:hAnsiTheme="minorEastAsia" w:cstheme="minorEastAsia"/>
          <w:color w:val="auto"/>
          <w:sz w:val="24"/>
          <w:szCs w:val="24"/>
          <w:highlight w:val="none"/>
        </w:rPr>
        <w:t>。</w:t>
      </w:r>
    </w:p>
    <w:p w14:paraId="03D1DE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3、</w:t>
      </w:r>
      <w:r>
        <w:rPr>
          <w:rFonts w:hint="eastAsia" w:asciiTheme="minorEastAsia" w:hAnsiTheme="minorEastAsia" w:cstheme="minorEastAsia"/>
          <w:bCs/>
          <w:color w:val="auto"/>
          <w:sz w:val="24"/>
          <w:szCs w:val="24"/>
          <w:highlight w:val="none"/>
        </w:rPr>
        <w:t>质疑函应当署名。质疑供应商为自然人的，应当由本人签字;供应商为法人或者其他组织的，应当由法定代表人、主要负责人签字或者盖章，并加盖公章。</w:t>
      </w:r>
    </w:p>
    <w:p w14:paraId="1A6CF9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bCs/>
          <w:color w:val="auto"/>
          <w:sz w:val="24"/>
          <w:szCs w:val="24"/>
          <w:highlight w:val="none"/>
          <w:lang w:val="en-US" w:eastAsia="zh-CN"/>
        </w:rPr>
        <w:t>4、</w:t>
      </w:r>
      <w:r>
        <w:rPr>
          <w:rFonts w:hint="eastAsia" w:asciiTheme="minorEastAsia" w:hAnsiTheme="minorEastAsia" w:cstheme="minorEastAsia"/>
          <w:bCs/>
          <w:color w:val="auto"/>
          <w:sz w:val="24"/>
          <w:szCs w:val="24"/>
          <w:highlight w:val="none"/>
        </w:rPr>
        <w:t>供应商质疑应当有明确的请求和必要的证明材料。</w:t>
      </w:r>
      <w:r>
        <w:rPr>
          <w:rFonts w:hint="eastAsia" w:asciiTheme="minorEastAsia" w:hAnsiTheme="minorEastAsia" w:cstheme="minorEastAsia"/>
          <w:color w:val="auto"/>
          <w:sz w:val="24"/>
          <w:szCs w:val="24"/>
          <w:highlight w:val="none"/>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749F46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cstheme="minorEastAsia"/>
          <w:color w:val="auto"/>
          <w:sz w:val="24"/>
          <w:szCs w:val="24"/>
          <w:highlight w:val="green"/>
        </w:rPr>
      </w:pPr>
      <w:r>
        <w:rPr>
          <w:rFonts w:hint="eastAsia" w:asciiTheme="minorEastAsia" w:hAnsiTheme="minorEastAsia" w:cstheme="minorEastAsia"/>
          <w:bCs/>
          <w:color w:val="auto"/>
          <w:sz w:val="24"/>
          <w:szCs w:val="24"/>
          <w:highlight w:val="none"/>
          <w:lang w:val="en-US" w:eastAsia="zh-CN"/>
        </w:rPr>
        <w:t>5、</w:t>
      </w:r>
      <w:r>
        <w:rPr>
          <w:rFonts w:hint="eastAsia" w:asciiTheme="minorEastAsia" w:hAnsiTheme="minorEastAsia" w:cstheme="minorEastAsia"/>
          <w:color w:val="auto"/>
          <w:sz w:val="24"/>
          <w:szCs w:val="24"/>
          <w:highlight w:val="none"/>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438D4A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质疑供应商对采购人、采购代理机构的质疑答复不满意，或者采购人、采购代理机构未在规定期限内作出答复的，可以在答复期满后15个工作日内向采购人的同级政府采购监督管理部门提起投诉。</w:t>
      </w:r>
    </w:p>
    <w:p w14:paraId="4A7C5B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质疑受理部门：</w:t>
      </w:r>
      <w:r>
        <w:rPr>
          <w:rFonts w:hint="eastAsia" w:ascii="宋体" w:hAnsi="宋体" w:cs="宋体"/>
          <w:color w:val="auto"/>
          <w:sz w:val="24"/>
          <w:szCs w:val="24"/>
          <w:lang w:val="en-US" w:eastAsia="zh-CN"/>
        </w:rPr>
        <w:t>采购代理机构</w:t>
      </w:r>
      <w:r>
        <w:rPr>
          <w:rFonts w:hint="eastAsia" w:ascii="宋体" w:hAnsi="宋体" w:cs="宋体"/>
          <w:color w:val="auto"/>
          <w:sz w:val="24"/>
          <w:szCs w:val="24"/>
        </w:rPr>
        <w:t>。</w:t>
      </w:r>
    </w:p>
    <w:p w14:paraId="6868EE2E">
      <w:pPr>
        <w:keepNext w:val="0"/>
        <w:keepLines w:val="0"/>
        <w:pageBreakBefore w:val="0"/>
        <w:widowControl w:val="0"/>
        <w:kinsoku/>
        <w:wordWrap/>
        <w:overflowPunct/>
        <w:topLinePunct w:val="0"/>
        <w:autoSpaceDE/>
        <w:autoSpaceDN/>
        <w:bidi w:val="0"/>
        <w:adjustRightInd/>
        <w:snapToGrid/>
        <w:spacing w:line="460" w:lineRule="exact"/>
        <w:ind w:right="-319" w:rightChars="-152"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提交质疑文件地点：</w:t>
      </w:r>
      <w:r>
        <w:rPr>
          <w:rFonts w:hint="eastAsia" w:ascii="宋体" w:hAnsi="宋体" w:cs="宋体"/>
          <w:color w:val="auto"/>
          <w:sz w:val="24"/>
          <w:szCs w:val="24"/>
          <w:highlight w:val="none"/>
          <w:lang w:val="en-US" w:eastAsia="zh-CN"/>
        </w:rPr>
        <w:t>同获取磋商文件地点</w:t>
      </w:r>
      <w:r>
        <w:rPr>
          <w:rFonts w:hint="eastAsia" w:ascii="宋体" w:hAnsi="宋体" w:cs="宋体"/>
          <w:color w:val="auto"/>
          <w:sz w:val="24"/>
          <w:szCs w:val="24"/>
          <w:highlight w:val="none"/>
        </w:rPr>
        <w:t>。</w:t>
      </w:r>
    </w:p>
    <w:p w14:paraId="48559221">
      <w:pPr>
        <w:keepNext w:val="0"/>
        <w:keepLines w:val="0"/>
        <w:pageBreakBefore w:val="0"/>
        <w:widowControl w:val="0"/>
        <w:kinsoku/>
        <w:wordWrap/>
        <w:overflowPunct/>
        <w:topLinePunct w:val="0"/>
        <w:autoSpaceDE/>
        <w:autoSpaceDN/>
        <w:bidi w:val="0"/>
        <w:adjustRightInd/>
        <w:snapToGrid/>
        <w:spacing w:line="460" w:lineRule="exact"/>
        <w:ind w:right="-319" w:rightChars="-152"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cstheme="minorEastAsia"/>
          <w:color w:val="auto"/>
          <w:sz w:val="24"/>
          <w:szCs w:val="24"/>
          <w:highlight w:val="none"/>
        </w:rPr>
        <w:t>本次采购活动中，采购代理机构对质疑回复等文件的送达方式为现场取件。</w:t>
      </w:r>
    </w:p>
    <w:p w14:paraId="44C938E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cstheme="minorEastAsia"/>
          <w:color w:val="auto"/>
          <w:sz w:val="24"/>
          <w:szCs w:val="24"/>
          <w:highlight w:val="none"/>
        </w:rPr>
        <w:t>质疑函应当使用中文。</w:t>
      </w:r>
    </w:p>
    <w:p w14:paraId="5AC81DB1">
      <w:pPr>
        <w:pStyle w:val="31"/>
        <w:rPr>
          <w:rFonts w:hint="eastAsia" w:asciiTheme="minorEastAsia" w:hAnsiTheme="minorEastAsia" w:cstheme="minorEastAsia"/>
          <w:color w:val="auto"/>
          <w:sz w:val="24"/>
          <w:szCs w:val="24"/>
          <w:highlight w:val="none"/>
        </w:rPr>
      </w:pPr>
    </w:p>
    <w:p w14:paraId="3F8E0095">
      <w:pPr>
        <w:pStyle w:val="25"/>
        <w:rPr>
          <w:rFonts w:hint="eastAsia" w:asciiTheme="minorEastAsia" w:hAnsiTheme="minorEastAsia" w:cstheme="minorEastAsia"/>
          <w:color w:val="auto"/>
          <w:sz w:val="24"/>
          <w:szCs w:val="24"/>
          <w:highlight w:val="none"/>
        </w:rPr>
      </w:pPr>
    </w:p>
    <w:p w14:paraId="7F0C887D">
      <w:pPr>
        <w:rPr>
          <w:rFonts w:hint="eastAsia" w:asciiTheme="minorEastAsia" w:hAnsiTheme="minorEastAsia" w:cstheme="minorEastAsia"/>
          <w:color w:val="auto"/>
          <w:sz w:val="24"/>
          <w:szCs w:val="24"/>
          <w:highlight w:val="none"/>
        </w:rPr>
      </w:pPr>
    </w:p>
    <w:p w14:paraId="0BAFB9B1">
      <w:pPr>
        <w:pStyle w:val="31"/>
        <w:rPr>
          <w:rFonts w:hint="eastAsia" w:asciiTheme="minorEastAsia" w:hAnsiTheme="minorEastAsia" w:cstheme="minorEastAsia"/>
          <w:color w:val="auto"/>
          <w:sz w:val="24"/>
          <w:szCs w:val="24"/>
          <w:highlight w:val="none"/>
        </w:rPr>
      </w:pPr>
    </w:p>
    <w:p w14:paraId="585060E2">
      <w:pPr>
        <w:pStyle w:val="25"/>
        <w:rPr>
          <w:rFonts w:hint="eastAsia" w:asciiTheme="minorEastAsia" w:hAnsiTheme="minorEastAsia" w:cstheme="minorEastAsia"/>
          <w:color w:val="auto"/>
          <w:sz w:val="24"/>
          <w:szCs w:val="24"/>
          <w:highlight w:val="none"/>
        </w:rPr>
      </w:pPr>
    </w:p>
    <w:p w14:paraId="593910F2">
      <w:pPr>
        <w:rPr>
          <w:rFonts w:hint="eastAsia" w:asciiTheme="minorEastAsia" w:hAnsiTheme="minorEastAsia" w:cstheme="minorEastAsia"/>
          <w:color w:val="auto"/>
          <w:sz w:val="24"/>
          <w:szCs w:val="24"/>
          <w:highlight w:val="none"/>
        </w:rPr>
      </w:pPr>
    </w:p>
    <w:p w14:paraId="0695BB8F">
      <w:pPr>
        <w:pStyle w:val="31"/>
        <w:rPr>
          <w:rFonts w:hint="eastAsia" w:asciiTheme="minorEastAsia" w:hAnsiTheme="minorEastAsia" w:cstheme="minorEastAsia"/>
          <w:color w:val="auto"/>
          <w:sz w:val="24"/>
          <w:szCs w:val="24"/>
          <w:highlight w:val="none"/>
        </w:rPr>
      </w:pPr>
    </w:p>
    <w:p w14:paraId="22C05ACE">
      <w:pPr>
        <w:pStyle w:val="25"/>
        <w:rPr>
          <w:rFonts w:hint="eastAsia" w:asciiTheme="minorEastAsia" w:hAnsiTheme="minorEastAsia" w:cstheme="minorEastAsia"/>
          <w:color w:val="auto"/>
          <w:sz w:val="24"/>
          <w:szCs w:val="24"/>
          <w:highlight w:val="none"/>
        </w:rPr>
      </w:pPr>
    </w:p>
    <w:p w14:paraId="294423E2">
      <w:pPr>
        <w:pStyle w:val="31"/>
        <w:ind w:left="0" w:leftChars="0" w:firstLine="0" w:firstLineChars="0"/>
        <w:rPr>
          <w:color w:val="auto"/>
        </w:rPr>
        <w:sectPr>
          <w:footerReference r:id="rId5" w:type="default"/>
          <w:pgSz w:w="11906" w:h="16838"/>
          <w:pgMar w:top="1440" w:right="1701" w:bottom="1440" w:left="1701" w:header="850" w:footer="992" w:gutter="0"/>
          <w:pgBorders>
            <w:top w:val="none" w:sz="0" w:space="0"/>
            <w:left w:val="none" w:sz="0" w:space="0"/>
            <w:bottom w:val="none" w:sz="0" w:space="0"/>
            <w:right w:val="none" w:sz="0" w:space="0"/>
          </w:pgBorders>
          <w:pgNumType w:fmt="decimal"/>
          <w:cols w:space="0" w:num="1"/>
          <w:rtlGutter w:val="0"/>
          <w:docGrid w:type="lines" w:linePitch="325" w:charSpace="0"/>
        </w:sectPr>
      </w:pPr>
    </w:p>
    <w:p w14:paraId="18F4E1F5">
      <w:pPr>
        <w:pStyle w:val="2"/>
        <w:numPr>
          <w:ilvl w:val="0"/>
          <w:numId w:val="1"/>
        </w:numPr>
        <w:ind w:left="0" w:leftChars="0" w:firstLine="0" w:firstLineChars="0"/>
        <w:outlineLvl w:val="0"/>
        <w:rPr>
          <w:rFonts w:hint="eastAsia"/>
          <w:color w:val="auto"/>
          <w:highlight w:val="none"/>
          <w:lang w:val="en-US" w:eastAsia="zh-CN"/>
        </w:rPr>
      </w:pPr>
      <w:bookmarkStart w:id="93" w:name="_Toc6107"/>
      <w:r>
        <w:rPr>
          <w:rFonts w:hint="eastAsia" w:ascii="宋体" w:hAnsi="宋体" w:eastAsia="宋体" w:cs="宋体"/>
          <w:color w:val="auto"/>
          <w:highlight w:val="none"/>
        </w:rPr>
        <w:t xml:space="preserve"> </w:t>
      </w:r>
      <w:bookmarkStart w:id="94" w:name="_Toc32501"/>
      <w:r>
        <w:rPr>
          <w:rFonts w:hint="eastAsia" w:ascii="宋体" w:hAnsi="宋体" w:cs="宋体"/>
          <w:color w:val="auto"/>
          <w:highlight w:val="none"/>
          <w:lang w:eastAsia="zh-CN"/>
        </w:rPr>
        <w:t>采购</w:t>
      </w:r>
      <w:r>
        <w:rPr>
          <w:rFonts w:hint="eastAsia" w:ascii="宋体" w:hAnsi="宋体" w:eastAsia="宋体" w:cs="宋体"/>
          <w:color w:val="auto"/>
          <w:highlight w:val="none"/>
        </w:rPr>
        <w:t>内容</w:t>
      </w:r>
      <w:bookmarkEnd w:id="93"/>
      <w:r>
        <w:rPr>
          <w:rFonts w:hint="eastAsia" w:ascii="宋体" w:hAnsi="宋体" w:cs="宋体"/>
          <w:color w:val="auto"/>
          <w:highlight w:val="none"/>
          <w:lang w:val="en-US" w:eastAsia="zh-CN"/>
        </w:rPr>
        <w:t>及要求</w:t>
      </w:r>
      <w:bookmarkEnd w:id="94"/>
      <w:bookmarkStart w:id="95" w:name="_Toc3981"/>
      <w:bookmarkStart w:id="96" w:name="_Toc13065129"/>
      <w:bookmarkStart w:id="97" w:name="_Toc3009"/>
    </w:p>
    <w:p w14:paraId="469E44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一、采购内容</w:t>
      </w:r>
    </w:p>
    <w:p w14:paraId="3610A9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highlight w:val="none"/>
        </w:rPr>
      </w:pPr>
      <w:r>
        <w:rPr>
          <w:rFonts w:hint="eastAsia"/>
          <w:sz w:val="24"/>
          <w:szCs w:val="24"/>
          <w:highlight w:val="none"/>
        </w:rPr>
        <w:t>根据住建部门提供的消防指导函意见制定整改清单方案，对“已交楼未进行消防验收”的中小学（幼儿园）校园建筑进行消防专项排查，并对消防安全隐患及造价估算做出指导整改施工，完成消防合格性检测，最终顺利通过验收或消防论证。</w:t>
      </w:r>
    </w:p>
    <w:p w14:paraId="0F31315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szCs w:val="24"/>
          <w:highlight w:val="none"/>
          <w:lang w:val="en-US" w:eastAsia="zh-CN"/>
        </w:rPr>
      </w:pPr>
      <w:r>
        <w:rPr>
          <w:rFonts w:hint="eastAsia"/>
          <w:sz w:val="24"/>
          <w:szCs w:val="24"/>
          <w:highlight w:val="none"/>
          <w:lang w:val="en-US" w:eastAsia="zh-CN"/>
        </w:rPr>
        <w:t>学校总计约</w:t>
      </w:r>
      <w:r>
        <w:rPr>
          <w:rFonts w:hint="eastAsia" w:ascii="宋体" w:hAnsi="宋体" w:eastAsia="宋体" w:cs="宋体"/>
          <w:sz w:val="24"/>
          <w:szCs w:val="24"/>
          <w:highlight w:val="none"/>
          <w:lang w:val="en-US" w:eastAsia="zh-CN"/>
        </w:rPr>
        <w:t>80</w:t>
      </w:r>
      <w:r>
        <w:rPr>
          <w:rFonts w:hint="eastAsia"/>
          <w:sz w:val="24"/>
          <w:szCs w:val="24"/>
          <w:highlight w:val="none"/>
          <w:lang w:val="en-US" w:eastAsia="zh-CN"/>
        </w:rPr>
        <w:t>余所，消防设施检测面积</w:t>
      </w:r>
      <w:r>
        <w:rPr>
          <w:rFonts w:hint="eastAsia" w:ascii="宋体" w:hAnsi="宋体" w:eastAsia="宋体" w:cs="宋体"/>
          <w:sz w:val="24"/>
          <w:szCs w:val="24"/>
          <w:highlight w:val="none"/>
          <w:lang w:val="en-US" w:eastAsia="zh-CN"/>
        </w:rPr>
        <w:t>约591352</w:t>
      </w:r>
      <w:r>
        <w:rPr>
          <w:rFonts w:hint="eastAsia"/>
          <w:sz w:val="24"/>
          <w:szCs w:val="24"/>
          <w:highlight w:val="none"/>
          <w:lang w:val="en-US" w:eastAsia="zh-CN"/>
        </w:rPr>
        <w:t>㎡，最终以实际检测面积为准。</w:t>
      </w:r>
    </w:p>
    <w:p w14:paraId="49D2C28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二、采购要求：</w:t>
      </w:r>
    </w:p>
    <w:p w14:paraId="2CAEDBD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cs="宋体"/>
          <w:color w:val="auto"/>
          <w:kern w:val="2"/>
          <w:sz w:val="24"/>
          <w:highlight w:val="none"/>
          <w:lang w:val="en-US" w:eastAsia="zh-CN"/>
        </w:rPr>
        <w:t>消防技术服务指导完毕出具消防检测报告且配合住建部门出具正式消防技术指导服务函文，消防整改完毕后为止。</w:t>
      </w:r>
    </w:p>
    <w:p w14:paraId="2038FBE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、商务要求</w:t>
      </w:r>
    </w:p>
    <w:p w14:paraId="29C109D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1.服务期限：</w:t>
      </w:r>
      <w:r>
        <w:rPr>
          <w:rFonts w:hint="eastAsia" w:ascii="宋体" w:hAnsi="宋体" w:cs="宋体"/>
          <w:color w:val="auto"/>
          <w:kern w:val="2"/>
          <w:sz w:val="24"/>
          <w:highlight w:val="none"/>
          <w:lang w:val="en-US" w:eastAsia="zh-CN"/>
        </w:rPr>
        <w:t>合同签订之日起150日历天内完成成果性文件。</w:t>
      </w:r>
    </w:p>
    <w:p w14:paraId="76FD578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.服务地点：采购人指定地点</w:t>
      </w:r>
      <w:r>
        <w:rPr>
          <w:rFonts w:hint="eastAsia" w:ascii="宋体" w:hAnsi="宋体" w:cs="宋体"/>
          <w:color w:val="auto"/>
          <w:sz w:val="24"/>
          <w:szCs w:val="24"/>
          <w:highlight w:val="none"/>
          <w:lang w:val="en-US" w:eastAsia="zh-CN"/>
        </w:rPr>
        <w:t>。</w:t>
      </w:r>
    </w:p>
    <w:p w14:paraId="77CB830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.付款方式：</w:t>
      </w:r>
      <w:r>
        <w:rPr>
          <w:rFonts w:hint="eastAsia" w:ascii="宋体" w:hAnsi="宋体" w:cs="宋体"/>
          <w:color w:val="auto"/>
          <w:sz w:val="24"/>
          <w:szCs w:val="24"/>
          <w:highlight w:val="none"/>
          <w:lang w:val="en-US" w:eastAsia="zh-CN"/>
        </w:rPr>
        <w:t>合同签订时以双方约定为准。</w:t>
      </w:r>
    </w:p>
    <w:p w14:paraId="085F200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.质量标准：符合国家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行业标准</w:t>
      </w:r>
      <w:r>
        <w:rPr>
          <w:rFonts w:hint="eastAsia" w:ascii="宋体" w:hAnsi="宋体" w:cs="宋体"/>
          <w:color w:val="auto"/>
          <w:sz w:val="24"/>
          <w:szCs w:val="24"/>
          <w:highlight w:val="none"/>
          <w:lang w:val="en-US" w:eastAsia="zh-CN"/>
        </w:rPr>
        <w:t>，满足采购人要求。</w:t>
      </w:r>
    </w:p>
    <w:p w14:paraId="6AEAB40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.磋商有效期：自递交磋商响应文件截止之日起不少于90日历天。</w:t>
      </w:r>
    </w:p>
    <w:p w14:paraId="0C381C37">
      <w:pPr>
        <w:pStyle w:val="20"/>
        <w:keepNext w:val="0"/>
        <w:keepLines w:val="0"/>
        <w:pageBreakBefore w:val="0"/>
        <w:widowControl w:val="0"/>
        <w:kinsoku/>
        <w:wordWrap/>
        <w:overflowPunct/>
        <w:topLinePunct w:val="0"/>
        <w:autoSpaceDE/>
        <w:autoSpaceDN/>
        <w:bidi w:val="0"/>
        <w:adjustRightInd/>
        <w:spacing w:line="480" w:lineRule="auto"/>
        <w:textAlignment w:val="auto"/>
        <w:rPr>
          <w:rFonts w:hint="eastAsia"/>
          <w:color w:val="auto"/>
          <w:highlight w:val="none"/>
          <w:lang w:val="en-US" w:eastAsia="zh-CN"/>
        </w:rPr>
        <w:sectPr>
          <w:pgSz w:w="11906" w:h="16838"/>
          <w:pgMar w:top="1440" w:right="1701" w:bottom="1440" w:left="1701" w:header="850" w:footer="992" w:gutter="0"/>
          <w:pgBorders>
            <w:top w:val="none" w:sz="0" w:space="0"/>
            <w:left w:val="none" w:sz="0" w:space="0"/>
            <w:bottom w:val="none" w:sz="0" w:space="0"/>
            <w:right w:val="none" w:sz="0" w:space="0"/>
          </w:pgBorders>
          <w:pgNumType w:fmt="decimal"/>
          <w:cols w:space="0" w:num="1"/>
          <w:rtlGutter w:val="0"/>
          <w:docGrid w:type="lines" w:linePitch="325" w:charSpace="0"/>
        </w:sectPr>
      </w:pPr>
    </w:p>
    <w:p w14:paraId="01FF6295">
      <w:pPr>
        <w:pStyle w:val="20"/>
        <w:rPr>
          <w:rFonts w:hint="eastAsia"/>
          <w:color w:val="auto"/>
          <w:lang w:val="en-US" w:eastAsia="zh-CN"/>
        </w:rPr>
      </w:pPr>
    </w:p>
    <w:p w14:paraId="06A90F6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cstheme="minorEastAsia"/>
          <w:color w:val="auto"/>
          <w:sz w:val="24"/>
          <w:szCs w:val="24"/>
          <w:highlight w:val="none"/>
        </w:rPr>
      </w:pPr>
      <w:bookmarkStart w:id="98" w:name="_Toc23902"/>
      <w:r>
        <w:rPr>
          <w:rFonts w:hint="eastAsia" w:ascii="宋体" w:hAnsi="宋体" w:eastAsia="宋体" w:cs="宋体"/>
          <w:color w:val="auto"/>
          <w:highlight w:val="none"/>
          <w:lang w:val="en-US" w:eastAsia="zh-CN"/>
        </w:rPr>
        <w:t>第四部分 评审标准</w:t>
      </w:r>
      <w:bookmarkEnd w:id="84"/>
      <w:bookmarkEnd w:id="85"/>
      <w:bookmarkEnd w:id="86"/>
      <w:bookmarkEnd w:id="95"/>
      <w:bookmarkEnd w:id="96"/>
      <w:bookmarkEnd w:id="97"/>
      <w:bookmarkEnd w:id="98"/>
    </w:p>
    <w:p w14:paraId="44FDC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本次评标采用综合评分法，每一供应商的最终得分为所有</w:t>
      </w:r>
      <w:r>
        <w:rPr>
          <w:rFonts w:hint="eastAsia" w:asciiTheme="minorEastAsia" w:hAnsiTheme="minorEastAsia" w:cstheme="minorEastAsia"/>
          <w:color w:val="auto"/>
          <w:sz w:val="24"/>
          <w:szCs w:val="24"/>
          <w:highlight w:val="none"/>
          <w:lang w:val="en-US" w:eastAsia="zh-CN"/>
        </w:rPr>
        <w:t>磋商小组</w:t>
      </w:r>
      <w:r>
        <w:rPr>
          <w:rFonts w:hint="eastAsia" w:asciiTheme="minorEastAsia" w:hAnsiTheme="minorEastAsia" w:cstheme="minorEastAsia"/>
          <w:color w:val="auto"/>
          <w:sz w:val="24"/>
          <w:szCs w:val="24"/>
          <w:highlight w:val="none"/>
        </w:rPr>
        <w:t>评分的算数平均值。</w:t>
      </w:r>
    </w:p>
    <w:tbl>
      <w:tblPr>
        <w:tblStyle w:val="3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015"/>
        <w:gridCol w:w="800"/>
        <w:gridCol w:w="4473"/>
        <w:gridCol w:w="1514"/>
      </w:tblGrid>
      <w:tr w14:paraId="501B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593" w:type="pct"/>
            <w:vAlign w:val="center"/>
          </w:tcPr>
          <w:p w14:paraId="4FE2B59B">
            <w:pPr>
              <w:pStyle w:val="17"/>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评审项及最高得分</w:t>
            </w:r>
          </w:p>
        </w:tc>
        <w:tc>
          <w:tcPr>
            <w:tcW w:w="573" w:type="pct"/>
            <w:vAlign w:val="center"/>
          </w:tcPr>
          <w:p w14:paraId="7DEF2055">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w:t>
            </w:r>
          </w:p>
          <w:p w14:paraId="3A640EC7">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w:t>
            </w:r>
          </w:p>
        </w:tc>
        <w:tc>
          <w:tcPr>
            <w:tcW w:w="451" w:type="pct"/>
            <w:vAlign w:val="center"/>
          </w:tcPr>
          <w:p w14:paraId="466D6164">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分项</w:t>
            </w:r>
          </w:p>
          <w:p w14:paraId="38183DF9">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得分</w:t>
            </w:r>
          </w:p>
        </w:tc>
        <w:tc>
          <w:tcPr>
            <w:tcW w:w="2526" w:type="pct"/>
            <w:vAlign w:val="center"/>
          </w:tcPr>
          <w:p w14:paraId="5644F8E9">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评审要素</w:t>
            </w:r>
          </w:p>
          <w:p w14:paraId="12991191">
            <w:pPr>
              <w:jc w:val="center"/>
              <w:rPr>
                <w:rFonts w:asciiTheme="minorEastAsia" w:hAnsiTheme="minorEastAsia" w:eastAsiaTheme="minorEastAsia" w:cstheme="minorEastAsia"/>
                <w:b/>
                <w:bCs/>
                <w:sz w:val="21"/>
                <w:szCs w:val="21"/>
              </w:rPr>
            </w:pPr>
          </w:p>
        </w:tc>
        <w:tc>
          <w:tcPr>
            <w:tcW w:w="855" w:type="pct"/>
            <w:vAlign w:val="center"/>
          </w:tcPr>
          <w:p w14:paraId="7F70DB7D">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14:paraId="5873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jc w:val="center"/>
        </w:trPr>
        <w:tc>
          <w:tcPr>
            <w:tcW w:w="593" w:type="pct"/>
            <w:vAlign w:val="center"/>
          </w:tcPr>
          <w:p w14:paraId="16D9F01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w:t>
            </w:r>
          </w:p>
          <w:p w14:paraId="0EE7128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14:paraId="3EDAD2D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tc>
        <w:tc>
          <w:tcPr>
            <w:tcW w:w="573" w:type="pct"/>
            <w:vAlign w:val="center"/>
          </w:tcPr>
          <w:p w14:paraId="50E98E3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p w14:paraId="093ECAD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c>
          <w:tcPr>
            <w:tcW w:w="451" w:type="pct"/>
            <w:vAlign w:val="center"/>
          </w:tcPr>
          <w:p w14:paraId="1874529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tc>
        <w:tc>
          <w:tcPr>
            <w:tcW w:w="2526" w:type="pct"/>
            <w:vAlign w:val="center"/>
          </w:tcPr>
          <w:p w14:paraId="111E68B3">
            <w:pPr>
              <w:numPr>
                <w:ilvl w:val="0"/>
                <w:numId w:val="9"/>
              </w:numPr>
              <w:spacing w:line="240" w:lineRule="atLeast"/>
              <w:rPr>
                <w:rFonts w:cs="宋体" w:asciiTheme="minorEastAsia" w:hAnsiTheme="minorEastAsia" w:eastAsiaTheme="minorEastAsia"/>
                <w:kern w:val="1"/>
                <w:sz w:val="21"/>
                <w:szCs w:val="21"/>
              </w:rPr>
            </w:pPr>
            <w:r>
              <w:rPr>
                <w:rFonts w:hint="eastAsia" w:cs="宋体" w:asciiTheme="minorEastAsia" w:hAnsiTheme="minorEastAsia" w:eastAsiaTheme="minorEastAsia"/>
                <w:kern w:val="1"/>
                <w:sz w:val="21"/>
                <w:szCs w:val="21"/>
              </w:rPr>
              <w:t>经</w:t>
            </w:r>
            <w:r>
              <w:rPr>
                <w:rFonts w:hint="eastAsia" w:cs="宋体" w:asciiTheme="minorEastAsia" w:hAnsiTheme="minorEastAsia" w:eastAsiaTheme="minorEastAsia"/>
                <w:kern w:val="1"/>
                <w:sz w:val="21"/>
                <w:szCs w:val="21"/>
                <w:lang w:val="en-US" w:eastAsia="zh-CN"/>
              </w:rPr>
              <w:t>资格审查及</w:t>
            </w:r>
            <w:r>
              <w:rPr>
                <w:rFonts w:hint="eastAsia" w:cs="宋体" w:asciiTheme="minorEastAsia" w:hAnsiTheme="minorEastAsia" w:eastAsiaTheme="minorEastAsia"/>
                <w:kern w:val="1"/>
                <w:sz w:val="21"/>
                <w:szCs w:val="21"/>
              </w:rPr>
              <w:t>符合性审查合格的磋商响应文件，其磋商报价有效；</w:t>
            </w:r>
          </w:p>
          <w:p w14:paraId="149E21E9">
            <w:pPr>
              <w:spacing w:line="240" w:lineRule="atLeast"/>
              <w:rPr>
                <w:rFonts w:cs="宋体" w:asciiTheme="minorEastAsia" w:hAnsiTheme="minorEastAsia" w:eastAsiaTheme="minorEastAsia"/>
                <w:kern w:val="1"/>
                <w:sz w:val="21"/>
                <w:szCs w:val="21"/>
              </w:rPr>
            </w:pPr>
            <w:r>
              <w:rPr>
                <w:rFonts w:hint="eastAsia" w:cs="宋体" w:asciiTheme="minorEastAsia" w:hAnsiTheme="minorEastAsia" w:eastAsiaTheme="minorEastAsia"/>
                <w:kern w:val="1"/>
                <w:sz w:val="21"/>
                <w:szCs w:val="21"/>
              </w:rPr>
              <w:t>2、满足磋商文件要求且最后提交价格最低的磋商报价为磋商基准价；</w:t>
            </w:r>
          </w:p>
          <w:p w14:paraId="346FBFE7">
            <w:pPr>
              <w:spacing w:line="240" w:lineRule="atLeast"/>
              <w:rPr>
                <w:rFonts w:cs="宋体" w:asciiTheme="minorEastAsia" w:hAnsiTheme="minorEastAsia" w:eastAsiaTheme="minorEastAsia"/>
                <w:kern w:val="1"/>
                <w:sz w:val="21"/>
                <w:szCs w:val="21"/>
              </w:rPr>
            </w:pPr>
            <w:r>
              <w:rPr>
                <w:rFonts w:hint="eastAsia" w:cs="宋体" w:asciiTheme="minorEastAsia" w:hAnsiTheme="minorEastAsia" w:eastAsiaTheme="minorEastAsia"/>
                <w:kern w:val="1"/>
                <w:sz w:val="21"/>
                <w:szCs w:val="21"/>
              </w:rPr>
              <w:t>3、磋商报价得分=(磋商基</w:t>
            </w:r>
            <w:r>
              <w:rPr>
                <w:rFonts w:hint="eastAsia" w:cs="宋体" w:asciiTheme="minorEastAsia" w:hAnsiTheme="minorEastAsia" w:eastAsiaTheme="minorEastAsia"/>
                <w:kern w:val="1"/>
                <w:sz w:val="21"/>
                <w:szCs w:val="21"/>
                <w:highlight w:val="none"/>
              </w:rPr>
              <w:t>准价</w:t>
            </w:r>
            <w:r>
              <w:rPr>
                <w:rFonts w:hint="eastAsia" w:cs="宋体" w:asciiTheme="minorEastAsia" w:hAnsiTheme="minorEastAsia" w:eastAsiaTheme="minorEastAsia"/>
                <w:kern w:val="1"/>
                <w:sz w:val="21"/>
                <w:szCs w:val="21"/>
                <w:highlight w:val="none"/>
                <w:lang w:val="en-US" w:eastAsia="zh-CN"/>
              </w:rPr>
              <w:t>/</w:t>
            </w:r>
            <w:r>
              <w:rPr>
                <w:rFonts w:hint="eastAsia" w:cs="宋体" w:asciiTheme="minorEastAsia" w:hAnsiTheme="minorEastAsia" w:eastAsiaTheme="minorEastAsia"/>
                <w:kern w:val="1"/>
                <w:sz w:val="21"/>
                <w:szCs w:val="21"/>
                <w:highlight w:val="none"/>
              </w:rPr>
              <w:t>最后磋商报</w:t>
            </w:r>
            <w:r>
              <w:rPr>
                <w:rFonts w:hint="eastAsia" w:cs="宋体" w:asciiTheme="minorEastAsia" w:hAnsiTheme="minorEastAsia" w:eastAsiaTheme="minorEastAsia"/>
                <w:kern w:val="1"/>
                <w:sz w:val="21"/>
                <w:szCs w:val="21"/>
              </w:rPr>
              <w:t>价)×1</w:t>
            </w:r>
            <w:r>
              <w:rPr>
                <w:rFonts w:hint="eastAsia" w:cs="宋体" w:asciiTheme="minorEastAsia" w:hAnsiTheme="minorEastAsia" w:eastAsiaTheme="minorEastAsia"/>
                <w:kern w:val="1"/>
                <w:sz w:val="21"/>
                <w:szCs w:val="21"/>
                <w:lang w:val="en-US" w:eastAsia="zh-CN"/>
              </w:rPr>
              <w:t>0</w:t>
            </w:r>
            <w:r>
              <w:rPr>
                <w:rFonts w:hint="eastAsia" w:cs="宋体" w:asciiTheme="minorEastAsia" w:hAnsiTheme="minorEastAsia" w:eastAsiaTheme="minorEastAsia"/>
                <w:kern w:val="1"/>
                <w:sz w:val="21"/>
                <w:szCs w:val="21"/>
              </w:rPr>
              <w:t xml:space="preserve">%×100 </w:t>
            </w:r>
          </w:p>
          <w:p w14:paraId="7205BBD8">
            <w:pPr>
              <w:spacing w:line="240" w:lineRule="atLeast"/>
              <w:rPr>
                <w:rFonts w:cs="宋体" w:asciiTheme="minorEastAsia" w:hAnsiTheme="minorEastAsia" w:eastAsiaTheme="minorEastAsia"/>
                <w:kern w:val="1"/>
                <w:sz w:val="21"/>
                <w:szCs w:val="21"/>
              </w:rPr>
            </w:pPr>
            <w:r>
              <w:rPr>
                <w:rFonts w:hint="eastAsia" w:cs="宋体" w:asciiTheme="minorEastAsia" w:hAnsiTheme="minorEastAsia" w:eastAsiaTheme="minorEastAsia"/>
                <w:kern w:val="1"/>
                <w:sz w:val="21"/>
                <w:szCs w:val="21"/>
              </w:rPr>
              <w:t>4、政策性加分执行磋商文件中的标准；</w:t>
            </w:r>
          </w:p>
          <w:p w14:paraId="7BF514D5">
            <w:pPr>
              <w:rPr>
                <w:rFonts w:asciiTheme="minorEastAsia" w:hAnsiTheme="minorEastAsia" w:eastAsiaTheme="minorEastAsia" w:cstheme="minorEastAsia"/>
                <w:sz w:val="21"/>
                <w:szCs w:val="21"/>
              </w:rPr>
            </w:pPr>
            <w:r>
              <w:rPr>
                <w:rFonts w:hint="eastAsia" w:cs="宋体" w:asciiTheme="minorEastAsia" w:hAnsiTheme="minorEastAsia" w:eastAsiaTheme="minorEastAsia"/>
                <w:kern w:val="1"/>
                <w:sz w:val="21"/>
                <w:szCs w:val="21"/>
              </w:rPr>
              <w:t>5、磋商报价不完整的，本项得0分。</w:t>
            </w:r>
          </w:p>
        </w:tc>
        <w:tc>
          <w:tcPr>
            <w:tcW w:w="855" w:type="pct"/>
            <w:vAlign w:val="center"/>
          </w:tcPr>
          <w:p w14:paraId="065606F8">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1、报价政策性优惠见</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文件要求。</w:t>
            </w:r>
          </w:p>
          <w:p w14:paraId="24DC16D7">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2、报价应是</w:t>
            </w:r>
            <w:r>
              <w:rPr>
                <w:rFonts w:hint="eastAsia" w:asciiTheme="minorEastAsia" w:hAnsiTheme="minorEastAsia" w:eastAsiaTheme="minorEastAsia" w:cstheme="minorEastAsia"/>
                <w:sz w:val="21"/>
                <w:szCs w:val="21"/>
                <w:lang w:val="en-US" w:eastAsia="zh-CN"/>
              </w:rPr>
              <w:t>完成本项目服务内容</w:t>
            </w:r>
            <w:r>
              <w:rPr>
                <w:rFonts w:hint="eastAsia" w:asciiTheme="minorEastAsia" w:hAnsiTheme="minorEastAsia" w:eastAsiaTheme="minorEastAsia" w:cstheme="minorEastAsia"/>
                <w:sz w:val="21"/>
                <w:szCs w:val="21"/>
              </w:rPr>
              <w:t>的全部费用，不做调整。</w:t>
            </w:r>
          </w:p>
        </w:tc>
      </w:tr>
      <w:tr w14:paraId="1FD3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3" w:type="pct"/>
            <w:vMerge w:val="restart"/>
            <w:vAlign w:val="center"/>
          </w:tcPr>
          <w:p w14:paraId="28F58D90">
            <w:pPr>
              <w:pStyle w:val="12"/>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技术</w:t>
            </w:r>
          </w:p>
          <w:p w14:paraId="2D9C2DFB">
            <w:pPr>
              <w:pStyle w:val="12"/>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部分</w:t>
            </w:r>
          </w:p>
          <w:p w14:paraId="2AC3C5F7">
            <w:pPr>
              <w:pStyle w:val="12"/>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(72</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5D48F715">
            <w:pPr>
              <w:pStyle w:val="12"/>
              <w:jc w:val="center"/>
              <w:rPr>
                <w:rFonts w:asciiTheme="minorEastAsia" w:hAnsiTheme="minorEastAsia" w:eastAsiaTheme="minorEastAsia"/>
                <w:sz w:val="21"/>
                <w:szCs w:val="21"/>
                <w:highlight w:val="none"/>
              </w:rPr>
            </w:pPr>
          </w:p>
        </w:tc>
        <w:tc>
          <w:tcPr>
            <w:tcW w:w="573" w:type="pct"/>
            <w:vAlign w:val="center"/>
          </w:tcPr>
          <w:p w14:paraId="40261F99">
            <w:pPr>
              <w:pStyle w:val="87"/>
              <w:spacing w:line="24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w:t>
            </w:r>
          </w:p>
          <w:p w14:paraId="493C3005">
            <w:pPr>
              <w:pStyle w:val="87"/>
              <w:spacing w:line="24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方案</w:t>
            </w:r>
          </w:p>
        </w:tc>
        <w:tc>
          <w:tcPr>
            <w:tcW w:w="451" w:type="pct"/>
            <w:vAlign w:val="center"/>
          </w:tcPr>
          <w:p w14:paraId="4AE3CE2B">
            <w:pPr>
              <w:pStyle w:val="87"/>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24</w:t>
            </w:r>
            <w:r>
              <w:rPr>
                <w:rFonts w:hint="eastAsia" w:asciiTheme="minorEastAsia" w:hAnsiTheme="minorEastAsia" w:eastAsiaTheme="minorEastAsia" w:cstheme="minorEastAsia"/>
                <w:sz w:val="21"/>
                <w:szCs w:val="21"/>
                <w:highlight w:val="none"/>
              </w:rPr>
              <w:t>分</w:t>
            </w:r>
          </w:p>
        </w:tc>
        <w:tc>
          <w:tcPr>
            <w:tcW w:w="2526" w:type="pct"/>
            <w:vAlign w:val="center"/>
          </w:tcPr>
          <w:p w14:paraId="6400B8DB">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1、评审内容</w:t>
            </w:r>
          </w:p>
          <w:p w14:paraId="17DE664B">
            <w:pPr>
              <w:pStyle w:val="87"/>
              <w:numPr>
                <w:ilvl w:val="0"/>
                <w:numId w:val="0"/>
              </w:numPr>
              <w:ind w:left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提</w:t>
            </w:r>
            <w:r>
              <w:rPr>
                <w:rFonts w:hint="eastAsia" w:ascii="宋体" w:hAnsi="宋体" w:eastAsia="宋体" w:cs="宋体"/>
                <w:color w:val="auto"/>
                <w:highlight w:val="none"/>
                <w:lang w:val="en-US" w:eastAsia="zh-CN"/>
              </w:rPr>
              <w:t>出针对于本项目的总体服务方案，方案内容包含①</w:t>
            </w:r>
            <w:r>
              <w:rPr>
                <w:rFonts w:hint="eastAsia" w:asciiTheme="minorEastAsia" w:hAnsiTheme="minorEastAsia" w:eastAsiaTheme="minorEastAsia" w:cstheme="minorEastAsia"/>
                <w:sz w:val="21"/>
                <w:szCs w:val="21"/>
                <w:highlight w:val="none"/>
                <w:lang w:val="en-US" w:eastAsia="zh-CN"/>
              </w:rPr>
              <w:t>项目背景理解及需求分析</w:t>
            </w:r>
            <w:r>
              <w:rPr>
                <w:rFonts w:hint="eastAsia" w:ascii="宋体" w:hAnsi="宋体" w:eastAsia="宋体" w:cs="宋体"/>
                <w:color w:val="auto"/>
                <w:highlight w:val="none"/>
                <w:lang w:val="en-US" w:eastAsia="zh-CN"/>
              </w:rPr>
              <w:t>②切实可行的检测服务方案③检测数据的真实性及可靠性保障措施④相关设备资料的接收及成果文件的审查移交方案。</w:t>
            </w:r>
            <w:r>
              <w:rPr>
                <w:rFonts w:hint="eastAsia" w:asciiTheme="minorEastAsia" w:hAnsiTheme="minorEastAsia" w:eastAsiaTheme="minorEastAsia" w:cstheme="minorEastAsia"/>
                <w:color w:val="auto"/>
                <w:kern w:val="2"/>
                <w:sz w:val="21"/>
                <w:szCs w:val="21"/>
                <w:highlight w:val="none"/>
                <w:lang w:val="en-US" w:eastAsia="zh-CN"/>
              </w:rPr>
              <w:t>以上内容</w:t>
            </w:r>
            <w:r>
              <w:rPr>
                <w:rFonts w:hint="eastAsia" w:ascii="宋体" w:hAnsi="宋体" w:cs="宋体"/>
                <w:color w:val="auto"/>
                <w:szCs w:val="21"/>
                <w:highlight w:val="none"/>
                <w:lang w:val="en-US" w:eastAsia="zh-CN"/>
              </w:rPr>
              <w:t>每提供一项得6分，最高得24</w:t>
            </w:r>
            <w:r>
              <w:rPr>
                <w:rFonts w:hint="eastAsia" w:ascii="宋体" w:hAnsi="宋体" w:eastAsia="宋体" w:cs="宋体"/>
                <w:color w:val="auto"/>
                <w:szCs w:val="21"/>
                <w:highlight w:val="none"/>
                <w:lang w:val="en-US" w:eastAsia="zh-CN"/>
              </w:rPr>
              <w:t>分。</w:t>
            </w:r>
          </w:p>
          <w:p w14:paraId="5FE23287">
            <w:pPr>
              <w:keepNext w:val="0"/>
              <w:keepLines w:val="0"/>
              <w:suppressLineNumbers w:val="0"/>
              <w:spacing w:before="0" w:beforeAutospacing="0" w:after="0" w:afterAutospacing="0"/>
              <w:ind w:left="0" w:leftChars="0" w:right="0" w:rightChars="0"/>
              <w:rPr>
                <w:rFonts w:hint="eastAsia"/>
                <w:color w:val="auto"/>
                <w:highlight w:val="none"/>
                <w:lang w:val="en-US" w:eastAsia="zh-CN"/>
              </w:rPr>
            </w:pPr>
            <w:r>
              <w:rPr>
                <w:rFonts w:hint="eastAsia" w:ascii="宋体" w:hAnsi="宋体" w:eastAsia="宋体" w:cs="宋体"/>
                <w:color w:val="auto"/>
                <w:kern w:val="2"/>
                <w:sz w:val="21"/>
                <w:szCs w:val="22"/>
                <w:highlight w:val="none"/>
                <w:lang w:val="en-US" w:eastAsia="zh-CN" w:bidi="ar-SA"/>
              </w:rPr>
              <w:t>2、</w:t>
            </w:r>
            <w:r>
              <w:rPr>
                <w:rFonts w:hint="eastAsia"/>
                <w:color w:val="auto"/>
                <w:highlight w:val="none"/>
                <w:lang w:val="en-US" w:eastAsia="zh-CN"/>
              </w:rPr>
              <w:t>评审标准</w:t>
            </w:r>
          </w:p>
          <w:p w14:paraId="54E5801F">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完整性</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方案须全面，对评审内容中的各项要求有详细描述及说明；</w:t>
            </w:r>
          </w:p>
          <w:p w14:paraId="7F8A72E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可实施性</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切合本项目实际情况，实施步骤清晰、合理；</w:t>
            </w:r>
          </w:p>
          <w:p w14:paraId="79682E0D">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针对性</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方案能够紧扣项目实际情况，内容科学合理。</w:t>
            </w:r>
          </w:p>
          <w:p w14:paraId="432EF886">
            <w:pPr>
              <w:keepNext w:val="0"/>
              <w:keepLines w:val="0"/>
              <w:numPr>
                <w:ilvl w:val="0"/>
                <w:numId w:val="0"/>
              </w:numPr>
              <w:suppressLineNumbers w:val="0"/>
              <w:spacing w:before="0" w:beforeAutospacing="0" w:after="0" w:afterAutospacing="0"/>
              <w:ind w:left="0" w:leftChars="0" w:right="0" w:right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rPr>
              <w:t>根据评审标准对供应商服务方案进行评审,每一条不符合本项目特点、实际需求、存在缺陷等的扣1分，扣完为止。</w:t>
            </w:r>
          </w:p>
        </w:tc>
        <w:tc>
          <w:tcPr>
            <w:tcW w:w="855" w:type="pct"/>
            <w:vAlign w:val="center"/>
          </w:tcPr>
          <w:p w14:paraId="51753EFF">
            <w:pPr>
              <w:pStyle w:val="87"/>
              <w:ind w:firstLine="0" w:firstLineChars="0"/>
              <w:rPr>
                <w:rFonts w:asciiTheme="minorEastAsia" w:hAnsiTheme="minorEastAsia" w:eastAsiaTheme="minorEastAsia" w:cstheme="minorEastAsia"/>
                <w:sz w:val="21"/>
                <w:szCs w:val="21"/>
                <w:highlight w:val="yellow"/>
              </w:rPr>
            </w:pPr>
          </w:p>
        </w:tc>
      </w:tr>
      <w:tr w14:paraId="2950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3" w:type="pct"/>
            <w:vMerge w:val="continue"/>
            <w:vAlign w:val="center"/>
          </w:tcPr>
          <w:p w14:paraId="3B8B3C09">
            <w:pPr>
              <w:jc w:val="center"/>
              <w:rPr>
                <w:rFonts w:cs="宋体" w:asciiTheme="minorEastAsia" w:hAnsiTheme="minorEastAsia" w:eastAsiaTheme="minorEastAsia"/>
                <w:sz w:val="21"/>
                <w:szCs w:val="21"/>
              </w:rPr>
            </w:pPr>
          </w:p>
        </w:tc>
        <w:tc>
          <w:tcPr>
            <w:tcW w:w="573" w:type="pct"/>
            <w:vAlign w:val="center"/>
          </w:tcPr>
          <w:p w14:paraId="03B36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质量</w:t>
            </w:r>
          </w:p>
          <w:p w14:paraId="730D9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保证</w:t>
            </w:r>
          </w:p>
        </w:tc>
        <w:tc>
          <w:tcPr>
            <w:tcW w:w="451" w:type="pct"/>
            <w:vAlign w:val="center"/>
          </w:tcPr>
          <w:p w14:paraId="397C3A9E">
            <w:pPr>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8分</w:t>
            </w:r>
          </w:p>
        </w:tc>
        <w:tc>
          <w:tcPr>
            <w:tcW w:w="2526" w:type="pct"/>
            <w:vAlign w:val="center"/>
          </w:tcPr>
          <w:p w14:paraId="3B8A02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eastAsia="zh-CN"/>
              </w:rPr>
              <w:t>评审内容</w:t>
            </w:r>
          </w:p>
          <w:p w14:paraId="23EC413A">
            <w:pPr>
              <w:pStyle w:val="87"/>
              <w:numPr>
                <w:ilvl w:val="0"/>
                <w:numId w:val="0"/>
              </w:numPr>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针对本项目提出的</w:t>
            </w:r>
            <w:r>
              <w:rPr>
                <w:rFonts w:hint="eastAsia" w:ascii="宋体" w:hAnsi="宋体" w:eastAsia="宋体" w:cs="宋体"/>
                <w:color w:val="auto"/>
                <w:szCs w:val="21"/>
                <w:highlight w:val="none"/>
                <w:lang w:val="en-US" w:eastAsia="zh-CN"/>
              </w:rPr>
              <w:t>保障措施</w:t>
            </w:r>
            <w:r>
              <w:rPr>
                <w:rFonts w:hint="eastAsia" w:ascii="宋体" w:hAnsi="宋体" w:eastAsia="宋体" w:cs="宋体"/>
                <w:color w:val="auto"/>
                <w:szCs w:val="21"/>
                <w:highlight w:val="none"/>
                <w:lang w:val="zh-CN" w:eastAsia="zh-CN"/>
              </w:rPr>
              <w:t>，内容包含</w:t>
            </w:r>
            <w:r>
              <w:rPr>
                <w:rFonts w:hint="default" w:ascii="宋体" w:hAnsi="宋体" w:eastAsia="宋体" w:cs="宋体"/>
                <w:color w:val="auto"/>
                <w:szCs w:val="21"/>
                <w:highlight w:val="none"/>
                <w:lang w:val="en-US" w:eastAsia="zh-CN"/>
              </w:rPr>
              <w:t>①人员专业性的保证措施</w:t>
            </w:r>
            <w:r>
              <w:rPr>
                <w:rFonts w:hint="eastAsia" w:ascii="宋体" w:hAnsi="宋体" w:eastAsia="宋体" w:cs="宋体"/>
                <w:color w:val="auto"/>
                <w:szCs w:val="21"/>
                <w:highlight w:val="none"/>
                <w:lang w:val="zh-CN" w:eastAsia="zh-CN"/>
              </w:rPr>
              <w:t>②</w:t>
            </w:r>
            <w:r>
              <w:rPr>
                <w:rFonts w:hint="default" w:ascii="宋体" w:hAnsi="宋体" w:eastAsia="宋体" w:cs="宋体"/>
                <w:color w:val="auto"/>
                <w:szCs w:val="21"/>
                <w:highlight w:val="none"/>
                <w:lang w:val="en-US" w:eastAsia="zh-CN"/>
              </w:rPr>
              <w:t>服务质量控制方案</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eastAsia="zh-CN"/>
              </w:rPr>
              <w:t>以上内容</w:t>
            </w:r>
            <w:r>
              <w:rPr>
                <w:rFonts w:hint="eastAsia" w:ascii="宋体" w:hAnsi="宋体" w:cs="宋体"/>
                <w:color w:val="auto"/>
                <w:szCs w:val="21"/>
                <w:highlight w:val="none"/>
                <w:lang w:val="en-US" w:eastAsia="zh-CN"/>
              </w:rPr>
              <w:t>每提供一项得4分，最高得8</w:t>
            </w:r>
            <w:r>
              <w:rPr>
                <w:rFonts w:hint="eastAsia" w:ascii="宋体" w:hAnsi="宋体" w:eastAsia="宋体" w:cs="宋体"/>
                <w:color w:val="auto"/>
                <w:szCs w:val="21"/>
                <w:highlight w:val="none"/>
                <w:lang w:val="en-US" w:eastAsia="zh-CN"/>
              </w:rPr>
              <w:t>分。</w:t>
            </w:r>
          </w:p>
          <w:p w14:paraId="4F0A03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评审标准</w:t>
            </w:r>
          </w:p>
          <w:p w14:paraId="33E7D0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完整性：方案须全面，对评审内容中的各项要求有详细描述及说明；</w:t>
            </w:r>
          </w:p>
          <w:p w14:paraId="07F48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可实施性：切合本项目实际情况，实施步骤清晰、合理；</w:t>
            </w:r>
          </w:p>
          <w:p w14:paraId="298658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针对性：方案能够紧扣项目实际情况，内容科学合理。</w:t>
            </w:r>
          </w:p>
          <w:p w14:paraId="041ACA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rPr>
              <w:t>根据评审标准对供应商</w:t>
            </w:r>
            <w:r>
              <w:rPr>
                <w:rFonts w:hint="eastAsia" w:ascii="宋体" w:hAnsi="宋体" w:cs="宋体"/>
                <w:color w:val="auto"/>
                <w:szCs w:val="21"/>
                <w:highlight w:val="none"/>
                <w:lang w:val="en-US" w:eastAsia="zh-CN"/>
              </w:rPr>
              <w:t>质量保证</w:t>
            </w:r>
            <w:r>
              <w:rPr>
                <w:rFonts w:hint="eastAsia" w:asciiTheme="minorEastAsia" w:hAnsiTheme="minorEastAsia" w:eastAsiaTheme="minorEastAsia" w:cstheme="minorEastAsia"/>
                <w:color w:val="auto"/>
                <w:kern w:val="2"/>
                <w:sz w:val="21"/>
                <w:szCs w:val="21"/>
                <w:highlight w:val="none"/>
                <w:lang w:val="en-US" w:eastAsia="zh-CN"/>
              </w:rPr>
              <w:t>进行评审,每一条不符合本项目特点、实际需求、存在缺陷等的扣1分，扣完为止。</w:t>
            </w:r>
          </w:p>
        </w:tc>
        <w:tc>
          <w:tcPr>
            <w:tcW w:w="855" w:type="pct"/>
            <w:vAlign w:val="center"/>
          </w:tcPr>
          <w:p w14:paraId="34EFE099">
            <w:pPr>
              <w:rPr>
                <w:rFonts w:asciiTheme="minorEastAsia" w:hAnsiTheme="minorEastAsia" w:eastAsiaTheme="minorEastAsia" w:cstheme="minorEastAsia"/>
                <w:sz w:val="21"/>
                <w:szCs w:val="21"/>
                <w:highlight w:val="yellow"/>
              </w:rPr>
            </w:pPr>
          </w:p>
        </w:tc>
      </w:tr>
      <w:tr w14:paraId="33C2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3" w:type="pct"/>
            <w:vMerge w:val="continue"/>
            <w:vAlign w:val="center"/>
          </w:tcPr>
          <w:p w14:paraId="3977467D">
            <w:pPr>
              <w:jc w:val="center"/>
              <w:rPr>
                <w:rFonts w:cs="宋体" w:asciiTheme="minorEastAsia" w:hAnsiTheme="minorEastAsia" w:eastAsiaTheme="minorEastAsia"/>
                <w:sz w:val="21"/>
                <w:szCs w:val="21"/>
              </w:rPr>
            </w:pPr>
          </w:p>
        </w:tc>
        <w:tc>
          <w:tcPr>
            <w:tcW w:w="573" w:type="pct"/>
            <w:vAlign w:val="center"/>
          </w:tcPr>
          <w:p w14:paraId="59DC3E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color w:val="auto"/>
                <w:szCs w:val="21"/>
                <w:highlight w:val="none"/>
                <w:lang w:val="en-US" w:eastAsia="zh-CN"/>
              </w:rPr>
              <w:t>进度</w:t>
            </w:r>
            <w:r>
              <w:rPr>
                <w:rFonts w:hint="eastAsia" w:ascii="宋体" w:hAnsi="宋体" w:cs="宋体"/>
                <w:color w:val="auto"/>
                <w:szCs w:val="21"/>
                <w:highlight w:val="none"/>
                <w:lang w:val="en-US" w:eastAsia="zh-CN"/>
              </w:rPr>
              <w:t>控制方案</w:t>
            </w:r>
          </w:p>
        </w:tc>
        <w:tc>
          <w:tcPr>
            <w:tcW w:w="451" w:type="pct"/>
            <w:vAlign w:val="center"/>
          </w:tcPr>
          <w:p w14:paraId="0D66AA57">
            <w:pPr>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9分</w:t>
            </w:r>
          </w:p>
        </w:tc>
        <w:tc>
          <w:tcPr>
            <w:tcW w:w="2526" w:type="pct"/>
            <w:vAlign w:val="center"/>
          </w:tcPr>
          <w:p w14:paraId="18BBC3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评审内容</w:t>
            </w:r>
          </w:p>
          <w:p w14:paraId="113D4C92">
            <w:pPr>
              <w:pStyle w:val="87"/>
              <w:numPr>
                <w:ilvl w:val="0"/>
                <w:numId w:val="0"/>
              </w:numPr>
              <w:ind w:lef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针对本项目提出的</w:t>
            </w:r>
            <w:r>
              <w:rPr>
                <w:rFonts w:hint="eastAsia" w:ascii="宋体" w:hAnsi="宋体" w:eastAsia="宋体" w:cs="宋体"/>
                <w:color w:val="auto"/>
                <w:szCs w:val="21"/>
                <w:highlight w:val="none"/>
                <w:lang w:val="en-US" w:eastAsia="zh-CN"/>
              </w:rPr>
              <w:t>项目进度安排</w:t>
            </w:r>
            <w:r>
              <w:rPr>
                <w:rFonts w:hint="eastAsia" w:ascii="宋体" w:hAnsi="宋体" w:eastAsia="宋体" w:cs="宋体"/>
                <w:color w:val="auto"/>
                <w:szCs w:val="21"/>
                <w:highlight w:val="none"/>
                <w:lang w:val="zh-CN" w:eastAsia="zh-CN"/>
              </w:rPr>
              <w:t>，内容包含</w:t>
            </w:r>
            <w:r>
              <w:rPr>
                <w:rFonts w:hint="eastAsia" w:ascii="宋体" w:hAnsi="宋体" w:eastAsia="宋体" w:cs="宋体"/>
                <w:color w:val="auto"/>
                <w:szCs w:val="21"/>
                <w:highlight w:val="none"/>
                <w:lang w:val="en-US" w:eastAsia="zh-CN"/>
              </w:rPr>
              <w:t>①项目工作计划</w:t>
            </w: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en-US" w:eastAsia="zh-CN"/>
              </w:rPr>
              <w:t>项目进度安排</w:t>
            </w: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t>项目进度保证措施。</w:t>
            </w:r>
            <w:r>
              <w:rPr>
                <w:rFonts w:hint="eastAsia" w:asciiTheme="minorEastAsia" w:hAnsiTheme="minorEastAsia" w:eastAsiaTheme="minorEastAsia" w:cstheme="minorEastAsia"/>
                <w:color w:val="auto"/>
                <w:kern w:val="2"/>
                <w:sz w:val="21"/>
                <w:szCs w:val="21"/>
                <w:highlight w:val="none"/>
                <w:lang w:val="en-US" w:eastAsia="zh-CN"/>
              </w:rPr>
              <w:t>以上内容</w:t>
            </w:r>
            <w:r>
              <w:rPr>
                <w:rFonts w:hint="eastAsia" w:ascii="宋体" w:hAnsi="宋体" w:cs="宋体"/>
                <w:color w:val="auto"/>
                <w:szCs w:val="21"/>
                <w:highlight w:val="none"/>
                <w:lang w:val="en-US" w:eastAsia="zh-CN"/>
              </w:rPr>
              <w:t>每提供一项得3分，最高得9</w:t>
            </w:r>
            <w:r>
              <w:rPr>
                <w:rFonts w:hint="eastAsia" w:ascii="宋体" w:hAnsi="宋体" w:eastAsia="宋体" w:cs="宋体"/>
                <w:color w:val="auto"/>
                <w:szCs w:val="21"/>
                <w:highlight w:val="none"/>
                <w:lang w:val="en-US" w:eastAsia="zh-CN"/>
              </w:rPr>
              <w:t>分。</w:t>
            </w:r>
          </w:p>
          <w:p w14:paraId="0264C7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eastAsia="zh-CN"/>
              </w:rPr>
              <w:t>评审标准</w:t>
            </w:r>
          </w:p>
          <w:p w14:paraId="6037DA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完整性：方案须全面，对评审内容中的各项要求有详细描述及说明；</w:t>
            </w:r>
          </w:p>
          <w:p w14:paraId="156D0A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可实施性：切合本项目实际情况，实施步骤清晰、合理；</w:t>
            </w:r>
          </w:p>
          <w:p w14:paraId="46E77B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针对性：方案能够紧扣项目实际情况，内容科学合理。</w:t>
            </w:r>
          </w:p>
          <w:p w14:paraId="30F76E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w:t>
            </w:r>
            <w:r>
              <w:rPr>
                <w:rFonts w:hint="eastAsia" w:asciiTheme="minorEastAsia" w:hAnsiTheme="minorEastAsia" w:eastAsiaTheme="minorEastAsia" w:cstheme="minorEastAsia"/>
                <w:color w:val="auto"/>
                <w:kern w:val="2"/>
                <w:sz w:val="21"/>
                <w:szCs w:val="21"/>
                <w:highlight w:val="none"/>
                <w:lang w:val="en-US" w:eastAsia="zh-CN"/>
              </w:rPr>
              <w:t>根据评审标准对供应商</w:t>
            </w:r>
            <w:r>
              <w:rPr>
                <w:rFonts w:hint="eastAsia" w:ascii="宋体" w:hAnsi="宋体" w:eastAsia="宋体" w:cs="宋体"/>
                <w:color w:val="auto"/>
                <w:szCs w:val="21"/>
                <w:highlight w:val="none"/>
                <w:lang w:val="en-US" w:eastAsia="zh-CN"/>
              </w:rPr>
              <w:t>进度</w:t>
            </w:r>
            <w:r>
              <w:rPr>
                <w:rFonts w:hint="eastAsia" w:ascii="宋体" w:hAnsi="宋体" w:cs="宋体"/>
                <w:color w:val="auto"/>
                <w:szCs w:val="21"/>
                <w:highlight w:val="none"/>
                <w:lang w:val="en-US" w:eastAsia="zh-CN"/>
              </w:rPr>
              <w:t>控制方案</w:t>
            </w:r>
            <w:r>
              <w:rPr>
                <w:rFonts w:hint="eastAsia" w:asciiTheme="minorEastAsia" w:hAnsiTheme="minorEastAsia" w:eastAsiaTheme="minorEastAsia" w:cstheme="minorEastAsia"/>
                <w:color w:val="auto"/>
                <w:kern w:val="2"/>
                <w:sz w:val="21"/>
                <w:szCs w:val="21"/>
                <w:highlight w:val="none"/>
                <w:lang w:val="en-US" w:eastAsia="zh-CN"/>
              </w:rPr>
              <w:t>进行评审,每一条不符合本项目特点、实际需求、存在缺陷等的扣1分，扣完为止。</w:t>
            </w:r>
          </w:p>
          <w:p w14:paraId="6C3EE9AE">
            <w:pPr>
              <w:keepNext w:val="0"/>
              <w:keepLines w:val="0"/>
              <w:numPr>
                <w:ilvl w:val="0"/>
                <w:numId w:val="0"/>
              </w:numPr>
              <w:suppressLineNumbers w:val="0"/>
              <w:spacing w:before="0" w:beforeAutospacing="0" w:after="0" w:afterAutospacing="0"/>
              <w:ind w:leftChars="0" w:right="0" w:rightChars="0"/>
              <w:rPr>
                <w:rFonts w:hint="default" w:ascii="宋体" w:hAnsi="宋体" w:cs="宋体"/>
                <w:b/>
                <w:bCs/>
                <w:sz w:val="21"/>
                <w:szCs w:val="21"/>
                <w:highlight w:val="none"/>
                <w:lang w:val="en-US" w:eastAsia="zh-CN"/>
              </w:rPr>
            </w:pPr>
          </w:p>
        </w:tc>
        <w:tc>
          <w:tcPr>
            <w:tcW w:w="855" w:type="pct"/>
            <w:vAlign w:val="center"/>
          </w:tcPr>
          <w:p w14:paraId="43BF9291">
            <w:pPr>
              <w:rPr>
                <w:rFonts w:asciiTheme="minorEastAsia" w:hAnsiTheme="minorEastAsia" w:eastAsiaTheme="minorEastAsia" w:cstheme="minorEastAsia"/>
                <w:sz w:val="21"/>
                <w:szCs w:val="21"/>
                <w:highlight w:val="yellow"/>
              </w:rPr>
            </w:pPr>
          </w:p>
        </w:tc>
      </w:tr>
      <w:tr w14:paraId="2F0B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5" w:hRule="atLeast"/>
          <w:jc w:val="center"/>
        </w:trPr>
        <w:tc>
          <w:tcPr>
            <w:tcW w:w="593" w:type="pct"/>
            <w:vMerge w:val="continue"/>
            <w:vAlign w:val="center"/>
          </w:tcPr>
          <w:p w14:paraId="434E3330">
            <w:pPr>
              <w:jc w:val="center"/>
              <w:rPr>
                <w:rFonts w:cs="宋体" w:asciiTheme="minorEastAsia" w:hAnsiTheme="minorEastAsia" w:eastAsiaTheme="minorEastAsia"/>
                <w:sz w:val="21"/>
                <w:szCs w:val="21"/>
              </w:rPr>
            </w:pPr>
          </w:p>
        </w:tc>
        <w:tc>
          <w:tcPr>
            <w:tcW w:w="573" w:type="pct"/>
            <w:vAlign w:val="center"/>
          </w:tcPr>
          <w:p w14:paraId="66E286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Times New Roman" w:asciiTheme="minorEastAsia" w:hAnsiTheme="minorEastAsia" w:eastAsiaTheme="minorEastAsia"/>
                <w:szCs w:val="21"/>
                <w:highlight w:val="none"/>
                <w:lang w:val="en-US" w:eastAsia="zh-CN"/>
              </w:rPr>
            </w:pPr>
            <w:r>
              <w:rPr>
                <w:rFonts w:hint="eastAsia" w:ascii="宋体" w:hAnsi="宋体" w:eastAsia="宋体" w:cs="宋体"/>
                <w:color w:val="auto"/>
                <w:szCs w:val="21"/>
                <w:highlight w:val="none"/>
                <w:lang w:val="en-US" w:eastAsia="zh-CN"/>
              </w:rPr>
              <w:t>拟配备检测设备</w:t>
            </w:r>
          </w:p>
        </w:tc>
        <w:tc>
          <w:tcPr>
            <w:tcW w:w="451" w:type="pct"/>
            <w:vAlign w:val="center"/>
          </w:tcPr>
          <w:p w14:paraId="66541E45">
            <w:pPr>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6分</w:t>
            </w:r>
          </w:p>
        </w:tc>
        <w:tc>
          <w:tcPr>
            <w:tcW w:w="2526" w:type="pct"/>
            <w:vAlign w:val="center"/>
          </w:tcPr>
          <w:p w14:paraId="4B0B2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设备种类齐全，数量及功能完全满足项目要求得6分；</w:t>
            </w:r>
          </w:p>
          <w:p w14:paraId="54C4D0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设备种类较齐全，数量及功能基本满足项目要求，得4分；</w:t>
            </w:r>
          </w:p>
          <w:p w14:paraId="2CF4E6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设备种类不齐全，数量及功能未满足项目要求，得2分；</w:t>
            </w:r>
          </w:p>
          <w:p w14:paraId="426AB6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highlight w:val="none"/>
              </w:rPr>
            </w:pPr>
            <w:r>
              <w:rPr>
                <w:rFonts w:hint="eastAsia" w:ascii="宋体" w:hAnsi="宋体" w:cs="宋体"/>
                <w:color w:val="auto"/>
                <w:szCs w:val="21"/>
                <w:highlight w:val="none"/>
                <w:lang w:val="en-US" w:eastAsia="zh-CN"/>
              </w:rPr>
              <w:t>未提供佐证资料不得分。</w:t>
            </w:r>
          </w:p>
        </w:tc>
        <w:tc>
          <w:tcPr>
            <w:tcW w:w="855" w:type="pct"/>
            <w:vAlign w:val="center"/>
          </w:tcPr>
          <w:p w14:paraId="64CA50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Cs w:val="21"/>
                <w:highlight w:val="none"/>
              </w:rPr>
            </w:pPr>
            <w:r>
              <w:rPr>
                <w:rFonts w:hint="eastAsia" w:ascii="宋体" w:hAnsi="宋体" w:cs="宋体"/>
                <w:color w:val="auto"/>
                <w:szCs w:val="21"/>
                <w:highlight w:val="none"/>
                <w:lang w:val="en-US" w:eastAsia="zh-CN"/>
              </w:rPr>
              <w:t>（佐证材料：提供所配备的设备设施照片及设备购买发票或租赁合同的复印件加盖供应商公章）</w:t>
            </w:r>
          </w:p>
        </w:tc>
      </w:tr>
      <w:tr w14:paraId="3041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3" w:type="pct"/>
            <w:vMerge w:val="continue"/>
            <w:vAlign w:val="center"/>
          </w:tcPr>
          <w:p w14:paraId="17F352BB">
            <w:pPr>
              <w:jc w:val="center"/>
              <w:rPr>
                <w:rFonts w:cs="宋体" w:asciiTheme="minorEastAsia" w:hAnsiTheme="minorEastAsia" w:eastAsiaTheme="minorEastAsia"/>
                <w:sz w:val="21"/>
                <w:szCs w:val="21"/>
              </w:rPr>
            </w:pPr>
          </w:p>
        </w:tc>
        <w:tc>
          <w:tcPr>
            <w:tcW w:w="573" w:type="pct"/>
            <w:vMerge w:val="restart"/>
            <w:vAlign w:val="center"/>
          </w:tcPr>
          <w:p w14:paraId="5F7B800C">
            <w:pPr>
              <w:numPr>
                <w:ilvl w:val="0"/>
                <w:numId w:val="0"/>
              </w:numPr>
              <w:ind w:leftChars="0"/>
              <w:jc w:val="cente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人员</w:t>
            </w:r>
          </w:p>
          <w:p w14:paraId="34846886">
            <w:pPr>
              <w:numPr>
                <w:ilvl w:val="0"/>
                <w:numId w:val="0"/>
              </w:numPr>
              <w:ind w:leftChars="0"/>
              <w:jc w:val="cente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配备</w:t>
            </w:r>
          </w:p>
          <w:p w14:paraId="51570354">
            <w:pPr>
              <w:numPr>
                <w:ilvl w:val="0"/>
                <w:numId w:val="0"/>
              </w:numPr>
              <w:ind w:leftChars="0"/>
              <w:jc w:val="center"/>
              <w:rPr>
                <w:rFonts w:hint="default" w:asciiTheme="minorEastAsia" w:hAnsiTheme="minorEastAsia" w:eastAsiaTheme="minorEastAsia" w:cstheme="minorEastAsia"/>
                <w:sz w:val="21"/>
                <w:szCs w:val="21"/>
                <w:highlight w:val="none"/>
                <w:lang w:val="en-US"/>
              </w:rPr>
            </w:pPr>
            <w:r>
              <w:rPr>
                <w:rFonts w:hint="eastAsia" w:cs="Times New Roman" w:asciiTheme="minorEastAsia" w:hAnsiTheme="minorEastAsia" w:eastAsiaTheme="minorEastAsia"/>
                <w:szCs w:val="21"/>
                <w:highlight w:val="none"/>
                <w:lang w:val="en-US" w:eastAsia="zh-CN"/>
              </w:rPr>
              <w:t>管理</w:t>
            </w:r>
          </w:p>
        </w:tc>
        <w:tc>
          <w:tcPr>
            <w:tcW w:w="451" w:type="pct"/>
            <w:vAlign w:val="center"/>
          </w:tcPr>
          <w:p w14:paraId="492A4DBB">
            <w:pPr>
              <w:jc w:val="center"/>
              <w:rPr>
                <w:rFonts w:cs="宋体" w:asciiTheme="minorEastAsia" w:hAnsiTheme="minorEastAsia" w:eastAsiaTheme="minorEastAsia"/>
                <w:sz w:val="21"/>
                <w:szCs w:val="21"/>
                <w:highlight w:val="none"/>
              </w:rPr>
            </w:pPr>
            <w:r>
              <w:rPr>
                <w:rFonts w:hint="eastAsia" w:asciiTheme="minorEastAsia" w:hAnsiTheme="minorEastAsia" w:eastAsiaTheme="minorEastAsia" w:cstheme="minorEastAsia"/>
                <w:bCs/>
                <w:sz w:val="21"/>
                <w:szCs w:val="21"/>
                <w:highlight w:val="none"/>
                <w:lang w:val="en-US" w:eastAsia="zh-CN"/>
              </w:rPr>
              <w:t>6</w:t>
            </w:r>
            <w:r>
              <w:rPr>
                <w:rFonts w:hint="eastAsia" w:asciiTheme="minorEastAsia" w:hAnsiTheme="minorEastAsia" w:eastAsiaTheme="minorEastAsia" w:cstheme="minorEastAsia"/>
                <w:bCs/>
                <w:sz w:val="21"/>
                <w:szCs w:val="21"/>
                <w:highlight w:val="none"/>
              </w:rPr>
              <w:t>分</w:t>
            </w:r>
          </w:p>
        </w:tc>
        <w:tc>
          <w:tcPr>
            <w:tcW w:w="2526" w:type="pct"/>
            <w:vAlign w:val="center"/>
          </w:tcPr>
          <w:p w14:paraId="1C479B2C">
            <w:pPr>
              <w:rPr>
                <w:rFonts w:hint="eastAsia" w:ascii="宋体" w:hAnsi="宋体" w:eastAsia="宋体" w:cs="宋体"/>
                <w:highlight w:val="none"/>
                <w:lang w:eastAsia="zh-CN"/>
              </w:rPr>
            </w:pPr>
            <w:r>
              <w:rPr>
                <w:rFonts w:hint="eastAsia" w:ascii="宋体" w:hAnsi="宋体" w:cs="宋体"/>
                <w:highlight w:val="none"/>
                <w:lang w:val="en-US" w:eastAsia="zh-CN"/>
              </w:rPr>
              <w:t>岗位制度健全</w:t>
            </w:r>
            <w:r>
              <w:rPr>
                <w:rFonts w:hint="eastAsia" w:ascii="宋体" w:hAnsi="宋体" w:eastAsia="宋体" w:cs="宋体"/>
                <w:highlight w:val="none"/>
              </w:rPr>
              <w:t>，责任清晰，经验丰富</w:t>
            </w:r>
            <w:r>
              <w:rPr>
                <w:rFonts w:hint="eastAsia" w:ascii="宋体" w:hAnsi="宋体" w:cs="宋体"/>
                <w:highlight w:val="none"/>
                <w:lang w:val="en-US" w:eastAsia="zh-CN"/>
              </w:rPr>
              <w:t>,</w:t>
            </w:r>
            <w:r>
              <w:rPr>
                <w:rFonts w:hint="eastAsia" w:ascii="宋体" w:hAnsi="宋体" w:eastAsia="宋体" w:cs="宋体"/>
                <w:highlight w:val="none"/>
              </w:rPr>
              <w:t>满足项目要求</w:t>
            </w:r>
            <w:r>
              <w:rPr>
                <w:rFonts w:hint="eastAsia" w:ascii="宋体" w:hAnsi="宋体" w:cs="宋体"/>
                <w:highlight w:val="none"/>
                <w:lang w:val="en-US" w:eastAsia="zh-CN"/>
              </w:rPr>
              <w:t>,</w:t>
            </w:r>
            <w:r>
              <w:rPr>
                <w:rFonts w:hint="eastAsia" w:ascii="宋体" w:hAnsi="宋体" w:eastAsia="宋体" w:cs="宋体"/>
                <w:highlight w:val="none"/>
              </w:rPr>
              <w:t>得</w:t>
            </w:r>
            <w:r>
              <w:rPr>
                <w:rFonts w:hint="eastAsia" w:ascii="宋体" w:hAnsi="宋体" w:cs="宋体"/>
                <w:highlight w:val="none"/>
                <w:lang w:val="en-US" w:eastAsia="zh-CN"/>
              </w:rPr>
              <w:t>6</w:t>
            </w:r>
            <w:r>
              <w:rPr>
                <w:rFonts w:hint="eastAsia" w:ascii="宋体" w:hAnsi="宋体" w:eastAsia="宋体" w:cs="宋体"/>
                <w:highlight w:val="none"/>
              </w:rPr>
              <w:t>分</w:t>
            </w:r>
            <w:r>
              <w:rPr>
                <w:rFonts w:hint="eastAsia" w:ascii="宋体" w:hAnsi="宋体" w:cs="宋体"/>
                <w:highlight w:val="none"/>
                <w:lang w:eastAsia="zh-CN"/>
              </w:rPr>
              <w:t>；</w:t>
            </w:r>
          </w:p>
          <w:p w14:paraId="5BA6491A">
            <w:pPr>
              <w:rPr>
                <w:rFonts w:hint="eastAsia" w:ascii="宋体" w:hAnsi="宋体" w:eastAsia="宋体" w:cs="宋体"/>
                <w:highlight w:val="none"/>
                <w:lang w:eastAsia="zh-CN"/>
              </w:rPr>
            </w:pPr>
            <w:r>
              <w:rPr>
                <w:rFonts w:hint="eastAsia" w:ascii="宋体" w:hAnsi="宋体" w:cs="宋体"/>
                <w:highlight w:val="none"/>
                <w:lang w:val="en-US" w:eastAsia="zh-CN"/>
              </w:rPr>
              <w:t>岗位制度</w:t>
            </w:r>
            <w:r>
              <w:rPr>
                <w:rFonts w:hint="eastAsia" w:ascii="宋体" w:hAnsi="宋体" w:eastAsia="宋体" w:cs="宋体"/>
                <w:highlight w:val="none"/>
              </w:rPr>
              <w:t>较</w:t>
            </w:r>
            <w:r>
              <w:rPr>
                <w:rFonts w:hint="eastAsia" w:ascii="宋体" w:hAnsi="宋体" w:cs="宋体"/>
                <w:highlight w:val="none"/>
                <w:lang w:val="en-US" w:eastAsia="zh-CN"/>
              </w:rPr>
              <w:t>健全</w:t>
            </w:r>
            <w:r>
              <w:rPr>
                <w:rFonts w:hint="eastAsia" w:ascii="宋体" w:hAnsi="宋体" w:eastAsia="宋体" w:cs="宋体"/>
                <w:highlight w:val="none"/>
              </w:rPr>
              <w:t>，责任较清晰</w:t>
            </w:r>
            <w:r>
              <w:rPr>
                <w:rFonts w:hint="eastAsia" w:ascii="宋体" w:hAnsi="宋体" w:cs="宋体"/>
                <w:highlight w:val="none"/>
                <w:lang w:val="en-US" w:eastAsia="zh-CN"/>
              </w:rPr>
              <w:t>,有一定的工作经验</w:t>
            </w:r>
            <w:r>
              <w:rPr>
                <w:rFonts w:hint="eastAsia" w:ascii="宋体" w:hAnsi="宋体" w:eastAsia="宋体" w:cs="宋体"/>
                <w:highlight w:val="none"/>
              </w:rPr>
              <w:t>，基本满足项目要求，得</w:t>
            </w:r>
            <w:r>
              <w:rPr>
                <w:rFonts w:hint="eastAsia" w:ascii="宋体" w:hAnsi="宋体" w:cs="宋体"/>
                <w:highlight w:val="none"/>
                <w:lang w:val="en-US" w:eastAsia="zh-CN"/>
              </w:rPr>
              <w:t>4</w:t>
            </w:r>
            <w:r>
              <w:rPr>
                <w:rFonts w:hint="eastAsia" w:ascii="宋体" w:hAnsi="宋体" w:eastAsia="宋体" w:cs="宋体"/>
                <w:highlight w:val="none"/>
              </w:rPr>
              <w:t>分</w:t>
            </w:r>
            <w:r>
              <w:rPr>
                <w:rFonts w:hint="eastAsia" w:ascii="宋体" w:hAnsi="宋体" w:cs="宋体"/>
                <w:highlight w:val="none"/>
                <w:lang w:eastAsia="zh-CN"/>
              </w:rPr>
              <w:t>；</w:t>
            </w:r>
          </w:p>
          <w:p w14:paraId="26DE70E3">
            <w:pPr>
              <w:rPr>
                <w:rFonts w:hint="eastAsia" w:ascii="宋体" w:hAnsi="宋体" w:eastAsia="宋体" w:cs="宋体"/>
                <w:highlight w:val="none"/>
              </w:rPr>
            </w:pPr>
            <w:r>
              <w:rPr>
                <w:rFonts w:hint="eastAsia" w:ascii="宋体" w:hAnsi="宋体" w:cs="宋体"/>
                <w:highlight w:val="none"/>
                <w:lang w:val="en-US" w:eastAsia="zh-CN"/>
              </w:rPr>
              <w:t>岗位制度不健全</w:t>
            </w:r>
            <w:r>
              <w:rPr>
                <w:rFonts w:hint="eastAsia" w:ascii="宋体" w:hAnsi="宋体" w:cs="宋体"/>
                <w:highlight w:val="none"/>
                <w:lang w:eastAsia="zh-CN"/>
              </w:rPr>
              <w:t>，</w:t>
            </w:r>
            <w:r>
              <w:rPr>
                <w:rFonts w:hint="eastAsia" w:ascii="宋体" w:hAnsi="宋体" w:eastAsia="宋体" w:cs="宋体"/>
                <w:highlight w:val="none"/>
              </w:rPr>
              <w:t>责任分配不清晰</w:t>
            </w:r>
            <w:r>
              <w:rPr>
                <w:rFonts w:hint="eastAsia" w:ascii="宋体" w:hAnsi="宋体" w:cs="宋体"/>
                <w:highlight w:val="none"/>
                <w:lang w:val="en-US" w:eastAsia="zh-CN"/>
              </w:rPr>
              <w:t>,经验不足，</w:t>
            </w:r>
            <w:r>
              <w:rPr>
                <w:rFonts w:hint="eastAsia" w:ascii="宋体" w:hAnsi="宋体" w:eastAsia="宋体" w:cs="宋体"/>
                <w:highlight w:val="none"/>
              </w:rPr>
              <w:t>得</w:t>
            </w:r>
            <w:r>
              <w:rPr>
                <w:rFonts w:hint="eastAsia" w:ascii="宋体" w:hAnsi="宋体" w:cs="宋体"/>
                <w:highlight w:val="none"/>
                <w:lang w:val="en-US" w:eastAsia="zh-CN"/>
              </w:rPr>
              <w:t>2</w:t>
            </w:r>
            <w:r>
              <w:rPr>
                <w:rFonts w:hint="eastAsia" w:ascii="宋体" w:hAnsi="宋体" w:eastAsia="宋体" w:cs="宋体"/>
                <w:highlight w:val="none"/>
              </w:rPr>
              <w:t>分。</w:t>
            </w:r>
          </w:p>
          <w:p w14:paraId="6DB7C3AF">
            <w:pPr>
              <w:rPr>
                <w:rFonts w:hint="default" w:ascii="宋体" w:hAnsi="宋体" w:eastAsia="宋体" w:cs="宋体"/>
                <w:highlight w:val="none"/>
                <w:lang w:val="en-US" w:eastAsia="zh-CN"/>
              </w:rPr>
            </w:pPr>
            <w:r>
              <w:rPr>
                <w:rFonts w:hint="eastAsia" w:ascii="宋体" w:hAnsi="宋体" w:cs="宋体"/>
                <w:highlight w:val="none"/>
                <w:lang w:val="en-US" w:eastAsia="zh-CN"/>
              </w:rPr>
              <w:t>未提供不得分。</w:t>
            </w:r>
          </w:p>
        </w:tc>
        <w:tc>
          <w:tcPr>
            <w:tcW w:w="855" w:type="pct"/>
            <w:vMerge w:val="restart"/>
            <w:vAlign w:val="center"/>
          </w:tcPr>
          <w:p w14:paraId="366ADA7E">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szCs w:val="21"/>
                <w:highlight w:val="none"/>
              </w:rPr>
              <w:t>注：</w:t>
            </w:r>
            <w:r>
              <w:rPr>
                <w:rFonts w:hint="eastAsia" w:asciiTheme="minorEastAsia" w:hAnsiTheme="minorEastAsia" w:eastAsiaTheme="minorEastAsia"/>
                <w:szCs w:val="21"/>
                <w:highlight w:val="none"/>
                <w:lang w:val="en-US" w:eastAsia="zh-CN"/>
              </w:rPr>
              <w:t>所有人员须同时</w:t>
            </w:r>
            <w:r>
              <w:rPr>
                <w:rFonts w:hint="eastAsia" w:asciiTheme="minorEastAsia" w:hAnsiTheme="minorEastAsia" w:eastAsiaTheme="minorEastAsia"/>
                <w:szCs w:val="21"/>
                <w:highlight w:val="none"/>
              </w:rPr>
              <w:t>提供相关</w:t>
            </w:r>
            <w:r>
              <w:rPr>
                <w:rFonts w:hint="eastAsia" w:asciiTheme="minorEastAsia" w:hAnsiTheme="minorEastAsia" w:eastAsiaTheme="minorEastAsia"/>
                <w:szCs w:val="21"/>
                <w:highlight w:val="none"/>
                <w:lang w:val="en-US" w:eastAsia="zh-CN"/>
              </w:rPr>
              <w:t>证书及</w:t>
            </w:r>
            <w:r>
              <w:rPr>
                <w:rFonts w:hint="eastAsia"/>
                <w:highlight w:val="none"/>
                <w:lang w:val="en-US" w:eastAsia="zh-CN"/>
              </w:rPr>
              <w:t>在本单位近</w:t>
            </w:r>
            <w:r>
              <w:rPr>
                <w:rFonts w:hint="eastAsia"/>
                <w:highlight w:val="none"/>
              </w:rPr>
              <w:t>六个月内任意一个月</w:t>
            </w:r>
            <w:r>
              <w:rPr>
                <w:rFonts w:hint="eastAsia"/>
                <w:highlight w:val="none"/>
                <w:lang w:val="en-US" w:eastAsia="zh-CN"/>
              </w:rPr>
              <w:t>的社保</w:t>
            </w:r>
            <w:r>
              <w:rPr>
                <w:rFonts w:hint="eastAsia"/>
                <w:highlight w:val="none"/>
              </w:rPr>
              <w:t>缴纳</w:t>
            </w:r>
            <w:r>
              <w:rPr>
                <w:rFonts w:hint="eastAsia"/>
                <w:highlight w:val="none"/>
                <w:lang w:val="en-US" w:eastAsia="zh-CN"/>
              </w:rPr>
              <w:t>证明，缺一项不得分。</w:t>
            </w:r>
          </w:p>
        </w:tc>
      </w:tr>
      <w:tr w14:paraId="63F4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93" w:type="pct"/>
            <w:vMerge w:val="continue"/>
            <w:vAlign w:val="center"/>
          </w:tcPr>
          <w:p w14:paraId="02D43466">
            <w:pPr>
              <w:jc w:val="center"/>
              <w:rPr>
                <w:rFonts w:cs="宋体" w:asciiTheme="minorEastAsia" w:hAnsiTheme="minorEastAsia" w:eastAsiaTheme="minorEastAsia"/>
                <w:sz w:val="21"/>
                <w:szCs w:val="21"/>
              </w:rPr>
            </w:pPr>
          </w:p>
        </w:tc>
        <w:tc>
          <w:tcPr>
            <w:tcW w:w="573" w:type="pct"/>
            <w:vMerge w:val="continue"/>
            <w:vAlign w:val="center"/>
          </w:tcPr>
          <w:p w14:paraId="4F0944A2">
            <w:pPr>
              <w:numPr>
                <w:ilvl w:val="0"/>
                <w:numId w:val="0"/>
              </w:numPr>
              <w:ind w:leftChars="0"/>
              <w:rPr>
                <w:rFonts w:hint="eastAsia" w:cs="Times New Roman" w:asciiTheme="minorEastAsia" w:hAnsiTheme="minorEastAsia" w:eastAsiaTheme="minorEastAsia"/>
                <w:szCs w:val="21"/>
                <w:highlight w:val="yellow"/>
                <w:lang w:val="en-US" w:eastAsia="zh-CN"/>
              </w:rPr>
            </w:pPr>
          </w:p>
        </w:tc>
        <w:tc>
          <w:tcPr>
            <w:tcW w:w="451" w:type="pct"/>
            <w:vAlign w:val="center"/>
          </w:tcPr>
          <w:p w14:paraId="710EC6D0">
            <w:pPr>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7分</w:t>
            </w:r>
          </w:p>
        </w:tc>
        <w:tc>
          <w:tcPr>
            <w:tcW w:w="2526" w:type="pct"/>
            <w:vAlign w:val="center"/>
          </w:tcPr>
          <w:p w14:paraId="6F8673C5">
            <w:pPr>
              <w:pStyle w:val="12"/>
              <w:numPr>
                <w:ilvl w:val="0"/>
                <w:numId w:val="0"/>
              </w:numPr>
              <w:rPr>
                <w:highlight w:val="none"/>
              </w:rPr>
            </w:pPr>
            <w:r>
              <w:rPr>
                <w:rFonts w:hint="eastAsia" w:ascii="宋体" w:hAnsi="宋体" w:eastAsia="宋体" w:cs="宋体"/>
                <w:highlight w:val="none"/>
              </w:rPr>
              <w:t>每</w:t>
            </w:r>
            <w:r>
              <w:rPr>
                <w:rFonts w:hint="eastAsia" w:ascii="宋体" w:hAnsi="宋体" w:cs="宋体"/>
                <w:highlight w:val="none"/>
                <w:lang w:val="en-US" w:eastAsia="zh-CN"/>
              </w:rPr>
              <w:t>提供1</w:t>
            </w:r>
            <w:r>
              <w:rPr>
                <w:rFonts w:hint="eastAsia" w:ascii="宋体" w:hAnsi="宋体" w:eastAsia="宋体" w:cs="宋体"/>
                <w:highlight w:val="none"/>
              </w:rPr>
              <w:t>名</w:t>
            </w:r>
            <w:r>
              <w:rPr>
                <w:rFonts w:hint="eastAsia" w:ascii="宋体" w:hAnsi="宋体" w:cs="宋体"/>
                <w:highlight w:val="none"/>
                <w:lang w:val="en-US" w:eastAsia="zh-CN"/>
              </w:rPr>
              <w:t>一级</w:t>
            </w:r>
            <w:r>
              <w:rPr>
                <w:rFonts w:hint="eastAsia" w:ascii="宋体" w:hAnsi="宋体" w:eastAsia="宋体" w:cs="宋体"/>
                <w:highlight w:val="none"/>
              </w:rPr>
              <w:t>注册消防工程师，</w:t>
            </w:r>
            <w:r>
              <w:rPr>
                <w:rFonts w:hint="eastAsia" w:ascii="宋体" w:hAnsi="宋体" w:cs="宋体"/>
                <w:highlight w:val="none"/>
                <w:lang w:val="en-US" w:eastAsia="zh-CN"/>
              </w:rPr>
              <w:t>得1</w:t>
            </w:r>
            <w:r>
              <w:rPr>
                <w:rFonts w:hint="eastAsia" w:ascii="宋体" w:hAnsi="宋体" w:eastAsia="宋体" w:cs="宋体"/>
                <w:highlight w:val="none"/>
              </w:rPr>
              <w:t>分，</w:t>
            </w:r>
            <w:r>
              <w:rPr>
                <w:rFonts w:hint="eastAsia" w:ascii="宋体" w:hAnsi="宋体" w:cs="宋体"/>
                <w:highlight w:val="none"/>
                <w:lang w:val="en-US" w:eastAsia="zh-CN"/>
              </w:rPr>
              <w:t>最高得3</w:t>
            </w:r>
            <w:r>
              <w:rPr>
                <w:rFonts w:hint="eastAsia" w:ascii="宋体" w:hAnsi="宋体" w:eastAsia="宋体" w:cs="宋体"/>
                <w:highlight w:val="none"/>
              </w:rPr>
              <w:t>分，每</w:t>
            </w:r>
            <w:r>
              <w:rPr>
                <w:rFonts w:hint="eastAsia" w:ascii="宋体" w:hAnsi="宋体" w:cs="宋体"/>
                <w:highlight w:val="none"/>
                <w:lang w:val="en-US" w:eastAsia="zh-CN"/>
              </w:rPr>
              <w:t>提供1</w:t>
            </w:r>
            <w:r>
              <w:rPr>
                <w:rFonts w:hint="eastAsia" w:ascii="宋体" w:hAnsi="宋体" w:eastAsia="宋体" w:cs="宋体"/>
                <w:highlight w:val="none"/>
              </w:rPr>
              <w:t>名消防设施操作员国家职业资格证书的人员</w:t>
            </w:r>
            <w:r>
              <w:rPr>
                <w:rFonts w:hint="eastAsia" w:ascii="宋体" w:hAnsi="宋体" w:cs="宋体"/>
                <w:highlight w:val="none"/>
                <w:lang w:val="en-US" w:eastAsia="zh-CN"/>
              </w:rPr>
              <w:t>得0.5</w:t>
            </w:r>
            <w:r>
              <w:rPr>
                <w:rFonts w:hint="eastAsia" w:ascii="宋体" w:hAnsi="宋体" w:eastAsia="宋体" w:cs="宋体"/>
                <w:highlight w:val="none"/>
              </w:rPr>
              <w:t>分，最高</w:t>
            </w:r>
            <w:r>
              <w:rPr>
                <w:rFonts w:hint="eastAsia" w:ascii="宋体" w:hAnsi="宋体" w:eastAsia="宋体" w:cs="宋体"/>
                <w:highlight w:val="none"/>
                <w:lang w:val="en-US" w:eastAsia="zh-CN"/>
              </w:rPr>
              <w:t>得</w:t>
            </w:r>
            <w:r>
              <w:rPr>
                <w:rFonts w:hint="eastAsia" w:ascii="宋体" w:hAnsi="宋体" w:cs="宋体"/>
                <w:highlight w:val="none"/>
                <w:lang w:val="en-US" w:eastAsia="zh-CN"/>
              </w:rPr>
              <w:t>4</w:t>
            </w:r>
            <w:r>
              <w:rPr>
                <w:highlight w:val="none"/>
              </w:rPr>
              <w:t>分。</w:t>
            </w:r>
          </w:p>
          <w:p w14:paraId="57F82A3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未提供不</w:t>
            </w:r>
            <w:r>
              <w:rPr>
                <w:rFonts w:hint="eastAsia" w:ascii="宋体" w:hAnsi="宋体" w:cs="宋体"/>
                <w:highlight w:val="none"/>
                <w:lang w:val="en-US" w:eastAsia="zh-CN"/>
              </w:rPr>
              <w:t>得</w:t>
            </w:r>
            <w:r>
              <w:rPr>
                <w:rFonts w:hint="eastAsia" w:ascii="宋体" w:hAnsi="宋体" w:eastAsia="宋体" w:cs="宋体"/>
                <w:highlight w:val="none"/>
                <w:lang w:val="en-US" w:eastAsia="zh-CN"/>
              </w:rPr>
              <w:t>分。</w:t>
            </w:r>
          </w:p>
        </w:tc>
        <w:tc>
          <w:tcPr>
            <w:tcW w:w="855" w:type="pct"/>
            <w:vMerge w:val="continue"/>
            <w:vAlign w:val="center"/>
          </w:tcPr>
          <w:p w14:paraId="269B6A59">
            <w:pPr>
              <w:rPr>
                <w:rFonts w:hint="eastAsia" w:asciiTheme="minorEastAsia" w:hAnsiTheme="minorEastAsia" w:eastAsiaTheme="minorEastAsia"/>
                <w:szCs w:val="21"/>
                <w:highlight w:val="none"/>
              </w:rPr>
            </w:pPr>
          </w:p>
        </w:tc>
      </w:tr>
      <w:tr w14:paraId="0811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2" w:hRule="atLeast"/>
          <w:jc w:val="center"/>
        </w:trPr>
        <w:tc>
          <w:tcPr>
            <w:tcW w:w="593" w:type="pct"/>
            <w:vMerge w:val="continue"/>
            <w:vAlign w:val="center"/>
          </w:tcPr>
          <w:p w14:paraId="3B5032E9">
            <w:pPr>
              <w:jc w:val="center"/>
              <w:rPr>
                <w:rFonts w:cs="宋体" w:asciiTheme="minorEastAsia" w:hAnsiTheme="minorEastAsia" w:eastAsiaTheme="minorEastAsia"/>
                <w:sz w:val="21"/>
                <w:szCs w:val="21"/>
              </w:rPr>
            </w:pPr>
          </w:p>
        </w:tc>
        <w:tc>
          <w:tcPr>
            <w:tcW w:w="573" w:type="pct"/>
            <w:vAlign w:val="center"/>
          </w:tcPr>
          <w:p w14:paraId="7A3E3BEF">
            <w:pPr>
              <w:pStyle w:val="28"/>
              <w:keepNext w:val="0"/>
              <w:keepLines w:val="0"/>
              <w:pageBreakBefore w:val="0"/>
              <w:suppressLineNumbers w:val="0"/>
              <w:tabs>
                <w:tab w:val="left" w:pos="1146"/>
                <w:tab w:val="left" w:pos="2565"/>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保障</w:t>
            </w:r>
          </w:p>
          <w:p w14:paraId="2BD8B71E">
            <w:pPr>
              <w:pStyle w:val="28"/>
              <w:keepNext w:val="0"/>
              <w:keepLines w:val="0"/>
              <w:pageBreakBefore w:val="0"/>
              <w:suppressLineNumbers w:val="0"/>
              <w:tabs>
                <w:tab w:val="left" w:pos="1146"/>
                <w:tab w:val="left" w:pos="2565"/>
              </w:tabs>
              <w:kinsoku/>
              <w:wordWrap/>
              <w:overflowPunct/>
              <w:topLinePunct w:val="0"/>
              <w:autoSpaceDE/>
              <w:autoSpaceDN/>
              <w:bidi w:val="0"/>
              <w:adjustRightInd/>
              <w:snapToGrid/>
              <w:spacing w:before="0" w:beforeAutospacing="0" w:after="0" w:afterAutospacing="0" w:line="240" w:lineRule="auto"/>
              <w:jc w:val="center"/>
              <w:textAlignment w:val="auto"/>
              <w:rPr>
                <w:rFonts w:hint="eastAsia" w:cs="Times New Roman" w:asciiTheme="minorEastAsia" w:hAnsiTheme="minorEastAsia" w:eastAsiaTheme="minorEastAsia"/>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措施</w:t>
            </w:r>
          </w:p>
        </w:tc>
        <w:tc>
          <w:tcPr>
            <w:tcW w:w="451" w:type="pct"/>
            <w:vAlign w:val="center"/>
          </w:tcPr>
          <w:p w14:paraId="33C35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 w:val="21"/>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w:t>
            </w:r>
          </w:p>
        </w:tc>
        <w:tc>
          <w:tcPr>
            <w:tcW w:w="2526" w:type="pct"/>
            <w:vAlign w:val="center"/>
          </w:tcPr>
          <w:p w14:paraId="017812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评审内容</w:t>
            </w:r>
          </w:p>
          <w:p w14:paraId="7B26E06C">
            <w:pPr>
              <w:pStyle w:val="87"/>
              <w:numPr>
                <w:ilvl w:val="0"/>
                <w:numId w:val="0"/>
              </w:numPr>
              <w:ind w:lef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针对本项目提出的</w:t>
            </w:r>
            <w:r>
              <w:rPr>
                <w:rFonts w:hint="eastAsia" w:ascii="宋体" w:hAnsi="宋体" w:eastAsia="宋体" w:cs="宋体"/>
                <w:color w:val="auto"/>
                <w:szCs w:val="21"/>
                <w:highlight w:val="none"/>
                <w:lang w:val="en-US" w:eastAsia="zh-CN"/>
              </w:rPr>
              <w:t>保障措施</w:t>
            </w:r>
            <w:r>
              <w:rPr>
                <w:rFonts w:hint="eastAsia" w:ascii="宋体" w:hAnsi="宋体" w:eastAsia="宋体" w:cs="宋体"/>
                <w:color w:val="auto"/>
                <w:szCs w:val="21"/>
                <w:highlight w:val="none"/>
                <w:lang w:val="zh-CN" w:eastAsia="zh-CN"/>
              </w:rPr>
              <w:t>，内容包含①设备检测、协助完善相关材料②后期技术服务③应急响应方案等服务保障措施。</w:t>
            </w:r>
          </w:p>
          <w:p w14:paraId="63FC94E5">
            <w:pPr>
              <w:pStyle w:val="87"/>
              <w:numPr>
                <w:ilvl w:val="0"/>
                <w:numId w:val="0"/>
              </w:numPr>
              <w:ind w:leftChars="0"/>
              <w:rPr>
                <w:rFonts w:hint="eastAsia" w:ascii="宋体" w:hAnsi="宋体" w:eastAsia="宋体" w:cs="宋体"/>
                <w:color w:val="auto"/>
                <w:szCs w:val="21"/>
                <w:highlight w:val="none"/>
                <w:lang w:val="zh-CN" w:eastAsia="zh-CN"/>
              </w:rPr>
            </w:pPr>
            <w:r>
              <w:rPr>
                <w:rFonts w:hint="eastAsia" w:asciiTheme="minorEastAsia" w:hAnsiTheme="minorEastAsia" w:eastAsiaTheme="minorEastAsia" w:cstheme="minorEastAsia"/>
                <w:color w:val="auto"/>
                <w:kern w:val="2"/>
                <w:sz w:val="21"/>
                <w:szCs w:val="21"/>
                <w:highlight w:val="none"/>
                <w:lang w:val="en-US" w:eastAsia="zh-CN"/>
              </w:rPr>
              <w:t>以上内容</w:t>
            </w:r>
            <w:r>
              <w:rPr>
                <w:rFonts w:hint="eastAsia" w:ascii="宋体" w:hAnsi="宋体" w:cs="宋体"/>
                <w:color w:val="auto"/>
                <w:szCs w:val="21"/>
                <w:highlight w:val="none"/>
                <w:lang w:val="en-US" w:eastAsia="zh-CN"/>
              </w:rPr>
              <w:t>每提供一项得4分，最高得12</w:t>
            </w:r>
            <w:r>
              <w:rPr>
                <w:rFonts w:hint="eastAsia" w:ascii="宋体" w:hAnsi="宋体" w:eastAsia="宋体" w:cs="宋体"/>
                <w:color w:val="auto"/>
                <w:szCs w:val="21"/>
                <w:highlight w:val="none"/>
                <w:lang w:val="en-US" w:eastAsia="zh-CN"/>
              </w:rPr>
              <w:t>分。</w:t>
            </w:r>
          </w:p>
          <w:p w14:paraId="3CAC8E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eastAsia="zh-CN"/>
              </w:rPr>
              <w:t>评审标准</w:t>
            </w:r>
          </w:p>
          <w:p w14:paraId="0DBDF4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完整性：方案须全面，对评审内容中的各项要求有详细描述及说明；</w:t>
            </w:r>
          </w:p>
          <w:p w14:paraId="01B426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可实施性：切合本项目实际情况，实施步骤清晰、合理；</w:t>
            </w:r>
          </w:p>
          <w:p w14:paraId="742306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针对性：方案能够紧扣项目实际情况，内容科学合理。</w:t>
            </w:r>
          </w:p>
          <w:p w14:paraId="784D1E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w:t>
            </w:r>
            <w:r>
              <w:rPr>
                <w:rFonts w:hint="eastAsia" w:asciiTheme="minorEastAsia" w:hAnsiTheme="minorEastAsia" w:eastAsiaTheme="minorEastAsia" w:cstheme="minorEastAsia"/>
                <w:color w:val="auto"/>
                <w:kern w:val="2"/>
                <w:sz w:val="21"/>
                <w:szCs w:val="21"/>
                <w:highlight w:val="none"/>
                <w:lang w:val="en-US" w:eastAsia="zh-CN"/>
              </w:rPr>
              <w:t>根据评审标准对供应商保障措施进行评审,每一条不符合本项目特点、实际需求、存在缺陷等的扣1分，扣完为止。</w:t>
            </w:r>
          </w:p>
        </w:tc>
        <w:tc>
          <w:tcPr>
            <w:tcW w:w="855" w:type="pct"/>
            <w:vAlign w:val="center"/>
          </w:tcPr>
          <w:p w14:paraId="00F8FB14">
            <w:pPr>
              <w:rPr>
                <w:rFonts w:hint="eastAsia" w:asciiTheme="minorEastAsia" w:hAnsiTheme="minorEastAsia" w:eastAsiaTheme="minorEastAsia"/>
                <w:szCs w:val="21"/>
              </w:rPr>
            </w:pPr>
          </w:p>
        </w:tc>
      </w:tr>
      <w:tr w14:paraId="5C4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593" w:type="pct"/>
            <w:vMerge w:val="restart"/>
            <w:vAlign w:val="center"/>
          </w:tcPr>
          <w:p w14:paraId="57091EC3">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商务</w:t>
            </w:r>
          </w:p>
          <w:p w14:paraId="6CEADEF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部分</w:t>
            </w:r>
          </w:p>
          <w:p w14:paraId="103A7F2D">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w:t>
            </w:r>
          </w:p>
        </w:tc>
        <w:tc>
          <w:tcPr>
            <w:tcW w:w="573" w:type="pct"/>
            <w:vAlign w:val="center"/>
          </w:tcPr>
          <w:p w14:paraId="1BB69E70">
            <w:pPr>
              <w:pStyle w:val="28"/>
              <w:keepNext w:val="0"/>
              <w:keepLines w:val="0"/>
              <w:pageBreakBefore w:val="0"/>
              <w:suppressLineNumbers w:val="0"/>
              <w:tabs>
                <w:tab w:val="left" w:pos="1146"/>
                <w:tab w:val="left" w:pos="2565"/>
              </w:tabs>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服务承诺</w:t>
            </w:r>
          </w:p>
        </w:tc>
        <w:tc>
          <w:tcPr>
            <w:tcW w:w="451" w:type="pct"/>
            <w:vAlign w:val="center"/>
          </w:tcPr>
          <w:p w14:paraId="6984F55B">
            <w:pPr>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12</w:t>
            </w:r>
            <w:r>
              <w:rPr>
                <w:rFonts w:hint="eastAsia" w:asciiTheme="minorEastAsia" w:hAnsiTheme="minorEastAsia" w:eastAsiaTheme="minorEastAsia" w:cstheme="minorEastAsia"/>
                <w:bCs/>
                <w:sz w:val="21"/>
                <w:szCs w:val="21"/>
                <w:highlight w:val="none"/>
              </w:rPr>
              <w:t>分</w:t>
            </w:r>
          </w:p>
        </w:tc>
        <w:tc>
          <w:tcPr>
            <w:tcW w:w="2526" w:type="pct"/>
            <w:vAlign w:val="center"/>
          </w:tcPr>
          <w:p w14:paraId="67C66C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评审内容</w:t>
            </w:r>
          </w:p>
          <w:p w14:paraId="69CE83D6">
            <w:pPr>
              <w:pStyle w:val="22"/>
              <w:tabs>
                <w:tab w:val="right" w:leader="dot" w:pos="8306"/>
              </w:tabs>
              <w:spacing w:line="360" w:lineRule="auto"/>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针对本项目提出的</w:t>
            </w:r>
            <w:r>
              <w:rPr>
                <w:rFonts w:hint="eastAsia" w:ascii="宋体" w:hAnsi="宋体" w:eastAsia="宋体" w:cs="宋体"/>
                <w:color w:val="auto"/>
                <w:szCs w:val="21"/>
                <w:highlight w:val="none"/>
                <w:lang w:val="en-US" w:eastAsia="zh-CN"/>
              </w:rPr>
              <w:t>服务承诺</w:t>
            </w:r>
            <w:r>
              <w:rPr>
                <w:rFonts w:hint="eastAsia" w:ascii="宋体" w:hAnsi="宋体" w:eastAsia="宋体" w:cs="宋体"/>
                <w:color w:val="auto"/>
                <w:szCs w:val="21"/>
                <w:highlight w:val="none"/>
                <w:lang w:val="zh-CN" w:eastAsia="zh-CN"/>
              </w:rPr>
              <w:t>，内容包含</w:t>
            </w: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zh-CN" w:eastAsia="zh-CN"/>
              </w:rPr>
              <w:t>根</w:t>
            </w:r>
          </w:p>
          <w:p w14:paraId="4F5C3290">
            <w:pPr>
              <w:pStyle w:val="87"/>
              <w:numPr>
                <w:ilvl w:val="0"/>
                <w:numId w:val="0"/>
              </w:numPr>
              <w:ind w:lef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据采购人意见及时调整人员及服务方案的承诺</w:t>
            </w: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zh-CN" w:eastAsia="zh-CN"/>
              </w:rPr>
              <w:t>在检测过程中与采购人积极配合，确保检测数据准确并有相应的保障措施</w:t>
            </w: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zh-CN" w:eastAsia="zh-CN"/>
              </w:rPr>
              <w:t>在后续服务中积极配合完成复检直至通过的保障措施及承诺④其他供应商认为应承诺的内容。</w:t>
            </w:r>
            <w:r>
              <w:rPr>
                <w:rFonts w:hint="eastAsia" w:asciiTheme="minorEastAsia" w:hAnsiTheme="minorEastAsia" w:eastAsiaTheme="minorEastAsia" w:cstheme="minorEastAsia"/>
                <w:color w:val="auto"/>
                <w:kern w:val="2"/>
                <w:sz w:val="21"/>
                <w:szCs w:val="21"/>
                <w:highlight w:val="none"/>
                <w:lang w:val="en-US" w:eastAsia="zh-CN"/>
              </w:rPr>
              <w:t>以上内容</w:t>
            </w:r>
            <w:r>
              <w:rPr>
                <w:rFonts w:hint="eastAsia" w:ascii="宋体" w:hAnsi="宋体" w:cs="宋体"/>
                <w:color w:val="auto"/>
                <w:szCs w:val="21"/>
                <w:highlight w:val="none"/>
                <w:lang w:val="en-US" w:eastAsia="zh-CN"/>
              </w:rPr>
              <w:t>每提供一项得3分，最高得12</w:t>
            </w:r>
            <w:r>
              <w:rPr>
                <w:rFonts w:hint="eastAsia" w:ascii="宋体" w:hAnsi="宋体" w:eastAsia="宋体" w:cs="宋体"/>
                <w:color w:val="auto"/>
                <w:szCs w:val="21"/>
                <w:highlight w:val="none"/>
                <w:lang w:val="en-US" w:eastAsia="zh-CN"/>
              </w:rPr>
              <w:t>分。</w:t>
            </w:r>
          </w:p>
          <w:p w14:paraId="555656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eastAsia="zh-CN"/>
              </w:rPr>
              <w:t>评审标准</w:t>
            </w:r>
          </w:p>
          <w:p w14:paraId="573C0C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完整性：方案须全面，对评审内容中的各项要求有详细描述及说明；</w:t>
            </w:r>
          </w:p>
          <w:p w14:paraId="653534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可实施性：切合本项目实际情况，实施步骤清晰、合理；</w:t>
            </w:r>
          </w:p>
          <w:p w14:paraId="0808B8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针对性：方案能够紧扣项目实际情况，内容科学合理。</w:t>
            </w:r>
          </w:p>
          <w:p w14:paraId="6C9B94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w:t>
            </w:r>
            <w:r>
              <w:rPr>
                <w:rFonts w:hint="eastAsia" w:asciiTheme="minorEastAsia" w:hAnsiTheme="minorEastAsia" w:eastAsiaTheme="minorEastAsia" w:cstheme="minorEastAsia"/>
                <w:color w:val="auto"/>
                <w:kern w:val="2"/>
                <w:sz w:val="21"/>
                <w:szCs w:val="21"/>
                <w:highlight w:val="none"/>
                <w:lang w:val="en-US" w:eastAsia="zh-CN"/>
              </w:rPr>
              <w:t>根据评审标准对供应商服务承诺进行评审,每一条不符合本项目特点、实际需求、存在缺陷等的扣1分，扣完为止。</w:t>
            </w:r>
          </w:p>
        </w:tc>
        <w:tc>
          <w:tcPr>
            <w:tcW w:w="855" w:type="pct"/>
            <w:vAlign w:val="center"/>
          </w:tcPr>
          <w:p w14:paraId="0B0CA0D3">
            <w:pPr>
              <w:rPr>
                <w:rFonts w:asciiTheme="minorEastAsia" w:hAnsiTheme="minorEastAsia" w:eastAsiaTheme="minorEastAsia" w:cstheme="minorEastAsia"/>
                <w:sz w:val="21"/>
                <w:szCs w:val="21"/>
                <w:highlight w:val="yellow"/>
              </w:rPr>
            </w:pPr>
          </w:p>
        </w:tc>
      </w:tr>
      <w:tr w14:paraId="43D6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593" w:type="pct"/>
            <w:vMerge w:val="continue"/>
            <w:vAlign w:val="center"/>
          </w:tcPr>
          <w:p w14:paraId="167D5A78">
            <w:pPr>
              <w:jc w:val="center"/>
              <w:rPr>
                <w:rFonts w:asciiTheme="minorEastAsia" w:hAnsiTheme="minorEastAsia" w:eastAsiaTheme="minorEastAsia" w:cstheme="minorEastAsia"/>
                <w:sz w:val="21"/>
                <w:szCs w:val="21"/>
                <w:highlight w:val="yellow"/>
              </w:rPr>
            </w:pPr>
          </w:p>
        </w:tc>
        <w:tc>
          <w:tcPr>
            <w:tcW w:w="573" w:type="pct"/>
            <w:vAlign w:val="center"/>
          </w:tcPr>
          <w:p w14:paraId="0B77AD48">
            <w:pPr>
              <w:spacing w:line="276" w:lineRule="auto"/>
              <w:jc w:val="center"/>
              <w:textAlignment w:val="center"/>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rPr>
              <w:t>业绩</w:t>
            </w:r>
          </w:p>
        </w:tc>
        <w:tc>
          <w:tcPr>
            <w:tcW w:w="451" w:type="pct"/>
            <w:vAlign w:val="center"/>
          </w:tcPr>
          <w:p w14:paraId="31753A3C">
            <w:pPr>
              <w:spacing w:line="276" w:lineRule="auto"/>
              <w:textAlignment w:val="center"/>
              <w:rPr>
                <w:rFonts w:asciiTheme="minorEastAsia" w:hAnsiTheme="minorEastAsia" w:eastAsiaTheme="minorEastAsia" w:cstheme="minorEastAsia"/>
                <w:bCs/>
                <w:sz w:val="21"/>
                <w:szCs w:val="21"/>
                <w:highlight w:val="none"/>
              </w:rPr>
            </w:pPr>
            <w:r>
              <w:rPr>
                <w:rFonts w:hint="eastAsia" w:cs="宋体" w:asciiTheme="minorEastAsia" w:hAnsiTheme="minorEastAsia" w:eastAsiaTheme="minorEastAsia"/>
                <w:sz w:val="21"/>
                <w:szCs w:val="21"/>
                <w:highlight w:val="none"/>
                <w:lang w:val="en-US" w:eastAsia="zh-CN"/>
              </w:rPr>
              <w:t>6</w:t>
            </w:r>
            <w:r>
              <w:rPr>
                <w:rFonts w:hint="eastAsia" w:cs="宋体" w:asciiTheme="minorEastAsia" w:hAnsiTheme="minorEastAsia" w:eastAsiaTheme="minorEastAsia"/>
                <w:sz w:val="21"/>
                <w:szCs w:val="21"/>
                <w:highlight w:val="none"/>
              </w:rPr>
              <w:t>分</w:t>
            </w:r>
          </w:p>
        </w:tc>
        <w:tc>
          <w:tcPr>
            <w:tcW w:w="2526" w:type="pct"/>
            <w:vAlign w:val="center"/>
          </w:tcPr>
          <w:p w14:paraId="0026A894">
            <w:pPr>
              <w:spacing w:line="276" w:lineRule="auto"/>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提供202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年1月1日至今类似项目</w:t>
            </w:r>
            <w:r>
              <w:rPr>
                <w:rFonts w:hint="eastAsia" w:asciiTheme="minorEastAsia" w:hAnsiTheme="minorEastAsia" w:eastAsiaTheme="minorEastAsia" w:cstheme="minorEastAsia"/>
                <w:sz w:val="21"/>
                <w:szCs w:val="21"/>
                <w:highlight w:val="none"/>
                <w:lang w:val="en-US" w:eastAsia="zh-CN"/>
              </w:rPr>
              <w:t>业绩</w:t>
            </w:r>
            <w:r>
              <w:rPr>
                <w:rFonts w:hint="eastAsia" w:asciiTheme="minorEastAsia" w:hAnsiTheme="minorEastAsia" w:eastAsiaTheme="minorEastAsia" w:cstheme="minorEastAsia"/>
                <w:sz w:val="21"/>
                <w:szCs w:val="21"/>
                <w:highlight w:val="none"/>
              </w:rPr>
              <w:t>（以</w:t>
            </w:r>
            <w:r>
              <w:rPr>
                <w:rFonts w:hint="eastAsia" w:asciiTheme="minorEastAsia" w:hAnsiTheme="minorEastAsia" w:eastAsiaTheme="minorEastAsia" w:cstheme="minorEastAsia"/>
                <w:sz w:val="21"/>
                <w:szCs w:val="21"/>
                <w:highlight w:val="none"/>
                <w:lang w:val="en-US" w:eastAsia="zh-CN"/>
              </w:rPr>
              <w:t>合同签订</w:t>
            </w:r>
            <w:r>
              <w:rPr>
                <w:rFonts w:hint="eastAsia" w:asciiTheme="minorEastAsia" w:hAnsiTheme="minorEastAsia" w:eastAsiaTheme="minorEastAsia" w:cstheme="minorEastAsia"/>
                <w:sz w:val="21"/>
                <w:szCs w:val="21"/>
                <w:highlight w:val="none"/>
              </w:rPr>
              <w:t>时间为准），每提供一</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完整合同业绩</w:t>
            </w:r>
            <w:r>
              <w:rPr>
                <w:rFonts w:hint="eastAsia" w:asciiTheme="minorEastAsia" w:hAnsiTheme="minorEastAsia" w:eastAsiaTheme="minorEastAsia" w:cstheme="minorEastAsia"/>
                <w:sz w:val="21"/>
                <w:szCs w:val="21"/>
                <w:highlight w:val="none"/>
                <w:lang w:val="en-US" w:eastAsia="zh-CN"/>
              </w:rPr>
              <w:t>得2</w:t>
            </w:r>
            <w:r>
              <w:rPr>
                <w:rFonts w:hint="eastAsia" w:asciiTheme="minorEastAsia" w:hAnsiTheme="minorEastAsia" w:eastAsiaTheme="minorEastAsia" w:cstheme="minorEastAsia"/>
                <w:sz w:val="21"/>
                <w:szCs w:val="21"/>
                <w:highlight w:val="none"/>
              </w:rPr>
              <w:t>分，最高</w:t>
            </w:r>
            <w:r>
              <w:rPr>
                <w:rFonts w:hint="eastAsia" w:asciiTheme="minorEastAsia" w:hAnsiTheme="minorEastAsia" w:eastAsiaTheme="minorEastAsia" w:cstheme="minorEastAsia"/>
                <w:sz w:val="21"/>
                <w:szCs w:val="21"/>
                <w:highlight w:val="none"/>
                <w:lang w:val="en-US" w:eastAsia="zh-CN"/>
              </w:rPr>
              <w:t>得6</w:t>
            </w:r>
            <w:r>
              <w:rPr>
                <w:rFonts w:hint="eastAsia" w:asciiTheme="minorEastAsia" w:hAnsiTheme="minorEastAsia" w:eastAsiaTheme="minorEastAsia" w:cstheme="minorEastAsia"/>
                <w:sz w:val="21"/>
                <w:szCs w:val="21"/>
                <w:highlight w:val="none"/>
              </w:rPr>
              <w:t>分。</w:t>
            </w:r>
          </w:p>
        </w:tc>
        <w:tc>
          <w:tcPr>
            <w:tcW w:w="855" w:type="pct"/>
            <w:vAlign w:val="center"/>
          </w:tcPr>
          <w:p w14:paraId="36390674">
            <w:pP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文件中附复印件或扫描件并加盖公章。</w:t>
            </w:r>
          </w:p>
        </w:tc>
      </w:tr>
      <w:tr w14:paraId="71C6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93" w:type="pct"/>
            <w:vAlign w:val="center"/>
          </w:tcPr>
          <w:p w14:paraId="77358A43">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4406" w:type="pct"/>
            <w:gridSpan w:val="4"/>
          </w:tcPr>
          <w:p w14:paraId="0556356D">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1）各磋商小组成员独立打分。</w:t>
            </w:r>
          </w:p>
          <w:p w14:paraId="5F450552">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2）磋商小组成员打分超过得分界限或未按本表规定赋分时，该磋商小组成员的打分无效，不计入汇总分。</w:t>
            </w:r>
          </w:p>
          <w:p w14:paraId="07D7ED06">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3）若出现综合得分相同的，按最终磋商报价由低到高顺序排列名次；得分且最终磋商报价相同的，按</w:t>
            </w:r>
            <w:r>
              <w:rPr>
                <w:rFonts w:hint="eastAsia" w:cs="宋体" w:asciiTheme="minorEastAsia" w:hAnsiTheme="minorEastAsia" w:eastAsiaTheme="minorEastAsia"/>
                <w:sz w:val="21"/>
                <w:szCs w:val="21"/>
                <w:lang w:val="en-US" w:eastAsia="zh-CN"/>
              </w:rPr>
              <w:t>服务方案</w:t>
            </w:r>
            <w:r>
              <w:rPr>
                <w:rFonts w:hint="eastAsia" w:cs="宋体" w:asciiTheme="minorEastAsia" w:hAnsiTheme="minorEastAsia" w:eastAsiaTheme="minorEastAsia"/>
                <w:sz w:val="21"/>
                <w:szCs w:val="21"/>
              </w:rPr>
              <w:t>得分顺序排列名次。</w:t>
            </w:r>
          </w:p>
          <w:p w14:paraId="223AE0F9">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4）最终结果数字保留二位小数（四舍五入）。</w:t>
            </w:r>
          </w:p>
          <w:p w14:paraId="7CEDF466">
            <w:pPr>
              <w:pStyle w:val="12"/>
              <w:rPr>
                <w:rFonts w:asciiTheme="minorEastAsia" w:hAnsiTheme="minorEastAsia" w:eastAsiaTheme="minorEastAsia" w:cstheme="minorEastAsia"/>
                <w:sz w:val="21"/>
                <w:szCs w:val="21"/>
              </w:rPr>
            </w:pPr>
            <w:r>
              <w:rPr>
                <w:rFonts w:hint="eastAsia" w:cs="宋体" w:asciiTheme="minorEastAsia" w:hAnsiTheme="minorEastAsia" w:eastAsiaTheme="minorEastAsia"/>
                <w:sz w:val="21"/>
                <w:szCs w:val="21"/>
              </w:rPr>
              <w:t>5）磋商小组根据供应商响应文件横向对比，自主赋分，有重大错误、缺项或漏项时该子项不得分。按磋商评审程序，推荐综合得分排序前3名（或2名）作为磋商成交候选供应商。</w:t>
            </w:r>
          </w:p>
        </w:tc>
      </w:tr>
      <w:bookmarkEnd w:id="87"/>
    </w:tbl>
    <w:p w14:paraId="39CCC933">
      <w:pPr>
        <w:topLinePunct w:val="0"/>
        <w:bidi w:val="0"/>
        <w:spacing w:line="360" w:lineRule="auto"/>
        <w:rPr>
          <w:rFonts w:ascii="宋体" w:hAnsi="宋体" w:cs="宋体"/>
          <w:color w:val="auto"/>
          <w:sz w:val="24"/>
        </w:rPr>
      </w:pPr>
      <w:bookmarkStart w:id="99" w:name="_Toc4848"/>
      <w:bookmarkStart w:id="100" w:name="_Toc31686"/>
      <w:bookmarkStart w:id="101" w:name="_Toc13065131"/>
      <w:bookmarkStart w:id="102" w:name="_Toc16100"/>
      <w:bookmarkStart w:id="103" w:name="_Toc2234"/>
      <w:bookmarkStart w:id="104" w:name="_Toc23741"/>
      <w:bookmarkStart w:id="105" w:name="_Toc26312"/>
      <w:r>
        <w:rPr>
          <w:rFonts w:hint="eastAsia" w:ascii="宋体" w:hAnsi="宋体" w:cs="宋体"/>
          <w:color w:val="auto"/>
          <w:sz w:val="24"/>
        </w:rPr>
        <w:t>备注：</w:t>
      </w:r>
    </w:p>
    <w:p w14:paraId="00447325">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1、</w:t>
      </w:r>
      <w:r>
        <w:rPr>
          <w:rFonts w:hint="eastAsia" w:ascii="宋体" w:hAnsi="宋体"/>
          <w:color w:val="auto"/>
          <w:spacing w:val="4"/>
          <w:sz w:val="24"/>
        </w:rPr>
        <w:t>政策性价格优惠折扣规定</w:t>
      </w:r>
    </w:p>
    <w:p w14:paraId="745BD663">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rPr>
        <w:t>经</w:t>
      </w:r>
      <w:r>
        <w:rPr>
          <w:rFonts w:hint="eastAsia" w:ascii="宋体" w:hAnsi="宋体"/>
          <w:color w:val="auto"/>
          <w:spacing w:val="4"/>
          <w:sz w:val="24"/>
          <w:lang w:eastAsia="zh-CN"/>
        </w:rPr>
        <w:t>符合性审查合格</w:t>
      </w:r>
      <w:r>
        <w:rPr>
          <w:rFonts w:hint="eastAsia" w:ascii="宋体" w:hAnsi="宋体"/>
          <w:color w:val="auto"/>
          <w:spacing w:val="4"/>
          <w:sz w:val="24"/>
        </w:rPr>
        <w:t>后，对于满足</w:t>
      </w:r>
      <w:r>
        <w:rPr>
          <w:rFonts w:hint="eastAsia" w:ascii="宋体" w:hAnsi="宋体"/>
          <w:color w:val="auto"/>
          <w:spacing w:val="4"/>
          <w:sz w:val="24"/>
          <w:lang w:val="en-US" w:eastAsia="zh-CN"/>
        </w:rPr>
        <w:t>磋商响应</w:t>
      </w:r>
      <w:r>
        <w:rPr>
          <w:rFonts w:hint="eastAsia" w:ascii="宋体" w:hAnsi="宋体"/>
          <w:color w:val="auto"/>
          <w:spacing w:val="4"/>
          <w:sz w:val="24"/>
        </w:rPr>
        <w:t>文件全部实质性要求并按照规定提交了</w:t>
      </w:r>
      <w:r>
        <w:rPr>
          <w:rFonts w:hint="eastAsia" w:ascii="宋体" w:hAnsi="宋体"/>
          <w:color w:val="auto"/>
          <w:spacing w:val="4"/>
          <w:sz w:val="24"/>
          <w:lang w:val="en-US" w:eastAsia="zh-CN"/>
        </w:rPr>
        <w:t>磋商</w:t>
      </w:r>
      <w:r>
        <w:rPr>
          <w:rFonts w:hint="eastAsia" w:ascii="宋体" w:hAnsi="宋体"/>
          <w:color w:val="auto"/>
          <w:spacing w:val="4"/>
          <w:sz w:val="24"/>
        </w:rPr>
        <w:t>报价</w:t>
      </w:r>
      <w:r>
        <w:rPr>
          <w:rFonts w:hint="eastAsia" w:ascii="宋体" w:hAnsi="宋体"/>
          <w:color w:val="auto"/>
          <w:spacing w:val="4"/>
          <w:sz w:val="24"/>
          <w:highlight w:val="none"/>
        </w:rPr>
        <w:t>的</w:t>
      </w:r>
      <w:r>
        <w:rPr>
          <w:rFonts w:hint="eastAsia" w:ascii="宋体" w:hAnsi="宋体"/>
          <w:color w:val="auto"/>
          <w:spacing w:val="4"/>
          <w:sz w:val="24"/>
          <w:highlight w:val="none"/>
          <w:lang w:val="en-US" w:eastAsia="zh-CN"/>
        </w:rPr>
        <w:t>磋商响应</w:t>
      </w:r>
      <w:r>
        <w:rPr>
          <w:rFonts w:hint="eastAsia" w:ascii="宋体" w:hAnsi="宋体"/>
          <w:color w:val="auto"/>
          <w:spacing w:val="4"/>
          <w:sz w:val="24"/>
          <w:highlight w:val="none"/>
          <w:lang w:eastAsia="zh-CN"/>
        </w:rPr>
        <w:t>文件</w:t>
      </w:r>
      <w:r>
        <w:rPr>
          <w:rFonts w:hint="eastAsia" w:ascii="宋体" w:hAnsi="宋体"/>
          <w:color w:val="auto"/>
          <w:spacing w:val="4"/>
          <w:sz w:val="24"/>
          <w:highlight w:val="none"/>
        </w:rPr>
        <w:t>，按照以下规则进行评审价格的确定。</w:t>
      </w:r>
    </w:p>
    <w:p w14:paraId="7E9BB315">
      <w:pPr>
        <w:keepNext w:val="0"/>
        <w:keepLines w:val="0"/>
        <w:pageBreakBefore w:val="0"/>
        <w:widowControl/>
        <w:suppressLineNumbers w:val="0"/>
        <w:kinsoku/>
        <w:wordWrap/>
        <w:overflowPunct/>
        <w:topLinePunct w:val="0"/>
        <w:autoSpaceDE/>
        <w:autoSpaceDN/>
        <w:bidi w:val="0"/>
        <w:adjustRightInd/>
        <w:snapToGrid/>
        <w:spacing w:line="500" w:lineRule="exact"/>
        <w:ind w:firstLine="496" w:firstLineChars="200"/>
        <w:jc w:val="left"/>
        <w:textAlignment w:val="auto"/>
        <w:rPr>
          <w:rFonts w:hint="eastAsia" w:ascii="宋体" w:hAnsi="宋体" w:eastAsia="宋体" w:cs="宋体"/>
          <w:color w:val="auto"/>
          <w:sz w:val="24"/>
          <w:szCs w:val="24"/>
          <w:highlight w:val="none"/>
        </w:rPr>
      </w:pP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.1</w:t>
      </w:r>
      <w:r>
        <w:rPr>
          <w:rFonts w:hint="eastAsia" w:ascii="宋体" w:hAnsi="宋体" w:eastAsia="宋体" w:cs="宋体"/>
          <w:color w:val="auto"/>
          <w:kern w:val="0"/>
          <w:sz w:val="24"/>
          <w:szCs w:val="24"/>
          <w:highlight w:val="none"/>
          <w:lang w:val="en-US" w:eastAsia="zh-CN" w:bidi="ar"/>
        </w:rPr>
        <w:t>根据财政部、国家发展改革委《关于印发〈节能产品政府采购实施</w:t>
      </w:r>
    </w:p>
    <w:p w14:paraId="0E5150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意见〉的通知》（财库〔2004〕185 号）规定“政府采购属于节能产品品目清单的，在技术、服务等指标同等条件下，应当优先采购节能品目清单的节能产品。” </w:t>
      </w:r>
    </w:p>
    <w:p w14:paraId="79C228E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采购人采购的产品属于环境标志产品政府采购品目清单（2023）中品目的，由中国环境保护产品认证检测机构目录颁发的《中国环境产品标志认证证书》的，在性能、技术、服务等指标同等条件下，应当优先采购清单中的产品。</w:t>
      </w:r>
    </w:p>
    <w:p w14:paraId="717E62BD">
      <w:pPr>
        <w:spacing w:line="360" w:lineRule="auto"/>
        <w:ind w:firstLine="496" w:firstLineChars="200"/>
        <w:rPr>
          <w:rFonts w:hint="eastAsia" w:ascii="宋体" w:hAnsi="宋体" w:eastAsia="宋体" w:cs="宋体"/>
          <w:color w:val="auto"/>
          <w:kern w:val="0"/>
          <w:sz w:val="24"/>
          <w:szCs w:val="24"/>
          <w:highlight w:val="none"/>
          <w:lang w:val="en-US" w:eastAsia="zh-CN" w:bidi="ar"/>
        </w:rPr>
      </w:pPr>
      <w:r>
        <w:rPr>
          <w:rFonts w:hint="eastAsia" w:ascii="宋体" w:hAnsi="宋体"/>
          <w:color w:val="auto"/>
          <w:spacing w:val="4"/>
          <w:sz w:val="24"/>
          <w:highlight w:val="none"/>
          <w:lang w:val="en-US" w:eastAsia="zh-CN"/>
        </w:rPr>
        <w:t>1.3</w:t>
      </w:r>
      <w:r>
        <w:rPr>
          <w:rFonts w:hint="eastAsia" w:ascii="宋体" w:hAnsi="宋体" w:eastAsia="宋体" w:cs="宋体"/>
          <w:color w:val="auto"/>
          <w:kern w:val="0"/>
          <w:sz w:val="24"/>
          <w:szCs w:val="24"/>
          <w:highlight w:val="none"/>
          <w:lang w:val="en-US" w:eastAsia="zh-CN" w:bidi="ar"/>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23216F2D">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1.4根据财政部、发展改革委、生态环境部、市场监管总局联合印发《关于调整优化节能产品、环境标志产品政府采购执行机制的通知》（财库〔2019〕9 号）有关要求，采购人拟采购的产品属于品目</w:t>
      </w:r>
      <w:r>
        <w:rPr>
          <w:rFonts w:hint="eastAsia" w:ascii="宋体" w:hAnsi="宋体" w:eastAsia="宋体" w:cs="宋体"/>
          <w:color w:val="auto"/>
          <w:kern w:val="0"/>
          <w:sz w:val="24"/>
          <w:szCs w:val="24"/>
          <w:lang w:val="en-US" w:eastAsia="zh-CN" w:bidi="ar"/>
        </w:rPr>
        <w:t>清单范围的，采购人及其委托的采购代理机构应当依据国家确定的认证机构出具的、处于有效期之内的节能产品、环境标志产品认证证书，对获得证书的产品实施政府优先采购或强制采购。</w:t>
      </w:r>
    </w:p>
    <w:p w14:paraId="6C6780FB">
      <w:pPr>
        <w:spacing w:line="360" w:lineRule="auto"/>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1.5国家确定的节能产品、环境标志产品认证机构详见市场监管总局《关于发布参与实施政府采购节能产品、环境标志产品认证机构名录的公告》（2019 年第 16 号）。</w:t>
      </w:r>
    </w:p>
    <w:p w14:paraId="35D77074">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1.6环境标志产品政府采购品目清单详见财政部、生态环境部《关于印发环境标志产品政府采购品目清单的通知》（财库〔2019〕18 号）。 </w:t>
      </w:r>
    </w:p>
    <w:p w14:paraId="0CBC9FE6">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1.7节能产品政府采购品目清单详见财政部、发展改革委《关于印发节能产品政府采购品目清单的通知》（财库〔2019〕19 号）。 </w:t>
      </w:r>
    </w:p>
    <w:p w14:paraId="191773EA">
      <w:pPr>
        <w:spacing w:line="360" w:lineRule="auto"/>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1.8根据《财政部 农业农村部 国家乡村振兴局关于运用政府采购政策支持乡村产业振兴的通知》（财库〔2021〕19 号），自2021年起，各级预算单位应当按照不低于 10</w:t>
      </w:r>
      <w:r>
        <w:rPr>
          <w:rFonts w:hint="eastAsia" w:ascii="宋体" w:hAnsi="宋体" w:eastAsia="宋体" w:cs="宋体"/>
          <w:color w:val="auto"/>
          <w:kern w:val="0"/>
          <w:sz w:val="24"/>
          <w:szCs w:val="24"/>
          <w:highlight w:val="none"/>
          <w:lang w:val="en-US" w:eastAsia="zh-CN" w:bidi="ar"/>
        </w:rPr>
        <w:t xml:space="preserve">%的比例预留年度食堂食材采购份额，通过脱贫地区农副产品网络销售平台采购脱贫地区农副产品。 </w:t>
      </w:r>
    </w:p>
    <w:p w14:paraId="3740B9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1D6813D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1.10</w:t>
      </w:r>
      <w:r>
        <w:rPr>
          <w:rFonts w:hint="eastAsia" w:ascii="宋体" w:hAnsi="宋体" w:eastAsia="宋体" w:cs="宋体"/>
          <w:color w:val="auto"/>
          <w:kern w:val="0"/>
          <w:sz w:val="24"/>
          <w:szCs w:val="24"/>
          <w:lang w:val="en-US" w:eastAsia="zh-CN" w:bidi="ar"/>
        </w:rPr>
        <w:t xml:space="preserve">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 </w:t>
      </w:r>
    </w:p>
    <w:p w14:paraId="795BDCA0">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2、磋商</w:t>
      </w:r>
      <w:r>
        <w:rPr>
          <w:rFonts w:hint="eastAsia" w:ascii="宋体" w:hAnsi="宋体"/>
          <w:color w:val="auto"/>
          <w:spacing w:val="4"/>
          <w:sz w:val="24"/>
        </w:rPr>
        <w:t>报价人为小型和微型企业、监狱企业</w:t>
      </w:r>
      <w:r>
        <w:rPr>
          <w:rFonts w:hint="eastAsia" w:ascii="宋体" w:hAnsi="宋体"/>
          <w:color w:val="auto"/>
          <w:spacing w:val="4"/>
          <w:sz w:val="24"/>
          <w:lang w:eastAsia="zh-CN"/>
        </w:rPr>
        <w:t>、残疾人福利单位</w:t>
      </w:r>
      <w:r>
        <w:rPr>
          <w:rFonts w:hint="eastAsia" w:ascii="宋体" w:hAnsi="宋体"/>
          <w:color w:val="auto"/>
          <w:spacing w:val="4"/>
          <w:sz w:val="24"/>
        </w:rPr>
        <w:t>的评审价计算规则：</w:t>
      </w:r>
    </w:p>
    <w:p w14:paraId="7BDD699C">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w:t>
      </w:r>
      <w:r>
        <w:rPr>
          <w:rFonts w:hint="eastAsia" w:ascii="宋体" w:hAnsi="宋体"/>
          <w:color w:val="auto"/>
          <w:spacing w:val="4"/>
          <w:sz w:val="24"/>
        </w:rPr>
        <w:t>.1本办法所称中小企业（含中型、小型、微型企业，下同）应当同时符合以下条件：</w:t>
      </w:r>
    </w:p>
    <w:p w14:paraId="4457E4F4">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w:t>
      </w:r>
      <w:r>
        <w:rPr>
          <w:rFonts w:hint="eastAsia" w:ascii="宋体" w:hAnsi="宋体"/>
          <w:color w:val="auto"/>
          <w:spacing w:val="4"/>
          <w:sz w:val="24"/>
        </w:rPr>
        <w:t>.1.1符合中小企业划分标准；</w:t>
      </w:r>
    </w:p>
    <w:p w14:paraId="3172E79E">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w:t>
      </w:r>
      <w:r>
        <w:rPr>
          <w:rFonts w:hint="eastAsia" w:ascii="宋体" w:hAnsi="宋体"/>
          <w:color w:val="auto"/>
          <w:spacing w:val="4"/>
          <w:sz w:val="24"/>
        </w:rPr>
        <w:t>.1.2</w:t>
      </w:r>
      <w:bookmarkStart w:id="106" w:name="OLE_LINK1"/>
      <w:r>
        <w:rPr>
          <w:rFonts w:hint="eastAsia" w:ascii="宋体" w:hAnsi="宋体"/>
          <w:color w:val="auto"/>
          <w:spacing w:val="4"/>
          <w:sz w:val="24"/>
        </w:rPr>
        <w:t>提供本企业制造的货物、承担的工程或者服务，或者提供其他中小企业制造的货物。本项所称货物不包括使用大型企业注册商标的货物。</w:t>
      </w:r>
      <w:bookmarkEnd w:id="106"/>
    </w:p>
    <w:p w14:paraId="72910F41">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w:t>
      </w:r>
      <w:r>
        <w:rPr>
          <w:rFonts w:hint="eastAsia" w:ascii="宋体" w:hAnsi="宋体"/>
          <w:color w:val="auto"/>
          <w:spacing w:val="4"/>
          <w:sz w:val="24"/>
        </w:rPr>
        <w:t>.2本规定所称中小企业划分标准，是指国务院有关部门根据企业从业人员、营业收入、资产总额等指标制定的中小企业划型标准（工信部联企业〔2011〕300号）；</w:t>
      </w:r>
    </w:p>
    <w:p w14:paraId="2F84B7CA">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lang w:val="en-US" w:eastAsia="zh-CN"/>
        </w:rPr>
        <w:t>2.</w:t>
      </w:r>
      <w:r>
        <w:rPr>
          <w:rFonts w:hint="eastAsia" w:ascii="宋体" w:hAnsi="宋体"/>
          <w:color w:val="auto"/>
          <w:spacing w:val="4"/>
          <w:sz w:val="24"/>
        </w:rPr>
        <w:t>3小型、微型企业提供有中型企业制造的货物的，视同为中型企业；小型、微型、中型企业提供有大型企业制造的货物的，视同为大型企业。</w:t>
      </w:r>
    </w:p>
    <w:p w14:paraId="15B8B9B9">
      <w:pPr>
        <w:spacing w:line="360" w:lineRule="auto"/>
        <w:ind w:firstLine="496" w:firstLineChars="200"/>
        <w:rPr>
          <w:rFonts w:hint="eastAsia" w:ascii="宋体" w:hAnsi="宋体" w:eastAsia="宋体"/>
          <w:color w:val="auto"/>
          <w:spacing w:val="4"/>
          <w:sz w:val="24"/>
          <w:lang w:eastAsia="zh-CN"/>
        </w:rPr>
      </w:pPr>
      <w:r>
        <w:rPr>
          <w:rFonts w:hint="eastAsia" w:ascii="宋体" w:hAnsi="宋体"/>
          <w:color w:val="auto"/>
          <w:spacing w:val="4"/>
          <w:sz w:val="24"/>
          <w:lang w:val="en-US" w:eastAsia="zh-CN"/>
        </w:rPr>
        <w:t>2.</w:t>
      </w:r>
      <w:r>
        <w:rPr>
          <w:rFonts w:hint="eastAsia" w:ascii="宋体" w:hAnsi="宋体"/>
          <w:color w:val="auto"/>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color w:val="auto"/>
          <w:spacing w:val="4"/>
          <w:sz w:val="24"/>
          <w:highlight w:val="none"/>
          <w:lang w:val="en-US" w:eastAsia="zh-CN"/>
        </w:rPr>
        <w:t>在</w:t>
      </w:r>
      <w:r>
        <w:rPr>
          <w:rFonts w:hint="eastAsia" w:ascii="宋体" w:hAnsi="宋体"/>
          <w:color w:val="auto"/>
          <w:spacing w:val="4"/>
          <w:sz w:val="24"/>
          <w:highlight w:val="none"/>
        </w:rPr>
        <w:t>参加政府采购活动时，视同小型、微型企业</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享受评审中价格扣除等政府采购促进中小企业发展的政府采购政策</w:t>
      </w:r>
      <w:r>
        <w:rPr>
          <w:rFonts w:hint="eastAsia" w:ascii="宋体" w:hAnsi="宋体"/>
          <w:color w:val="auto"/>
          <w:spacing w:val="4"/>
          <w:sz w:val="24"/>
          <w:highlight w:val="none"/>
        </w:rPr>
        <w:t>。</w:t>
      </w:r>
    </w:p>
    <w:p w14:paraId="426BEC38">
      <w:pPr>
        <w:spacing w:line="360" w:lineRule="auto"/>
        <w:ind w:firstLine="496" w:firstLineChars="200"/>
        <w:rPr>
          <w:rFonts w:hint="eastAsia"/>
          <w:color w:val="auto"/>
          <w:highlight w:val="yellow"/>
        </w:rPr>
      </w:pPr>
      <w:r>
        <w:rPr>
          <w:rFonts w:hint="eastAsia" w:ascii="宋体" w:hAnsi="宋体"/>
          <w:color w:val="auto"/>
          <w:spacing w:val="4"/>
          <w:sz w:val="24"/>
          <w:highlight w:val="none"/>
          <w:lang w:val="en-US" w:eastAsia="zh-CN"/>
        </w:rPr>
        <w:t>2.5</w:t>
      </w:r>
      <w:r>
        <w:rPr>
          <w:rFonts w:hint="eastAsia" w:ascii="宋体" w:hAnsi="宋体"/>
          <w:color w:val="auto"/>
          <w:spacing w:val="4"/>
          <w:sz w:val="24"/>
          <w:highlight w:val="none"/>
        </w:rPr>
        <w:t>符合条件的残疾人福利性单位在参加政府采购活动时，应当提供本通知规定的《残疾人福利性单位声明函》，并对声明的真实性负责。残疾人福利性单位参加政府采购活动时，视同小型、微型企业。</w:t>
      </w:r>
    </w:p>
    <w:p w14:paraId="4CDFAF80">
      <w:pPr>
        <w:widowControl/>
        <w:spacing w:line="360" w:lineRule="auto"/>
        <w:ind w:firstLine="498" w:firstLineChars="200"/>
        <w:rPr>
          <w:rFonts w:hint="eastAsia" w:ascii="宋体" w:hAnsi="宋体"/>
          <w:b/>
          <w:bCs/>
          <w:color w:val="auto"/>
          <w:spacing w:val="4"/>
          <w:sz w:val="24"/>
          <w:highlight w:val="red"/>
          <w:lang w:val="en-US" w:eastAsia="zh-CN"/>
        </w:rPr>
      </w:pPr>
      <w:r>
        <w:rPr>
          <w:rFonts w:hint="eastAsia" w:ascii="宋体" w:hAnsi="宋体"/>
          <w:b/>
          <w:bCs/>
          <w:color w:val="auto"/>
          <w:spacing w:val="4"/>
          <w:sz w:val="24"/>
          <w:highlight w:val="none"/>
          <w:lang w:val="en-US" w:eastAsia="zh-CN"/>
        </w:rPr>
        <w:t>2</w:t>
      </w:r>
      <w:r>
        <w:rPr>
          <w:rFonts w:hint="eastAsia" w:ascii="宋体" w:hAnsi="宋体"/>
          <w:b/>
          <w:bCs/>
          <w:color w:val="auto"/>
          <w:spacing w:val="4"/>
          <w:sz w:val="24"/>
          <w:highlight w:val="none"/>
        </w:rPr>
        <w:t>.</w:t>
      </w:r>
      <w:r>
        <w:rPr>
          <w:rFonts w:hint="eastAsia" w:ascii="宋体" w:hAnsi="宋体"/>
          <w:b/>
          <w:bCs/>
          <w:color w:val="auto"/>
          <w:spacing w:val="4"/>
          <w:sz w:val="24"/>
          <w:highlight w:val="none"/>
          <w:lang w:val="en-US" w:eastAsia="zh-CN"/>
        </w:rPr>
        <w:t>6</w:t>
      </w:r>
      <w:r>
        <w:rPr>
          <w:rFonts w:hint="eastAsia" w:ascii="宋体" w:hAnsi="宋体"/>
          <w:b/>
          <w:bCs/>
          <w:color w:val="auto"/>
          <w:spacing w:val="4"/>
          <w:sz w:val="24"/>
          <w:highlight w:val="none"/>
        </w:rPr>
        <w:t>根据《政府采购促进中小企业发展管理办法》（财库〔2020〕46号）</w:t>
      </w:r>
      <w:r>
        <w:rPr>
          <w:rFonts w:hint="eastAsia" w:ascii="宋体" w:hAnsi="宋体"/>
          <w:b/>
          <w:bCs/>
          <w:color w:val="auto"/>
          <w:spacing w:val="4"/>
          <w:sz w:val="24"/>
          <w:highlight w:val="none"/>
          <w:lang w:eastAsia="zh-CN"/>
        </w:rPr>
        <w:t>、</w:t>
      </w:r>
      <w:r>
        <w:rPr>
          <w:rFonts w:hint="eastAsia" w:ascii="宋体" w:hAnsi="宋体"/>
          <w:b/>
          <w:bCs/>
          <w:color w:val="auto"/>
          <w:spacing w:val="4"/>
          <w:sz w:val="24"/>
          <w:highlight w:val="none"/>
        </w:rPr>
        <w:t>《关于进一步加大政府采购支持中小企业力度的通知》（财库〔2022〕19号）</w:t>
      </w:r>
      <w:r>
        <w:rPr>
          <w:rFonts w:hint="eastAsia" w:ascii="宋体" w:hAnsi="宋体"/>
          <w:b/>
          <w:bCs/>
          <w:color w:val="auto"/>
          <w:spacing w:val="4"/>
          <w:sz w:val="24"/>
          <w:highlight w:val="none"/>
          <w:lang w:val="en-US" w:eastAsia="zh-CN"/>
        </w:rPr>
        <w:t>及</w:t>
      </w:r>
      <w:r>
        <w:rPr>
          <w:rFonts w:hint="eastAsia" w:ascii="宋体" w:hAnsi="宋体" w:eastAsia="宋体" w:cs="宋体"/>
          <w:b/>
          <w:bCs/>
          <w:color w:val="auto"/>
          <w:kern w:val="0"/>
          <w:sz w:val="24"/>
          <w:szCs w:val="24"/>
          <w:highlight w:val="none"/>
          <w:lang w:val="en-US" w:eastAsia="zh-CN"/>
        </w:rPr>
        <w:t>《陕西省财政厅关于进一步落实政府采购支持中小企业相关政策的通知》（陕财办采〔2023〕3号）</w:t>
      </w:r>
      <w:r>
        <w:rPr>
          <w:rFonts w:hint="eastAsia" w:ascii="宋体" w:hAnsi="宋体"/>
          <w:b/>
          <w:bCs/>
          <w:color w:val="auto"/>
          <w:spacing w:val="4"/>
          <w:sz w:val="24"/>
          <w:highlight w:val="none"/>
        </w:rPr>
        <w:t>文件内容及本项目特点，本项目专门面向中小企业采购，不再享受价格扣除。中小企业参加政府采购活动，应当出具本办法规定的《中小企业声明函》，未提供《中小企业声明函》，按无效</w:t>
      </w:r>
      <w:r>
        <w:rPr>
          <w:rFonts w:hint="eastAsia" w:ascii="宋体" w:hAnsi="宋体"/>
          <w:b/>
          <w:bCs/>
          <w:color w:val="auto"/>
          <w:spacing w:val="4"/>
          <w:sz w:val="24"/>
          <w:highlight w:val="none"/>
          <w:lang w:val="en-US" w:eastAsia="zh-CN"/>
        </w:rPr>
        <w:t>投标</w:t>
      </w:r>
      <w:r>
        <w:rPr>
          <w:rFonts w:hint="eastAsia" w:ascii="宋体" w:hAnsi="宋体"/>
          <w:b/>
          <w:bCs/>
          <w:color w:val="auto"/>
          <w:spacing w:val="4"/>
          <w:sz w:val="24"/>
          <w:highlight w:val="none"/>
        </w:rPr>
        <w:t>处理。</w:t>
      </w:r>
    </w:p>
    <w:p w14:paraId="05B5729C">
      <w:pPr>
        <w:spacing w:line="360" w:lineRule="auto"/>
        <w:ind w:firstLine="496" w:firstLineChars="200"/>
        <w:rPr>
          <w:rFonts w:hint="eastAsia" w:ascii="宋体" w:hAnsi="宋体" w:eastAsia="宋体" w:cs="Times New Roman"/>
          <w:color w:val="auto"/>
          <w:spacing w:val="4"/>
          <w:sz w:val="24"/>
          <w:highlight w:val="none"/>
          <w:lang w:val="en-US" w:eastAsia="zh-CN"/>
        </w:rPr>
      </w:pPr>
      <w:r>
        <w:rPr>
          <w:rFonts w:hint="eastAsia" w:ascii="宋体" w:hAnsi="宋体" w:eastAsia="宋体" w:cs="Times New Roman"/>
          <w:color w:val="auto"/>
          <w:spacing w:val="4"/>
          <w:sz w:val="24"/>
          <w:highlight w:val="none"/>
          <w:lang w:val="en-US" w:eastAsia="zh-CN"/>
        </w:rPr>
        <w:t>2.</w:t>
      </w:r>
      <w:r>
        <w:rPr>
          <w:rFonts w:hint="eastAsia" w:ascii="宋体" w:hAnsi="宋体" w:cs="Times New Roman"/>
          <w:color w:val="auto"/>
          <w:spacing w:val="4"/>
          <w:sz w:val="24"/>
          <w:highlight w:val="none"/>
          <w:lang w:val="en-US" w:eastAsia="zh-CN"/>
        </w:rPr>
        <w:t>7</w:t>
      </w:r>
      <w:r>
        <w:rPr>
          <w:rFonts w:hint="eastAsia" w:ascii="宋体" w:hAnsi="宋体" w:eastAsia="宋体" w:cs="Times New Roman"/>
          <w:color w:val="auto"/>
          <w:spacing w:val="4"/>
          <w:sz w:val="24"/>
          <w:highlight w:val="none"/>
          <w:lang w:val="en-US" w:eastAsia="zh-CN"/>
        </w:rPr>
        <w:t>对</w:t>
      </w:r>
      <w:r>
        <w:rPr>
          <w:rFonts w:hint="eastAsia" w:ascii="宋体" w:hAnsi="宋体" w:cs="Times New Roman"/>
          <w:color w:val="auto"/>
          <w:spacing w:val="4"/>
          <w:sz w:val="24"/>
          <w:highlight w:val="none"/>
          <w:lang w:val="en-US" w:eastAsia="zh-CN"/>
        </w:rPr>
        <w:t>磋商响应</w:t>
      </w:r>
      <w:r>
        <w:rPr>
          <w:rFonts w:hint="eastAsia" w:ascii="宋体" w:hAnsi="宋体" w:eastAsia="宋体" w:cs="Times New Roman"/>
          <w:color w:val="auto"/>
          <w:spacing w:val="4"/>
          <w:sz w:val="24"/>
          <w:highlight w:val="none"/>
          <w:lang w:val="en-US" w:eastAsia="zh-CN"/>
        </w:rPr>
        <w:t>文件进行综合评审。</w:t>
      </w:r>
      <w:r>
        <w:rPr>
          <w:rFonts w:hint="eastAsia" w:ascii="宋体" w:hAnsi="宋体" w:cs="Times New Roman"/>
          <w:color w:val="auto"/>
          <w:spacing w:val="4"/>
          <w:sz w:val="24"/>
          <w:highlight w:val="none"/>
          <w:lang w:val="en-US" w:eastAsia="zh-CN"/>
        </w:rPr>
        <w:t>磋商小组</w:t>
      </w:r>
      <w:r>
        <w:rPr>
          <w:rFonts w:hint="eastAsia" w:ascii="宋体" w:hAnsi="宋体" w:eastAsia="宋体" w:cs="Times New Roman"/>
          <w:color w:val="auto"/>
          <w:spacing w:val="4"/>
          <w:sz w:val="24"/>
          <w:highlight w:val="none"/>
          <w:lang w:val="en-US" w:eastAsia="zh-CN"/>
        </w:rPr>
        <w:t>只对通过资格审查、实质上响应磋商文件要求的磋商响应文件按照综合评分表进行评审打分。</w:t>
      </w:r>
    </w:p>
    <w:p w14:paraId="77BBE613">
      <w:pPr>
        <w:spacing w:line="400" w:lineRule="exact"/>
        <w:jc w:val="center"/>
        <w:rPr>
          <w:rFonts w:hint="eastAsia" w:ascii="宋体" w:hAnsi="宋体"/>
          <w:b/>
          <w:color w:val="auto"/>
          <w:sz w:val="24"/>
          <w:highlight w:val="none"/>
        </w:rPr>
      </w:pPr>
    </w:p>
    <w:p w14:paraId="28D1B897">
      <w:pPr>
        <w:pStyle w:val="9"/>
        <w:rPr>
          <w:rFonts w:hint="eastAsia"/>
          <w:color w:val="auto"/>
        </w:rPr>
      </w:pPr>
    </w:p>
    <w:p w14:paraId="7906D60E">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否决投标条件</w:t>
      </w:r>
    </w:p>
    <w:p w14:paraId="2C0311E4">
      <w:pPr>
        <w:spacing w:line="360" w:lineRule="auto"/>
        <w:ind w:firstLine="498" w:firstLineChars="200"/>
        <w:rPr>
          <w:rFonts w:hint="eastAsia" w:ascii="宋体" w:hAnsi="宋体"/>
          <w:b/>
          <w:bCs/>
          <w:color w:val="auto"/>
          <w:spacing w:val="4"/>
          <w:sz w:val="24"/>
          <w:highlight w:val="none"/>
        </w:rPr>
      </w:pPr>
      <w:r>
        <w:rPr>
          <w:rFonts w:hint="eastAsia" w:ascii="宋体" w:hAnsi="宋体"/>
          <w:b/>
          <w:bCs/>
          <w:color w:val="auto"/>
          <w:spacing w:val="4"/>
          <w:sz w:val="24"/>
          <w:highlight w:val="none"/>
        </w:rPr>
        <w:t>A0.总  则</w:t>
      </w:r>
    </w:p>
    <w:p w14:paraId="7B1FDB96">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rPr>
        <w:t>本附件所集中列示的否决投标条件，是本章“</w:t>
      </w:r>
      <w:r>
        <w:rPr>
          <w:rFonts w:hint="eastAsia" w:ascii="宋体" w:hAnsi="宋体"/>
          <w:color w:val="auto"/>
          <w:spacing w:val="4"/>
          <w:sz w:val="24"/>
          <w:highlight w:val="none"/>
          <w:lang w:val="en-US" w:eastAsia="zh-CN"/>
        </w:rPr>
        <w:t>评审标准</w:t>
      </w:r>
      <w:r>
        <w:rPr>
          <w:rFonts w:hint="eastAsia" w:ascii="宋体" w:hAnsi="宋体"/>
          <w:color w:val="auto"/>
          <w:spacing w:val="4"/>
          <w:sz w:val="24"/>
          <w:highlight w:val="none"/>
        </w:rPr>
        <w:t>”的组成部分，是对本章正文部分所规定的否决投标条件的总结和补充，如果出现相互矛盾的情况，以本章正文部分的规定为准。</w:t>
      </w:r>
    </w:p>
    <w:p w14:paraId="4F6C99F1">
      <w:pPr>
        <w:spacing w:line="360" w:lineRule="auto"/>
        <w:ind w:firstLine="498" w:firstLineChars="200"/>
        <w:rPr>
          <w:rFonts w:hint="eastAsia" w:ascii="宋体" w:hAnsi="宋体"/>
          <w:b/>
          <w:bCs/>
          <w:color w:val="auto"/>
          <w:spacing w:val="4"/>
          <w:sz w:val="24"/>
          <w:highlight w:val="none"/>
        </w:rPr>
      </w:pPr>
      <w:r>
        <w:rPr>
          <w:rFonts w:hint="eastAsia" w:ascii="宋体" w:hAnsi="宋体"/>
          <w:b/>
          <w:bCs/>
          <w:color w:val="auto"/>
          <w:spacing w:val="4"/>
          <w:sz w:val="24"/>
          <w:highlight w:val="none"/>
        </w:rPr>
        <w:t>A1.否决投标条件</w:t>
      </w:r>
    </w:p>
    <w:p w14:paraId="0C27D274">
      <w:pPr>
        <w:spacing w:line="360" w:lineRule="auto"/>
        <w:ind w:firstLine="496" w:firstLineChars="200"/>
        <w:rPr>
          <w:rFonts w:hint="eastAsia" w:ascii="宋体" w:hAnsi="宋体"/>
          <w:color w:val="auto"/>
          <w:spacing w:val="4"/>
          <w:sz w:val="24"/>
          <w:highlight w:val="none"/>
        </w:rPr>
      </w:pPr>
      <w:r>
        <w:rPr>
          <w:rFonts w:hint="eastAsia" w:ascii="宋体" w:hAnsi="宋体"/>
          <w:color w:val="auto"/>
          <w:spacing w:val="4"/>
          <w:sz w:val="24"/>
          <w:highlight w:val="none"/>
          <w:lang w:eastAsia="zh-CN"/>
        </w:rPr>
        <w:t>供应商</w:t>
      </w:r>
      <w:r>
        <w:rPr>
          <w:rFonts w:hint="eastAsia" w:ascii="宋体" w:hAnsi="宋体"/>
          <w:color w:val="auto"/>
          <w:spacing w:val="4"/>
          <w:sz w:val="24"/>
          <w:highlight w:val="none"/>
        </w:rPr>
        <w:t>或其</w:t>
      </w:r>
      <w:r>
        <w:rPr>
          <w:rFonts w:hint="eastAsia" w:ascii="宋体" w:hAnsi="宋体"/>
          <w:color w:val="auto"/>
          <w:spacing w:val="4"/>
          <w:sz w:val="24"/>
          <w:highlight w:val="none"/>
          <w:lang w:val="en-US" w:eastAsia="zh-CN"/>
        </w:rPr>
        <w:t>磋商响应</w:t>
      </w:r>
      <w:r>
        <w:rPr>
          <w:rFonts w:hint="eastAsia" w:ascii="宋体" w:hAnsi="宋体"/>
          <w:color w:val="auto"/>
          <w:spacing w:val="4"/>
          <w:sz w:val="24"/>
          <w:highlight w:val="none"/>
        </w:rPr>
        <w:t>文件有下列情形之一的，否决其投标：</w:t>
      </w:r>
    </w:p>
    <w:p w14:paraId="0EE59A52">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A1.1</w:t>
      </w:r>
      <w:r>
        <w:rPr>
          <w:rFonts w:hint="eastAsia" w:ascii="宋体" w:hAnsi="宋体" w:cs="宋体"/>
          <w:color w:val="auto"/>
          <w:kern w:val="1"/>
          <w:sz w:val="24"/>
          <w:highlight w:val="none"/>
          <w:lang w:val="en-US" w:eastAsia="zh-CN"/>
        </w:rPr>
        <w:t>供应商</w:t>
      </w:r>
      <w:r>
        <w:rPr>
          <w:rFonts w:hint="eastAsia" w:ascii="宋体" w:hAnsi="宋体" w:cs="宋体"/>
          <w:color w:val="auto"/>
          <w:kern w:val="1"/>
          <w:sz w:val="24"/>
          <w:highlight w:val="none"/>
          <w:lang w:eastAsia="zh-CN"/>
        </w:rPr>
        <w:t>的报价均超过</w:t>
      </w:r>
      <w:r>
        <w:rPr>
          <w:rFonts w:hint="eastAsia" w:ascii="宋体" w:hAnsi="宋体" w:cs="宋体"/>
          <w:color w:val="auto"/>
          <w:kern w:val="1"/>
          <w:sz w:val="24"/>
          <w:highlight w:val="none"/>
          <w:lang w:val="en-US" w:eastAsia="zh-CN"/>
        </w:rPr>
        <w:t>最高限价</w:t>
      </w:r>
      <w:r>
        <w:rPr>
          <w:rFonts w:hint="eastAsia" w:ascii="宋体" w:hAnsi="宋体" w:cs="宋体"/>
          <w:color w:val="auto"/>
          <w:kern w:val="1"/>
          <w:sz w:val="24"/>
          <w:highlight w:val="none"/>
          <w:lang w:eastAsia="zh-CN"/>
        </w:rPr>
        <w:t>，采购人不能支付的。</w:t>
      </w:r>
    </w:p>
    <w:p w14:paraId="13D57B1B">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val="en-US" w:eastAsia="zh-CN"/>
        </w:rPr>
        <w:t>A1.2</w:t>
      </w:r>
      <w:r>
        <w:rPr>
          <w:rFonts w:hint="eastAsia" w:ascii="宋体" w:hAnsi="宋体" w:cs="宋体"/>
          <w:color w:val="auto"/>
          <w:kern w:val="1"/>
          <w:sz w:val="24"/>
          <w:highlight w:val="none"/>
          <w:lang w:eastAsia="zh-CN"/>
        </w:rPr>
        <w:t>未按照</w:t>
      </w:r>
      <w:r>
        <w:rPr>
          <w:rFonts w:hint="eastAsia" w:ascii="宋体" w:hAnsi="宋体" w:cs="宋体"/>
          <w:color w:val="auto"/>
          <w:kern w:val="1"/>
          <w:sz w:val="24"/>
          <w:highlight w:val="none"/>
          <w:lang w:val="en-US" w:eastAsia="zh-CN"/>
        </w:rPr>
        <w:t>磋商</w:t>
      </w:r>
      <w:r>
        <w:rPr>
          <w:rFonts w:hint="eastAsia" w:ascii="宋体" w:hAnsi="宋体" w:cs="宋体"/>
          <w:color w:val="auto"/>
          <w:kern w:val="1"/>
          <w:sz w:val="24"/>
          <w:highlight w:val="none"/>
          <w:lang w:eastAsia="zh-CN"/>
        </w:rPr>
        <w:t>文件要求装订、封装的。</w:t>
      </w:r>
    </w:p>
    <w:p w14:paraId="07FF0D50">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A1.3未按磋商文件要求签署、盖章的。</w:t>
      </w:r>
    </w:p>
    <w:p w14:paraId="6F51D2AE">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A1.4在资格评审中，不符合资格审查规定的任何一项评审标准的。</w:t>
      </w:r>
    </w:p>
    <w:p w14:paraId="4D98C5B4">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5</w:t>
      </w:r>
      <w:r>
        <w:rPr>
          <w:rFonts w:hint="eastAsia" w:ascii="宋体" w:hAnsi="宋体" w:cs="宋体"/>
          <w:color w:val="auto"/>
          <w:kern w:val="1"/>
          <w:sz w:val="24"/>
          <w:highlight w:val="none"/>
          <w:lang w:eastAsia="zh-CN"/>
        </w:rPr>
        <w:t>有串通投标或弄虚作假或有其他违法行为的。</w:t>
      </w:r>
    </w:p>
    <w:p w14:paraId="4C60EBA2">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lang w:eastAsia="zh-CN"/>
        </w:rPr>
        <w:t>未按照</w:t>
      </w:r>
      <w:r>
        <w:rPr>
          <w:rFonts w:hint="eastAsia" w:ascii="宋体" w:hAnsi="宋体" w:cs="宋体"/>
          <w:color w:val="auto"/>
          <w:kern w:val="1"/>
          <w:sz w:val="24"/>
          <w:highlight w:val="none"/>
          <w:lang w:val="en-US" w:eastAsia="zh-CN"/>
        </w:rPr>
        <w:t>磋商</w:t>
      </w:r>
      <w:r>
        <w:rPr>
          <w:rFonts w:hint="eastAsia" w:ascii="宋体" w:hAnsi="宋体" w:cs="宋体"/>
          <w:color w:val="auto"/>
          <w:kern w:val="1"/>
          <w:sz w:val="24"/>
          <w:highlight w:val="none"/>
          <w:lang w:eastAsia="zh-CN"/>
        </w:rPr>
        <w:t>文件要求提供</w:t>
      </w:r>
      <w:r>
        <w:rPr>
          <w:rFonts w:hint="eastAsia" w:ascii="宋体" w:hAnsi="宋体" w:cs="宋体"/>
          <w:color w:val="auto"/>
          <w:kern w:val="1"/>
          <w:sz w:val="24"/>
          <w:highlight w:val="none"/>
          <w:lang w:val="en-US" w:eastAsia="zh-CN"/>
        </w:rPr>
        <w:t>磋商响应</w:t>
      </w:r>
      <w:r>
        <w:rPr>
          <w:rFonts w:hint="eastAsia" w:ascii="宋体" w:hAnsi="宋体" w:cs="宋体"/>
          <w:color w:val="auto"/>
          <w:kern w:val="1"/>
          <w:sz w:val="24"/>
          <w:highlight w:val="none"/>
          <w:lang w:eastAsia="zh-CN"/>
        </w:rPr>
        <w:t>文件及电子版份数的。</w:t>
      </w:r>
    </w:p>
    <w:p w14:paraId="79822A76">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7</w:t>
      </w:r>
      <w:r>
        <w:rPr>
          <w:rFonts w:hint="eastAsia" w:ascii="宋体" w:hAnsi="宋体" w:cs="宋体"/>
          <w:color w:val="auto"/>
          <w:kern w:val="1"/>
          <w:sz w:val="24"/>
          <w:highlight w:val="none"/>
          <w:lang w:eastAsia="zh-CN"/>
        </w:rPr>
        <w:t>不能满足采购人</w:t>
      </w:r>
      <w:r>
        <w:rPr>
          <w:rFonts w:hint="eastAsia" w:ascii="宋体" w:hAnsi="宋体" w:cs="宋体"/>
          <w:color w:val="auto"/>
          <w:kern w:val="1"/>
          <w:sz w:val="24"/>
          <w:highlight w:val="none"/>
          <w:lang w:val="en-US" w:eastAsia="zh-CN"/>
        </w:rPr>
        <w:t>服务期限</w:t>
      </w:r>
      <w:r>
        <w:rPr>
          <w:rFonts w:hint="eastAsia" w:ascii="宋体" w:hAnsi="宋体" w:cs="宋体"/>
          <w:color w:val="auto"/>
          <w:kern w:val="1"/>
          <w:sz w:val="24"/>
          <w:highlight w:val="none"/>
          <w:lang w:eastAsia="zh-CN"/>
        </w:rPr>
        <w:t>要求的。</w:t>
      </w:r>
    </w:p>
    <w:p w14:paraId="6882BA92">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8</w:t>
      </w:r>
      <w:r>
        <w:rPr>
          <w:rFonts w:hint="eastAsia" w:ascii="宋体" w:hAnsi="宋体" w:cs="宋体"/>
          <w:color w:val="auto"/>
          <w:kern w:val="1"/>
          <w:sz w:val="24"/>
          <w:highlight w:val="none"/>
          <w:lang w:eastAsia="zh-CN"/>
        </w:rPr>
        <w:t>不按</w:t>
      </w:r>
      <w:r>
        <w:rPr>
          <w:rFonts w:hint="eastAsia" w:ascii="宋体" w:hAnsi="宋体" w:cs="宋体"/>
          <w:color w:val="auto"/>
          <w:kern w:val="1"/>
          <w:sz w:val="24"/>
          <w:highlight w:val="none"/>
          <w:lang w:val="en-US" w:eastAsia="zh-CN"/>
        </w:rPr>
        <w:t>磋商小组</w:t>
      </w:r>
      <w:r>
        <w:rPr>
          <w:rFonts w:hint="eastAsia" w:ascii="宋体" w:hAnsi="宋体" w:cs="宋体"/>
          <w:color w:val="auto"/>
          <w:kern w:val="1"/>
          <w:sz w:val="24"/>
          <w:highlight w:val="none"/>
          <w:lang w:eastAsia="zh-CN"/>
        </w:rPr>
        <w:t>要求澄清、说明或补正的。</w:t>
      </w:r>
    </w:p>
    <w:p w14:paraId="2D1BA26F">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9</w:t>
      </w:r>
      <w:r>
        <w:rPr>
          <w:rFonts w:hint="eastAsia" w:ascii="宋体" w:hAnsi="宋体"/>
          <w:color w:val="auto"/>
          <w:spacing w:val="4"/>
          <w:sz w:val="24"/>
          <w:highlight w:val="none"/>
        </w:rPr>
        <w:t>在</w:t>
      </w:r>
      <w:r>
        <w:rPr>
          <w:rFonts w:hint="eastAsia" w:ascii="宋体" w:hAnsi="宋体"/>
          <w:color w:val="auto"/>
          <w:spacing w:val="4"/>
          <w:sz w:val="24"/>
          <w:highlight w:val="none"/>
          <w:lang w:val="en-US" w:eastAsia="zh-CN"/>
        </w:rPr>
        <w:t>符合性审查</w:t>
      </w:r>
      <w:r>
        <w:rPr>
          <w:rFonts w:hint="eastAsia" w:ascii="宋体" w:hAnsi="宋体"/>
          <w:color w:val="auto"/>
          <w:spacing w:val="4"/>
          <w:sz w:val="24"/>
          <w:highlight w:val="none"/>
        </w:rPr>
        <w:t>中，不符合符合性</w:t>
      </w:r>
      <w:r>
        <w:rPr>
          <w:rFonts w:hint="eastAsia" w:ascii="宋体" w:hAnsi="宋体"/>
          <w:color w:val="auto"/>
          <w:spacing w:val="4"/>
          <w:sz w:val="24"/>
          <w:highlight w:val="none"/>
          <w:lang w:val="en-US" w:eastAsia="zh-CN"/>
        </w:rPr>
        <w:t>审查表</w:t>
      </w:r>
      <w:r>
        <w:rPr>
          <w:rFonts w:hint="eastAsia" w:ascii="宋体" w:hAnsi="宋体"/>
          <w:color w:val="auto"/>
          <w:spacing w:val="4"/>
          <w:sz w:val="24"/>
          <w:highlight w:val="none"/>
        </w:rPr>
        <w:t>中规定的任何一项评审标准的</w:t>
      </w:r>
      <w:r>
        <w:rPr>
          <w:rFonts w:hint="eastAsia" w:ascii="宋体" w:hAnsi="宋体" w:cs="宋体"/>
          <w:color w:val="auto"/>
          <w:kern w:val="1"/>
          <w:sz w:val="24"/>
          <w:highlight w:val="none"/>
          <w:lang w:eastAsia="zh-CN"/>
        </w:rPr>
        <w:t>。</w:t>
      </w:r>
    </w:p>
    <w:p w14:paraId="1973CBC9">
      <w:pPr>
        <w:pageBreakBefore w:val="0"/>
        <w:widowControl w:val="0"/>
        <w:kinsoku/>
        <w:wordWrap/>
        <w:overflowPunct/>
        <w:topLinePunct w:val="0"/>
        <w:autoSpaceDE/>
        <w:autoSpaceDN/>
        <w:bidi w:val="0"/>
        <w:adjustRightInd/>
        <w:snapToGrid/>
        <w:spacing w:line="348"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10磋商响应</w:t>
      </w:r>
      <w:r>
        <w:rPr>
          <w:rFonts w:hint="eastAsia" w:ascii="宋体" w:hAnsi="宋体" w:cs="宋体"/>
          <w:color w:val="auto"/>
          <w:kern w:val="1"/>
          <w:sz w:val="24"/>
          <w:highlight w:val="none"/>
          <w:lang w:eastAsia="zh-CN"/>
        </w:rPr>
        <w:t>文件完整性不符合磋商文件规定的投标。</w:t>
      </w:r>
    </w:p>
    <w:p w14:paraId="290A6054">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11供应商</w:t>
      </w:r>
      <w:r>
        <w:rPr>
          <w:rFonts w:hint="eastAsia" w:ascii="宋体" w:hAnsi="宋体" w:cs="宋体"/>
          <w:color w:val="auto"/>
          <w:kern w:val="1"/>
          <w:sz w:val="24"/>
          <w:highlight w:val="none"/>
          <w:lang w:eastAsia="zh-CN"/>
        </w:rPr>
        <w:t>递交两份或多份内容不同的</w:t>
      </w:r>
      <w:r>
        <w:rPr>
          <w:rFonts w:hint="eastAsia" w:ascii="宋体" w:hAnsi="宋体" w:cs="宋体"/>
          <w:color w:val="auto"/>
          <w:kern w:val="1"/>
          <w:sz w:val="24"/>
          <w:highlight w:val="none"/>
          <w:lang w:val="en-US" w:eastAsia="zh-CN"/>
        </w:rPr>
        <w:t>磋商响应</w:t>
      </w:r>
      <w:r>
        <w:rPr>
          <w:rFonts w:hint="eastAsia" w:ascii="宋体" w:hAnsi="宋体" w:cs="宋体"/>
          <w:color w:val="auto"/>
          <w:kern w:val="1"/>
          <w:sz w:val="24"/>
          <w:highlight w:val="none"/>
          <w:lang w:eastAsia="zh-CN"/>
        </w:rPr>
        <w:t>文件，或在一份</w:t>
      </w:r>
      <w:r>
        <w:rPr>
          <w:rFonts w:hint="eastAsia" w:ascii="宋体" w:hAnsi="宋体" w:cs="宋体"/>
          <w:color w:val="auto"/>
          <w:kern w:val="1"/>
          <w:sz w:val="24"/>
          <w:highlight w:val="none"/>
          <w:lang w:val="en-US" w:eastAsia="zh-CN"/>
        </w:rPr>
        <w:t>磋商响应</w:t>
      </w:r>
      <w:r>
        <w:rPr>
          <w:rFonts w:hint="eastAsia" w:ascii="宋体" w:hAnsi="宋体" w:cs="宋体"/>
          <w:color w:val="auto"/>
          <w:kern w:val="1"/>
          <w:sz w:val="24"/>
          <w:highlight w:val="none"/>
          <w:lang w:eastAsia="zh-CN"/>
        </w:rPr>
        <w:t>文件中对同一招标项目有两个或多个报价的。</w:t>
      </w:r>
    </w:p>
    <w:p w14:paraId="7652F4EC">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r>
        <w:rPr>
          <w:rFonts w:hint="eastAsia" w:ascii="宋体" w:hAnsi="宋体" w:cs="宋体"/>
          <w:color w:val="auto"/>
          <w:kern w:val="1"/>
          <w:sz w:val="24"/>
          <w:highlight w:val="none"/>
          <w:lang w:eastAsia="zh-CN"/>
        </w:rPr>
        <w:t>。</w:t>
      </w:r>
    </w:p>
    <w:p w14:paraId="4FBF6A2D">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13供应商未实质性响应磋商</w:t>
      </w:r>
      <w:r>
        <w:rPr>
          <w:rFonts w:hint="eastAsia" w:ascii="宋体" w:hAnsi="宋体" w:cs="宋体"/>
          <w:color w:val="auto"/>
          <w:kern w:val="1"/>
          <w:sz w:val="24"/>
          <w:highlight w:val="none"/>
          <w:lang w:eastAsia="zh-CN"/>
        </w:rPr>
        <w:t>文件</w:t>
      </w:r>
      <w:r>
        <w:rPr>
          <w:rFonts w:hint="eastAsia" w:ascii="宋体" w:hAnsi="宋体" w:cs="宋体"/>
          <w:color w:val="auto"/>
          <w:kern w:val="1"/>
          <w:sz w:val="24"/>
          <w:highlight w:val="none"/>
          <w:lang w:val="en-US" w:eastAsia="zh-CN"/>
        </w:rPr>
        <w:t>服务内容要求</w:t>
      </w:r>
      <w:r>
        <w:rPr>
          <w:rFonts w:hint="eastAsia" w:ascii="宋体" w:hAnsi="宋体" w:cs="宋体"/>
          <w:color w:val="auto"/>
          <w:kern w:val="1"/>
          <w:sz w:val="24"/>
          <w:highlight w:val="none"/>
          <w:lang w:eastAsia="zh-CN"/>
        </w:rPr>
        <w:t>的投标。</w:t>
      </w:r>
    </w:p>
    <w:p w14:paraId="0E2520FE">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val="en-US" w:eastAsia="zh-CN"/>
        </w:rPr>
        <w:t>A1.14</w:t>
      </w:r>
      <w:r>
        <w:rPr>
          <w:rFonts w:hint="eastAsia" w:ascii="宋体" w:hAnsi="宋体" w:cs="宋体"/>
          <w:color w:val="auto"/>
          <w:kern w:val="1"/>
          <w:sz w:val="24"/>
          <w:highlight w:val="none"/>
          <w:lang w:eastAsia="zh-CN"/>
        </w:rPr>
        <w:t>其他经</w:t>
      </w:r>
      <w:r>
        <w:rPr>
          <w:rFonts w:hint="eastAsia" w:ascii="宋体" w:hAnsi="宋体" w:cs="宋体"/>
          <w:color w:val="auto"/>
          <w:kern w:val="1"/>
          <w:sz w:val="24"/>
          <w:highlight w:val="none"/>
          <w:lang w:val="en-US" w:eastAsia="zh-CN"/>
        </w:rPr>
        <w:t>磋商小组</w:t>
      </w:r>
      <w:r>
        <w:rPr>
          <w:rFonts w:hint="eastAsia" w:ascii="宋体" w:hAnsi="宋体" w:cs="宋体"/>
          <w:color w:val="auto"/>
          <w:kern w:val="1"/>
          <w:sz w:val="24"/>
          <w:highlight w:val="none"/>
          <w:lang w:eastAsia="zh-CN"/>
        </w:rPr>
        <w:t>确认的未能实质性响应</w:t>
      </w:r>
      <w:r>
        <w:rPr>
          <w:rFonts w:hint="eastAsia" w:ascii="宋体" w:hAnsi="宋体" w:cs="宋体"/>
          <w:color w:val="auto"/>
          <w:kern w:val="1"/>
          <w:sz w:val="24"/>
          <w:highlight w:val="none"/>
          <w:lang w:val="en-US" w:eastAsia="zh-CN"/>
        </w:rPr>
        <w:t>磋商</w:t>
      </w:r>
      <w:r>
        <w:rPr>
          <w:rFonts w:hint="eastAsia" w:ascii="宋体" w:hAnsi="宋体" w:cs="宋体"/>
          <w:color w:val="auto"/>
          <w:kern w:val="1"/>
          <w:sz w:val="24"/>
          <w:highlight w:val="none"/>
          <w:lang w:eastAsia="zh-CN"/>
        </w:rPr>
        <w:t>文件要求的投标。</w:t>
      </w:r>
    </w:p>
    <w:p w14:paraId="37A3E550">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15含有采购人不能接受的附加条件的。</w:t>
      </w:r>
    </w:p>
    <w:p w14:paraId="03C69F21">
      <w:pPr>
        <w:keepNext w:val="0"/>
        <w:keepLines w:val="0"/>
        <w:pageBreakBefore w:val="0"/>
        <w:widowControl w:val="0"/>
        <w:kinsoku/>
        <w:wordWrap/>
        <w:overflowPunct/>
        <w:topLinePunct w:val="0"/>
        <w:autoSpaceDE/>
        <w:autoSpaceDN/>
        <w:bidi w:val="0"/>
        <w:adjustRightInd/>
        <w:snapToGrid/>
        <w:spacing w:line="324" w:lineRule="auto"/>
        <w:ind w:firstLine="600" w:firstLineChars="250"/>
        <w:textAlignment w:val="auto"/>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eastAsia="zh-CN"/>
        </w:rPr>
        <w:t>A1.</w:t>
      </w:r>
      <w:r>
        <w:rPr>
          <w:rFonts w:hint="eastAsia" w:ascii="宋体" w:hAnsi="宋体" w:cs="宋体"/>
          <w:color w:val="auto"/>
          <w:kern w:val="1"/>
          <w:sz w:val="24"/>
          <w:highlight w:val="none"/>
          <w:lang w:val="en-US" w:eastAsia="zh-CN"/>
        </w:rPr>
        <w:t>16</w:t>
      </w:r>
      <w:r>
        <w:rPr>
          <w:rFonts w:hint="eastAsia" w:ascii="宋体" w:hAnsi="宋体" w:cs="宋体"/>
          <w:color w:val="auto"/>
          <w:kern w:val="1"/>
          <w:sz w:val="24"/>
          <w:highlight w:val="none"/>
          <w:lang w:eastAsia="zh-CN"/>
        </w:rPr>
        <w:t>法律、法规及行业有规定的其他情形。</w:t>
      </w:r>
    </w:p>
    <w:p w14:paraId="19C64D58">
      <w:pPr>
        <w:keepNext w:val="0"/>
        <w:keepLines w:val="0"/>
        <w:pageBreakBefore w:val="0"/>
        <w:widowControl w:val="0"/>
        <w:kinsoku/>
        <w:wordWrap/>
        <w:overflowPunct/>
        <w:topLinePunct w:val="0"/>
        <w:autoSpaceDE/>
        <w:autoSpaceDN/>
        <w:bidi w:val="0"/>
        <w:adjustRightInd/>
        <w:snapToGrid/>
        <w:spacing w:line="324" w:lineRule="auto"/>
        <w:ind w:firstLine="498" w:firstLineChars="200"/>
        <w:textAlignment w:val="auto"/>
        <w:rPr>
          <w:rFonts w:hint="eastAsia" w:ascii="宋体" w:hAnsi="宋体"/>
          <w:b/>
          <w:bCs/>
          <w:color w:val="auto"/>
          <w:spacing w:val="4"/>
          <w:sz w:val="24"/>
          <w:highlight w:val="none"/>
        </w:rPr>
      </w:pPr>
      <w:r>
        <w:rPr>
          <w:rFonts w:hint="eastAsia" w:ascii="宋体" w:hAnsi="宋体"/>
          <w:b/>
          <w:bCs/>
          <w:color w:val="auto"/>
          <w:spacing w:val="4"/>
          <w:sz w:val="24"/>
          <w:highlight w:val="none"/>
        </w:rPr>
        <w:t>A2.串通投标</w:t>
      </w:r>
    </w:p>
    <w:p w14:paraId="51BBA5D8">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rPr>
      </w:pPr>
      <w:r>
        <w:rPr>
          <w:rFonts w:hint="eastAsia" w:ascii="宋体" w:hAnsi="宋体"/>
          <w:color w:val="auto"/>
          <w:sz w:val="24"/>
          <w:lang w:val="en-US" w:eastAsia="zh-CN"/>
        </w:rPr>
        <w:t>A2.1</w:t>
      </w:r>
      <w:r>
        <w:rPr>
          <w:rFonts w:hint="eastAsia" w:ascii="宋体" w:hAnsi="宋体"/>
          <w:color w:val="auto"/>
          <w:sz w:val="24"/>
        </w:rPr>
        <w:t>有下列情形之一的，属于</w:t>
      </w:r>
      <w:r>
        <w:rPr>
          <w:rFonts w:hint="eastAsia" w:ascii="宋体" w:hAnsi="宋体"/>
          <w:color w:val="auto"/>
          <w:sz w:val="24"/>
          <w:lang w:val="en-US" w:eastAsia="zh-CN"/>
        </w:rPr>
        <w:t>供应商</w:t>
      </w:r>
      <w:r>
        <w:rPr>
          <w:rFonts w:hint="eastAsia" w:ascii="宋体" w:hAnsi="宋体"/>
          <w:color w:val="auto"/>
          <w:sz w:val="24"/>
        </w:rPr>
        <w:t>相互串通投标：</w:t>
      </w:r>
    </w:p>
    <w:p w14:paraId="10C89AE3">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①</w:t>
      </w:r>
      <w:r>
        <w:rPr>
          <w:rFonts w:hint="eastAsia" w:ascii="宋体" w:hAnsi="宋体"/>
          <w:color w:val="auto"/>
          <w:sz w:val="24"/>
          <w:highlight w:val="none"/>
          <w:lang w:val="en-US" w:eastAsia="zh-CN"/>
        </w:rPr>
        <w:t>供应商</w:t>
      </w:r>
      <w:r>
        <w:rPr>
          <w:rFonts w:hint="eastAsia" w:ascii="宋体" w:hAnsi="宋体"/>
          <w:color w:val="auto"/>
          <w:sz w:val="24"/>
          <w:highlight w:val="none"/>
        </w:rPr>
        <w:t>之间协商</w:t>
      </w:r>
      <w:r>
        <w:rPr>
          <w:rFonts w:hint="eastAsia" w:ascii="宋体" w:hAnsi="宋体"/>
          <w:color w:val="auto"/>
          <w:sz w:val="24"/>
          <w:highlight w:val="none"/>
          <w:lang w:val="en-US" w:eastAsia="zh-CN"/>
        </w:rPr>
        <w:t>磋商</w:t>
      </w:r>
      <w:r>
        <w:rPr>
          <w:rFonts w:hint="eastAsia" w:ascii="宋体" w:hAnsi="宋体"/>
          <w:color w:val="auto"/>
          <w:sz w:val="24"/>
          <w:highlight w:val="none"/>
        </w:rPr>
        <w:t>报价等</w:t>
      </w:r>
      <w:r>
        <w:rPr>
          <w:rFonts w:hint="eastAsia" w:ascii="宋体" w:hAnsi="宋体"/>
          <w:color w:val="auto"/>
          <w:sz w:val="24"/>
          <w:highlight w:val="none"/>
          <w:lang w:val="en-US" w:eastAsia="zh-CN"/>
        </w:rPr>
        <w:t>磋商响应</w:t>
      </w:r>
      <w:r>
        <w:rPr>
          <w:rFonts w:hint="eastAsia" w:ascii="宋体" w:hAnsi="宋体"/>
          <w:color w:val="auto"/>
          <w:sz w:val="24"/>
          <w:highlight w:val="none"/>
          <w:lang w:eastAsia="zh-CN"/>
        </w:rPr>
        <w:t>文件</w:t>
      </w:r>
      <w:r>
        <w:rPr>
          <w:rFonts w:hint="eastAsia" w:ascii="宋体" w:hAnsi="宋体"/>
          <w:color w:val="auto"/>
          <w:sz w:val="24"/>
          <w:highlight w:val="none"/>
        </w:rPr>
        <w:t>的实质性内容；</w:t>
      </w:r>
    </w:p>
    <w:p w14:paraId="3A2C0921">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②</w:t>
      </w:r>
      <w:r>
        <w:rPr>
          <w:rFonts w:hint="eastAsia" w:ascii="宋体" w:hAnsi="宋体"/>
          <w:color w:val="auto"/>
          <w:sz w:val="24"/>
          <w:highlight w:val="none"/>
          <w:lang w:val="en-US" w:eastAsia="zh-CN"/>
        </w:rPr>
        <w:t>供应商</w:t>
      </w:r>
      <w:r>
        <w:rPr>
          <w:rFonts w:hint="eastAsia" w:ascii="宋体" w:hAnsi="宋体"/>
          <w:color w:val="auto"/>
          <w:sz w:val="24"/>
          <w:highlight w:val="none"/>
        </w:rPr>
        <w:t>之间约定</w:t>
      </w:r>
      <w:r>
        <w:rPr>
          <w:rFonts w:hint="eastAsia" w:ascii="宋体" w:hAnsi="宋体"/>
          <w:color w:val="auto"/>
          <w:sz w:val="24"/>
          <w:highlight w:val="none"/>
          <w:lang w:val="en-US" w:eastAsia="zh-CN"/>
        </w:rPr>
        <w:t>成交供应商</w:t>
      </w:r>
      <w:r>
        <w:rPr>
          <w:rFonts w:hint="eastAsia" w:ascii="宋体" w:hAnsi="宋体"/>
          <w:color w:val="auto"/>
          <w:sz w:val="24"/>
          <w:highlight w:val="none"/>
        </w:rPr>
        <w:t>；</w:t>
      </w:r>
    </w:p>
    <w:p w14:paraId="7DAFE741">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③</w:t>
      </w:r>
      <w:r>
        <w:rPr>
          <w:rFonts w:hint="eastAsia" w:ascii="宋体" w:hAnsi="宋体"/>
          <w:color w:val="auto"/>
          <w:sz w:val="24"/>
          <w:highlight w:val="none"/>
          <w:lang w:val="en-US" w:eastAsia="zh-CN"/>
        </w:rPr>
        <w:t>供应商</w:t>
      </w:r>
      <w:r>
        <w:rPr>
          <w:rFonts w:hint="eastAsia" w:ascii="宋体" w:hAnsi="宋体"/>
          <w:color w:val="auto"/>
          <w:sz w:val="24"/>
          <w:highlight w:val="none"/>
        </w:rPr>
        <w:t>之间约定部分</w:t>
      </w:r>
      <w:r>
        <w:rPr>
          <w:rFonts w:hint="eastAsia" w:ascii="宋体" w:hAnsi="宋体"/>
          <w:color w:val="auto"/>
          <w:sz w:val="24"/>
          <w:highlight w:val="none"/>
          <w:lang w:val="en-US" w:eastAsia="zh-CN"/>
        </w:rPr>
        <w:t>供应商</w:t>
      </w:r>
      <w:r>
        <w:rPr>
          <w:rFonts w:hint="eastAsia" w:ascii="宋体" w:hAnsi="宋体"/>
          <w:color w:val="auto"/>
          <w:sz w:val="24"/>
          <w:highlight w:val="none"/>
        </w:rPr>
        <w:t>放弃投标或者中标；</w:t>
      </w:r>
    </w:p>
    <w:p w14:paraId="62107C46">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④属于同一集团、协会、商会等组织成员的</w:t>
      </w:r>
      <w:r>
        <w:rPr>
          <w:rFonts w:hint="eastAsia" w:ascii="宋体" w:hAnsi="宋体"/>
          <w:color w:val="auto"/>
          <w:sz w:val="24"/>
          <w:highlight w:val="none"/>
          <w:lang w:val="en-US" w:eastAsia="zh-CN"/>
        </w:rPr>
        <w:t>供应商</w:t>
      </w:r>
      <w:r>
        <w:rPr>
          <w:rFonts w:hint="eastAsia" w:ascii="宋体" w:hAnsi="宋体"/>
          <w:color w:val="auto"/>
          <w:sz w:val="24"/>
          <w:highlight w:val="none"/>
        </w:rPr>
        <w:t>按照该组织要求协同投标；</w:t>
      </w:r>
    </w:p>
    <w:p w14:paraId="3A5DCB2E">
      <w:pPr>
        <w:keepNext w:val="0"/>
        <w:keepLines w:val="0"/>
        <w:pageBreakBefore w:val="0"/>
        <w:widowControl w:val="0"/>
        <w:kinsoku/>
        <w:wordWrap/>
        <w:overflowPunct/>
        <w:topLinePunct w:val="0"/>
        <w:autoSpaceDE/>
        <w:autoSpaceDN/>
        <w:bidi w:val="0"/>
        <w:adjustRightInd/>
        <w:snapToGrid/>
        <w:spacing w:line="324" w:lineRule="auto"/>
        <w:ind w:left="479" w:leftChars="228" w:firstLine="0" w:firstLineChars="0"/>
        <w:textAlignment w:val="auto"/>
        <w:rPr>
          <w:rFonts w:hint="eastAsia" w:ascii="宋体" w:hAnsi="宋体"/>
          <w:color w:val="auto"/>
          <w:sz w:val="24"/>
        </w:rPr>
      </w:pPr>
      <w:r>
        <w:rPr>
          <w:rFonts w:hint="eastAsia" w:ascii="宋体" w:hAnsi="宋体"/>
          <w:color w:val="auto"/>
          <w:sz w:val="24"/>
        </w:rPr>
        <w:t>⑤</w:t>
      </w:r>
      <w:r>
        <w:rPr>
          <w:rFonts w:hint="eastAsia" w:ascii="宋体" w:hAnsi="宋体"/>
          <w:color w:val="auto"/>
          <w:sz w:val="24"/>
          <w:lang w:val="en-US" w:eastAsia="zh-CN"/>
        </w:rPr>
        <w:t>供应商</w:t>
      </w:r>
      <w:r>
        <w:rPr>
          <w:rFonts w:hint="eastAsia" w:ascii="宋体" w:hAnsi="宋体"/>
          <w:color w:val="auto"/>
          <w:sz w:val="24"/>
        </w:rPr>
        <w:t>之间为谋取中标或者排斥特定</w:t>
      </w:r>
      <w:r>
        <w:rPr>
          <w:rFonts w:hint="eastAsia" w:ascii="宋体" w:hAnsi="宋体"/>
          <w:color w:val="auto"/>
          <w:sz w:val="24"/>
          <w:lang w:val="en-US" w:eastAsia="zh-CN"/>
        </w:rPr>
        <w:t>供应商</w:t>
      </w:r>
      <w:r>
        <w:rPr>
          <w:rFonts w:hint="eastAsia" w:ascii="宋体" w:hAnsi="宋体"/>
          <w:color w:val="auto"/>
          <w:sz w:val="24"/>
        </w:rPr>
        <w:t>而采取的其他联合行动。</w:t>
      </w:r>
    </w:p>
    <w:p w14:paraId="4D953BEB">
      <w:pPr>
        <w:keepNext w:val="0"/>
        <w:keepLines w:val="0"/>
        <w:pageBreakBefore w:val="0"/>
        <w:widowControl w:val="0"/>
        <w:kinsoku/>
        <w:wordWrap/>
        <w:overflowPunct/>
        <w:topLinePunct w:val="0"/>
        <w:autoSpaceDE/>
        <w:autoSpaceDN/>
        <w:bidi w:val="0"/>
        <w:adjustRightInd/>
        <w:snapToGrid/>
        <w:spacing w:line="324" w:lineRule="auto"/>
        <w:ind w:left="479" w:leftChars="228" w:firstLine="0" w:firstLineChars="0"/>
        <w:textAlignment w:val="auto"/>
        <w:rPr>
          <w:rFonts w:hint="eastAsia" w:ascii="宋体" w:hAnsi="宋体"/>
          <w:color w:val="auto"/>
          <w:sz w:val="24"/>
        </w:rPr>
      </w:pPr>
      <w:r>
        <w:rPr>
          <w:rFonts w:hint="eastAsia" w:ascii="宋体" w:hAnsi="宋体"/>
          <w:color w:val="auto"/>
          <w:sz w:val="24"/>
          <w:lang w:val="en-US" w:eastAsia="zh-CN"/>
        </w:rPr>
        <w:t>A2.2</w:t>
      </w:r>
      <w:r>
        <w:rPr>
          <w:rFonts w:hint="eastAsia" w:ascii="宋体" w:hAnsi="宋体"/>
          <w:color w:val="auto"/>
          <w:sz w:val="24"/>
        </w:rPr>
        <w:t>有下列情形之一的，视为</w:t>
      </w:r>
      <w:r>
        <w:rPr>
          <w:rFonts w:hint="eastAsia" w:ascii="宋体" w:hAnsi="宋体"/>
          <w:color w:val="auto"/>
          <w:sz w:val="24"/>
          <w:lang w:val="en-US" w:eastAsia="zh-CN"/>
        </w:rPr>
        <w:t>供应商</w:t>
      </w:r>
      <w:r>
        <w:rPr>
          <w:rFonts w:hint="eastAsia" w:ascii="宋体" w:hAnsi="宋体"/>
          <w:color w:val="auto"/>
          <w:sz w:val="24"/>
        </w:rPr>
        <w:t>相互串通投标：</w:t>
      </w:r>
    </w:p>
    <w:p w14:paraId="172FA294">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rPr>
      </w:pPr>
      <w:r>
        <w:rPr>
          <w:rFonts w:hint="eastAsia" w:ascii="宋体" w:hAnsi="宋体"/>
          <w:color w:val="auto"/>
          <w:sz w:val="24"/>
        </w:rPr>
        <w:t>①不同</w:t>
      </w:r>
      <w:r>
        <w:rPr>
          <w:rFonts w:hint="eastAsia" w:ascii="宋体" w:hAnsi="宋体"/>
          <w:color w:val="auto"/>
          <w:sz w:val="24"/>
          <w:lang w:val="en-US" w:eastAsia="zh-CN"/>
        </w:rPr>
        <w:t>供应商</w:t>
      </w:r>
      <w:r>
        <w:rPr>
          <w:rFonts w:hint="eastAsia" w:ascii="宋体" w:hAnsi="宋体"/>
          <w:color w:val="auto"/>
          <w:sz w:val="24"/>
        </w:rPr>
        <w:t>的</w:t>
      </w:r>
      <w:r>
        <w:rPr>
          <w:rFonts w:hint="eastAsia" w:ascii="宋体" w:hAnsi="宋体"/>
          <w:color w:val="auto"/>
          <w:sz w:val="24"/>
          <w:lang w:val="en-US" w:eastAsia="zh-CN"/>
        </w:rPr>
        <w:t>磋商响应</w:t>
      </w:r>
      <w:r>
        <w:rPr>
          <w:rFonts w:hint="eastAsia" w:ascii="宋体" w:hAnsi="宋体"/>
          <w:color w:val="auto"/>
          <w:sz w:val="24"/>
        </w:rPr>
        <w:t>文件由同一单位或者个人编制；</w:t>
      </w:r>
    </w:p>
    <w:p w14:paraId="26E0BCE2">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rPr>
      </w:pPr>
      <w:r>
        <w:rPr>
          <w:rFonts w:hint="eastAsia" w:ascii="宋体" w:hAnsi="宋体"/>
          <w:color w:val="auto"/>
          <w:sz w:val="24"/>
        </w:rPr>
        <w:t>②不同</w:t>
      </w:r>
      <w:r>
        <w:rPr>
          <w:rFonts w:hint="eastAsia" w:ascii="宋体" w:hAnsi="宋体"/>
          <w:color w:val="auto"/>
          <w:sz w:val="24"/>
          <w:lang w:val="en-US" w:eastAsia="zh-CN"/>
        </w:rPr>
        <w:t>供应商</w:t>
      </w:r>
      <w:r>
        <w:rPr>
          <w:rFonts w:hint="eastAsia" w:ascii="宋体" w:hAnsi="宋体"/>
          <w:color w:val="auto"/>
          <w:sz w:val="24"/>
        </w:rPr>
        <w:t>委托同一单位或者个人办理投标事宜；</w:t>
      </w:r>
    </w:p>
    <w:p w14:paraId="467EE026">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auto"/>
          <w:sz w:val="24"/>
        </w:rPr>
      </w:pPr>
      <w:r>
        <w:rPr>
          <w:rFonts w:hint="eastAsia" w:ascii="宋体" w:hAnsi="宋体"/>
          <w:color w:val="auto"/>
          <w:sz w:val="24"/>
        </w:rPr>
        <w:t>③不同</w:t>
      </w:r>
      <w:r>
        <w:rPr>
          <w:rFonts w:hint="eastAsia" w:ascii="宋体" w:hAnsi="宋体"/>
          <w:color w:val="auto"/>
          <w:sz w:val="24"/>
          <w:lang w:val="en-US" w:eastAsia="zh-CN"/>
        </w:rPr>
        <w:t>供应商</w:t>
      </w:r>
      <w:r>
        <w:rPr>
          <w:rFonts w:hint="eastAsia" w:ascii="宋体" w:hAnsi="宋体"/>
          <w:color w:val="auto"/>
          <w:sz w:val="24"/>
        </w:rPr>
        <w:t>的</w:t>
      </w:r>
      <w:r>
        <w:rPr>
          <w:rFonts w:hint="eastAsia" w:ascii="宋体" w:hAnsi="宋体"/>
          <w:color w:val="auto"/>
          <w:sz w:val="24"/>
          <w:lang w:val="en-US" w:eastAsia="zh-CN"/>
        </w:rPr>
        <w:t>磋商响应</w:t>
      </w:r>
      <w:r>
        <w:rPr>
          <w:rFonts w:hint="eastAsia" w:ascii="宋体" w:hAnsi="宋体"/>
          <w:color w:val="auto"/>
          <w:sz w:val="24"/>
        </w:rPr>
        <w:t>文件载明的项目管理成员</w:t>
      </w:r>
      <w:r>
        <w:rPr>
          <w:rFonts w:hint="eastAsia" w:ascii="宋体" w:hAnsi="宋体"/>
          <w:color w:val="auto"/>
          <w:sz w:val="24"/>
          <w:lang w:val="en-US" w:eastAsia="zh-CN"/>
        </w:rPr>
        <w:t>或者联系人员为同一人</w:t>
      </w:r>
      <w:r>
        <w:rPr>
          <w:rFonts w:hint="eastAsia" w:ascii="宋体" w:hAnsi="宋体"/>
          <w:color w:val="auto"/>
          <w:sz w:val="24"/>
        </w:rPr>
        <w:t>；</w:t>
      </w:r>
    </w:p>
    <w:p w14:paraId="072A24EF">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④不同</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的</w:t>
      </w:r>
      <w:r>
        <w:rPr>
          <w:rFonts w:hint="eastAsia" w:ascii="宋体" w:hAnsi="宋体" w:eastAsia="宋体"/>
          <w:color w:val="auto"/>
          <w:sz w:val="24"/>
          <w:highlight w:val="none"/>
          <w:lang w:val="en-US" w:eastAsia="zh-CN"/>
        </w:rPr>
        <w:t>磋商响应</w:t>
      </w:r>
      <w:r>
        <w:rPr>
          <w:rFonts w:hint="eastAsia" w:ascii="宋体" w:hAnsi="宋体" w:eastAsia="宋体"/>
          <w:color w:val="auto"/>
          <w:sz w:val="24"/>
          <w:highlight w:val="none"/>
        </w:rPr>
        <w:t>文件异常一致或者投标报价呈规律性差异；</w:t>
      </w:r>
    </w:p>
    <w:p w14:paraId="4C80939A">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⑤不同</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的</w:t>
      </w:r>
      <w:r>
        <w:rPr>
          <w:rFonts w:hint="eastAsia" w:ascii="宋体" w:hAnsi="宋体" w:eastAsia="宋体"/>
          <w:color w:val="auto"/>
          <w:sz w:val="24"/>
          <w:highlight w:val="none"/>
          <w:lang w:val="en-US" w:eastAsia="zh-CN"/>
        </w:rPr>
        <w:t>磋商响应</w:t>
      </w:r>
      <w:r>
        <w:rPr>
          <w:rFonts w:hint="eastAsia" w:ascii="宋体" w:hAnsi="宋体" w:eastAsia="宋体"/>
          <w:color w:val="auto"/>
          <w:sz w:val="24"/>
          <w:highlight w:val="none"/>
        </w:rPr>
        <w:t>文件相互混装；</w:t>
      </w:r>
    </w:p>
    <w:p w14:paraId="3D159B68">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⑥不同</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的</w:t>
      </w:r>
      <w:r>
        <w:rPr>
          <w:rFonts w:hint="eastAsia" w:ascii="宋体" w:hAnsi="宋体" w:eastAsia="宋体"/>
          <w:color w:val="auto"/>
          <w:sz w:val="24"/>
          <w:highlight w:val="none"/>
          <w:lang w:eastAsia="zh-CN"/>
        </w:rPr>
        <w:t>磋商保证金</w:t>
      </w:r>
      <w:r>
        <w:rPr>
          <w:rFonts w:hint="eastAsia" w:ascii="宋体" w:hAnsi="宋体" w:eastAsia="宋体"/>
          <w:color w:val="auto"/>
          <w:sz w:val="24"/>
          <w:highlight w:val="none"/>
        </w:rPr>
        <w:t>从同一单位或者个人的账户转出。</w:t>
      </w:r>
    </w:p>
    <w:p w14:paraId="098BF284">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⑦不同供应商的磋商响应文件由同一电脑编制、上传或出自同一电子文档。</w:t>
      </w:r>
    </w:p>
    <w:p w14:paraId="67237C57">
      <w:pPr>
        <w:keepNext w:val="0"/>
        <w:keepLines w:val="0"/>
        <w:pageBreakBefore w:val="0"/>
        <w:widowControl w:val="0"/>
        <w:kinsoku/>
        <w:wordWrap/>
        <w:overflowPunct/>
        <w:topLinePunct w:val="0"/>
        <w:autoSpaceDE/>
        <w:autoSpaceDN/>
        <w:bidi w:val="0"/>
        <w:adjustRightInd/>
        <w:snapToGrid/>
        <w:spacing w:line="324" w:lineRule="auto"/>
        <w:ind w:firstLine="498" w:firstLineChars="200"/>
        <w:textAlignment w:val="auto"/>
        <w:rPr>
          <w:rFonts w:hint="eastAsia" w:ascii="宋体" w:hAnsi="宋体"/>
          <w:b/>
          <w:bCs/>
          <w:color w:val="auto"/>
          <w:spacing w:val="4"/>
          <w:sz w:val="24"/>
          <w:highlight w:val="none"/>
        </w:rPr>
      </w:pPr>
      <w:r>
        <w:rPr>
          <w:rFonts w:hint="eastAsia" w:ascii="宋体" w:hAnsi="宋体"/>
          <w:b/>
          <w:bCs/>
          <w:color w:val="auto"/>
          <w:spacing w:val="4"/>
          <w:sz w:val="24"/>
          <w:highlight w:val="none"/>
        </w:rPr>
        <w:t>A3.弄虚作假</w:t>
      </w:r>
    </w:p>
    <w:p w14:paraId="3B549E32">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color w:val="auto"/>
          <w:spacing w:val="4"/>
          <w:sz w:val="24"/>
          <w:highlight w:val="none"/>
        </w:rPr>
      </w:pPr>
      <w:r>
        <w:rPr>
          <w:rFonts w:hint="eastAsia" w:ascii="宋体" w:hAnsi="宋体"/>
          <w:color w:val="auto"/>
          <w:spacing w:val="4"/>
          <w:sz w:val="24"/>
          <w:highlight w:val="none"/>
          <w:lang w:eastAsia="zh-CN"/>
        </w:rPr>
        <w:t>供应商</w:t>
      </w:r>
      <w:r>
        <w:rPr>
          <w:rFonts w:hint="eastAsia" w:ascii="宋体" w:hAnsi="宋体"/>
          <w:color w:val="auto"/>
          <w:spacing w:val="4"/>
          <w:sz w:val="24"/>
          <w:highlight w:val="none"/>
        </w:rPr>
        <w:t>有下列情形之一的，属于弄虚作假的行为：</w:t>
      </w:r>
    </w:p>
    <w:p w14:paraId="5A2B4CEB">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color w:val="auto"/>
          <w:spacing w:val="4"/>
          <w:sz w:val="24"/>
          <w:highlight w:val="none"/>
        </w:rPr>
      </w:pPr>
      <w:r>
        <w:rPr>
          <w:rFonts w:hint="eastAsia" w:ascii="宋体" w:hAnsi="宋体"/>
          <w:color w:val="auto"/>
          <w:spacing w:val="4"/>
          <w:sz w:val="24"/>
          <w:highlight w:val="none"/>
        </w:rPr>
        <w:t>A3.1 使用伪造、变造的许可证件；</w:t>
      </w:r>
    </w:p>
    <w:p w14:paraId="1D4279FD">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color w:val="auto"/>
          <w:spacing w:val="4"/>
          <w:sz w:val="24"/>
          <w:highlight w:val="none"/>
        </w:rPr>
      </w:pPr>
      <w:r>
        <w:rPr>
          <w:rFonts w:hint="eastAsia" w:ascii="宋体" w:hAnsi="宋体"/>
          <w:color w:val="auto"/>
          <w:spacing w:val="4"/>
          <w:sz w:val="24"/>
          <w:highlight w:val="none"/>
        </w:rPr>
        <w:t>A3.2 提供虚假的财务状况或者业绩；</w:t>
      </w:r>
    </w:p>
    <w:p w14:paraId="70C6487D">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color w:val="auto"/>
          <w:spacing w:val="4"/>
          <w:sz w:val="24"/>
          <w:highlight w:val="none"/>
        </w:rPr>
      </w:pPr>
      <w:r>
        <w:rPr>
          <w:rFonts w:hint="eastAsia" w:ascii="宋体" w:hAnsi="宋体"/>
          <w:color w:val="auto"/>
          <w:spacing w:val="4"/>
          <w:sz w:val="24"/>
          <w:highlight w:val="none"/>
        </w:rPr>
        <w:t>A3.3 提供虚假的项目负责人或者主要技术人员简历、劳动关系证明；</w:t>
      </w:r>
    </w:p>
    <w:p w14:paraId="106F535E">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color w:val="auto"/>
          <w:spacing w:val="4"/>
          <w:sz w:val="24"/>
          <w:highlight w:val="none"/>
        </w:rPr>
      </w:pPr>
      <w:r>
        <w:rPr>
          <w:rFonts w:hint="eastAsia" w:ascii="宋体" w:hAnsi="宋体"/>
          <w:color w:val="auto"/>
          <w:spacing w:val="4"/>
          <w:sz w:val="24"/>
          <w:highlight w:val="none"/>
        </w:rPr>
        <w:t>A3.4 提供虚假的信用状况；</w:t>
      </w:r>
    </w:p>
    <w:p w14:paraId="1E8F0CBC">
      <w:pPr>
        <w:keepNext w:val="0"/>
        <w:keepLines w:val="0"/>
        <w:pageBreakBefore w:val="0"/>
        <w:widowControl w:val="0"/>
        <w:kinsoku/>
        <w:wordWrap/>
        <w:overflowPunct/>
        <w:topLinePunct w:val="0"/>
        <w:autoSpaceDE/>
        <w:autoSpaceDN/>
        <w:bidi w:val="0"/>
        <w:adjustRightInd/>
        <w:snapToGrid/>
        <w:spacing w:line="324" w:lineRule="auto"/>
        <w:ind w:firstLine="496" w:firstLineChars="200"/>
        <w:textAlignment w:val="auto"/>
        <w:rPr>
          <w:rFonts w:hint="eastAsia" w:ascii="宋体" w:hAnsi="宋体" w:eastAsia="宋体" w:cs="Times New Roman"/>
          <w:color w:val="auto"/>
          <w:spacing w:val="4"/>
          <w:sz w:val="24"/>
          <w:highlight w:val="none"/>
          <w:lang w:val="en-US" w:eastAsia="zh-CN"/>
        </w:rPr>
      </w:pPr>
      <w:r>
        <w:rPr>
          <w:rFonts w:hint="eastAsia" w:ascii="宋体" w:hAnsi="宋体" w:eastAsia="宋体" w:cs="Times New Roman"/>
          <w:color w:val="auto"/>
          <w:spacing w:val="4"/>
          <w:sz w:val="24"/>
          <w:highlight w:val="none"/>
        </w:rPr>
        <w:t>A3.5 其他弄虚作假的行为。</w:t>
      </w:r>
    </w:p>
    <w:p w14:paraId="2EC17A95">
      <w:pPr>
        <w:numPr>
          <w:ilvl w:val="0"/>
          <w:numId w:val="0"/>
        </w:numPr>
        <w:jc w:val="center"/>
        <w:outlineLvl w:val="0"/>
        <w:rPr>
          <w:rFonts w:hint="eastAsia" w:ascii="宋体" w:hAnsi="宋体" w:eastAsia="宋体" w:cs="宋体"/>
          <w:b/>
          <w:color w:val="auto"/>
          <w:kern w:val="44"/>
          <w:sz w:val="32"/>
          <w:szCs w:val="22"/>
          <w:highlight w:val="none"/>
          <w:lang w:val="en-US" w:eastAsia="zh-CN" w:bidi="ar-SA"/>
        </w:rPr>
      </w:pPr>
      <w:bookmarkStart w:id="107" w:name="_Toc7220"/>
    </w:p>
    <w:p w14:paraId="55A34ED6">
      <w:pPr>
        <w:numPr>
          <w:ilvl w:val="0"/>
          <w:numId w:val="0"/>
        </w:numPr>
        <w:jc w:val="center"/>
        <w:outlineLvl w:val="0"/>
        <w:rPr>
          <w:rFonts w:hint="eastAsia" w:ascii="宋体" w:hAnsi="宋体" w:eastAsia="宋体" w:cs="宋体"/>
          <w:b/>
          <w:color w:val="auto"/>
          <w:kern w:val="44"/>
          <w:sz w:val="32"/>
          <w:szCs w:val="22"/>
          <w:highlight w:val="none"/>
          <w:lang w:val="en-US" w:eastAsia="zh-CN" w:bidi="ar-SA"/>
        </w:rPr>
      </w:pPr>
    </w:p>
    <w:p w14:paraId="6BC1B94D">
      <w:pPr>
        <w:numPr>
          <w:ilvl w:val="0"/>
          <w:numId w:val="0"/>
        </w:numPr>
        <w:jc w:val="center"/>
        <w:outlineLvl w:val="0"/>
        <w:rPr>
          <w:rFonts w:hint="eastAsia" w:ascii="宋体" w:hAnsi="宋体" w:eastAsia="宋体" w:cs="宋体"/>
          <w:b/>
          <w:color w:val="auto"/>
          <w:kern w:val="44"/>
          <w:sz w:val="32"/>
          <w:szCs w:val="22"/>
          <w:highlight w:val="none"/>
          <w:lang w:val="en-US" w:eastAsia="zh-CN" w:bidi="ar-SA"/>
        </w:rPr>
      </w:pPr>
    </w:p>
    <w:p w14:paraId="1F8BAEAD">
      <w:pPr>
        <w:numPr>
          <w:ilvl w:val="0"/>
          <w:numId w:val="0"/>
        </w:numPr>
        <w:jc w:val="center"/>
        <w:outlineLvl w:val="0"/>
        <w:rPr>
          <w:rFonts w:hint="eastAsia" w:ascii="宋体" w:hAnsi="宋体" w:eastAsia="宋体" w:cs="宋体"/>
          <w:b/>
          <w:color w:val="auto"/>
          <w:kern w:val="44"/>
          <w:sz w:val="32"/>
          <w:szCs w:val="22"/>
          <w:highlight w:val="none"/>
          <w:lang w:val="en-US" w:eastAsia="zh-CN" w:bidi="ar-SA"/>
        </w:rPr>
      </w:pPr>
    </w:p>
    <w:p w14:paraId="69FAB4F1">
      <w:pPr>
        <w:numPr>
          <w:ilvl w:val="0"/>
          <w:numId w:val="0"/>
        </w:numPr>
        <w:jc w:val="center"/>
        <w:outlineLvl w:val="0"/>
        <w:rPr>
          <w:rFonts w:hint="eastAsia" w:ascii="宋体" w:hAnsi="宋体" w:eastAsia="宋体" w:cs="宋体"/>
          <w:b/>
          <w:color w:val="auto"/>
          <w:kern w:val="44"/>
          <w:sz w:val="32"/>
          <w:szCs w:val="22"/>
          <w:highlight w:val="none"/>
          <w:lang w:val="en-US" w:eastAsia="zh-CN" w:bidi="ar-SA"/>
        </w:rPr>
      </w:pPr>
      <w:r>
        <w:rPr>
          <w:rFonts w:hint="eastAsia" w:ascii="宋体" w:hAnsi="宋体" w:eastAsia="宋体" w:cs="宋体"/>
          <w:b/>
          <w:color w:val="auto"/>
          <w:kern w:val="44"/>
          <w:sz w:val="32"/>
          <w:szCs w:val="22"/>
          <w:highlight w:val="none"/>
          <w:lang w:val="en-US" w:eastAsia="zh-CN" w:bidi="ar-SA"/>
        </w:rPr>
        <w:t xml:space="preserve">第五部分 </w:t>
      </w:r>
      <w:bookmarkEnd w:id="99"/>
      <w:bookmarkEnd w:id="100"/>
      <w:bookmarkEnd w:id="101"/>
      <w:bookmarkStart w:id="108" w:name="_Toc496779872"/>
      <w:bookmarkStart w:id="109" w:name="_Toc13065132"/>
      <w:bookmarkStart w:id="110" w:name="_Toc14411"/>
      <w:r>
        <w:rPr>
          <w:rFonts w:hint="eastAsia" w:ascii="宋体" w:hAnsi="宋体" w:eastAsia="宋体" w:cs="宋体"/>
          <w:b/>
          <w:color w:val="auto"/>
          <w:kern w:val="44"/>
          <w:sz w:val="32"/>
          <w:szCs w:val="22"/>
          <w:highlight w:val="none"/>
          <w:lang w:val="en-US" w:eastAsia="zh-CN" w:bidi="ar-SA"/>
        </w:rPr>
        <w:t>合同文本（参考格式）</w:t>
      </w:r>
      <w:bookmarkEnd w:id="102"/>
      <w:bookmarkEnd w:id="107"/>
    </w:p>
    <w:p w14:paraId="5AB2A592">
      <w:pPr>
        <w:pStyle w:val="20"/>
        <w:rPr>
          <w:color w:val="auto"/>
          <w:highlight w:val="green"/>
        </w:rPr>
      </w:pPr>
    </w:p>
    <w:bookmarkEnd w:id="108"/>
    <w:p w14:paraId="3B751A9D">
      <w:pPr>
        <w:ind w:firstLine="1446" w:firstLineChars="400"/>
        <w:jc w:val="both"/>
        <w:rPr>
          <w:rFonts w:hint="eastAsia"/>
          <w:b/>
          <w:bCs/>
          <w:sz w:val="36"/>
          <w:szCs w:val="36"/>
          <w:lang w:val="en-US" w:eastAsia="zh-CN"/>
        </w:rPr>
      </w:pPr>
      <w:bookmarkStart w:id="111" w:name="_Toc12012"/>
    </w:p>
    <w:p w14:paraId="5B130697">
      <w:pPr>
        <w:ind w:left="0" w:leftChars="0" w:firstLine="642" w:firstLineChars="123"/>
        <w:jc w:val="both"/>
        <w:rPr>
          <w:rFonts w:hint="eastAsia" w:ascii="宋体" w:hAnsi="宋体"/>
          <w:b/>
          <w:bCs/>
          <w:sz w:val="52"/>
          <w:szCs w:val="52"/>
          <w:lang w:val="en-US" w:eastAsia="zh-CN"/>
        </w:rPr>
      </w:pPr>
      <w:r>
        <w:rPr>
          <w:rFonts w:hint="eastAsia" w:ascii="宋体" w:hAnsi="宋体"/>
          <w:b/>
          <w:bCs/>
          <w:sz w:val="52"/>
          <w:szCs w:val="52"/>
          <w:lang w:val="en-US" w:eastAsia="zh-CN"/>
        </w:rPr>
        <w:t xml:space="preserve">        </w:t>
      </w:r>
    </w:p>
    <w:p w14:paraId="4EE54A20">
      <w:pPr>
        <w:ind w:left="0" w:leftChars="0" w:firstLine="2730" w:firstLineChars="523"/>
        <w:jc w:val="both"/>
        <w:rPr>
          <w:rFonts w:hint="default" w:ascii="宋体" w:hAnsi="宋体"/>
          <w:b/>
          <w:bCs/>
          <w:sz w:val="52"/>
          <w:szCs w:val="52"/>
          <w:lang w:val="en-US" w:eastAsia="zh-CN"/>
        </w:rPr>
      </w:pPr>
      <w:r>
        <w:rPr>
          <w:rFonts w:hint="eastAsia" w:ascii="宋体" w:hAnsi="宋体" w:eastAsia="宋体"/>
          <w:b/>
          <w:bCs/>
          <w:sz w:val="52"/>
          <w:szCs w:val="52"/>
          <w:lang w:val="en-US" w:eastAsia="zh-CN"/>
        </w:rPr>
        <w:t>消防</w:t>
      </w:r>
      <w:r>
        <w:rPr>
          <w:rFonts w:hint="eastAsia" w:ascii="宋体" w:hAnsi="宋体"/>
          <w:b/>
          <w:bCs/>
          <w:sz w:val="52"/>
          <w:szCs w:val="52"/>
          <w:lang w:val="en-US" w:eastAsia="zh-CN"/>
        </w:rPr>
        <w:t>技术服务</w:t>
      </w:r>
    </w:p>
    <w:p w14:paraId="72E4404F">
      <w:pPr>
        <w:ind w:left="0" w:leftChars="0" w:firstLine="642" w:firstLineChars="123"/>
        <w:jc w:val="both"/>
        <w:rPr>
          <w:rFonts w:hint="eastAsia" w:ascii="宋体" w:hAnsi="宋体"/>
          <w:b/>
          <w:bCs/>
          <w:sz w:val="52"/>
          <w:szCs w:val="52"/>
          <w:lang w:val="en-US" w:eastAsia="zh-CN"/>
        </w:rPr>
      </w:pPr>
    </w:p>
    <w:p w14:paraId="0FA25E04">
      <w:pPr>
        <w:ind w:left="0" w:leftChars="0" w:firstLine="642" w:firstLineChars="123"/>
        <w:jc w:val="both"/>
        <w:rPr>
          <w:rFonts w:hint="eastAsia" w:ascii="宋体" w:hAnsi="宋体"/>
          <w:b/>
          <w:bCs/>
          <w:sz w:val="52"/>
          <w:szCs w:val="52"/>
          <w:lang w:val="en-US" w:eastAsia="zh-CN"/>
        </w:rPr>
      </w:pPr>
    </w:p>
    <w:p w14:paraId="17A47F01">
      <w:pPr>
        <w:ind w:left="0" w:leftChars="0" w:firstLine="642" w:firstLineChars="123"/>
        <w:jc w:val="both"/>
        <w:rPr>
          <w:rFonts w:hint="eastAsia" w:ascii="宋体" w:hAnsi="宋体"/>
          <w:b/>
          <w:bCs/>
          <w:sz w:val="52"/>
          <w:szCs w:val="52"/>
          <w:lang w:val="en-US" w:eastAsia="zh-CN"/>
        </w:rPr>
      </w:pPr>
    </w:p>
    <w:p w14:paraId="7A44C5E7">
      <w:pPr>
        <w:ind w:left="0" w:leftChars="0" w:firstLine="3774" w:firstLineChars="723"/>
        <w:jc w:val="left"/>
        <w:rPr>
          <w:rFonts w:hint="eastAsia" w:ascii="宋体" w:hAnsi="宋体" w:eastAsia="宋体" w:cs="Times New Roman"/>
          <w:b/>
          <w:bCs/>
          <w:sz w:val="52"/>
          <w:szCs w:val="52"/>
          <w:lang w:val="en-US" w:eastAsia="zh-CN"/>
        </w:rPr>
      </w:pPr>
      <w:r>
        <w:rPr>
          <w:rFonts w:hint="eastAsia" w:ascii="宋体" w:hAnsi="宋体" w:eastAsia="宋体" w:cs="Times New Roman"/>
          <w:b/>
          <w:bCs/>
          <w:sz w:val="52"/>
          <w:szCs w:val="52"/>
          <w:lang w:val="en-US" w:eastAsia="zh-CN"/>
        </w:rPr>
        <w:t>合</w:t>
      </w:r>
    </w:p>
    <w:p w14:paraId="52E65DD9">
      <w:pPr>
        <w:ind w:left="0" w:leftChars="0" w:firstLine="2730" w:firstLineChars="523"/>
        <w:jc w:val="left"/>
        <w:rPr>
          <w:rFonts w:hint="eastAsia" w:ascii="宋体" w:hAnsi="宋体" w:eastAsia="宋体" w:cs="Times New Roman"/>
          <w:b/>
          <w:bCs/>
          <w:sz w:val="52"/>
          <w:szCs w:val="52"/>
          <w:lang w:val="en-US" w:eastAsia="zh-CN"/>
        </w:rPr>
      </w:pPr>
    </w:p>
    <w:p w14:paraId="25043790">
      <w:pPr>
        <w:ind w:left="0" w:leftChars="0" w:firstLine="3774" w:firstLineChars="723"/>
        <w:jc w:val="left"/>
        <w:rPr>
          <w:rFonts w:hint="eastAsia" w:ascii="宋体" w:hAnsi="宋体" w:eastAsia="宋体" w:cs="Times New Roman"/>
          <w:b/>
          <w:bCs/>
          <w:sz w:val="52"/>
          <w:szCs w:val="52"/>
          <w:lang w:val="en-US" w:eastAsia="zh-CN"/>
        </w:rPr>
      </w:pPr>
      <w:r>
        <w:rPr>
          <w:rFonts w:hint="eastAsia" w:ascii="宋体" w:hAnsi="宋体" w:eastAsia="宋体" w:cs="Times New Roman"/>
          <w:b/>
          <w:bCs/>
          <w:sz w:val="52"/>
          <w:szCs w:val="52"/>
          <w:lang w:val="en-US" w:eastAsia="zh-CN"/>
        </w:rPr>
        <w:t>同</w:t>
      </w:r>
    </w:p>
    <w:p w14:paraId="73643A5F">
      <w:pPr>
        <w:ind w:left="0" w:leftChars="0" w:firstLine="2730" w:firstLineChars="523"/>
        <w:jc w:val="left"/>
        <w:rPr>
          <w:rFonts w:hint="eastAsia" w:ascii="宋体" w:hAnsi="宋体" w:eastAsia="宋体" w:cs="Times New Roman"/>
          <w:b/>
          <w:bCs/>
          <w:sz w:val="52"/>
          <w:szCs w:val="52"/>
          <w:lang w:val="en-US" w:eastAsia="zh-CN"/>
        </w:rPr>
      </w:pPr>
    </w:p>
    <w:p w14:paraId="608672F0">
      <w:pPr>
        <w:ind w:left="0" w:leftChars="0" w:firstLine="3774" w:firstLineChars="723"/>
        <w:jc w:val="left"/>
        <w:rPr>
          <w:rFonts w:hint="eastAsia" w:ascii="宋体" w:hAnsi="宋体" w:eastAsia="宋体"/>
          <w:b/>
          <w:bCs/>
          <w:sz w:val="52"/>
          <w:szCs w:val="52"/>
          <w:lang w:val="en-US" w:eastAsia="zh-CN"/>
        </w:rPr>
      </w:pPr>
      <w:r>
        <w:rPr>
          <w:rFonts w:hint="eastAsia" w:ascii="宋体" w:hAnsi="宋体" w:eastAsia="宋体" w:cs="Times New Roman"/>
          <w:b/>
          <w:bCs/>
          <w:sz w:val="52"/>
          <w:szCs w:val="52"/>
          <w:lang w:val="en-US" w:eastAsia="zh-CN"/>
        </w:rPr>
        <w:t>书</w:t>
      </w:r>
    </w:p>
    <w:p w14:paraId="25073719">
      <w:pPr>
        <w:jc w:val="left"/>
        <w:rPr>
          <w:rFonts w:hint="eastAsia" w:ascii="宋体" w:hAnsi="宋体" w:eastAsia="宋体"/>
          <w:b/>
          <w:bCs/>
          <w:sz w:val="30"/>
          <w:szCs w:val="30"/>
          <w:lang w:val="en-US" w:eastAsia="zh-CN"/>
        </w:rPr>
      </w:pPr>
    </w:p>
    <w:p w14:paraId="3E3C29FB">
      <w:pPr>
        <w:jc w:val="center"/>
        <w:rPr>
          <w:rFonts w:hint="eastAsia" w:ascii="宋体" w:hAnsi="宋体" w:eastAsia="宋体"/>
          <w:b w:val="0"/>
          <w:bCs w:val="0"/>
          <w:spacing w:val="20"/>
          <w:sz w:val="30"/>
          <w:szCs w:val="30"/>
          <w:lang w:val="en-US" w:eastAsia="zh-CN"/>
        </w:rPr>
      </w:pPr>
    </w:p>
    <w:p w14:paraId="084537CE">
      <w:pPr>
        <w:jc w:val="center"/>
        <w:rPr>
          <w:rFonts w:hint="eastAsia" w:ascii="宋体" w:hAnsi="宋体" w:eastAsia="宋体"/>
          <w:b w:val="0"/>
          <w:bCs w:val="0"/>
          <w:spacing w:val="20"/>
          <w:sz w:val="30"/>
          <w:szCs w:val="30"/>
          <w:lang w:val="en-US" w:eastAsia="zh-CN"/>
        </w:rPr>
      </w:pPr>
    </w:p>
    <w:p w14:paraId="100EC07A">
      <w:pPr>
        <w:spacing w:line="360" w:lineRule="auto"/>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消防</w:t>
      </w:r>
      <w:r>
        <w:rPr>
          <w:rFonts w:hint="eastAsia" w:ascii="宋体" w:hAnsi="宋体"/>
          <w:b/>
          <w:bCs/>
          <w:sz w:val="32"/>
          <w:szCs w:val="32"/>
          <w:lang w:val="en-US" w:eastAsia="zh-CN"/>
        </w:rPr>
        <w:t>技术服务合同</w:t>
      </w:r>
    </w:p>
    <w:p w14:paraId="03B6EA4A">
      <w:pPr>
        <w:keepNext w:val="0"/>
        <w:keepLines w:val="0"/>
        <w:pageBreakBefore w:val="0"/>
        <w:kinsoku/>
        <w:wordWrap/>
        <w:overflowPunct/>
        <w:topLinePunct w:val="0"/>
        <w:autoSpaceDE/>
        <w:autoSpaceDN/>
        <w:bidi w:val="0"/>
        <w:adjustRightInd/>
        <w:snapToGrid/>
        <w:spacing w:line="480" w:lineRule="auto"/>
        <w:ind w:firstLine="296" w:firstLineChars="1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28"/>
          <w:sz w:val="24"/>
          <w:szCs w:val="24"/>
          <w:lang w:val="en-US" w:eastAsia="zh-CN"/>
        </w:rPr>
        <w:t>甲方（委托方）：</w:t>
      </w:r>
      <w:r>
        <w:rPr>
          <w:rFonts w:hint="eastAsia" w:ascii="宋体" w:hAnsi="宋体" w:eastAsia="宋体" w:cs="宋体"/>
          <w:spacing w:val="28"/>
          <w:sz w:val="24"/>
          <w:szCs w:val="24"/>
          <w:u w:val="single"/>
          <w:lang w:val="en-US" w:eastAsia="zh-CN"/>
        </w:rPr>
        <w:t xml:space="preserve">           </w:t>
      </w:r>
      <w:r>
        <w:rPr>
          <w:rFonts w:hint="eastAsia" w:ascii="宋体" w:hAnsi="宋体" w:eastAsia="宋体" w:cs="宋体"/>
          <w:spacing w:val="28"/>
          <w:sz w:val="24"/>
          <w:szCs w:val="24"/>
          <w:lang w:val="en-US" w:eastAsia="zh-CN"/>
        </w:rPr>
        <w:t xml:space="preserve">（以下简称甲方）         </w:t>
      </w:r>
    </w:p>
    <w:p w14:paraId="186F5C44">
      <w:pPr>
        <w:keepNext w:val="0"/>
        <w:keepLines w:val="0"/>
        <w:pageBreakBefore w:val="0"/>
        <w:widowControl w:val="0"/>
        <w:kinsoku/>
        <w:wordWrap/>
        <w:overflowPunct/>
        <w:topLinePunct w:val="0"/>
        <w:autoSpaceDE/>
        <w:autoSpaceDN/>
        <w:bidi w:val="0"/>
        <w:adjustRightInd/>
        <w:snapToGrid/>
        <w:spacing w:after="157" w:afterLines="50" w:line="480" w:lineRule="auto"/>
        <w:ind w:firstLine="296" w:firstLineChars="1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28"/>
          <w:sz w:val="24"/>
          <w:szCs w:val="24"/>
          <w:lang w:val="en-US" w:eastAsia="zh-CN"/>
        </w:rPr>
        <w:t>乙方（服务方）：</w:t>
      </w:r>
      <w:r>
        <w:rPr>
          <w:rFonts w:hint="eastAsia" w:ascii="宋体" w:hAnsi="宋体" w:eastAsia="宋体" w:cs="宋体"/>
          <w:spacing w:val="28"/>
          <w:sz w:val="24"/>
          <w:szCs w:val="24"/>
          <w:u w:val="single"/>
          <w:lang w:val="en-US" w:eastAsia="zh-CN"/>
        </w:rPr>
        <w:t xml:space="preserve">           </w:t>
      </w:r>
      <w:r>
        <w:rPr>
          <w:rFonts w:hint="eastAsia" w:ascii="宋体" w:hAnsi="宋体" w:eastAsia="宋体" w:cs="宋体"/>
          <w:spacing w:val="28"/>
          <w:sz w:val="24"/>
          <w:szCs w:val="24"/>
          <w:lang w:val="en-US" w:eastAsia="zh-CN"/>
        </w:rPr>
        <w:t>（以下简称乙方）</w:t>
      </w:r>
    </w:p>
    <w:p w14:paraId="319C2D3E">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根据《</w:t>
      </w:r>
      <w:r>
        <w:rPr>
          <w:rFonts w:hint="eastAsia" w:ascii="宋体" w:hAnsi="宋体" w:eastAsia="宋体"/>
          <w:sz w:val="24"/>
          <w:szCs w:val="24"/>
          <w:lang w:eastAsia="zh-CN"/>
        </w:rPr>
        <w:t>中华人民共和国</w:t>
      </w:r>
      <w:r>
        <w:rPr>
          <w:rFonts w:hint="eastAsia" w:ascii="宋体" w:hAnsi="宋体" w:eastAsia="宋体"/>
          <w:sz w:val="24"/>
          <w:szCs w:val="24"/>
        </w:rPr>
        <w:t>消防法》</w:t>
      </w:r>
      <w:r>
        <w:rPr>
          <w:rFonts w:hint="eastAsia" w:ascii="宋体" w:hAnsi="宋体" w:eastAsia="宋体"/>
          <w:sz w:val="24"/>
          <w:szCs w:val="24"/>
          <w:lang w:eastAsia="zh-CN"/>
        </w:rPr>
        <w:t>及</w:t>
      </w:r>
      <w:r>
        <w:rPr>
          <w:rFonts w:hint="eastAsia" w:ascii="宋体" w:hAnsi="宋体" w:eastAsia="宋体"/>
          <w:sz w:val="24"/>
          <w:szCs w:val="24"/>
        </w:rPr>
        <w:t>《</w:t>
      </w:r>
      <w:r>
        <w:rPr>
          <w:rFonts w:hint="eastAsia" w:ascii="宋体" w:hAnsi="宋体" w:eastAsia="宋体"/>
          <w:sz w:val="24"/>
          <w:szCs w:val="24"/>
          <w:lang w:eastAsia="zh-CN"/>
        </w:rPr>
        <w:t>中华人民共和国民法典</w:t>
      </w:r>
      <w:r>
        <w:rPr>
          <w:rFonts w:hint="eastAsia" w:ascii="宋体" w:hAnsi="宋体" w:eastAsia="宋体"/>
          <w:sz w:val="24"/>
          <w:szCs w:val="24"/>
        </w:rPr>
        <w:t>》</w:t>
      </w:r>
      <w:r>
        <w:rPr>
          <w:rFonts w:hint="eastAsia" w:ascii="宋体" w:hAnsi="宋体" w:eastAsia="宋体"/>
          <w:sz w:val="24"/>
          <w:szCs w:val="24"/>
          <w:lang w:eastAsia="zh-CN"/>
        </w:rPr>
        <w:t>的相关内容，</w:t>
      </w:r>
      <w:r>
        <w:rPr>
          <w:rFonts w:hint="eastAsia" w:ascii="宋体" w:hAnsi="宋体" w:eastAsia="宋体"/>
          <w:sz w:val="24"/>
          <w:szCs w:val="24"/>
        </w:rPr>
        <w:t>并结合本</w:t>
      </w:r>
      <w:r>
        <w:rPr>
          <w:rFonts w:hint="eastAsia" w:ascii="宋体" w:hAnsi="宋体"/>
          <w:sz w:val="24"/>
          <w:szCs w:val="24"/>
          <w:lang w:eastAsia="zh-CN"/>
        </w:rPr>
        <w:t>项目</w:t>
      </w:r>
      <w:r>
        <w:rPr>
          <w:rFonts w:hint="eastAsia" w:ascii="宋体" w:hAnsi="宋体" w:eastAsia="宋体"/>
          <w:sz w:val="24"/>
          <w:szCs w:val="24"/>
        </w:rPr>
        <w:t>具体情况</w:t>
      </w:r>
      <w:r>
        <w:rPr>
          <w:rFonts w:hint="eastAsia" w:ascii="宋体" w:hAnsi="宋体" w:eastAsia="宋体"/>
          <w:sz w:val="24"/>
          <w:szCs w:val="24"/>
          <w:lang w:eastAsia="zh-CN"/>
        </w:rPr>
        <w:t>，</w:t>
      </w:r>
      <w:r>
        <w:rPr>
          <w:rFonts w:hint="eastAsia" w:ascii="宋体" w:hAnsi="宋体" w:eastAsia="宋体"/>
          <w:sz w:val="24"/>
          <w:szCs w:val="24"/>
        </w:rPr>
        <w:t>特签署本</w:t>
      </w:r>
      <w:r>
        <w:rPr>
          <w:rFonts w:hint="eastAsia" w:ascii="宋体" w:hAnsi="宋体" w:eastAsia="宋体"/>
          <w:sz w:val="24"/>
          <w:szCs w:val="24"/>
          <w:lang w:eastAsia="zh-CN"/>
        </w:rPr>
        <w:t>消防</w:t>
      </w:r>
      <w:r>
        <w:rPr>
          <w:rFonts w:hint="eastAsia" w:ascii="宋体" w:hAnsi="宋体"/>
          <w:sz w:val="24"/>
          <w:szCs w:val="24"/>
          <w:lang w:eastAsia="zh-CN"/>
        </w:rPr>
        <w:t>技术</w:t>
      </w:r>
      <w:r>
        <w:rPr>
          <w:rFonts w:hint="eastAsia" w:ascii="宋体" w:hAnsi="宋体" w:eastAsia="宋体"/>
          <w:sz w:val="24"/>
          <w:szCs w:val="24"/>
          <w:lang w:eastAsia="zh-CN"/>
        </w:rPr>
        <w:t>服务</w:t>
      </w:r>
      <w:r>
        <w:rPr>
          <w:rFonts w:hint="eastAsia" w:ascii="宋体" w:hAnsi="宋体" w:eastAsia="宋体"/>
          <w:sz w:val="24"/>
          <w:szCs w:val="24"/>
        </w:rPr>
        <w:t>合同，</w:t>
      </w:r>
      <w:r>
        <w:rPr>
          <w:rFonts w:hint="eastAsia" w:ascii="宋体" w:hAnsi="宋体" w:eastAsia="宋体"/>
          <w:sz w:val="24"/>
          <w:szCs w:val="24"/>
          <w:lang w:eastAsia="zh-CN"/>
        </w:rPr>
        <w:t>内容如下：</w:t>
      </w:r>
    </w:p>
    <w:p w14:paraId="5B96EB0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一、情况介绍</w:t>
      </w:r>
    </w:p>
    <w:p w14:paraId="7F84CE1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为了消除校园整体室内外消防安全隐患，实现建筑消防安全达标。按照省教育厅、住建厅、消防救援总队《关于开展排查化解校内建筑消防安全隐患专项行动的通知》和“已交楼未进行消防验收”三年攻坚行动工作指南的有关要求及工作安排，特针对此校园项目进行消防安全排查以及消防安全检测验收进行专项整理。</w:t>
      </w:r>
    </w:p>
    <w:p w14:paraId="1086FA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二</w:t>
      </w:r>
      <w:r>
        <w:rPr>
          <w:rFonts w:hint="eastAsia" w:ascii="宋体" w:hAnsi="宋体" w:eastAsia="宋体"/>
          <w:b/>
          <w:bCs/>
          <w:sz w:val="24"/>
          <w:szCs w:val="24"/>
          <w:lang w:val="en-US" w:eastAsia="zh-CN"/>
        </w:rPr>
        <w:t>、费用及支付</w:t>
      </w:r>
    </w:p>
    <w:p w14:paraId="795BD0D7">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1、合同</w:t>
      </w:r>
      <w:r>
        <w:rPr>
          <w:rFonts w:hint="eastAsia" w:ascii="宋体" w:hAnsi="宋体"/>
          <w:sz w:val="24"/>
          <w:szCs w:val="24"/>
          <w:lang w:val="en-US" w:eastAsia="zh-CN"/>
        </w:rPr>
        <w:t>总金额</w:t>
      </w:r>
      <w:r>
        <w:rPr>
          <w:rFonts w:hint="eastAsia" w:ascii="宋体" w:hAnsi="宋体" w:eastAsia="宋体"/>
          <w:sz w:val="24"/>
          <w:szCs w:val="24"/>
          <w:lang w:val="en-US" w:eastAsia="zh-CN"/>
        </w:rPr>
        <w:t>合计</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元，大写：</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p>
    <w:p w14:paraId="6017486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sz w:val="24"/>
          <w:szCs w:val="24"/>
          <w:lang w:val="en-US" w:eastAsia="zh-CN"/>
        </w:rPr>
      </w:pPr>
      <w:r>
        <w:rPr>
          <w:rFonts w:hint="eastAsia" w:ascii="宋体" w:hAnsi="宋体" w:eastAsia="宋体"/>
          <w:sz w:val="24"/>
          <w:szCs w:val="24"/>
          <w:lang w:val="en-US" w:eastAsia="zh-CN"/>
        </w:rPr>
        <w:t>2、</w:t>
      </w:r>
      <w:r>
        <w:rPr>
          <w:rFonts w:hint="eastAsia" w:ascii="宋体" w:hAnsi="宋体"/>
          <w:sz w:val="24"/>
          <w:szCs w:val="24"/>
          <w:lang w:val="en-US" w:eastAsia="zh-CN"/>
        </w:rPr>
        <w:t>付款方式：</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p>
    <w:p w14:paraId="1E09DA1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3、付款前</w:t>
      </w:r>
      <w:r>
        <w:rPr>
          <w:rFonts w:hint="eastAsia" w:ascii="宋体" w:hAnsi="宋体" w:eastAsia="宋体"/>
          <w:sz w:val="24"/>
          <w:szCs w:val="24"/>
          <w:lang w:val="en-US" w:eastAsia="zh-CN"/>
        </w:rPr>
        <w:t>由</w:t>
      </w:r>
      <w:r>
        <w:rPr>
          <w:rFonts w:hint="eastAsia" w:ascii="宋体" w:hAnsi="宋体"/>
          <w:sz w:val="24"/>
          <w:szCs w:val="24"/>
          <w:lang w:val="en-US" w:eastAsia="zh-CN"/>
        </w:rPr>
        <w:t>乙</w:t>
      </w:r>
      <w:r>
        <w:rPr>
          <w:rFonts w:hint="eastAsia" w:ascii="宋体" w:hAnsi="宋体" w:eastAsia="宋体"/>
          <w:sz w:val="24"/>
          <w:szCs w:val="24"/>
          <w:lang w:val="en-US" w:eastAsia="zh-CN"/>
        </w:rPr>
        <w:t>方向</w:t>
      </w:r>
      <w:r>
        <w:rPr>
          <w:rFonts w:hint="eastAsia" w:ascii="宋体" w:hAnsi="宋体"/>
          <w:sz w:val="24"/>
          <w:szCs w:val="24"/>
          <w:lang w:val="en-US" w:eastAsia="zh-CN"/>
        </w:rPr>
        <w:t>甲</w:t>
      </w:r>
      <w:r>
        <w:rPr>
          <w:rFonts w:hint="eastAsia" w:ascii="宋体" w:hAnsi="宋体" w:eastAsia="宋体"/>
          <w:sz w:val="24"/>
          <w:szCs w:val="24"/>
          <w:lang w:val="en-US" w:eastAsia="zh-CN"/>
        </w:rPr>
        <w:t>方</w:t>
      </w:r>
      <w:r>
        <w:rPr>
          <w:rFonts w:hint="eastAsia" w:ascii="宋体" w:hAnsi="宋体"/>
          <w:sz w:val="24"/>
          <w:szCs w:val="24"/>
          <w:lang w:val="en-US" w:eastAsia="zh-CN"/>
        </w:rPr>
        <w:t>提供等额增值税专用发票。</w:t>
      </w:r>
    </w:p>
    <w:p w14:paraId="077E0225">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sz w:val="24"/>
          <w:szCs w:val="24"/>
          <w:lang w:val="en-US" w:eastAsia="zh-CN"/>
        </w:rPr>
      </w:pPr>
      <w:r>
        <w:rPr>
          <w:rFonts w:hint="eastAsia" w:ascii="宋体" w:hAnsi="宋体"/>
          <w:sz w:val="24"/>
          <w:szCs w:val="24"/>
          <w:lang w:val="en-US" w:eastAsia="zh-CN"/>
        </w:rPr>
        <w:t>4、乙方承接</w:t>
      </w:r>
      <w:r>
        <w:rPr>
          <w:rFonts w:hint="eastAsia" w:ascii="宋体" w:hAnsi="宋体"/>
          <w:sz w:val="24"/>
          <w:szCs w:val="24"/>
          <w:highlight w:val="none"/>
          <w:lang w:val="en-US" w:eastAsia="zh-CN"/>
        </w:rPr>
        <w:t>富平县教育体育局验收服</w:t>
      </w:r>
      <w:r>
        <w:rPr>
          <w:rFonts w:hint="eastAsia" w:ascii="宋体" w:hAnsi="宋体"/>
          <w:sz w:val="24"/>
          <w:szCs w:val="24"/>
          <w:lang w:val="en-US" w:eastAsia="zh-CN"/>
        </w:rPr>
        <w:t>务手续。甲方配合给乙方提供验收所需所有原始资料并现场配合整改消防设施设备达到验收标准，乙方负责整理申报手续拿到验收意见并在库里消号。</w:t>
      </w:r>
    </w:p>
    <w:p w14:paraId="1D8CCB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三</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甲方的权力和义务：</w:t>
      </w:r>
    </w:p>
    <w:p w14:paraId="7A157C3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eastAsia="宋体"/>
          <w:sz w:val="24"/>
          <w:szCs w:val="24"/>
        </w:rPr>
        <w:t>消防设施安装调试完毕投入使用状态。</w:t>
      </w:r>
    </w:p>
    <w:p w14:paraId="00B4CDD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eastAsia="宋体"/>
          <w:sz w:val="24"/>
          <w:szCs w:val="24"/>
          <w:lang w:eastAsia="zh-CN"/>
        </w:rPr>
        <w:t>甲方有权获取乙方工作进度并督促乙方</w:t>
      </w:r>
      <w:r>
        <w:rPr>
          <w:rFonts w:hint="eastAsia" w:ascii="宋体" w:hAnsi="宋体" w:eastAsia="宋体"/>
          <w:sz w:val="24"/>
          <w:szCs w:val="24"/>
        </w:rPr>
        <w:t>。</w:t>
      </w:r>
    </w:p>
    <w:p w14:paraId="20114D0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3、</w:t>
      </w:r>
      <w:r>
        <w:rPr>
          <w:rFonts w:hint="eastAsia" w:ascii="宋体" w:hAnsi="宋体" w:eastAsia="宋体"/>
          <w:sz w:val="24"/>
          <w:szCs w:val="24"/>
        </w:rPr>
        <w:t>向乙方提供</w:t>
      </w:r>
      <w:r>
        <w:rPr>
          <w:rFonts w:hint="eastAsia" w:ascii="宋体" w:hAnsi="宋体" w:eastAsia="宋体"/>
          <w:sz w:val="24"/>
          <w:szCs w:val="24"/>
          <w:lang w:eastAsia="zh-CN"/>
        </w:rPr>
        <w:t>验收的相关材料</w:t>
      </w:r>
      <w:r>
        <w:rPr>
          <w:rFonts w:hint="eastAsia" w:ascii="宋体" w:hAnsi="宋体" w:eastAsia="宋体"/>
          <w:sz w:val="24"/>
          <w:szCs w:val="24"/>
        </w:rPr>
        <w:t>及技术资料。</w:t>
      </w:r>
    </w:p>
    <w:p w14:paraId="50BDC88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eastAsia="宋体"/>
          <w:sz w:val="24"/>
          <w:szCs w:val="24"/>
        </w:rPr>
        <w:t>配合乙方进行</w:t>
      </w:r>
      <w:r>
        <w:rPr>
          <w:rFonts w:hint="eastAsia" w:ascii="宋体" w:hAnsi="宋体" w:eastAsia="宋体"/>
          <w:sz w:val="24"/>
          <w:szCs w:val="24"/>
          <w:lang w:eastAsia="zh-CN"/>
        </w:rPr>
        <w:t>资料整理、</w:t>
      </w:r>
      <w:r>
        <w:rPr>
          <w:rFonts w:hint="eastAsia" w:ascii="宋体" w:hAnsi="宋体" w:eastAsia="宋体"/>
          <w:sz w:val="24"/>
          <w:szCs w:val="24"/>
        </w:rPr>
        <w:t>检测</w:t>
      </w:r>
      <w:r>
        <w:rPr>
          <w:rFonts w:hint="eastAsia" w:ascii="宋体" w:hAnsi="宋体" w:eastAsia="宋体"/>
          <w:sz w:val="24"/>
          <w:szCs w:val="24"/>
          <w:lang w:eastAsia="zh-CN"/>
        </w:rPr>
        <w:t>、验收</w:t>
      </w:r>
      <w:r>
        <w:rPr>
          <w:rFonts w:hint="eastAsia" w:ascii="宋体" w:hAnsi="宋体" w:eastAsia="宋体"/>
          <w:sz w:val="24"/>
          <w:szCs w:val="24"/>
        </w:rPr>
        <w:t>工作</w:t>
      </w:r>
      <w:r>
        <w:rPr>
          <w:rFonts w:hint="eastAsia" w:ascii="宋体" w:hAnsi="宋体" w:eastAsia="宋体"/>
          <w:sz w:val="24"/>
          <w:szCs w:val="24"/>
          <w:lang w:eastAsia="zh-CN"/>
        </w:rPr>
        <w:t>。</w:t>
      </w:r>
    </w:p>
    <w:p w14:paraId="43D62D5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5、</w:t>
      </w:r>
      <w:r>
        <w:rPr>
          <w:rFonts w:hint="eastAsia" w:ascii="宋体" w:hAnsi="宋体" w:eastAsia="宋体"/>
          <w:sz w:val="24"/>
          <w:szCs w:val="24"/>
          <w:lang w:eastAsia="zh-CN"/>
        </w:rPr>
        <w:t>影响验收的项目乙方要及时提出，进行协商改进。</w:t>
      </w:r>
    </w:p>
    <w:p w14:paraId="58752BB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z w:val="24"/>
          <w:szCs w:val="24"/>
          <w:lang w:val="en-US" w:eastAsia="zh-CN"/>
        </w:rPr>
      </w:pPr>
      <w:r>
        <w:rPr>
          <w:rFonts w:hint="eastAsia" w:ascii="宋体" w:hAnsi="宋体"/>
          <w:sz w:val="24"/>
          <w:szCs w:val="24"/>
          <w:lang w:val="en-US" w:eastAsia="zh-CN"/>
        </w:rPr>
        <w:t>6、</w:t>
      </w:r>
      <w:r>
        <w:rPr>
          <w:rFonts w:hint="eastAsia" w:ascii="宋体" w:hAnsi="宋体" w:eastAsia="宋体"/>
          <w:sz w:val="24"/>
          <w:szCs w:val="24"/>
        </w:rPr>
        <w:t>甲方有权获取符合</w:t>
      </w:r>
      <w:r>
        <w:rPr>
          <w:rFonts w:hint="eastAsia" w:ascii="宋体" w:hAnsi="宋体" w:eastAsia="宋体"/>
          <w:sz w:val="24"/>
          <w:szCs w:val="24"/>
          <w:lang w:eastAsia="zh-CN"/>
        </w:rPr>
        <w:t>验收标准的图纸、资质、文件等</w:t>
      </w:r>
      <w:r>
        <w:rPr>
          <w:rFonts w:hint="eastAsia" w:ascii="宋体" w:hAnsi="宋体" w:eastAsia="宋体"/>
          <w:sz w:val="24"/>
          <w:szCs w:val="24"/>
        </w:rPr>
        <w:t>。</w:t>
      </w:r>
    </w:p>
    <w:p w14:paraId="2958D0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b/>
          <w:bCs/>
          <w:sz w:val="24"/>
          <w:szCs w:val="24"/>
        </w:rPr>
      </w:pPr>
      <w:r>
        <w:rPr>
          <w:rFonts w:hint="eastAsia" w:ascii="宋体" w:hAnsi="宋体"/>
          <w:b/>
          <w:bCs/>
          <w:sz w:val="24"/>
          <w:szCs w:val="24"/>
          <w:lang w:val="en-US" w:eastAsia="zh-CN"/>
        </w:rPr>
        <w:t>四</w:t>
      </w:r>
      <w:r>
        <w:rPr>
          <w:rFonts w:hint="eastAsia" w:ascii="宋体" w:hAnsi="宋体" w:eastAsia="宋体"/>
          <w:b/>
          <w:bCs/>
          <w:sz w:val="24"/>
          <w:szCs w:val="24"/>
        </w:rPr>
        <w:t>、乙方的权力和义务：</w:t>
      </w:r>
    </w:p>
    <w:p w14:paraId="72A24B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1、甲方向乙方</w:t>
      </w:r>
      <w:r>
        <w:rPr>
          <w:rFonts w:hint="eastAsia" w:ascii="宋体" w:hAnsi="宋体" w:eastAsia="宋体"/>
          <w:sz w:val="24"/>
          <w:szCs w:val="24"/>
        </w:rPr>
        <w:t>提供真实有效的资质证明。</w:t>
      </w:r>
    </w:p>
    <w:p w14:paraId="57062C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乙方必须按照国家消防法规、技术规范</w:t>
      </w:r>
      <w:r>
        <w:rPr>
          <w:rFonts w:hint="eastAsia" w:ascii="宋体" w:hAnsi="宋体" w:eastAsia="宋体"/>
          <w:sz w:val="24"/>
          <w:szCs w:val="24"/>
          <w:lang w:val="en-US" w:eastAsia="zh-CN"/>
        </w:rPr>
        <w:t>提供施工技术方案、施工造价估算，消防</w:t>
      </w:r>
      <w:r>
        <w:rPr>
          <w:rFonts w:hint="eastAsia" w:ascii="宋体" w:hAnsi="宋体" w:eastAsia="宋体"/>
          <w:sz w:val="24"/>
          <w:szCs w:val="24"/>
          <w:lang w:eastAsia="zh-CN"/>
        </w:rPr>
        <w:t>整改维修</w:t>
      </w:r>
      <w:r>
        <w:rPr>
          <w:rFonts w:hint="eastAsia" w:ascii="宋体" w:hAnsi="宋体" w:eastAsia="宋体"/>
          <w:sz w:val="24"/>
          <w:szCs w:val="24"/>
          <w:lang w:val="en-US" w:eastAsia="zh-CN"/>
        </w:rPr>
        <w:t>期间负责提供技术指导，确保消防整改工作</w:t>
      </w:r>
      <w:r>
        <w:rPr>
          <w:rFonts w:hint="eastAsia" w:ascii="宋体" w:hAnsi="宋体" w:eastAsia="宋体"/>
          <w:sz w:val="24"/>
          <w:szCs w:val="24"/>
          <w:lang w:eastAsia="zh-CN"/>
        </w:rPr>
        <w:t>达到验收标准</w:t>
      </w:r>
      <w:r>
        <w:rPr>
          <w:rFonts w:hint="eastAsia" w:ascii="宋体" w:hAnsi="宋体" w:eastAsia="宋体"/>
          <w:sz w:val="24"/>
          <w:szCs w:val="24"/>
        </w:rPr>
        <w:t>。</w:t>
      </w:r>
    </w:p>
    <w:p w14:paraId="16E4602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w:t>
      </w:r>
      <w:r>
        <w:rPr>
          <w:rFonts w:hint="eastAsia" w:ascii="宋体" w:hAnsi="宋体" w:eastAsia="宋体"/>
          <w:color w:val="auto"/>
          <w:sz w:val="24"/>
          <w:szCs w:val="24"/>
        </w:rPr>
        <w:t>乙方必须</w:t>
      </w:r>
      <w:r>
        <w:rPr>
          <w:rFonts w:hint="eastAsia" w:ascii="宋体" w:hAnsi="宋体" w:eastAsia="宋体"/>
          <w:color w:val="auto"/>
          <w:sz w:val="24"/>
          <w:szCs w:val="24"/>
          <w:lang w:eastAsia="zh-CN"/>
        </w:rPr>
        <w:t>按约定</w:t>
      </w:r>
      <w:r>
        <w:rPr>
          <w:rFonts w:hint="eastAsia" w:ascii="宋体" w:hAnsi="宋体"/>
          <w:color w:val="auto"/>
          <w:sz w:val="24"/>
          <w:szCs w:val="24"/>
          <w:lang w:val="en-US" w:eastAsia="zh-CN"/>
        </w:rPr>
        <w:t>配合甲方及有关主管部门</w:t>
      </w:r>
      <w:r>
        <w:rPr>
          <w:rFonts w:hint="eastAsia" w:ascii="宋体" w:hAnsi="宋体" w:eastAsia="宋体"/>
          <w:color w:val="auto"/>
          <w:sz w:val="24"/>
          <w:szCs w:val="24"/>
          <w:lang w:eastAsia="zh-CN"/>
        </w:rPr>
        <w:t>推进</w:t>
      </w:r>
      <w:r>
        <w:rPr>
          <w:rFonts w:hint="eastAsia" w:ascii="宋体" w:hAnsi="宋体"/>
          <w:color w:val="auto"/>
          <w:sz w:val="24"/>
          <w:szCs w:val="24"/>
          <w:lang w:eastAsia="zh-CN"/>
        </w:rPr>
        <w:t>、</w:t>
      </w:r>
      <w:r>
        <w:rPr>
          <w:rFonts w:hint="eastAsia" w:ascii="宋体" w:hAnsi="宋体"/>
          <w:color w:val="auto"/>
          <w:sz w:val="24"/>
          <w:szCs w:val="24"/>
          <w:lang w:val="en-US" w:eastAsia="zh-CN"/>
        </w:rPr>
        <w:t>协调</w:t>
      </w:r>
      <w:r>
        <w:rPr>
          <w:rFonts w:hint="eastAsia" w:ascii="宋体" w:hAnsi="宋体" w:eastAsia="宋体"/>
          <w:color w:val="auto"/>
          <w:sz w:val="24"/>
          <w:szCs w:val="24"/>
          <w:lang w:eastAsia="zh-CN"/>
        </w:rPr>
        <w:t>验收方面的工作</w:t>
      </w:r>
      <w:r>
        <w:rPr>
          <w:rFonts w:hint="eastAsia" w:ascii="宋体" w:hAnsi="宋体" w:eastAsia="宋体"/>
          <w:color w:val="auto"/>
          <w:sz w:val="24"/>
          <w:szCs w:val="24"/>
        </w:rPr>
        <w:t>。</w:t>
      </w:r>
    </w:p>
    <w:p w14:paraId="768DBA6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w:t>
      </w:r>
      <w:r>
        <w:rPr>
          <w:rFonts w:hint="eastAsia" w:ascii="宋体" w:hAnsi="宋体" w:eastAsia="宋体"/>
          <w:sz w:val="24"/>
          <w:szCs w:val="24"/>
        </w:rPr>
        <w:t>在</w:t>
      </w:r>
      <w:r>
        <w:rPr>
          <w:rFonts w:hint="eastAsia" w:ascii="宋体" w:hAnsi="宋体" w:eastAsia="宋体"/>
          <w:sz w:val="24"/>
          <w:szCs w:val="24"/>
          <w:lang w:eastAsia="zh-CN"/>
        </w:rPr>
        <w:t>验收</w:t>
      </w:r>
      <w:r>
        <w:rPr>
          <w:rFonts w:hint="eastAsia" w:ascii="宋体" w:hAnsi="宋体" w:eastAsia="宋体"/>
          <w:sz w:val="24"/>
          <w:szCs w:val="24"/>
        </w:rPr>
        <w:t>过程中，不符合技术规范之处，提出限期整改意见</w:t>
      </w:r>
      <w:r>
        <w:rPr>
          <w:rFonts w:hint="eastAsia" w:ascii="宋体" w:hAnsi="宋体" w:eastAsia="宋体"/>
          <w:sz w:val="24"/>
          <w:szCs w:val="24"/>
          <w:lang w:eastAsia="zh-CN"/>
        </w:rPr>
        <w:t>及时整改。</w:t>
      </w:r>
    </w:p>
    <w:p w14:paraId="33D24AF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5、</w:t>
      </w:r>
      <w:r>
        <w:rPr>
          <w:rFonts w:hint="eastAsia" w:ascii="宋体" w:hAnsi="宋体" w:eastAsia="宋体"/>
          <w:sz w:val="24"/>
          <w:szCs w:val="24"/>
        </w:rPr>
        <w:t>在</w:t>
      </w:r>
      <w:r>
        <w:rPr>
          <w:rFonts w:hint="eastAsia" w:ascii="宋体" w:hAnsi="宋体" w:eastAsia="宋体"/>
          <w:sz w:val="24"/>
          <w:szCs w:val="24"/>
          <w:lang w:eastAsia="zh-CN"/>
        </w:rPr>
        <w:t>验收</w:t>
      </w:r>
      <w:r>
        <w:rPr>
          <w:rFonts w:hint="eastAsia" w:ascii="宋体" w:hAnsi="宋体" w:eastAsia="宋体"/>
          <w:sz w:val="24"/>
          <w:szCs w:val="24"/>
        </w:rPr>
        <w:t>完工时间内，不再收</w:t>
      </w:r>
      <w:r>
        <w:rPr>
          <w:rFonts w:hint="eastAsia" w:ascii="宋体" w:hAnsi="宋体" w:eastAsia="宋体"/>
          <w:sz w:val="24"/>
          <w:szCs w:val="24"/>
          <w:lang w:eastAsia="zh-CN"/>
        </w:rPr>
        <w:t>取合同以外的其它任何费用</w:t>
      </w:r>
      <w:r>
        <w:rPr>
          <w:rFonts w:hint="eastAsia" w:ascii="宋体" w:hAnsi="宋体" w:eastAsia="宋体"/>
          <w:sz w:val="24"/>
          <w:szCs w:val="24"/>
        </w:rPr>
        <w:t>。</w:t>
      </w:r>
    </w:p>
    <w:p w14:paraId="2C153EA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6、</w:t>
      </w:r>
      <w:r>
        <w:rPr>
          <w:rFonts w:hint="eastAsia" w:ascii="宋体" w:hAnsi="宋体" w:eastAsia="宋体"/>
          <w:sz w:val="24"/>
          <w:szCs w:val="24"/>
        </w:rPr>
        <w:t>乙方负责</w:t>
      </w:r>
      <w:r>
        <w:rPr>
          <w:rFonts w:hint="eastAsia" w:ascii="宋体" w:hAnsi="宋体" w:eastAsia="宋体"/>
          <w:sz w:val="24"/>
          <w:szCs w:val="24"/>
          <w:lang w:eastAsia="zh-CN"/>
        </w:rPr>
        <w:t>验收</w:t>
      </w:r>
      <w:r>
        <w:rPr>
          <w:rFonts w:hint="eastAsia" w:ascii="宋体" w:hAnsi="宋体" w:eastAsia="宋体"/>
          <w:sz w:val="24"/>
          <w:szCs w:val="24"/>
        </w:rPr>
        <w:t>过程中所需的材料</w:t>
      </w:r>
      <w:r>
        <w:rPr>
          <w:rFonts w:hint="eastAsia" w:ascii="宋体" w:hAnsi="宋体" w:eastAsia="宋体"/>
          <w:sz w:val="24"/>
          <w:szCs w:val="24"/>
          <w:lang w:eastAsia="zh-CN"/>
        </w:rPr>
        <w:t>审查</w:t>
      </w:r>
      <w:r>
        <w:rPr>
          <w:rFonts w:hint="eastAsia" w:ascii="宋体" w:hAnsi="宋体"/>
          <w:sz w:val="24"/>
          <w:szCs w:val="24"/>
          <w:lang w:val="en-US" w:eastAsia="zh-CN"/>
        </w:rPr>
        <w:t>,且出报告根据甲方配合情况定。</w:t>
      </w:r>
    </w:p>
    <w:p w14:paraId="41B7C85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sz w:val="24"/>
          <w:szCs w:val="24"/>
          <w:lang w:eastAsia="zh-CN"/>
        </w:rPr>
      </w:pPr>
      <w:r>
        <w:rPr>
          <w:rFonts w:hint="eastAsia" w:ascii="宋体" w:hAnsi="宋体"/>
          <w:b/>
          <w:bCs/>
          <w:sz w:val="24"/>
          <w:szCs w:val="24"/>
          <w:lang w:val="en-US" w:eastAsia="zh-CN"/>
        </w:rPr>
        <w:t>五</w:t>
      </w:r>
      <w:r>
        <w:rPr>
          <w:rFonts w:hint="eastAsia" w:ascii="宋体" w:hAnsi="宋体" w:eastAsia="宋体"/>
          <w:b/>
          <w:bCs/>
          <w:sz w:val="24"/>
          <w:szCs w:val="24"/>
        </w:rPr>
        <w:t>、违约责任：</w:t>
      </w:r>
    </w:p>
    <w:p w14:paraId="4305B47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sz w:val="24"/>
          <w:szCs w:val="24"/>
          <w:lang w:val="en-US"/>
        </w:rPr>
      </w:pPr>
      <w:r>
        <w:rPr>
          <w:rFonts w:ascii="宋体" w:hAnsi="宋体" w:eastAsia="宋体"/>
          <w:sz w:val="24"/>
          <w:szCs w:val="24"/>
          <w:lang w:val="en-US"/>
        </w:rPr>
        <w:t>1</w:t>
      </w:r>
      <w:r>
        <w:rPr>
          <w:rFonts w:hint="eastAsia" w:ascii="宋体" w:hAnsi="宋体" w:eastAsia="宋体"/>
          <w:color w:val="auto"/>
          <w:sz w:val="24"/>
          <w:szCs w:val="24"/>
          <w:lang w:val="en-US" w:eastAsia="zh-CN"/>
        </w:rPr>
        <w:t>、甲方未按照本合同约定及时向乙方支付费用，</w:t>
      </w:r>
      <w:r>
        <w:rPr>
          <w:rFonts w:hint="eastAsia" w:ascii="宋体" w:hAnsi="宋体"/>
          <w:color w:val="auto"/>
          <w:sz w:val="24"/>
          <w:szCs w:val="24"/>
          <w:lang w:val="en-US" w:eastAsia="zh-CN"/>
        </w:rPr>
        <w:t>乙方有权按有关法规进行索赔</w:t>
      </w:r>
      <w:r>
        <w:rPr>
          <w:rFonts w:hint="eastAsia" w:ascii="宋体" w:hAnsi="宋体" w:eastAsia="宋体"/>
          <w:color w:val="auto"/>
          <w:sz w:val="24"/>
          <w:szCs w:val="24"/>
          <w:lang w:val="en-US" w:eastAsia="zh-CN"/>
        </w:rPr>
        <w:t>。</w:t>
      </w:r>
    </w:p>
    <w:p w14:paraId="7D9A25E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ascii="宋体" w:hAnsi="宋体" w:eastAsia="宋体"/>
          <w:sz w:val="24"/>
          <w:szCs w:val="24"/>
          <w:lang w:val="en-US"/>
        </w:rPr>
      </w:pPr>
      <w:r>
        <w:rPr>
          <w:rFonts w:ascii="宋体" w:hAnsi="宋体" w:eastAsia="宋体"/>
          <w:sz w:val="24"/>
          <w:szCs w:val="24"/>
          <w:lang w:val="en-US"/>
        </w:rPr>
        <w:t>2</w:t>
      </w:r>
      <w:r>
        <w:rPr>
          <w:rFonts w:hint="eastAsia" w:ascii="宋体" w:hAnsi="宋体" w:eastAsia="宋体"/>
          <w:sz w:val="24"/>
          <w:szCs w:val="24"/>
          <w:lang w:val="en-US" w:eastAsia="zh-CN"/>
        </w:rPr>
        <w:t>、乙方</w:t>
      </w:r>
      <w:r>
        <w:rPr>
          <w:rFonts w:ascii="宋体" w:hAnsi="宋体" w:eastAsia="宋体"/>
          <w:sz w:val="24"/>
          <w:szCs w:val="24"/>
          <w:lang w:val="en-US" w:eastAsia="zh-CN"/>
        </w:rPr>
        <w:t>按照本合同约</w:t>
      </w:r>
      <w:r>
        <w:rPr>
          <w:rFonts w:hint="eastAsia" w:ascii="宋体" w:hAnsi="宋体" w:eastAsia="宋体"/>
          <w:sz w:val="24"/>
          <w:szCs w:val="24"/>
          <w:lang w:val="en-US" w:eastAsia="zh-CN"/>
        </w:rPr>
        <w:t>定</w:t>
      </w:r>
      <w:r>
        <w:rPr>
          <w:rFonts w:hint="eastAsia" w:ascii="宋体" w:hAnsi="宋体"/>
          <w:sz w:val="24"/>
          <w:szCs w:val="24"/>
          <w:lang w:val="en-US" w:eastAsia="zh-CN"/>
        </w:rPr>
        <w:t>进行消防验收，确保取得消防验收凭证。</w:t>
      </w:r>
    </w:p>
    <w:p w14:paraId="49F6476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sz w:val="24"/>
          <w:szCs w:val="24"/>
          <w:lang w:eastAsia="zh-CN"/>
        </w:rPr>
      </w:pPr>
      <w:r>
        <w:rPr>
          <w:rFonts w:hint="eastAsia" w:ascii="宋体" w:hAnsi="宋体"/>
          <w:b/>
          <w:bCs/>
          <w:sz w:val="24"/>
          <w:szCs w:val="24"/>
          <w:lang w:val="en-US" w:eastAsia="zh-CN"/>
        </w:rPr>
        <w:t>六</w:t>
      </w:r>
      <w:r>
        <w:rPr>
          <w:rFonts w:hint="eastAsia" w:ascii="宋体" w:hAnsi="宋体" w:eastAsia="宋体"/>
          <w:b/>
          <w:bCs/>
          <w:sz w:val="24"/>
          <w:szCs w:val="24"/>
          <w:lang w:eastAsia="zh-CN"/>
        </w:rPr>
        <w:t>、争议解决：</w:t>
      </w:r>
    </w:p>
    <w:p w14:paraId="5734A6F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双方在履行合同中发生纠纷，应本着互惠互利的原则协商解决，如协商不成</w:t>
      </w:r>
      <w:r>
        <w:rPr>
          <w:rFonts w:hint="eastAsia" w:ascii="宋体" w:hAnsi="宋体" w:eastAsia="宋体"/>
          <w:sz w:val="24"/>
          <w:szCs w:val="24"/>
          <w:lang w:eastAsia="zh-CN"/>
        </w:rPr>
        <w:t>可上诉甲方所在地法院进行裁决</w:t>
      </w:r>
      <w:r>
        <w:rPr>
          <w:rFonts w:hint="eastAsia" w:ascii="宋体" w:hAnsi="宋体" w:eastAsia="宋体"/>
          <w:sz w:val="24"/>
          <w:szCs w:val="24"/>
        </w:rPr>
        <w:t>。</w:t>
      </w:r>
    </w:p>
    <w:p w14:paraId="30A7197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sz w:val="24"/>
          <w:szCs w:val="24"/>
          <w:lang w:eastAsia="zh-CN"/>
        </w:rPr>
      </w:pPr>
      <w:r>
        <w:rPr>
          <w:rFonts w:hint="eastAsia" w:ascii="宋体" w:hAnsi="宋体"/>
          <w:b/>
          <w:bCs/>
          <w:sz w:val="24"/>
          <w:szCs w:val="24"/>
          <w:lang w:val="en-US" w:eastAsia="zh-CN"/>
        </w:rPr>
        <w:t>七</w:t>
      </w:r>
      <w:r>
        <w:rPr>
          <w:rFonts w:hint="eastAsia" w:ascii="宋体" w:hAnsi="宋体" w:eastAsia="宋体"/>
          <w:b/>
          <w:bCs/>
          <w:sz w:val="24"/>
          <w:szCs w:val="24"/>
          <w:lang w:eastAsia="zh-CN"/>
        </w:rPr>
        <w:t>、</w:t>
      </w:r>
      <w:r>
        <w:rPr>
          <w:rFonts w:hint="eastAsia" w:ascii="宋体" w:hAnsi="宋体" w:eastAsia="宋体"/>
          <w:b/>
          <w:bCs/>
          <w:sz w:val="24"/>
          <w:szCs w:val="24"/>
        </w:rPr>
        <w:t>本合同经双方签字盖章之日起生效</w:t>
      </w:r>
      <w:r>
        <w:rPr>
          <w:rFonts w:hint="eastAsia" w:ascii="宋体" w:hAnsi="宋体" w:eastAsia="宋体"/>
          <w:b/>
          <w:bCs/>
          <w:sz w:val="24"/>
          <w:szCs w:val="24"/>
          <w:lang w:eastAsia="zh-CN"/>
        </w:rPr>
        <w:t>。</w:t>
      </w:r>
    </w:p>
    <w:p w14:paraId="0127C8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bCs/>
          <w:sz w:val="24"/>
          <w:szCs w:val="24"/>
          <w:lang w:eastAsia="zh-CN"/>
        </w:rPr>
      </w:pPr>
      <w:r>
        <w:rPr>
          <w:rFonts w:hint="eastAsia" w:ascii="宋体" w:hAnsi="宋体"/>
          <w:b/>
          <w:bCs/>
          <w:sz w:val="24"/>
          <w:szCs w:val="24"/>
          <w:lang w:val="en-US" w:eastAsia="zh-CN"/>
        </w:rPr>
        <w:t>八</w:t>
      </w:r>
      <w:r>
        <w:rPr>
          <w:rFonts w:hint="eastAsia" w:ascii="宋体" w:hAnsi="宋体" w:eastAsia="宋体"/>
          <w:b/>
          <w:bCs/>
          <w:sz w:val="24"/>
          <w:szCs w:val="24"/>
        </w:rPr>
        <w:t>、本合同一式</w:t>
      </w:r>
      <w:r>
        <w:rPr>
          <w:rFonts w:hint="eastAsia" w:ascii="宋体" w:hAnsi="宋体"/>
          <w:b/>
          <w:bCs/>
          <w:sz w:val="24"/>
          <w:szCs w:val="24"/>
          <w:lang w:eastAsia="zh-CN"/>
        </w:rPr>
        <w:t>肆</w:t>
      </w:r>
      <w:r>
        <w:rPr>
          <w:rFonts w:hint="eastAsia" w:ascii="宋体" w:hAnsi="宋体" w:eastAsia="宋体"/>
          <w:b/>
          <w:bCs/>
          <w:sz w:val="24"/>
          <w:szCs w:val="24"/>
        </w:rPr>
        <w:t>份，</w:t>
      </w:r>
      <w:r>
        <w:rPr>
          <w:rFonts w:hint="eastAsia" w:ascii="宋体" w:hAnsi="宋体" w:eastAsia="宋体"/>
          <w:b/>
          <w:bCs/>
          <w:sz w:val="24"/>
          <w:szCs w:val="24"/>
          <w:lang w:eastAsia="zh-CN"/>
        </w:rPr>
        <w:t>甲方执两份，乙方</w:t>
      </w:r>
      <w:r>
        <w:rPr>
          <w:rFonts w:hint="eastAsia" w:ascii="宋体" w:hAnsi="宋体"/>
          <w:b/>
          <w:bCs/>
          <w:sz w:val="24"/>
          <w:szCs w:val="24"/>
          <w:lang w:eastAsia="zh-CN"/>
        </w:rPr>
        <w:t>执两</w:t>
      </w:r>
      <w:r>
        <w:rPr>
          <w:rFonts w:hint="eastAsia" w:ascii="宋体" w:hAnsi="宋体" w:eastAsia="宋体"/>
          <w:b/>
          <w:bCs/>
          <w:sz w:val="24"/>
          <w:szCs w:val="24"/>
          <w:lang w:eastAsia="zh-CN"/>
        </w:rPr>
        <w:t>份</w:t>
      </w:r>
      <w:r>
        <w:rPr>
          <w:rFonts w:hint="eastAsia" w:ascii="宋体" w:hAnsi="宋体" w:eastAsia="宋体"/>
          <w:b/>
          <w:bCs/>
          <w:sz w:val="24"/>
          <w:szCs w:val="24"/>
        </w:rPr>
        <w:t>。</w:t>
      </w:r>
    </w:p>
    <w:p w14:paraId="05EBEF6E">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bCs/>
          <w:color w:val="000000"/>
          <w:sz w:val="24"/>
          <w:szCs w:val="24"/>
        </w:rPr>
      </w:pPr>
      <w:r>
        <w:rPr>
          <w:rFonts w:hint="eastAsia" w:ascii="宋体" w:hAnsi="宋体" w:eastAsia="宋体"/>
          <w:bCs/>
          <w:color w:val="000000"/>
          <w:sz w:val="24"/>
          <w:szCs w:val="24"/>
        </w:rPr>
        <w:t xml:space="preserve">甲方（签章）：                   </w:t>
      </w:r>
      <w:r>
        <w:rPr>
          <w:rFonts w:hint="eastAsia" w:ascii="宋体" w:hAnsi="宋体" w:eastAsia="宋体"/>
          <w:bCs/>
          <w:color w:val="000000"/>
          <w:sz w:val="24"/>
          <w:szCs w:val="24"/>
          <w:lang w:val="en-US" w:eastAsia="zh-CN"/>
        </w:rPr>
        <w:t xml:space="preserve">  </w:t>
      </w:r>
      <w:r>
        <w:rPr>
          <w:rFonts w:hint="eastAsia" w:ascii="宋体" w:hAnsi="宋体" w:eastAsia="宋体"/>
          <w:bCs/>
          <w:color w:val="000000"/>
          <w:sz w:val="24"/>
          <w:szCs w:val="24"/>
        </w:rPr>
        <w:t>乙方（签章）：</w:t>
      </w:r>
      <w:r>
        <w:rPr>
          <w:rFonts w:hint="eastAsia" w:ascii="宋体" w:hAnsi="宋体" w:eastAsia="宋体"/>
          <w:b w:val="0"/>
          <w:bCs w:val="0"/>
          <w:sz w:val="24"/>
          <w:szCs w:val="24"/>
          <w:u w:val="none"/>
          <w:lang w:val="en-US" w:eastAsia="zh-CN"/>
        </w:rPr>
        <w:t xml:space="preserve">  </w:t>
      </w:r>
    </w:p>
    <w:p w14:paraId="6F8F9C5A">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rPr>
        <w:t>法定代表人</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 xml:space="preserve">                      </w:t>
      </w:r>
      <w:r>
        <w:rPr>
          <w:rFonts w:hint="eastAsia" w:ascii="宋体" w:hAnsi="宋体" w:eastAsia="宋体" w:cs="Times New Roman"/>
          <w:bCs/>
          <w:color w:val="000000"/>
          <w:sz w:val="24"/>
          <w:szCs w:val="24"/>
        </w:rPr>
        <w:t>法定代表人</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 xml:space="preserve">          </w:t>
      </w:r>
    </w:p>
    <w:p w14:paraId="306318F8">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或其委托代理人（签字）：</w:t>
      </w:r>
      <w:r>
        <w:rPr>
          <w:rFonts w:hint="eastAsia" w:ascii="宋体" w:hAnsi="宋体" w:eastAsia="宋体" w:cs="Times New Roman"/>
          <w:bCs/>
          <w:color w:val="000000"/>
          <w:sz w:val="24"/>
          <w:szCs w:val="24"/>
          <w:lang w:val="en-US" w:eastAsia="zh-CN"/>
        </w:rPr>
        <w:t xml:space="preserve">          </w:t>
      </w:r>
      <w:r>
        <w:rPr>
          <w:rFonts w:hint="eastAsia" w:ascii="宋体" w:hAnsi="宋体" w:eastAsia="宋体" w:cs="Times New Roman"/>
          <w:bCs/>
          <w:color w:val="000000"/>
          <w:sz w:val="24"/>
          <w:szCs w:val="24"/>
        </w:rPr>
        <w:t>或其委托代理人（签字）：</w:t>
      </w:r>
      <w:r>
        <w:rPr>
          <w:rFonts w:hint="eastAsia" w:ascii="宋体" w:hAnsi="宋体" w:eastAsia="宋体" w:cs="Times New Roman"/>
          <w:bCs/>
          <w:color w:val="000000"/>
          <w:sz w:val="24"/>
          <w:szCs w:val="24"/>
          <w:lang w:val="en-US" w:eastAsia="zh-CN"/>
        </w:rPr>
        <w:t xml:space="preserve">       </w:t>
      </w:r>
    </w:p>
    <w:p w14:paraId="76DC228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Times New Roman"/>
          <w:bCs/>
          <w:color w:val="000000"/>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7054C7A6">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bCs/>
          <w:color w:val="000000"/>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p>
    <w:p w14:paraId="7F0946DD">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bCs/>
          <w:color w:val="000000"/>
          <w:sz w:val="24"/>
          <w:szCs w:val="24"/>
        </w:rPr>
      </w:pPr>
      <w:r>
        <w:rPr>
          <w:rFonts w:hint="eastAsia" w:ascii="宋体" w:hAnsi="宋体" w:eastAsia="宋体"/>
          <w:bCs/>
          <w:color w:val="000000"/>
          <w:sz w:val="24"/>
          <w:szCs w:val="24"/>
        </w:rPr>
        <w:t xml:space="preserve">年    月   日                   </w:t>
      </w:r>
      <w:r>
        <w:rPr>
          <w:rFonts w:hint="eastAsia" w:ascii="宋体" w:hAnsi="宋体"/>
          <w:bCs/>
          <w:color w:val="000000"/>
          <w:sz w:val="24"/>
          <w:szCs w:val="24"/>
          <w:lang w:val="en-US" w:eastAsia="zh-CN"/>
        </w:rPr>
        <w:t xml:space="preserve"> </w:t>
      </w:r>
      <w:r>
        <w:rPr>
          <w:rFonts w:hint="eastAsia" w:ascii="宋体" w:hAnsi="宋体" w:eastAsia="宋体"/>
          <w:bCs/>
          <w:color w:val="000000"/>
          <w:sz w:val="24"/>
          <w:szCs w:val="24"/>
        </w:rPr>
        <w:t>年    月   日</w:t>
      </w:r>
    </w:p>
    <w:p w14:paraId="6D12515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pacing w:val="28"/>
          <w:sz w:val="24"/>
          <w:szCs w:val="24"/>
          <w:lang w:val="en-US" w:eastAsia="zh-CN"/>
        </w:rPr>
      </w:pPr>
    </w:p>
    <w:p w14:paraId="784D583E">
      <w:pPr>
        <w:pStyle w:val="30"/>
        <w:spacing w:line="460" w:lineRule="exact"/>
        <w:ind w:firstLine="720" w:firstLineChars="300"/>
        <w:rPr>
          <w:rFonts w:hint="eastAsia" w:ascii="仿宋" w:hAnsi="仿宋" w:eastAsia="仿宋" w:cs="仿宋"/>
          <w:kern w:val="2"/>
          <w:sz w:val="24"/>
          <w:szCs w:val="24"/>
        </w:rPr>
      </w:pPr>
    </w:p>
    <w:p w14:paraId="7D5EB153">
      <w:pPr>
        <w:keepNext w:val="0"/>
        <w:keepLines w:val="0"/>
        <w:pageBreakBefore w:val="0"/>
        <w:kinsoku/>
        <w:wordWrap/>
        <w:overflowPunct/>
        <w:topLinePunct w:val="0"/>
        <w:bidi w:val="0"/>
        <w:snapToGrid/>
        <w:spacing w:line="408"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注：1、本合同条款仅供参考，甲乙双方可根据实际情况进行补充。</w:t>
      </w:r>
    </w:p>
    <w:p w14:paraId="004509C0">
      <w:pPr>
        <w:keepNext w:val="0"/>
        <w:keepLines w:val="0"/>
        <w:pageBreakBefore w:val="0"/>
        <w:kinsoku/>
        <w:wordWrap/>
        <w:overflowPunct/>
        <w:topLinePunct w:val="0"/>
        <w:bidi w:val="0"/>
        <w:snapToGrid/>
        <w:spacing w:line="408" w:lineRule="auto"/>
        <w:ind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、采购人应当自</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en-US" w:eastAsia="zh-CN"/>
        </w:rPr>
        <w:t>通知书发出之日起</w:t>
      </w: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日内与</w:t>
      </w:r>
      <w:r>
        <w:rPr>
          <w:rFonts w:hint="eastAsia" w:ascii="宋体" w:hAnsi="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lang w:val="en-US" w:eastAsia="zh-CN"/>
        </w:rPr>
        <w:t>签订合同，且在合同签订后2个工作日内将此合同在陕西省政府采购网进行公示。</w:t>
      </w:r>
    </w:p>
    <w:p w14:paraId="0BE543E6">
      <w:pPr>
        <w:spacing w:line="240" w:lineRule="auto"/>
        <w:rPr>
          <w:rFonts w:hint="eastAsia" w:ascii="宋体" w:hAnsi="宋体" w:eastAsia="宋体" w:cs="宋体"/>
          <w:color w:val="auto"/>
          <w:sz w:val="28"/>
          <w:szCs w:val="28"/>
        </w:rPr>
      </w:pPr>
    </w:p>
    <w:p w14:paraId="11511A60">
      <w:pPr>
        <w:pStyle w:val="2"/>
        <w:keepNext w:val="0"/>
        <w:pageBreakBefore/>
        <w:topLinePunct w:val="0"/>
        <w:bidi w:val="0"/>
        <w:spacing w:line="360" w:lineRule="auto"/>
        <w:outlineLvl w:val="0"/>
        <w:rPr>
          <w:rFonts w:hint="eastAsia" w:ascii="宋体" w:hAnsi="宋体" w:cs="宋体"/>
          <w:b/>
          <w:color w:val="auto"/>
          <w:w w:val="120"/>
          <w:sz w:val="28"/>
          <w:szCs w:val="28"/>
          <w:highlight w:val="none"/>
          <w:u w:val="none"/>
          <w:lang w:val="en-US" w:eastAsia="zh-CN"/>
        </w:rPr>
      </w:pPr>
      <w:bookmarkStart w:id="112" w:name="_Toc19126"/>
      <w:r>
        <w:rPr>
          <w:rFonts w:hint="eastAsia" w:ascii="宋体" w:hAnsi="宋体" w:cs="宋体"/>
          <w:b/>
          <w:color w:val="auto"/>
          <w:kern w:val="44"/>
          <w:sz w:val="32"/>
          <w:szCs w:val="22"/>
          <w:highlight w:val="none"/>
          <w:lang w:val="en-US" w:eastAsia="zh-CN" w:bidi="ar-SA"/>
        </w:rPr>
        <w:t xml:space="preserve">                                                    </w:t>
      </w:r>
      <w:r>
        <w:rPr>
          <w:rFonts w:hint="eastAsia" w:ascii="宋体" w:hAnsi="宋体" w:eastAsia="宋体" w:cs="宋体"/>
          <w:b/>
          <w:color w:val="auto"/>
          <w:kern w:val="44"/>
          <w:sz w:val="32"/>
          <w:szCs w:val="22"/>
          <w:highlight w:val="none"/>
          <w:lang w:val="en-US" w:eastAsia="zh-CN" w:bidi="ar-SA"/>
        </w:rPr>
        <w:t>第六部分 磋商响应文件格式</w:t>
      </w:r>
      <w:bookmarkEnd w:id="103"/>
      <w:bookmarkEnd w:id="104"/>
      <w:bookmarkEnd w:id="105"/>
      <w:bookmarkEnd w:id="109"/>
      <w:bookmarkEnd w:id="110"/>
      <w:bookmarkEnd w:id="111"/>
      <w:bookmarkEnd w:id="112"/>
      <w:bookmarkStart w:id="113" w:name="_Toc24239"/>
      <w:bookmarkStart w:id="114" w:name="_Toc7459"/>
      <w:r>
        <w:rPr>
          <w:rFonts w:hint="eastAsia" w:ascii="宋体" w:hAnsi="宋体" w:eastAsia="宋体" w:cs="宋体"/>
          <w:b/>
          <w:color w:val="auto"/>
          <w:kern w:val="44"/>
          <w:sz w:val="32"/>
          <w:szCs w:val="22"/>
          <w:highlight w:val="none"/>
          <w:lang w:val="en-US" w:eastAsia="zh-CN" w:bidi="ar-SA"/>
        </w:rPr>
        <w:t xml:space="preserve"> </w:t>
      </w:r>
      <w:r>
        <w:rPr>
          <w:rFonts w:hint="eastAsia" w:ascii="宋体" w:hAnsi="宋体" w:cs="宋体"/>
          <w:b/>
          <w:color w:val="auto"/>
          <w:w w:val="120"/>
          <w:sz w:val="28"/>
          <w:szCs w:val="28"/>
          <w:highlight w:val="none"/>
          <w:u w:val="none"/>
          <w:lang w:val="en-US" w:eastAsia="zh-CN"/>
        </w:rPr>
        <w:t xml:space="preserve">                                </w:t>
      </w:r>
    </w:p>
    <w:p w14:paraId="68D7B6B4">
      <w:pPr>
        <w:topLinePunct w:val="0"/>
        <w:bidi w:val="0"/>
        <w:adjustRightInd w:val="0"/>
        <w:snapToGrid w:val="0"/>
        <w:spacing w:line="360" w:lineRule="auto"/>
        <w:ind w:firstLine="6505" w:firstLineChars="1800"/>
        <w:jc w:val="left"/>
        <w:rPr>
          <w:color w:val="auto"/>
          <w:highlight w:val="none"/>
        </w:rPr>
      </w:pPr>
      <w:r>
        <w:rPr>
          <w:rFonts w:hint="eastAsia"/>
          <w:b/>
          <w:bCs/>
          <w:color w:val="auto"/>
          <w:sz w:val="36"/>
          <w:szCs w:val="36"/>
          <w:highlight w:val="none"/>
          <w:lang w:val="en-US" w:eastAsia="zh-CN"/>
        </w:rPr>
        <w:t xml:space="preserve"> </w:t>
      </w:r>
      <w:r>
        <w:rPr>
          <w:rFonts w:hint="eastAsia" w:ascii="宋体" w:hAnsi="宋体" w:cs="宋体"/>
          <w:b/>
          <w:color w:val="auto"/>
          <w:w w:val="120"/>
          <w:sz w:val="28"/>
          <w:szCs w:val="28"/>
          <w:highlight w:val="none"/>
          <w:u w:val="none"/>
          <w:lang w:val="en-US" w:eastAsia="zh-CN"/>
        </w:rPr>
        <w:t xml:space="preserve">                       </w:t>
      </w:r>
    </w:p>
    <w:p w14:paraId="25FCBACA">
      <w:pPr>
        <w:pStyle w:val="52"/>
        <w:ind w:left="0" w:leftChars="0" w:firstLine="0" w:firstLineChars="0"/>
        <w:jc w:val="center"/>
        <w:rPr>
          <w:rFonts w:hint="eastAsia"/>
          <w:color w:val="auto"/>
          <w:sz w:val="16"/>
          <w:szCs w:val="18"/>
          <w:lang w:val="en-US" w:eastAsia="zh-CN"/>
        </w:rPr>
      </w:pPr>
      <w:r>
        <w:rPr>
          <w:rFonts w:hint="eastAsia" w:ascii="宋体" w:hAnsi="宋体" w:cs="宋体"/>
          <w:b/>
          <w:color w:val="auto"/>
          <w:spacing w:val="-6"/>
          <w:sz w:val="28"/>
          <w:szCs w:val="28"/>
          <w:highlight w:val="none"/>
          <w:lang w:val="en-US" w:eastAsia="zh-CN"/>
        </w:rPr>
        <w:t>“已交楼未进行消防验收”消防技术服务采购项目</w:t>
      </w:r>
    </w:p>
    <w:p w14:paraId="10B958DA">
      <w:pPr>
        <w:pStyle w:val="12"/>
        <w:rPr>
          <w:rFonts w:hint="eastAsia"/>
          <w:color w:val="auto"/>
          <w:highlight w:val="none"/>
          <w:lang w:val="en-US" w:eastAsia="zh-CN"/>
        </w:rPr>
      </w:pPr>
    </w:p>
    <w:p w14:paraId="55C1FCBC">
      <w:pPr>
        <w:rPr>
          <w:rFonts w:hint="eastAsia"/>
          <w:color w:val="auto"/>
          <w:highlight w:val="none"/>
          <w:lang w:val="en-US" w:eastAsia="zh-CN"/>
        </w:rPr>
      </w:pPr>
    </w:p>
    <w:p w14:paraId="2E235C59">
      <w:pPr>
        <w:pStyle w:val="12"/>
        <w:rPr>
          <w:rFonts w:hint="eastAsia"/>
          <w:color w:val="auto"/>
          <w:lang w:val="en-US" w:eastAsia="zh-CN"/>
        </w:rPr>
      </w:pPr>
    </w:p>
    <w:p w14:paraId="1504903A">
      <w:pPr>
        <w:topLinePunct w:val="0"/>
        <w:bidi w:val="0"/>
        <w:adjustRightInd w:val="0"/>
        <w:snapToGrid w:val="0"/>
        <w:spacing w:line="36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lang w:val="en-US" w:eastAsia="zh-CN"/>
        </w:rPr>
        <w:t>磋商</w:t>
      </w:r>
      <w:r>
        <w:rPr>
          <w:rFonts w:hint="eastAsia" w:ascii="宋体" w:hAnsi="宋体" w:cs="宋体"/>
          <w:b/>
          <w:color w:val="auto"/>
          <w:sz w:val="56"/>
          <w:szCs w:val="56"/>
          <w:highlight w:val="none"/>
        </w:rPr>
        <w:t>响应文件</w:t>
      </w:r>
    </w:p>
    <w:p w14:paraId="2B3E1C3D">
      <w:pPr>
        <w:pStyle w:val="12"/>
        <w:rPr>
          <w:rFonts w:hint="eastAsia" w:ascii="宋体" w:hAnsi="宋体" w:cs="宋体"/>
          <w:b/>
          <w:color w:val="auto"/>
          <w:sz w:val="72"/>
          <w:szCs w:val="72"/>
          <w:highlight w:val="none"/>
        </w:rPr>
      </w:pPr>
    </w:p>
    <w:p w14:paraId="605A14D7">
      <w:pPr>
        <w:rPr>
          <w:rFonts w:hint="eastAsia"/>
          <w:color w:val="auto"/>
          <w:highlight w:val="none"/>
          <w:lang w:eastAsia="zh-CN"/>
        </w:rPr>
      </w:pPr>
    </w:p>
    <w:p w14:paraId="61E92610">
      <w:pPr>
        <w:rPr>
          <w:rFonts w:hint="eastAsia"/>
          <w:color w:val="auto"/>
          <w:highlight w:val="none"/>
          <w:lang w:eastAsia="zh-CN"/>
        </w:rPr>
      </w:pPr>
    </w:p>
    <w:p w14:paraId="41BC64D4">
      <w:pPr>
        <w:pStyle w:val="30"/>
        <w:rPr>
          <w:rFonts w:hint="eastAsia"/>
          <w:color w:val="auto"/>
          <w:highlight w:val="none"/>
          <w:lang w:eastAsia="zh-CN"/>
        </w:rPr>
      </w:pPr>
    </w:p>
    <w:p w14:paraId="075C6BFB">
      <w:pPr>
        <w:rPr>
          <w:rFonts w:hint="eastAsia"/>
          <w:color w:val="auto"/>
          <w:highlight w:val="none"/>
          <w:lang w:eastAsia="zh-CN"/>
        </w:rPr>
      </w:pPr>
    </w:p>
    <w:p w14:paraId="6B003C9C">
      <w:pPr>
        <w:pStyle w:val="30"/>
        <w:rPr>
          <w:rFonts w:hint="eastAsia"/>
          <w:color w:val="auto"/>
          <w:lang w:eastAsia="zh-CN"/>
        </w:rPr>
      </w:pPr>
    </w:p>
    <w:p w14:paraId="5DEEC4D8">
      <w:pPr>
        <w:pStyle w:val="3"/>
        <w:rPr>
          <w:rFonts w:hint="eastAsia"/>
          <w:color w:val="auto"/>
          <w:lang w:eastAsia="zh-CN"/>
        </w:rPr>
      </w:pPr>
    </w:p>
    <w:p w14:paraId="057E745E">
      <w:pPr>
        <w:rPr>
          <w:rFonts w:hint="eastAsia"/>
          <w:color w:val="auto"/>
          <w:highlight w:val="none"/>
        </w:rPr>
      </w:pPr>
    </w:p>
    <w:p w14:paraId="47CA5E0D">
      <w:pPr>
        <w:pStyle w:val="12"/>
        <w:rPr>
          <w:rFonts w:hint="eastAsia"/>
          <w:color w:val="auto"/>
          <w:highlight w:val="none"/>
          <w:lang w:eastAsia="zh-CN"/>
        </w:rPr>
      </w:pPr>
      <w:r>
        <w:rPr>
          <w:rFonts w:hint="eastAsia" w:ascii="宋体" w:hAnsi="宋体"/>
          <w:b/>
          <w:color w:val="auto"/>
          <w:sz w:val="32"/>
          <w:szCs w:val="32"/>
          <w:highlight w:val="none"/>
          <w:lang w:val="en-US" w:eastAsia="zh-CN"/>
        </w:rPr>
        <w:t xml:space="preserve">  </w:t>
      </w:r>
      <w:r>
        <w:rPr>
          <w:rFonts w:hint="eastAsia" w:ascii="宋体" w:hAnsi="宋体"/>
          <w:b/>
          <w:color w:val="auto"/>
          <w:spacing w:val="34"/>
          <w:sz w:val="32"/>
          <w:szCs w:val="32"/>
          <w:highlight w:val="none"/>
          <w:lang w:val="en-US" w:eastAsia="zh-CN"/>
        </w:rPr>
        <w:t>项目</w:t>
      </w:r>
      <w:r>
        <w:rPr>
          <w:rFonts w:hint="eastAsia" w:ascii="宋体" w:hAnsi="宋体"/>
          <w:b/>
          <w:color w:val="auto"/>
          <w:spacing w:val="34"/>
          <w:sz w:val="32"/>
          <w:szCs w:val="32"/>
          <w:highlight w:val="none"/>
        </w:rPr>
        <w:t>编号：</w:t>
      </w:r>
      <w:r>
        <w:rPr>
          <w:rFonts w:hint="eastAsia" w:ascii="宋体" w:hAnsi="宋体"/>
          <w:b/>
          <w:color w:val="auto"/>
          <w:highlight w:val="none"/>
          <w:u w:val="single"/>
        </w:rPr>
        <w:t xml:space="preserve">         </w:t>
      </w:r>
      <w:r>
        <w:rPr>
          <w:rFonts w:hint="eastAsia" w:ascii="宋体" w:hAnsi="宋体"/>
          <w:b/>
          <w:color w:val="auto"/>
          <w:u w:val="single"/>
        </w:rPr>
        <w:t xml:space="preserve">                     </w:t>
      </w:r>
      <w:r>
        <w:rPr>
          <w:rFonts w:hint="eastAsia" w:ascii="宋体" w:hAnsi="宋体"/>
          <w:b/>
          <w:color w:val="auto"/>
          <w:u w:val="single"/>
          <w:lang w:val="en-US" w:eastAsia="zh-CN"/>
        </w:rPr>
        <w:t xml:space="preserve"> </w:t>
      </w:r>
      <w:r>
        <w:rPr>
          <w:rFonts w:hint="eastAsia" w:ascii="宋体" w:hAnsi="宋体"/>
          <w:b/>
          <w:color w:val="auto"/>
          <w:u w:val="single"/>
        </w:rPr>
        <w:t xml:space="preserve">                  </w:t>
      </w:r>
      <w:r>
        <w:rPr>
          <w:rFonts w:hint="eastAsia" w:ascii="宋体" w:hAnsi="宋体"/>
          <w:b/>
          <w:color w:val="FFFFFF" w:themeColor="background1"/>
          <w:u w:val="single"/>
          <w14:textFill>
            <w14:solidFill>
              <w14:schemeClr w14:val="bg1"/>
            </w14:solidFill>
          </w14:textFill>
        </w:rPr>
        <w:t>.</w:t>
      </w:r>
    </w:p>
    <w:p w14:paraId="6C7D04F8">
      <w:pPr>
        <w:pStyle w:val="9"/>
        <w:topLinePunct w:val="0"/>
        <w:bidi w:val="0"/>
        <w:spacing w:line="360" w:lineRule="auto"/>
        <w:ind w:left="0" w:leftChars="0" w:firstLine="0" w:firstLineChars="0"/>
        <w:rPr>
          <w:rFonts w:hint="eastAsia" w:eastAsia="宋体"/>
          <w:color w:val="auto"/>
          <w:highlight w:val="none"/>
          <w:lang w:val="en-US" w:eastAsia="zh-CN"/>
        </w:rPr>
      </w:pPr>
      <w:r>
        <w:rPr>
          <w:rFonts w:hint="eastAsia"/>
          <w:color w:val="auto"/>
          <w:highlight w:val="none"/>
          <w:lang w:val="en-US" w:eastAsia="zh-CN"/>
        </w:rPr>
        <w:t xml:space="preserve"> </w:t>
      </w:r>
    </w:p>
    <w:p w14:paraId="285A36BD">
      <w:pPr>
        <w:topLinePunct w:val="0"/>
        <w:bidi w:val="0"/>
        <w:snapToGrid w:val="0"/>
        <w:spacing w:line="360" w:lineRule="auto"/>
        <w:ind w:firstLine="321" w:firstLineChars="100"/>
        <w:jc w:val="left"/>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供应商全称：</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lang w:val="zh-CN"/>
        </w:rPr>
        <w:t>（公章）</w:t>
      </w:r>
    </w:p>
    <w:p w14:paraId="25871E3A">
      <w:pPr>
        <w:pStyle w:val="31"/>
        <w:rPr>
          <w:rFonts w:hint="eastAsia"/>
          <w:color w:val="auto"/>
          <w:highlight w:val="none"/>
          <w:lang w:val="zh-CN"/>
        </w:rPr>
      </w:pPr>
    </w:p>
    <w:p w14:paraId="26CA5B73">
      <w:pPr>
        <w:spacing w:line="440" w:lineRule="exact"/>
        <w:ind w:firstLine="321" w:firstLineChars="100"/>
        <w:rPr>
          <w:rFonts w:hint="eastAsia" w:ascii="宋体" w:hAnsi="宋体"/>
          <w:b/>
          <w:color w:val="auto"/>
          <w:sz w:val="32"/>
          <w:szCs w:val="32"/>
          <w:highlight w:val="none"/>
        </w:rPr>
      </w:pPr>
      <w:bookmarkStart w:id="115" w:name="_Toc14013_WPSOffice_Level1"/>
      <w:bookmarkStart w:id="116" w:name="_Toc5563_WPSOffice_Level1"/>
      <w:r>
        <w:rPr>
          <w:rFonts w:hint="eastAsia" w:ascii="宋体" w:hAnsi="宋体"/>
          <w:b/>
          <w:color w:val="auto"/>
          <w:sz w:val="32"/>
          <w:szCs w:val="32"/>
          <w:highlight w:val="none"/>
        </w:rPr>
        <w:t>法定代表人</w:t>
      </w:r>
    </w:p>
    <w:p w14:paraId="52890BB4">
      <w:pPr>
        <w:spacing w:line="440" w:lineRule="exact"/>
        <w:ind w:firstLine="321" w:firstLineChars="100"/>
        <w:rPr>
          <w:rFonts w:hint="eastAsia" w:ascii="宋体" w:hAnsi="宋体"/>
          <w:b/>
          <w:color w:val="auto"/>
          <w:highlight w:val="none"/>
          <w:u w:val="single"/>
        </w:rPr>
      </w:pPr>
      <w:r>
        <w:rPr>
          <w:rFonts w:hint="eastAsia" w:ascii="宋体" w:hAnsi="宋体"/>
          <w:b/>
          <w:color w:val="auto"/>
          <w:sz w:val="32"/>
          <w:szCs w:val="32"/>
          <w:highlight w:val="none"/>
        </w:rPr>
        <w:t>或</w:t>
      </w:r>
      <w:bookmarkEnd w:id="115"/>
      <w:bookmarkEnd w:id="116"/>
      <w:bookmarkStart w:id="117" w:name="_Toc27641_WPSOffice_Level1"/>
      <w:bookmarkStart w:id="118" w:name="_Toc28054_WPSOffice_Level1"/>
      <w:r>
        <w:rPr>
          <w:rFonts w:hint="eastAsia" w:ascii="宋体" w:hAnsi="宋体"/>
          <w:b/>
          <w:color w:val="auto"/>
          <w:sz w:val="32"/>
          <w:szCs w:val="32"/>
          <w:highlight w:val="none"/>
          <w:lang w:val="en-US" w:eastAsia="zh-CN"/>
        </w:rPr>
        <w:t>被授权人</w:t>
      </w:r>
      <w:r>
        <w:rPr>
          <w:rFonts w:hint="eastAsia" w:ascii="宋体" w:hAnsi="宋体"/>
          <w:b/>
          <w:color w:val="auto"/>
          <w:sz w:val="32"/>
          <w:szCs w:val="32"/>
          <w:highlight w:val="none"/>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sz w:val="32"/>
          <w:szCs w:val="32"/>
          <w:highlight w:val="none"/>
          <w:u w:val="none"/>
        </w:rPr>
        <w:t>（签字或盖章）</w:t>
      </w:r>
      <w:bookmarkEnd w:id="117"/>
      <w:bookmarkEnd w:id="118"/>
    </w:p>
    <w:p w14:paraId="607262FC">
      <w:pPr>
        <w:pStyle w:val="5"/>
        <w:rPr>
          <w:b/>
          <w:bCs/>
          <w:color w:val="auto"/>
          <w:highlight w:val="none"/>
        </w:rPr>
      </w:pPr>
    </w:p>
    <w:p w14:paraId="54C592D2">
      <w:pPr>
        <w:ind w:firstLine="321" w:firstLineChars="100"/>
        <w:rPr>
          <w:rFonts w:hint="eastAsia" w:ascii="宋体" w:hAnsi="宋体"/>
          <w:b/>
          <w:color w:val="auto"/>
          <w:sz w:val="32"/>
          <w:szCs w:val="32"/>
          <w:highlight w:val="none"/>
        </w:rPr>
      </w:pPr>
      <w:bookmarkStart w:id="119" w:name="_Toc7905_WPSOffice_Level1"/>
      <w:bookmarkStart w:id="120" w:name="_Toc8128_WPSOffice_Level1"/>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bookmarkEnd w:id="119"/>
      <w:bookmarkEnd w:id="120"/>
    </w:p>
    <w:p w14:paraId="6FD6746E">
      <w:pPr>
        <w:pageBreakBefore/>
        <w:topLinePunct w:val="0"/>
        <w:bidi w:val="0"/>
        <w:spacing w:line="360" w:lineRule="auto"/>
        <w:jc w:val="center"/>
        <w:rPr>
          <w:rFonts w:hint="eastAsia" w:ascii="宋体" w:hAnsi="宋体" w:cs="宋体"/>
          <w:b/>
          <w:color w:val="auto"/>
          <w:sz w:val="50"/>
          <w:highlight w:val="none"/>
        </w:rPr>
      </w:pPr>
      <w:r>
        <w:rPr>
          <w:rFonts w:hint="eastAsia" w:ascii="宋体" w:hAnsi="宋体" w:cs="宋体"/>
          <w:b/>
          <w:color w:val="auto"/>
          <w:sz w:val="50"/>
          <w:highlight w:val="none"/>
        </w:rPr>
        <w:t>目</w:t>
      </w:r>
      <w:r>
        <w:rPr>
          <w:rFonts w:hint="eastAsia" w:ascii="宋体" w:hAnsi="宋体" w:cs="宋体"/>
          <w:b/>
          <w:color w:val="auto"/>
          <w:sz w:val="50"/>
          <w:highlight w:val="none"/>
          <w:lang w:val="en-US" w:eastAsia="zh-CN"/>
        </w:rPr>
        <w:t xml:space="preserve"> </w:t>
      </w:r>
      <w:r>
        <w:rPr>
          <w:rFonts w:hint="eastAsia" w:ascii="宋体" w:hAnsi="宋体" w:cs="宋体"/>
          <w:b/>
          <w:color w:val="auto"/>
          <w:sz w:val="50"/>
          <w:highlight w:val="none"/>
        </w:rPr>
        <w:t>录</w:t>
      </w:r>
    </w:p>
    <w:p w14:paraId="265BDAFB">
      <w:pPr>
        <w:pStyle w:val="12"/>
        <w:jc w:val="center"/>
        <w:rPr>
          <w:rFonts w:hint="default" w:eastAsia="宋体"/>
          <w:color w:val="auto"/>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自行编制</w:t>
      </w:r>
      <w:r>
        <w:rPr>
          <w:rFonts w:hint="eastAsia" w:ascii="宋体" w:hAnsi="宋体" w:cs="宋体"/>
          <w:b/>
          <w:color w:val="auto"/>
          <w:sz w:val="24"/>
          <w:szCs w:val="24"/>
          <w:highlight w:val="none"/>
          <w:lang w:eastAsia="zh-CN"/>
        </w:rPr>
        <w:t>）</w:t>
      </w:r>
    </w:p>
    <w:p w14:paraId="71422411">
      <w:pPr>
        <w:topLinePunct w:val="0"/>
        <w:bidi w:val="0"/>
        <w:spacing w:line="360" w:lineRule="auto"/>
        <w:ind w:firstLine="1004" w:firstLineChars="200"/>
        <w:jc w:val="left"/>
        <w:rPr>
          <w:rFonts w:hint="eastAsia" w:ascii="宋体" w:hAnsi="宋体" w:eastAsia="宋体" w:cs="宋体"/>
          <w:b/>
          <w:color w:val="auto"/>
          <w:sz w:val="50"/>
          <w:highlight w:val="none"/>
          <w:lang w:val="en-US" w:eastAsia="zh-CN"/>
        </w:rPr>
      </w:pPr>
      <w:r>
        <w:rPr>
          <w:rFonts w:hint="eastAsia" w:ascii="宋体" w:hAnsi="宋体" w:cs="宋体"/>
          <w:b/>
          <w:color w:val="auto"/>
          <w:sz w:val="50"/>
          <w:highlight w:val="none"/>
          <w:lang w:val="en-US" w:eastAsia="zh-CN"/>
        </w:rPr>
        <w:t xml:space="preserve"> </w:t>
      </w:r>
    </w:p>
    <w:p w14:paraId="10177ACB">
      <w:pPr>
        <w:pStyle w:val="12"/>
        <w:rPr>
          <w:rFonts w:hint="eastAsia"/>
          <w:color w:val="auto"/>
          <w:highlight w:val="none"/>
        </w:rPr>
      </w:pPr>
      <w:bookmarkStart w:id="121" w:name="_Toc2536"/>
      <w:bookmarkStart w:id="122" w:name="_Toc2272"/>
      <w:bookmarkStart w:id="123" w:name="_Toc27653"/>
    </w:p>
    <w:p w14:paraId="00234115">
      <w:pPr>
        <w:topLinePunct w:val="0"/>
        <w:bidi w:val="0"/>
        <w:spacing w:line="360" w:lineRule="auto"/>
        <w:jc w:val="both"/>
        <w:rPr>
          <w:rFonts w:hint="eastAsia" w:ascii="宋体" w:hAnsi="宋体" w:cs="宋体"/>
          <w:color w:val="auto"/>
          <w:highlight w:val="none"/>
        </w:rPr>
      </w:pPr>
      <w:bookmarkStart w:id="124" w:name="_Toc13065133"/>
    </w:p>
    <w:p w14:paraId="46165F0C">
      <w:pPr>
        <w:topLinePunct w:val="0"/>
        <w:bidi w:val="0"/>
        <w:spacing w:line="360" w:lineRule="auto"/>
        <w:jc w:val="both"/>
        <w:rPr>
          <w:rFonts w:hint="eastAsia" w:ascii="宋体" w:hAnsi="宋体" w:cs="宋体"/>
          <w:color w:val="auto"/>
          <w:highlight w:val="none"/>
        </w:rPr>
      </w:pPr>
    </w:p>
    <w:p w14:paraId="588EFABA">
      <w:pPr>
        <w:topLinePunct w:val="0"/>
        <w:bidi w:val="0"/>
        <w:spacing w:line="360" w:lineRule="auto"/>
        <w:jc w:val="both"/>
        <w:rPr>
          <w:rFonts w:hint="eastAsia" w:ascii="宋体" w:hAnsi="宋体" w:cs="宋体"/>
          <w:color w:val="auto"/>
          <w:highlight w:val="none"/>
        </w:rPr>
      </w:pPr>
    </w:p>
    <w:p w14:paraId="5C121D4E">
      <w:pPr>
        <w:pStyle w:val="12"/>
        <w:rPr>
          <w:rFonts w:hint="eastAsia" w:ascii="宋体" w:hAnsi="宋体" w:cs="宋体"/>
          <w:color w:val="auto"/>
          <w:highlight w:val="none"/>
        </w:rPr>
      </w:pPr>
    </w:p>
    <w:p w14:paraId="27C1F7CC">
      <w:pPr>
        <w:rPr>
          <w:rFonts w:hint="eastAsia"/>
          <w:color w:val="auto"/>
          <w:highlight w:val="none"/>
        </w:rPr>
      </w:pPr>
    </w:p>
    <w:p w14:paraId="299FB983">
      <w:pPr>
        <w:topLinePunct w:val="0"/>
        <w:bidi w:val="0"/>
        <w:spacing w:line="360" w:lineRule="auto"/>
        <w:jc w:val="both"/>
        <w:rPr>
          <w:rFonts w:hint="eastAsia" w:ascii="宋体" w:hAnsi="宋体" w:cs="宋体"/>
          <w:color w:val="auto"/>
          <w:highlight w:val="none"/>
        </w:rPr>
      </w:pPr>
    </w:p>
    <w:p w14:paraId="1DBB01BA">
      <w:pPr>
        <w:pStyle w:val="12"/>
        <w:rPr>
          <w:rFonts w:hint="eastAsia" w:ascii="宋体" w:hAnsi="宋体" w:cs="宋体"/>
          <w:color w:val="auto"/>
          <w:highlight w:val="none"/>
        </w:rPr>
      </w:pPr>
    </w:p>
    <w:p w14:paraId="35AA559E">
      <w:pPr>
        <w:rPr>
          <w:rFonts w:hint="eastAsia" w:ascii="宋体" w:hAnsi="宋体" w:cs="宋体"/>
          <w:color w:val="auto"/>
          <w:highlight w:val="none"/>
        </w:rPr>
      </w:pPr>
    </w:p>
    <w:p w14:paraId="02FAD584">
      <w:pPr>
        <w:pStyle w:val="12"/>
        <w:rPr>
          <w:rFonts w:hint="eastAsia" w:ascii="宋体" w:hAnsi="宋体" w:cs="宋体"/>
          <w:color w:val="auto"/>
          <w:highlight w:val="none"/>
        </w:rPr>
      </w:pPr>
    </w:p>
    <w:p w14:paraId="4A9C4388">
      <w:pPr>
        <w:rPr>
          <w:rFonts w:hint="eastAsia" w:ascii="宋体" w:hAnsi="宋体" w:cs="宋体"/>
          <w:color w:val="auto"/>
          <w:highlight w:val="none"/>
        </w:rPr>
      </w:pPr>
    </w:p>
    <w:p w14:paraId="2D8E932E">
      <w:pPr>
        <w:pStyle w:val="12"/>
        <w:rPr>
          <w:rFonts w:hint="eastAsia"/>
          <w:color w:val="auto"/>
          <w:highlight w:val="none"/>
        </w:rPr>
      </w:pPr>
    </w:p>
    <w:bookmarkEnd w:id="121"/>
    <w:p w14:paraId="4F4554DC">
      <w:pPr>
        <w:rPr>
          <w:rFonts w:hint="eastAsia" w:cs="Times New Roman"/>
          <w:b/>
          <w:bCs/>
          <w:color w:val="auto"/>
          <w:sz w:val="28"/>
          <w:szCs w:val="32"/>
          <w:highlight w:val="none"/>
          <w:lang w:eastAsia="zh-CN"/>
        </w:rPr>
      </w:pPr>
      <w:r>
        <w:rPr>
          <w:rFonts w:hint="eastAsia" w:cs="Times New Roman"/>
          <w:b/>
          <w:bCs/>
          <w:color w:val="auto"/>
          <w:sz w:val="28"/>
          <w:szCs w:val="32"/>
          <w:highlight w:val="none"/>
          <w:lang w:eastAsia="zh-CN"/>
        </w:rPr>
        <w:br w:type="page"/>
      </w:r>
    </w:p>
    <w:p w14:paraId="7A281973">
      <w:pPr>
        <w:pStyle w:val="126"/>
        <w:outlineLvl w:val="9"/>
        <w:rPr>
          <w:rFonts w:hint="eastAsia" w:hAnsi="宋体"/>
          <w:bCs/>
          <w:color w:val="auto"/>
          <w:sz w:val="32"/>
          <w:szCs w:val="32"/>
        </w:rPr>
      </w:pPr>
      <w:r>
        <w:rPr>
          <w:rFonts w:hint="eastAsia" w:hAnsi="宋体"/>
          <w:bCs/>
          <w:color w:val="auto"/>
          <w:sz w:val="32"/>
          <w:szCs w:val="32"/>
          <w:lang w:eastAsia="zh-CN"/>
        </w:rPr>
        <w:t>（</w:t>
      </w:r>
      <w:r>
        <w:rPr>
          <w:rFonts w:hint="eastAsia" w:hAnsi="宋体"/>
          <w:bCs/>
          <w:color w:val="auto"/>
          <w:sz w:val="32"/>
          <w:szCs w:val="32"/>
          <w:lang w:val="en-US" w:eastAsia="zh-CN"/>
        </w:rPr>
        <w:t>一</w:t>
      </w:r>
      <w:r>
        <w:rPr>
          <w:rFonts w:hint="eastAsia" w:hAnsi="宋体"/>
          <w:bCs/>
          <w:color w:val="auto"/>
          <w:sz w:val="32"/>
          <w:szCs w:val="32"/>
          <w:lang w:eastAsia="zh-CN"/>
        </w:rPr>
        <w:t>）</w:t>
      </w:r>
      <w:r>
        <w:rPr>
          <w:rFonts w:hint="eastAsia" w:hAnsi="宋体"/>
          <w:bCs/>
          <w:color w:val="auto"/>
          <w:sz w:val="32"/>
          <w:szCs w:val="32"/>
        </w:rPr>
        <w:t>法定代表人身份证明书</w:t>
      </w:r>
    </w:p>
    <w:p w14:paraId="68E3F6CA">
      <w:pPr>
        <w:spacing w:line="360" w:lineRule="auto"/>
        <w:ind w:firstLine="307"/>
        <w:outlineLvl w:val="9"/>
        <w:rPr>
          <w:rFonts w:ascii="宋体" w:hAnsi="宋体" w:cs="宋体"/>
          <w:color w:val="auto"/>
          <w:kern w:val="1"/>
          <w:sz w:val="28"/>
          <w:u w:val="single"/>
        </w:rPr>
      </w:pPr>
      <w:r>
        <w:rPr>
          <w:rFonts w:ascii="宋体" w:hAnsi="宋体" w:cs="宋体"/>
          <w:color w:val="auto"/>
          <w:kern w:val="1"/>
          <w:sz w:val="24"/>
        </w:rPr>
        <w:t>供应商单位名称：</w:t>
      </w:r>
      <w:r>
        <w:rPr>
          <w:rFonts w:hint="eastAsia"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hint="eastAsia" w:ascii="宋体" w:hAnsi="宋体" w:cs="宋体"/>
          <w:color w:val="auto"/>
          <w:kern w:val="1"/>
          <w:sz w:val="24"/>
          <w:szCs w:val="24"/>
          <w:u w:val="single"/>
        </w:rPr>
        <w:t xml:space="preserve">         </w:t>
      </w:r>
      <w:r>
        <w:rPr>
          <w:rFonts w:hint="eastAsia" w:ascii="宋体" w:hAnsi="宋体" w:cs="宋体"/>
          <w:color w:val="FFFFFF" w:themeColor="background1"/>
          <w:kern w:val="1"/>
          <w:sz w:val="32"/>
          <w:szCs w:val="32"/>
          <w14:textFill>
            <w14:solidFill>
              <w14:schemeClr w14:val="bg1"/>
            </w14:solidFill>
          </w14:textFill>
        </w:rPr>
        <w:t>、</w:t>
      </w:r>
      <w:r>
        <w:rPr>
          <w:rFonts w:hint="eastAsia" w:ascii="宋体" w:hAnsi="宋体" w:cs="宋体"/>
          <w:color w:val="auto"/>
          <w:kern w:val="1"/>
          <w:sz w:val="32"/>
          <w:szCs w:val="32"/>
        </w:rPr>
        <w:t xml:space="preserve">      </w:t>
      </w:r>
      <w:r>
        <w:rPr>
          <w:rFonts w:ascii="宋体" w:hAnsi="宋体" w:cs="宋体"/>
          <w:color w:val="auto"/>
          <w:kern w:val="1"/>
          <w:sz w:val="28"/>
        </w:rPr>
        <w:t xml:space="preserve">                                </w:t>
      </w:r>
      <w:r>
        <w:rPr>
          <w:rFonts w:ascii="宋体" w:hAnsi="宋体" w:cs="宋体"/>
          <w:color w:val="auto"/>
          <w:kern w:val="1"/>
          <w:sz w:val="28"/>
          <w:u w:val="single"/>
        </w:rPr>
        <w:t xml:space="preserve"> </w:t>
      </w:r>
    </w:p>
    <w:p w14:paraId="77613ABA">
      <w:pPr>
        <w:spacing w:line="360" w:lineRule="auto"/>
        <w:ind w:firstLine="307"/>
        <w:outlineLvl w:val="9"/>
        <w:rPr>
          <w:rFonts w:ascii="宋体" w:hAnsi="宋体" w:cs="宋体"/>
          <w:color w:val="auto"/>
          <w:kern w:val="1"/>
          <w:sz w:val="24"/>
          <w:u w:val="single"/>
        </w:rPr>
      </w:pPr>
      <w:r>
        <w:rPr>
          <w:rFonts w:ascii="宋体" w:hAnsi="宋体" w:cs="宋体"/>
          <w:color w:val="auto"/>
          <w:kern w:val="1"/>
          <w:sz w:val="24"/>
        </w:rPr>
        <w:t>供应商单位性质：</w:t>
      </w:r>
      <w:r>
        <w:rPr>
          <w:rFonts w:hint="eastAsia" w:ascii="宋体" w:hAnsi="宋体" w:cs="宋体"/>
          <w:color w:val="auto"/>
          <w:kern w:val="1"/>
          <w:sz w:val="24"/>
          <w:u w:val="single"/>
        </w:rPr>
        <w:t xml:space="preserve">                                             </w:t>
      </w:r>
      <w:r>
        <w:rPr>
          <w:rFonts w:hint="eastAsia" w:ascii="宋体" w:hAnsi="宋体" w:cs="宋体"/>
          <w:color w:val="FFFFFF" w:themeColor="background1"/>
          <w:kern w:val="1"/>
          <w:sz w:val="24"/>
          <w:u w:val="single"/>
          <w14:textFill>
            <w14:solidFill>
              <w14:schemeClr w14:val="bg1"/>
            </w14:solidFill>
          </w14:textFill>
        </w:rPr>
        <w:t>、</w:t>
      </w:r>
    </w:p>
    <w:p w14:paraId="2EF7A709">
      <w:pPr>
        <w:spacing w:line="360" w:lineRule="auto"/>
        <w:ind w:firstLine="360"/>
        <w:outlineLvl w:val="9"/>
        <w:rPr>
          <w:rFonts w:ascii="宋体" w:hAnsi="宋体" w:cs="宋体"/>
          <w:color w:val="auto"/>
          <w:kern w:val="1"/>
          <w:sz w:val="24"/>
          <w:u w:val="single"/>
        </w:rPr>
      </w:pPr>
      <w:r>
        <w:rPr>
          <w:rFonts w:ascii="宋体" w:hAnsi="宋体" w:cs="宋体"/>
          <w:color w:val="auto"/>
          <w:kern w:val="1"/>
          <w:sz w:val="24"/>
        </w:rPr>
        <w:t xml:space="preserve">地        址： </w:t>
      </w:r>
      <w:r>
        <w:rPr>
          <w:rFonts w:ascii="宋体" w:hAnsi="宋体" w:cs="宋体"/>
          <w:color w:val="auto"/>
          <w:kern w:val="1"/>
          <w:sz w:val="24"/>
          <w:u w:val="single"/>
        </w:rPr>
        <w:t xml:space="preserve"> </w:t>
      </w:r>
      <w:r>
        <w:rPr>
          <w:rFonts w:hint="eastAsia" w:ascii="宋体" w:hAnsi="宋体" w:cs="宋体"/>
          <w:color w:val="auto"/>
          <w:kern w:val="1"/>
          <w:sz w:val="24"/>
          <w:u w:val="single"/>
        </w:rPr>
        <w:t xml:space="preserve">                                            </w:t>
      </w:r>
      <w:r>
        <w:rPr>
          <w:rFonts w:hint="eastAsia" w:ascii="宋体" w:hAnsi="宋体" w:cs="宋体"/>
          <w:color w:val="FFFFFF" w:themeColor="background1"/>
          <w:kern w:val="1"/>
          <w:sz w:val="24"/>
          <w:u w:val="single"/>
          <w14:textFill>
            <w14:solidFill>
              <w14:schemeClr w14:val="bg1"/>
            </w14:solidFill>
          </w14:textFill>
        </w:rPr>
        <w:t>、</w:t>
      </w:r>
      <w:r>
        <w:rPr>
          <w:rFonts w:hint="eastAsia" w:ascii="宋体" w:hAnsi="宋体" w:cs="宋体"/>
          <w:color w:val="auto"/>
          <w:kern w:val="1"/>
          <w:sz w:val="32"/>
          <w:szCs w:val="32"/>
        </w:rPr>
        <w:t xml:space="preserve"> </w:t>
      </w:r>
      <w:r>
        <w:rPr>
          <w:rFonts w:ascii="宋体" w:hAnsi="宋体" w:cs="宋体"/>
          <w:color w:val="auto"/>
          <w:kern w:val="1"/>
          <w:sz w:val="24"/>
        </w:rPr>
        <w:t xml:space="preserve">                                          </w:t>
      </w:r>
      <w:r>
        <w:rPr>
          <w:rFonts w:ascii="宋体" w:hAnsi="宋体" w:cs="宋体"/>
          <w:color w:val="auto"/>
          <w:kern w:val="1"/>
          <w:sz w:val="24"/>
          <w:u w:val="single"/>
        </w:rPr>
        <w:t xml:space="preserve">  </w:t>
      </w:r>
      <w:r>
        <w:rPr>
          <w:rFonts w:hint="eastAsia" w:ascii="宋体" w:hAnsi="宋体" w:cs="宋体"/>
          <w:color w:val="auto"/>
          <w:kern w:val="1"/>
          <w:sz w:val="24"/>
          <w:u w:val="single"/>
        </w:rPr>
        <w:t xml:space="preserve">  </w:t>
      </w:r>
    </w:p>
    <w:p w14:paraId="59378D75">
      <w:pPr>
        <w:spacing w:line="360" w:lineRule="auto"/>
        <w:ind w:firstLine="305"/>
        <w:outlineLvl w:val="9"/>
        <w:rPr>
          <w:rFonts w:ascii="宋体" w:hAnsi="宋体" w:cs="宋体"/>
          <w:color w:val="auto"/>
          <w:kern w:val="1"/>
          <w:sz w:val="24"/>
          <w:szCs w:val="24"/>
        </w:rPr>
      </w:pPr>
      <w:r>
        <w:rPr>
          <w:rFonts w:ascii="宋体" w:hAnsi="宋体" w:cs="宋体"/>
          <w:color w:val="auto"/>
          <w:kern w:val="1"/>
          <w:sz w:val="24"/>
        </w:rPr>
        <w:t>成立时间：</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年</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月</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日</w:t>
      </w:r>
    </w:p>
    <w:p w14:paraId="7D3D0D26">
      <w:pPr>
        <w:spacing w:line="360" w:lineRule="auto"/>
        <w:ind w:firstLine="307"/>
        <w:outlineLvl w:val="9"/>
        <w:rPr>
          <w:rFonts w:ascii="宋体" w:hAnsi="宋体" w:cs="宋体"/>
          <w:color w:val="auto"/>
          <w:kern w:val="1"/>
          <w:sz w:val="24"/>
          <w:szCs w:val="24"/>
          <w:u w:val="single"/>
        </w:rPr>
      </w:pPr>
      <w:r>
        <w:rPr>
          <w:rFonts w:ascii="宋体" w:hAnsi="宋体" w:cs="宋体"/>
          <w:color w:val="auto"/>
          <w:kern w:val="1"/>
          <w:sz w:val="24"/>
          <w:szCs w:val="24"/>
        </w:rPr>
        <w:t>经营期限：</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FFFFFF" w:themeColor="background1"/>
          <w:kern w:val="1"/>
          <w:sz w:val="24"/>
          <w:szCs w:val="24"/>
          <w:u w:val="single"/>
          <w14:textFill>
            <w14:solidFill>
              <w14:schemeClr w14:val="bg1"/>
            </w14:solidFill>
          </w14:textFill>
        </w:rPr>
        <w:t>.</w:t>
      </w:r>
    </w:p>
    <w:p w14:paraId="06241273">
      <w:pPr>
        <w:spacing w:line="360" w:lineRule="auto"/>
        <w:ind w:left="854" w:hanging="480"/>
        <w:outlineLvl w:val="9"/>
        <w:rPr>
          <w:rFonts w:hint="eastAsia" w:ascii="宋体" w:hAnsi="宋体" w:cs="宋体"/>
          <w:color w:val="auto"/>
          <w:kern w:val="1"/>
          <w:sz w:val="24"/>
          <w:szCs w:val="24"/>
          <w:u w:val="single"/>
        </w:rPr>
      </w:pPr>
      <w:r>
        <w:rPr>
          <w:rFonts w:ascii="宋体" w:hAnsi="宋体" w:cs="宋体"/>
          <w:color w:val="auto"/>
          <w:kern w:val="1"/>
          <w:sz w:val="24"/>
          <w:szCs w:val="24"/>
        </w:rPr>
        <w:t>姓    名：</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性别：</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年龄：</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职务：</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FFFFFF" w:themeColor="background1"/>
          <w:kern w:val="1"/>
          <w:sz w:val="24"/>
          <w:szCs w:val="24"/>
          <w:u w:val="single"/>
          <w14:textFill>
            <w14:solidFill>
              <w14:schemeClr w14:val="bg1"/>
            </w14:solidFill>
          </w14:textFill>
        </w:rPr>
        <w:t>.</w:t>
      </w:r>
    </w:p>
    <w:p w14:paraId="2961944E">
      <w:pPr>
        <w:spacing w:line="360" w:lineRule="auto"/>
        <w:ind w:firstLine="307"/>
        <w:outlineLvl w:val="9"/>
        <w:rPr>
          <w:rFonts w:ascii="宋体" w:hAnsi="宋体" w:cs="宋体"/>
          <w:color w:val="auto"/>
          <w:kern w:val="1"/>
          <w:sz w:val="24"/>
          <w:szCs w:val="24"/>
        </w:rPr>
      </w:pPr>
      <w:r>
        <w:rPr>
          <w:rFonts w:ascii="宋体" w:hAnsi="宋体" w:cs="宋体"/>
          <w:color w:val="auto"/>
          <w:kern w:val="1"/>
          <w:sz w:val="24"/>
          <w:szCs w:val="24"/>
        </w:rPr>
        <w:t>系</w:t>
      </w:r>
      <w:r>
        <w:rPr>
          <w:rFonts w:ascii="宋体" w:hAnsi="宋体" w:cs="宋体"/>
          <w:color w:val="auto"/>
          <w:kern w:val="1"/>
          <w:sz w:val="24"/>
          <w:szCs w:val="24"/>
          <w:u w:val="single"/>
        </w:rPr>
        <w:t xml:space="preserve">                                         </w:t>
      </w:r>
      <w:r>
        <w:rPr>
          <w:rFonts w:ascii="宋体" w:hAnsi="宋体" w:cs="宋体"/>
          <w:color w:val="auto"/>
          <w:kern w:val="1"/>
          <w:sz w:val="24"/>
          <w:szCs w:val="24"/>
        </w:rPr>
        <w:t>的法定代表人</w:t>
      </w:r>
    </w:p>
    <w:p w14:paraId="6E514E4B">
      <w:pPr>
        <w:spacing w:line="360" w:lineRule="auto"/>
        <w:ind w:firstLine="199"/>
        <w:outlineLvl w:val="9"/>
        <w:rPr>
          <w:rFonts w:ascii="宋体" w:hAnsi="宋体" w:cs="宋体"/>
          <w:color w:val="auto"/>
          <w:kern w:val="1"/>
          <w:sz w:val="28"/>
          <w:u w:val="single"/>
        </w:rPr>
      </w:pPr>
      <w:r>
        <w:rPr>
          <w:rFonts w:ascii="宋体" w:hAnsi="宋体" w:cs="宋体"/>
          <w:color w:val="auto"/>
          <w:kern w:val="1"/>
          <w:sz w:val="24"/>
          <w:szCs w:val="24"/>
        </w:rPr>
        <w:t xml:space="preserve">（身份证号码 </w:t>
      </w:r>
      <w:r>
        <w:rPr>
          <w:rFonts w:ascii="宋体" w:hAnsi="宋体" w:cs="宋体"/>
          <w:color w:val="auto"/>
          <w:kern w:val="1"/>
          <w:sz w:val="24"/>
          <w:szCs w:val="24"/>
          <w:u w:val="single"/>
        </w:rPr>
        <w:t xml:space="preserve">                                      </w:t>
      </w:r>
      <w:r>
        <w:rPr>
          <w:rFonts w:ascii="宋体" w:hAnsi="宋体" w:cs="宋体"/>
          <w:color w:val="auto"/>
          <w:kern w:val="1"/>
          <w:sz w:val="24"/>
          <w:szCs w:val="24"/>
        </w:rPr>
        <w:t xml:space="preserve"> ）</w:t>
      </w:r>
      <w:r>
        <w:rPr>
          <w:rFonts w:ascii="宋体" w:hAnsi="宋体" w:cs="宋体"/>
          <w:color w:val="auto"/>
          <w:kern w:val="1"/>
          <w:sz w:val="28"/>
        </w:rPr>
        <w:t>。</w:t>
      </w:r>
    </w:p>
    <w:p w14:paraId="7025112A">
      <w:pPr>
        <w:spacing w:line="360" w:lineRule="auto"/>
        <w:ind w:firstLine="960"/>
        <w:outlineLvl w:val="9"/>
        <w:rPr>
          <w:rFonts w:ascii="宋体" w:hAnsi="宋体" w:cs="宋体"/>
          <w:color w:val="auto"/>
          <w:kern w:val="1"/>
          <w:sz w:val="24"/>
        </w:rPr>
      </w:pPr>
      <w:r>
        <w:rPr>
          <w:rFonts w:ascii="宋体" w:hAnsi="宋体" w:cs="宋体"/>
          <w:color w:val="auto"/>
          <w:kern w:val="1"/>
          <w:sz w:val="24"/>
        </w:rPr>
        <w:t>特此证明。</w:t>
      </w:r>
    </w:p>
    <w:p w14:paraId="7086E20C">
      <w:pPr>
        <w:spacing w:line="480" w:lineRule="auto"/>
        <w:outlineLvl w:val="9"/>
        <w:rPr>
          <w:rFonts w:hint="eastAsia" w:ascii="宋体" w:hAnsi="宋体" w:cs="宋体"/>
          <w:color w:val="auto"/>
          <w:sz w:val="24"/>
        </w:rPr>
      </w:pPr>
    </w:p>
    <w:tbl>
      <w:tblPr>
        <w:tblStyle w:val="32"/>
        <w:tblpPr w:leftFromText="180" w:rightFromText="180" w:vertAnchor="text" w:horzAnchor="page" w:tblpX="3162"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0"/>
      </w:tblGrid>
      <w:tr w14:paraId="72E8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360" w:type="dxa"/>
            <w:noWrap w:val="0"/>
            <w:vAlign w:val="top"/>
          </w:tcPr>
          <w:p w14:paraId="64268DCC">
            <w:pPr>
              <w:spacing w:line="400" w:lineRule="exact"/>
              <w:outlineLvl w:val="9"/>
              <w:rPr>
                <w:rFonts w:ascii="宋体" w:hAnsi="宋体" w:cs="宋体"/>
                <w:b/>
                <w:color w:val="auto"/>
                <w:kern w:val="1"/>
                <w:sz w:val="24"/>
              </w:rPr>
            </w:pPr>
          </w:p>
          <w:p w14:paraId="4B6C3F8D">
            <w:pPr>
              <w:spacing w:line="400" w:lineRule="exact"/>
              <w:outlineLvl w:val="9"/>
              <w:rPr>
                <w:rFonts w:ascii="宋体" w:hAnsi="宋体" w:cs="宋体"/>
                <w:b/>
                <w:color w:val="auto"/>
                <w:kern w:val="1"/>
                <w:sz w:val="24"/>
              </w:rPr>
            </w:pPr>
          </w:p>
          <w:p w14:paraId="327AFDF2">
            <w:pPr>
              <w:spacing w:line="400" w:lineRule="exact"/>
              <w:outlineLvl w:val="9"/>
              <w:rPr>
                <w:rFonts w:ascii="宋体" w:hAnsi="宋体" w:cs="宋体"/>
                <w:b/>
                <w:color w:val="auto"/>
                <w:kern w:val="1"/>
                <w:sz w:val="24"/>
              </w:rPr>
            </w:pPr>
          </w:p>
          <w:p w14:paraId="50CCAE58">
            <w:pPr>
              <w:spacing w:line="400" w:lineRule="exact"/>
              <w:outlineLvl w:val="9"/>
              <w:rPr>
                <w:rFonts w:ascii="宋体" w:hAnsi="宋体" w:cs="宋体"/>
                <w:b/>
                <w:color w:val="auto"/>
                <w:kern w:val="1"/>
                <w:sz w:val="24"/>
              </w:rPr>
            </w:pPr>
          </w:p>
          <w:p w14:paraId="60BC3877">
            <w:pPr>
              <w:spacing w:line="400" w:lineRule="exact"/>
              <w:ind w:firstLine="482" w:firstLineChars="200"/>
              <w:outlineLvl w:val="9"/>
              <w:rPr>
                <w:rFonts w:ascii="宋体" w:hAnsi="宋体" w:cs="宋体"/>
                <w:b/>
                <w:color w:val="auto"/>
                <w:kern w:val="1"/>
                <w:sz w:val="24"/>
              </w:rPr>
            </w:pPr>
            <w:r>
              <w:rPr>
                <w:rFonts w:hint="eastAsia" w:ascii="宋体" w:hAnsi="宋体" w:eastAsia="宋体" w:cs="宋体"/>
                <w:b/>
                <w:color w:val="auto"/>
                <w:sz w:val="24"/>
                <w:szCs w:val="22"/>
                <w:highlight w:val="none"/>
                <w:lang w:eastAsia="zh-CN"/>
              </w:rPr>
              <w:t>附：</w:t>
            </w:r>
            <w:r>
              <w:rPr>
                <w:rFonts w:hint="eastAsia" w:ascii="宋体" w:hAnsi="宋体" w:eastAsia="宋体" w:cs="宋体"/>
                <w:b/>
                <w:color w:val="auto"/>
                <w:sz w:val="24"/>
                <w:szCs w:val="22"/>
                <w:highlight w:val="none"/>
                <w:lang w:val="en-US" w:eastAsia="zh-CN"/>
              </w:rPr>
              <w:t>法定代表人</w:t>
            </w:r>
            <w:r>
              <w:rPr>
                <w:rFonts w:hint="eastAsia" w:ascii="宋体" w:hAnsi="宋体" w:eastAsia="宋体" w:cs="宋体"/>
                <w:b/>
                <w:color w:val="auto"/>
                <w:sz w:val="24"/>
                <w:highlight w:val="none"/>
              </w:rPr>
              <w:t>身份证复印件</w:t>
            </w:r>
            <w:r>
              <w:rPr>
                <w:rFonts w:hint="eastAsia" w:ascii="宋体" w:hAnsi="宋体" w:eastAsia="宋体" w:cs="宋体"/>
                <w:b/>
                <w:color w:val="auto"/>
                <w:sz w:val="24"/>
                <w:highlight w:val="none"/>
                <w:lang w:val="en-US" w:eastAsia="zh-CN"/>
              </w:rPr>
              <w:t>或扫描件</w:t>
            </w:r>
            <w:r>
              <w:rPr>
                <w:rFonts w:hint="eastAsia" w:ascii="宋体" w:hAnsi="宋体" w:eastAsia="宋体" w:cs="宋体"/>
                <w:b/>
                <w:color w:val="auto"/>
                <w:sz w:val="24"/>
                <w:highlight w:val="none"/>
                <w:lang w:eastAsia="zh-CN"/>
              </w:rPr>
              <w:t>正、反面</w:t>
            </w:r>
          </w:p>
          <w:p w14:paraId="778413A7">
            <w:pPr>
              <w:spacing w:line="400" w:lineRule="exact"/>
              <w:outlineLvl w:val="9"/>
              <w:rPr>
                <w:rFonts w:ascii="宋体" w:hAnsi="宋体" w:cs="宋体"/>
                <w:b/>
                <w:color w:val="auto"/>
                <w:kern w:val="1"/>
                <w:sz w:val="24"/>
              </w:rPr>
            </w:pPr>
          </w:p>
          <w:p w14:paraId="29FCC0FE">
            <w:pPr>
              <w:spacing w:line="400" w:lineRule="exact"/>
              <w:outlineLvl w:val="9"/>
              <w:rPr>
                <w:rFonts w:ascii="宋体" w:hAnsi="宋体" w:cs="宋体"/>
                <w:b/>
                <w:color w:val="auto"/>
                <w:kern w:val="1"/>
                <w:sz w:val="24"/>
              </w:rPr>
            </w:pPr>
          </w:p>
          <w:p w14:paraId="26714FA0">
            <w:pPr>
              <w:spacing w:line="400" w:lineRule="exact"/>
              <w:outlineLvl w:val="9"/>
              <w:rPr>
                <w:rFonts w:ascii="宋体" w:hAnsi="宋体" w:cs="宋体"/>
                <w:b/>
                <w:color w:val="auto"/>
                <w:kern w:val="1"/>
                <w:sz w:val="24"/>
              </w:rPr>
            </w:pPr>
          </w:p>
        </w:tc>
      </w:tr>
    </w:tbl>
    <w:p w14:paraId="224F83AB">
      <w:pPr>
        <w:ind w:right="700"/>
        <w:outlineLvl w:val="9"/>
        <w:rPr>
          <w:rFonts w:ascii="宋体" w:hAnsi="宋体" w:cs="宋体"/>
          <w:color w:val="auto"/>
          <w:kern w:val="1"/>
          <w:sz w:val="28"/>
        </w:rPr>
      </w:pPr>
    </w:p>
    <w:p w14:paraId="31538EFE">
      <w:pPr>
        <w:ind w:right="700" w:firstLine="358"/>
        <w:jc w:val="center"/>
        <w:outlineLvl w:val="9"/>
        <w:rPr>
          <w:rFonts w:hint="eastAsia" w:ascii="宋体" w:hAnsi="宋体" w:cs="宋体"/>
          <w:color w:val="auto"/>
          <w:kern w:val="1"/>
          <w:sz w:val="28"/>
        </w:rPr>
      </w:pPr>
    </w:p>
    <w:p w14:paraId="052497F4">
      <w:pPr>
        <w:ind w:right="700" w:firstLine="358"/>
        <w:jc w:val="center"/>
        <w:outlineLvl w:val="9"/>
        <w:rPr>
          <w:rFonts w:hint="eastAsia" w:ascii="宋体" w:hAnsi="宋体" w:cs="宋体"/>
          <w:color w:val="auto"/>
          <w:kern w:val="1"/>
          <w:sz w:val="28"/>
        </w:rPr>
      </w:pPr>
    </w:p>
    <w:p w14:paraId="1BFBA764">
      <w:pPr>
        <w:ind w:right="700" w:firstLine="358"/>
        <w:jc w:val="center"/>
        <w:outlineLvl w:val="9"/>
        <w:rPr>
          <w:rFonts w:ascii="宋体" w:hAnsi="宋体" w:cs="宋体"/>
          <w:color w:val="auto"/>
          <w:kern w:val="1"/>
          <w:sz w:val="28"/>
        </w:rPr>
      </w:pPr>
    </w:p>
    <w:p w14:paraId="5B6DB426">
      <w:pPr>
        <w:ind w:right="700" w:firstLine="358"/>
        <w:jc w:val="center"/>
        <w:outlineLvl w:val="9"/>
        <w:rPr>
          <w:rFonts w:ascii="宋体" w:hAnsi="宋体" w:cs="宋体"/>
          <w:color w:val="auto"/>
          <w:kern w:val="1"/>
          <w:sz w:val="28"/>
        </w:rPr>
      </w:pPr>
    </w:p>
    <w:p w14:paraId="008E3937">
      <w:pPr>
        <w:spacing w:line="480" w:lineRule="auto"/>
        <w:ind w:right="700" w:firstLine="3600"/>
        <w:outlineLvl w:val="9"/>
        <w:rPr>
          <w:rFonts w:ascii="宋体" w:hAnsi="宋体" w:cs="宋体"/>
          <w:color w:val="auto"/>
          <w:kern w:val="1"/>
          <w:sz w:val="24"/>
        </w:rPr>
      </w:pPr>
    </w:p>
    <w:p w14:paraId="0B97CCC0">
      <w:pPr>
        <w:spacing w:line="480" w:lineRule="auto"/>
        <w:ind w:right="700" w:firstLine="3600"/>
        <w:outlineLvl w:val="9"/>
        <w:rPr>
          <w:rFonts w:hint="eastAsia" w:ascii="宋体" w:hAnsi="宋体" w:cs="宋体"/>
          <w:color w:val="auto"/>
          <w:kern w:val="1"/>
          <w:sz w:val="24"/>
        </w:rPr>
      </w:pPr>
    </w:p>
    <w:p w14:paraId="653E4BD8">
      <w:pPr>
        <w:spacing w:line="480" w:lineRule="auto"/>
        <w:ind w:right="700" w:firstLine="3600"/>
        <w:outlineLvl w:val="9"/>
        <w:rPr>
          <w:rFonts w:ascii="宋体" w:hAnsi="宋体" w:cs="宋体"/>
          <w:color w:val="auto"/>
          <w:kern w:val="1"/>
          <w:sz w:val="28"/>
          <w:highlight w:val="none"/>
          <w:u w:val="single"/>
        </w:rPr>
      </w:pPr>
      <w:r>
        <w:rPr>
          <w:rFonts w:ascii="宋体" w:hAnsi="宋体" w:cs="宋体"/>
          <w:color w:val="auto"/>
          <w:kern w:val="1"/>
          <w:sz w:val="24"/>
          <w:highlight w:val="none"/>
        </w:rPr>
        <w:t>供应商</w:t>
      </w:r>
      <w:r>
        <w:rPr>
          <w:rFonts w:hint="eastAsia" w:ascii="宋体" w:hAnsi="宋体" w:cs="宋体"/>
          <w:color w:val="auto"/>
          <w:kern w:val="1"/>
          <w:sz w:val="24"/>
          <w:highlight w:val="none"/>
          <w:lang w:val="en-US" w:eastAsia="zh-CN"/>
        </w:rPr>
        <w:t>全称</w:t>
      </w:r>
      <w:r>
        <w:rPr>
          <w:rFonts w:ascii="宋体" w:hAnsi="宋体" w:cs="宋体"/>
          <w:color w:val="auto"/>
          <w:kern w:val="1"/>
          <w:sz w:val="24"/>
        </w:rPr>
        <w:t>：</w:t>
      </w:r>
      <w:r>
        <w:rPr>
          <w:rFonts w:ascii="宋体" w:hAnsi="宋体" w:cs="宋体"/>
          <w:color w:val="auto"/>
          <w:kern w:val="1"/>
          <w:sz w:val="28"/>
          <w:highlight w:val="none"/>
          <w:u w:val="single"/>
        </w:rPr>
        <w:t xml:space="preserve">            </w:t>
      </w:r>
      <w:r>
        <w:rPr>
          <w:rFonts w:ascii="宋体" w:hAnsi="宋体" w:cs="宋体"/>
          <w:color w:val="auto"/>
          <w:kern w:val="1"/>
          <w:sz w:val="24"/>
          <w:highlight w:val="none"/>
          <w:u w:val="single"/>
        </w:rPr>
        <w:t>（盖章）</w:t>
      </w:r>
    </w:p>
    <w:p w14:paraId="2D636D1C">
      <w:pPr>
        <w:spacing w:line="480" w:lineRule="auto"/>
        <w:ind w:firstLine="269"/>
        <w:jc w:val="right"/>
        <w:outlineLvl w:val="9"/>
        <w:rPr>
          <w:rFonts w:ascii="宋体" w:hAnsi="宋体" w:cs="宋体"/>
          <w:color w:val="auto"/>
          <w:kern w:val="1"/>
        </w:rPr>
      </w:pPr>
    </w:p>
    <w:p w14:paraId="55B44DF1">
      <w:pPr>
        <w:spacing w:line="480" w:lineRule="auto"/>
        <w:outlineLvl w:val="9"/>
        <w:rPr>
          <w:rFonts w:ascii="宋体" w:hAnsi="宋体" w:cs="宋体"/>
          <w:color w:val="auto"/>
          <w:kern w:val="1"/>
          <w:sz w:val="24"/>
        </w:rPr>
      </w:pPr>
      <w:r>
        <w:rPr>
          <w:rFonts w:ascii="宋体" w:hAnsi="宋体" w:cs="宋体"/>
          <w:color w:val="auto"/>
          <w:kern w:val="1"/>
          <w:sz w:val="28"/>
        </w:rPr>
        <w:t xml:space="preserve">                         </w:t>
      </w:r>
      <w:r>
        <w:rPr>
          <w:rFonts w:ascii="宋体" w:hAnsi="宋体" w:cs="宋体"/>
          <w:color w:val="auto"/>
          <w:kern w:val="1"/>
          <w:sz w:val="24"/>
        </w:rPr>
        <w:t xml:space="preserve"> 日   期：</w:t>
      </w:r>
      <w:r>
        <w:rPr>
          <w:rFonts w:ascii="宋体" w:hAnsi="宋体" w:cs="宋体"/>
          <w:color w:val="auto"/>
          <w:kern w:val="1"/>
          <w:sz w:val="24"/>
          <w:u w:val="single"/>
        </w:rPr>
        <w:t xml:space="preserve">      </w:t>
      </w:r>
      <w:r>
        <w:rPr>
          <w:rFonts w:ascii="宋体" w:hAnsi="宋体" w:cs="宋体"/>
          <w:color w:val="auto"/>
          <w:kern w:val="1"/>
          <w:sz w:val="24"/>
        </w:rPr>
        <w:t>年</w:t>
      </w:r>
      <w:r>
        <w:rPr>
          <w:rFonts w:ascii="宋体" w:hAnsi="宋体" w:cs="宋体"/>
          <w:color w:val="auto"/>
          <w:kern w:val="1"/>
          <w:sz w:val="24"/>
          <w:u w:val="single"/>
        </w:rPr>
        <w:t xml:space="preserve">     </w:t>
      </w:r>
      <w:r>
        <w:rPr>
          <w:rFonts w:ascii="宋体" w:hAnsi="宋体" w:cs="宋体"/>
          <w:color w:val="auto"/>
          <w:kern w:val="1"/>
          <w:sz w:val="24"/>
        </w:rPr>
        <w:t>月</w:t>
      </w:r>
      <w:r>
        <w:rPr>
          <w:rFonts w:ascii="宋体" w:hAnsi="宋体" w:cs="宋体"/>
          <w:color w:val="auto"/>
          <w:kern w:val="1"/>
          <w:sz w:val="24"/>
          <w:u w:val="single"/>
        </w:rPr>
        <w:t xml:space="preserve">      </w:t>
      </w:r>
      <w:r>
        <w:rPr>
          <w:rFonts w:ascii="宋体" w:hAnsi="宋体" w:cs="宋体"/>
          <w:color w:val="auto"/>
          <w:kern w:val="1"/>
          <w:sz w:val="24"/>
        </w:rPr>
        <w:t>日</w:t>
      </w:r>
    </w:p>
    <w:p w14:paraId="1666E9F5">
      <w:pPr>
        <w:rPr>
          <w:rFonts w:hint="default"/>
          <w:color w:val="auto"/>
          <w:highlight w:val="none"/>
        </w:rPr>
        <w:sectPr>
          <w:pgSz w:w="11906" w:h="16838"/>
          <w:pgMar w:top="1440" w:right="1701" w:bottom="1440" w:left="1701" w:header="850" w:footer="992" w:gutter="0"/>
          <w:pgBorders>
            <w:top w:val="none" w:sz="0" w:space="0"/>
            <w:left w:val="none" w:sz="0" w:space="0"/>
            <w:bottom w:val="none" w:sz="0" w:space="0"/>
            <w:right w:val="none" w:sz="0" w:space="0"/>
          </w:pgBorders>
          <w:pgNumType w:fmt="decimal"/>
          <w:cols w:space="0" w:num="1"/>
          <w:rtlGutter w:val="0"/>
          <w:docGrid w:type="lines" w:linePitch="325" w:charSpace="0"/>
        </w:sectPr>
      </w:pPr>
    </w:p>
    <w:p w14:paraId="546364E2">
      <w:pPr>
        <w:pStyle w:val="126"/>
        <w:jc w:val="center"/>
        <w:outlineLvl w:val="9"/>
        <w:rPr>
          <w:rFonts w:hint="eastAsia" w:hAnsi="宋体"/>
          <w:bCs/>
          <w:color w:val="auto"/>
          <w:sz w:val="32"/>
          <w:szCs w:val="32"/>
        </w:rPr>
      </w:pPr>
      <w:r>
        <w:rPr>
          <w:rFonts w:hint="eastAsia" w:hAnsi="宋体"/>
          <w:bCs/>
          <w:color w:val="auto"/>
          <w:sz w:val="32"/>
          <w:szCs w:val="32"/>
          <w:lang w:eastAsia="zh-CN"/>
        </w:rPr>
        <w:t>（</w:t>
      </w:r>
      <w:r>
        <w:rPr>
          <w:rFonts w:hint="eastAsia" w:hAnsi="宋体"/>
          <w:bCs/>
          <w:color w:val="auto"/>
          <w:sz w:val="32"/>
          <w:szCs w:val="32"/>
          <w:lang w:val="en-US" w:eastAsia="zh-CN"/>
        </w:rPr>
        <w:t>二</w:t>
      </w:r>
      <w:r>
        <w:rPr>
          <w:rFonts w:hint="eastAsia" w:hAnsi="宋体"/>
          <w:bCs/>
          <w:color w:val="auto"/>
          <w:sz w:val="32"/>
          <w:szCs w:val="32"/>
          <w:lang w:eastAsia="zh-CN"/>
        </w:rPr>
        <w:t>）</w:t>
      </w:r>
      <w:r>
        <w:rPr>
          <w:rFonts w:hint="eastAsia" w:hAnsi="宋体"/>
          <w:bCs/>
          <w:color w:val="auto"/>
          <w:sz w:val="32"/>
          <w:szCs w:val="32"/>
        </w:rPr>
        <w:t>法定代表人授权委托书</w:t>
      </w:r>
    </w:p>
    <w:p w14:paraId="370F5F0D">
      <w:pPr>
        <w:pStyle w:val="134"/>
        <w:spacing w:before="0" w:after="0" w:line="420" w:lineRule="exact"/>
        <w:ind w:firstLineChars="200"/>
        <w:outlineLvl w:val="9"/>
        <w:rPr>
          <w:rFonts w:hint="eastAsia" w:ascii="宋体" w:hAnsi="宋体"/>
          <w:color w:val="auto"/>
          <w:kern w:val="2"/>
          <w:szCs w:val="21"/>
        </w:rPr>
      </w:pPr>
    </w:p>
    <w:p w14:paraId="3CCF8B34">
      <w:pPr>
        <w:pStyle w:val="134"/>
        <w:spacing w:before="0" w:after="0" w:line="480" w:lineRule="auto"/>
        <w:ind w:firstLineChars="200"/>
        <w:outlineLvl w:val="9"/>
        <w:rPr>
          <w:rFonts w:hint="eastAsia" w:ascii="宋体" w:hAnsi="宋体"/>
          <w:color w:val="auto"/>
          <w:kern w:val="2"/>
          <w:highlight w:val="none"/>
        </w:rPr>
      </w:pPr>
      <w:r>
        <w:rPr>
          <w:rFonts w:hint="eastAsia" w:ascii="宋体" w:hAnsi="宋体"/>
          <w:color w:val="auto"/>
          <w:kern w:val="2"/>
        </w:rPr>
        <w:t>本授权书声明：</w:t>
      </w:r>
      <w:r>
        <w:rPr>
          <w:rFonts w:hint="eastAsia" w:ascii="宋体" w:hAnsi="宋体"/>
          <w:color w:val="auto"/>
          <w:kern w:val="2"/>
          <w:u w:val="single"/>
        </w:rPr>
        <w:t xml:space="preserve">       </w:t>
      </w:r>
      <w:r>
        <w:rPr>
          <w:rFonts w:hint="eastAsia" w:ascii="宋体" w:hAnsi="宋体"/>
          <w:color w:val="auto"/>
          <w:kern w:val="2"/>
          <w:u w:val="single"/>
          <w:lang w:val="en-US" w:eastAsia="zh-CN"/>
        </w:rPr>
        <w:t xml:space="preserve">   </w:t>
      </w:r>
      <w:r>
        <w:rPr>
          <w:rFonts w:hint="eastAsia" w:ascii="宋体" w:hAnsi="宋体"/>
          <w:color w:val="auto"/>
          <w:kern w:val="2"/>
          <w:u w:val="single"/>
        </w:rPr>
        <w:t xml:space="preserve">  </w:t>
      </w:r>
      <w:r>
        <w:rPr>
          <w:rFonts w:hint="eastAsia" w:ascii="宋体" w:hAnsi="宋体"/>
          <w:color w:val="auto"/>
          <w:kern w:val="2"/>
        </w:rPr>
        <w:t>（供应商名称）</w:t>
      </w:r>
      <w:r>
        <w:rPr>
          <w:rFonts w:hint="eastAsia" w:ascii="宋体" w:hAnsi="宋体"/>
          <w:color w:val="auto"/>
          <w:kern w:val="2"/>
          <w:u w:val="single"/>
        </w:rPr>
        <w:t xml:space="preserve">     </w:t>
      </w:r>
      <w:r>
        <w:rPr>
          <w:rFonts w:hint="eastAsia" w:ascii="宋体" w:hAnsi="宋体"/>
          <w:color w:val="auto"/>
          <w:kern w:val="2"/>
          <w:u w:val="single"/>
          <w:lang w:val="en-US" w:eastAsia="zh-CN"/>
        </w:rPr>
        <w:t xml:space="preserve">    </w:t>
      </w:r>
      <w:r>
        <w:rPr>
          <w:rFonts w:hint="eastAsia" w:ascii="宋体" w:hAnsi="宋体"/>
          <w:color w:val="auto"/>
          <w:kern w:val="2"/>
          <w:u w:val="single"/>
        </w:rPr>
        <w:t xml:space="preserve">    </w:t>
      </w:r>
      <w:r>
        <w:rPr>
          <w:rFonts w:hint="eastAsia" w:ascii="宋体" w:hAnsi="宋体"/>
          <w:color w:val="auto"/>
          <w:kern w:val="2"/>
        </w:rPr>
        <w:t>（法定代表人姓名、职务）授权</w:t>
      </w:r>
      <w:r>
        <w:rPr>
          <w:rFonts w:hint="eastAsia" w:ascii="宋体" w:hAnsi="宋体"/>
          <w:color w:val="auto"/>
          <w:kern w:val="2"/>
          <w:u w:val="single"/>
        </w:rPr>
        <w:t xml:space="preserve">         </w:t>
      </w:r>
      <w:r>
        <w:rPr>
          <w:rFonts w:hint="eastAsia" w:ascii="宋体" w:hAnsi="宋体"/>
          <w:color w:val="auto"/>
          <w:kern w:val="2"/>
        </w:rPr>
        <w:t>（</w:t>
      </w:r>
      <w:r>
        <w:rPr>
          <w:rFonts w:hint="eastAsia" w:ascii="宋体" w:hAnsi="宋体"/>
          <w:color w:val="auto"/>
          <w:kern w:val="2"/>
          <w:highlight w:val="none"/>
        </w:rPr>
        <w:t>被授权</w:t>
      </w:r>
      <w:r>
        <w:rPr>
          <w:rFonts w:hint="eastAsia" w:ascii="宋体" w:hAnsi="宋体"/>
          <w:color w:val="auto"/>
          <w:kern w:val="2"/>
          <w:highlight w:val="none"/>
          <w:lang w:val="en-US" w:eastAsia="zh-CN"/>
        </w:rPr>
        <w:t>人</w:t>
      </w:r>
      <w:r>
        <w:rPr>
          <w:rFonts w:hint="eastAsia" w:ascii="宋体" w:hAnsi="宋体"/>
          <w:color w:val="auto"/>
          <w:kern w:val="2"/>
          <w:highlight w:val="none"/>
        </w:rPr>
        <w:t>的姓名、职务）为我方就</w:t>
      </w:r>
      <w:r>
        <w:rPr>
          <w:rFonts w:hint="eastAsia" w:ascii="宋体" w:hAnsi="宋体"/>
          <w:color w:val="auto"/>
          <w:kern w:val="2"/>
          <w:highlight w:val="none"/>
          <w:u w:val="single"/>
        </w:rPr>
        <w:t xml:space="preserve">          </w:t>
      </w:r>
      <w:r>
        <w:rPr>
          <w:rFonts w:hint="eastAsia" w:ascii="宋体" w:hAnsi="宋体"/>
          <w:color w:val="auto"/>
          <w:kern w:val="2"/>
          <w:highlight w:val="none"/>
          <w:u w:val="none"/>
          <w:lang w:eastAsia="zh-CN"/>
        </w:rPr>
        <w:t>（</w:t>
      </w:r>
      <w:r>
        <w:rPr>
          <w:rFonts w:hint="eastAsia" w:ascii="宋体" w:hAnsi="宋体"/>
          <w:color w:val="auto"/>
          <w:kern w:val="2"/>
          <w:highlight w:val="none"/>
          <w:u w:val="none"/>
          <w:lang w:val="en-US" w:eastAsia="zh-CN"/>
        </w:rPr>
        <w:t>项目名称</w:t>
      </w:r>
      <w:r>
        <w:rPr>
          <w:rFonts w:hint="eastAsia" w:ascii="宋体" w:hAnsi="宋体"/>
          <w:color w:val="auto"/>
          <w:kern w:val="2"/>
          <w:highlight w:val="none"/>
          <w:u w:val="none"/>
          <w:lang w:eastAsia="zh-CN"/>
        </w:rPr>
        <w:t>）</w:t>
      </w:r>
      <w:r>
        <w:rPr>
          <w:rFonts w:hint="eastAsia" w:ascii="宋体" w:hAnsi="宋体"/>
          <w:color w:val="auto"/>
          <w:kern w:val="2"/>
          <w:highlight w:val="none"/>
        </w:rPr>
        <w:t>的合法代理人，以本公司名义全权处理</w:t>
      </w:r>
      <w:r>
        <w:rPr>
          <w:rFonts w:hint="eastAsia" w:ascii="宋体" w:hAnsi="宋体"/>
          <w:color w:val="auto"/>
          <w:spacing w:val="-6"/>
          <w:kern w:val="2"/>
          <w:highlight w:val="none"/>
        </w:rPr>
        <w:t>一切与该项目招标有关的事务。</w:t>
      </w:r>
    </w:p>
    <w:p w14:paraId="4A9D1D4D">
      <w:pPr>
        <w:spacing w:line="480" w:lineRule="auto"/>
        <w:ind w:firstLine="480" w:firstLineChars="200"/>
        <w:outlineLvl w:val="9"/>
        <w:rPr>
          <w:rFonts w:hint="eastAsia" w:ascii="宋体" w:hAnsi="宋体" w:eastAsia="宋体"/>
          <w:color w:val="auto"/>
          <w:sz w:val="24"/>
          <w:highlight w:val="none"/>
          <w:lang w:eastAsia="zh-CN"/>
        </w:rPr>
      </w:pPr>
      <w:r>
        <w:rPr>
          <w:rFonts w:hint="eastAsia" w:ascii="宋体" w:hAnsi="宋体"/>
          <w:color w:val="auto"/>
          <w:spacing w:val="0"/>
          <w:kern w:val="2"/>
          <w:sz w:val="24"/>
          <w:szCs w:val="24"/>
          <w:highlight w:val="none"/>
          <w:lang w:val="en-US" w:eastAsia="zh-CN" w:bidi="ar-SA"/>
        </w:rPr>
        <w:t>委托期限：</w:t>
      </w:r>
      <w:r>
        <w:rPr>
          <w:rFonts w:hint="eastAsia" w:ascii="宋体" w:hAnsi="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lang w:val="en-US" w:eastAsia="zh-CN"/>
        </w:rPr>
        <w:t>。</w:t>
      </w:r>
    </w:p>
    <w:p w14:paraId="5BEEBC9A">
      <w:pPr>
        <w:pStyle w:val="134"/>
        <w:spacing w:before="0" w:after="0"/>
        <w:ind w:firstLineChars="200"/>
        <w:outlineLvl w:val="9"/>
        <w:rPr>
          <w:rFonts w:hint="eastAsia" w:ascii="宋体" w:hAnsi="宋体"/>
          <w:color w:val="auto"/>
          <w:kern w:val="2"/>
          <w:highlight w:val="none"/>
        </w:rPr>
      </w:pPr>
    </w:p>
    <w:p w14:paraId="2464230B">
      <w:pPr>
        <w:pStyle w:val="134"/>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被授权</w:t>
      </w:r>
      <w:r>
        <w:rPr>
          <w:rFonts w:hint="eastAsia" w:ascii="宋体" w:hAnsi="宋体"/>
          <w:color w:val="auto"/>
          <w:kern w:val="2"/>
          <w:highlight w:val="none"/>
          <w:lang w:val="en-US" w:eastAsia="zh-CN"/>
        </w:rPr>
        <w:t>人</w:t>
      </w:r>
      <w:r>
        <w:rPr>
          <w:rFonts w:hint="eastAsia" w:ascii="宋体" w:hAnsi="宋体"/>
          <w:color w:val="auto"/>
          <w:kern w:val="2"/>
          <w:highlight w:val="none"/>
        </w:rPr>
        <w:t>：</w:t>
      </w:r>
      <w:r>
        <w:rPr>
          <w:rFonts w:hint="eastAsia" w:ascii="宋体" w:hAnsi="宋体"/>
          <w:color w:val="auto"/>
          <w:kern w:val="2"/>
          <w:highlight w:val="none"/>
          <w:u w:val="single"/>
        </w:rPr>
        <w:t xml:space="preserve">       （签字）</w:t>
      </w:r>
      <w:r>
        <w:rPr>
          <w:rFonts w:hint="eastAsia" w:ascii="宋体" w:hAnsi="宋体"/>
          <w:color w:val="auto"/>
          <w:kern w:val="2"/>
          <w:highlight w:val="none"/>
        </w:rPr>
        <w:t>性别：</w:t>
      </w:r>
      <w:r>
        <w:rPr>
          <w:rFonts w:hint="eastAsia" w:ascii="宋体" w:hAnsi="宋体"/>
          <w:color w:val="auto"/>
          <w:kern w:val="2"/>
          <w:highlight w:val="none"/>
          <w:u w:val="single"/>
        </w:rPr>
        <w:t xml:space="preserve">       </w:t>
      </w:r>
      <w:r>
        <w:rPr>
          <w:rFonts w:hint="eastAsia" w:ascii="宋体" w:hAnsi="宋体"/>
          <w:color w:val="auto"/>
          <w:kern w:val="2"/>
          <w:highlight w:val="none"/>
        </w:rPr>
        <w:t>年龄：</w:t>
      </w:r>
      <w:r>
        <w:rPr>
          <w:rFonts w:hint="eastAsia" w:ascii="宋体" w:hAnsi="宋体"/>
          <w:color w:val="auto"/>
          <w:kern w:val="2"/>
          <w:highlight w:val="none"/>
          <w:u w:val="single"/>
        </w:rPr>
        <w:t xml:space="preserve">        </w:t>
      </w:r>
      <w:r>
        <w:rPr>
          <w:rFonts w:hint="eastAsia" w:ascii="宋体" w:hAnsi="宋体"/>
          <w:color w:val="FFFFFF" w:themeColor="background1"/>
          <w:kern w:val="2"/>
          <w:highlight w:val="none"/>
          <w:u w:val="single"/>
          <w14:textFill>
            <w14:solidFill>
              <w14:schemeClr w14:val="bg1"/>
            </w14:solidFill>
          </w14:textFill>
        </w:rPr>
        <w:t xml:space="preserve">.  </w:t>
      </w:r>
      <w:r>
        <w:rPr>
          <w:rFonts w:hint="eastAsia" w:ascii="宋体" w:hAnsi="宋体"/>
          <w:color w:val="auto"/>
          <w:kern w:val="2"/>
          <w:highlight w:val="none"/>
          <w:u w:val="single"/>
        </w:rPr>
        <w:t xml:space="preserve"> </w:t>
      </w:r>
    </w:p>
    <w:p w14:paraId="3F104287">
      <w:pPr>
        <w:pStyle w:val="134"/>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身份证号码：</w:t>
      </w:r>
      <w:r>
        <w:rPr>
          <w:rFonts w:hint="eastAsia" w:ascii="宋体" w:hAnsi="宋体"/>
          <w:color w:val="auto"/>
          <w:kern w:val="2"/>
          <w:highlight w:val="none"/>
          <w:u w:val="single"/>
        </w:rPr>
        <w:t xml:space="preserve">                        </w:t>
      </w:r>
      <w:r>
        <w:rPr>
          <w:rFonts w:hint="eastAsia" w:ascii="宋体" w:hAnsi="宋体"/>
          <w:color w:val="auto"/>
          <w:kern w:val="2"/>
          <w:highlight w:val="none"/>
        </w:rPr>
        <w:t>职务：</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FFFFFF" w:themeColor="background1"/>
          <w:kern w:val="2"/>
          <w:highlight w:val="none"/>
          <w:u w:val="single"/>
          <w14:textFill>
            <w14:solidFill>
              <w14:schemeClr w14:val="bg1"/>
            </w14:solidFill>
          </w14:textFill>
        </w:rPr>
        <w:t xml:space="preserve">.  </w:t>
      </w:r>
      <w:r>
        <w:rPr>
          <w:rFonts w:hint="eastAsia" w:ascii="宋体" w:hAnsi="宋体"/>
          <w:color w:val="auto"/>
          <w:kern w:val="2"/>
          <w:highlight w:val="none"/>
          <w:u w:val="single"/>
        </w:rPr>
        <w:t xml:space="preserve">    </w:t>
      </w:r>
    </w:p>
    <w:p w14:paraId="57179A63">
      <w:pPr>
        <w:pStyle w:val="134"/>
        <w:spacing w:before="0" w:after="0" w:line="480" w:lineRule="auto"/>
        <w:ind w:firstLine="1920" w:firstLineChars="800"/>
        <w:outlineLvl w:val="9"/>
        <w:rPr>
          <w:rFonts w:hint="eastAsia" w:ascii="宋体" w:hAnsi="宋体"/>
          <w:color w:val="auto"/>
          <w:highlight w:val="none"/>
        </w:rPr>
      </w:pPr>
      <w:r>
        <w:rPr>
          <w:rFonts w:hint="eastAsia" w:ascii="宋体" w:hAnsi="宋体"/>
          <w:color w:val="auto"/>
          <w:kern w:val="2"/>
          <w:highlight w:val="none"/>
        </w:rPr>
        <w:t>供应商</w:t>
      </w:r>
      <w:r>
        <w:rPr>
          <w:rFonts w:hint="eastAsia" w:ascii="宋体" w:hAnsi="宋体"/>
          <w:color w:val="auto"/>
          <w:kern w:val="2"/>
          <w:highlight w:val="none"/>
          <w:lang w:val="en-US" w:eastAsia="zh-CN"/>
        </w:rPr>
        <w:t>全称</w:t>
      </w:r>
      <w:r>
        <w:rPr>
          <w:rFonts w:hint="eastAsia" w:ascii="宋体" w:hAnsi="宋体"/>
          <w:color w:val="auto"/>
          <w:kern w:val="2"/>
          <w:highlight w:val="none"/>
        </w:rPr>
        <w:t>：</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（盖章）</w:t>
      </w:r>
    </w:p>
    <w:p w14:paraId="2B636A2E">
      <w:pPr>
        <w:pStyle w:val="134"/>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法定代表人：</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（签字或盖章）</w:t>
      </w:r>
    </w:p>
    <w:p w14:paraId="1A729404">
      <w:pPr>
        <w:pStyle w:val="134"/>
        <w:spacing w:before="0" w:after="0" w:line="480" w:lineRule="auto"/>
        <w:ind w:firstLine="1920" w:firstLineChars="800"/>
        <w:outlineLvl w:val="9"/>
        <w:rPr>
          <w:rFonts w:hint="eastAsia" w:ascii="宋体" w:hAnsi="宋体"/>
          <w:color w:val="auto"/>
          <w:kern w:val="2"/>
          <w:highlight w:val="none"/>
        </w:rPr>
      </w:pPr>
      <w:r>
        <w:rPr>
          <w:rFonts w:hint="eastAsia" w:ascii="宋体" w:hAnsi="宋体"/>
          <w:color w:val="auto"/>
          <w:kern w:val="2"/>
          <w:highlight w:val="none"/>
        </w:rPr>
        <w:t>日</w:t>
      </w:r>
      <w:r>
        <w:rPr>
          <w:rFonts w:hint="eastAsia" w:ascii="宋体" w:hAnsi="宋体"/>
          <w:color w:val="auto"/>
          <w:kern w:val="2"/>
          <w:highlight w:val="none"/>
          <w:lang w:val="en-US" w:eastAsia="zh-CN"/>
        </w:rPr>
        <w:t xml:space="preserve">      </w:t>
      </w:r>
      <w:r>
        <w:rPr>
          <w:rFonts w:hint="eastAsia" w:ascii="宋体" w:hAnsi="宋体"/>
          <w:color w:val="auto"/>
          <w:kern w:val="2"/>
          <w:highlight w:val="none"/>
        </w:rPr>
        <w:t>期：</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年</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月</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日</w:t>
      </w:r>
    </w:p>
    <w:tbl>
      <w:tblPr>
        <w:tblStyle w:val="32"/>
        <w:tblpPr w:leftFromText="180" w:rightFromText="180" w:vertAnchor="text" w:horzAnchor="page" w:tblpX="2255" w:tblpY="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5"/>
      </w:tblGrid>
      <w:tr w14:paraId="696D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7635" w:type="dxa"/>
            <w:tcBorders>
              <w:top w:val="single" w:color="auto" w:sz="4" w:space="0"/>
              <w:left w:val="single" w:color="auto" w:sz="4" w:space="0"/>
              <w:bottom w:val="single" w:color="auto" w:sz="4" w:space="0"/>
              <w:right w:val="single" w:color="auto" w:sz="4" w:space="0"/>
            </w:tcBorders>
            <w:noWrap w:val="0"/>
            <w:vAlign w:val="center"/>
          </w:tcPr>
          <w:p w14:paraId="3927B212">
            <w:pPr>
              <w:spacing w:line="400" w:lineRule="exact"/>
              <w:outlineLvl w:val="9"/>
              <w:rPr>
                <w:rFonts w:hint="default" w:ascii="宋体" w:hAnsi="宋体" w:eastAsia="宋体" w:cs="宋体"/>
                <w:b w:val="0"/>
                <w:bCs/>
                <w:color w:val="auto"/>
                <w:kern w:val="1"/>
                <w:sz w:val="24"/>
                <w:highlight w:val="none"/>
                <w:lang w:val="en-US"/>
              </w:rPr>
            </w:pPr>
            <w:r>
              <w:rPr>
                <w:rFonts w:hint="eastAsia" w:ascii="宋体" w:hAnsi="宋体" w:eastAsia="宋体" w:cs="宋体"/>
                <w:b/>
                <w:color w:val="auto"/>
                <w:sz w:val="24"/>
                <w:szCs w:val="22"/>
                <w:highlight w:val="none"/>
                <w:lang w:val="en-US" w:eastAsia="zh-CN"/>
              </w:rPr>
              <w:t>附：法定代表人、被授权人身份证复印件或扫描件正、反面</w:t>
            </w:r>
          </w:p>
          <w:p w14:paraId="2066FECE">
            <w:pPr>
              <w:spacing w:line="400" w:lineRule="exact"/>
              <w:jc w:val="center"/>
              <w:outlineLvl w:val="9"/>
              <w:rPr>
                <w:rFonts w:hint="eastAsia" w:ascii="宋体" w:hAnsi="宋体" w:cs="宋体"/>
                <w:b/>
                <w:color w:val="auto"/>
                <w:kern w:val="1"/>
                <w:sz w:val="24"/>
                <w:highlight w:val="none"/>
              </w:rPr>
            </w:pPr>
          </w:p>
        </w:tc>
      </w:tr>
    </w:tbl>
    <w:p w14:paraId="6D1D4B66">
      <w:pPr>
        <w:pStyle w:val="16"/>
        <w:topLinePunct w:val="0"/>
        <w:bidi w:val="0"/>
        <w:spacing w:line="360" w:lineRule="auto"/>
        <w:ind w:firstLine="480" w:firstLineChars="200"/>
        <w:jc w:val="left"/>
        <w:rPr>
          <w:rFonts w:hAnsi="宋体" w:cs="宋体"/>
          <w:color w:val="auto"/>
          <w:sz w:val="24"/>
          <w:szCs w:val="24"/>
          <w:highlight w:val="none"/>
        </w:rPr>
      </w:pPr>
    </w:p>
    <w:bookmarkEnd w:id="122"/>
    <w:bookmarkEnd w:id="123"/>
    <w:bookmarkEnd w:id="124"/>
    <w:p w14:paraId="686DAEF1">
      <w:pP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br w:type="page"/>
      </w:r>
    </w:p>
    <w:p w14:paraId="09384762">
      <w:pPr>
        <w:pStyle w:val="12"/>
        <w:spacing w:line="440" w:lineRule="exact"/>
        <w:jc w:val="center"/>
        <w:outlineLvl w:val="9"/>
        <w:rPr>
          <w:rFonts w:hint="eastAsia" w:ascii="宋体" w:hAnsi="宋体" w:cs="仿宋"/>
          <w:color w:val="auto"/>
          <w:sz w:val="24"/>
          <w:highlight w:val="none"/>
        </w:rPr>
      </w:pPr>
      <w:r>
        <w:rPr>
          <w:rFonts w:hint="eastAsia" w:ascii="宋体" w:hAnsi="宋体"/>
          <w:b/>
          <w:bCs/>
          <w:color w:val="auto"/>
          <w:sz w:val="32"/>
          <w:szCs w:val="32"/>
          <w:highlight w:val="none"/>
          <w:lang w:val="en-US" w:eastAsia="zh-CN"/>
        </w:rPr>
        <w:t>（三）</w:t>
      </w:r>
      <w:r>
        <w:rPr>
          <w:rFonts w:hint="eastAsia" w:ascii="宋体" w:hAnsi="宋体"/>
          <w:b/>
          <w:bCs/>
          <w:color w:val="auto"/>
          <w:sz w:val="32"/>
          <w:szCs w:val="32"/>
          <w:highlight w:val="none"/>
        </w:rPr>
        <w:t>磋商响应函</w:t>
      </w:r>
    </w:p>
    <w:p w14:paraId="34D676AC">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539D90ED">
      <w:pPr>
        <w:pStyle w:val="52"/>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hint="eastAsia" w:ascii="宋体" w:hAnsi="宋体" w:cs="宋体"/>
          <w:color w:val="auto"/>
          <w:kern w:val="24"/>
          <w:sz w:val="24"/>
          <w:highlight w:val="none"/>
          <w:u w:val="none"/>
          <w:lang w:val="en-US" w:eastAsia="zh-CN"/>
        </w:rPr>
        <w:t>（项目名称）</w:t>
      </w:r>
      <w:r>
        <w:rPr>
          <w:rFonts w:ascii="宋体" w:hAnsi="宋体" w:cs="宋体"/>
          <w:color w:val="auto"/>
          <w:kern w:val="1"/>
          <w:sz w:val="24"/>
          <w:highlight w:val="none"/>
        </w:rPr>
        <w:t>（</w:t>
      </w:r>
      <w:r>
        <w:rPr>
          <w:rFonts w:hint="eastAsia" w:ascii="宋体" w:hAnsi="宋体" w:cs="宋体"/>
          <w:color w:val="auto"/>
          <w:kern w:val="1"/>
          <w:sz w:val="24"/>
          <w:highlight w:val="none"/>
          <w:lang w:val="en-US" w:eastAsia="zh-CN"/>
        </w:rPr>
        <w:t>项目</w:t>
      </w:r>
      <w:r>
        <w:rPr>
          <w:rFonts w:ascii="宋体" w:hAnsi="宋体" w:cs="宋体"/>
          <w:color w:val="auto"/>
          <w:kern w:val="1"/>
          <w:sz w:val="24"/>
          <w:highlight w:val="none"/>
        </w:rPr>
        <w:t>编号：</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w:t>
      </w:r>
      <w:r>
        <w:rPr>
          <w:rFonts w:hint="eastAsia" w:ascii="宋体" w:hAnsi="宋体" w:cs="仿宋"/>
          <w:color w:val="auto"/>
          <w:sz w:val="24"/>
          <w:szCs w:val="24"/>
          <w:highlight w:val="none"/>
        </w:rPr>
        <w:t>的竞争性磋商文件，正式授权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(供应商名称)提交</w:t>
      </w:r>
      <w:r>
        <w:rPr>
          <w:rFonts w:hint="eastAsia" w:ascii="宋体" w:hAnsi="宋体" w:cs="仿宋"/>
          <w:color w:val="auto"/>
          <w:sz w:val="24"/>
          <w:szCs w:val="24"/>
          <w:highlight w:val="none"/>
          <w:lang w:val="en-US" w:eastAsia="zh-CN"/>
        </w:rPr>
        <w:t>磋商</w:t>
      </w:r>
      <w:r>
        <w:rPr>
          <w:rFonts w:hint="eastAsia" w:ascii="宋体" w:hAnsi="宋体" w:cs="仿宋"/>
          <w:color w:val="auto"/>
          <w:sz w:val="24"/>
          <w:szCs w:val="24"/>
          <w:highlight w:val="none"/>
        </w:rPr>
        <w:t>响应文件正本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w:t>
      </w:r>
    </w:p>
    <w:p w14:paraId="31B8AE6C">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(1) 磋商响应函；</w:t>
      </w:r>
    </w:p>
    <w:p w14:paraId="772E19C5">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(2) 磋商报价表；</w:t>
      </w:r>
    </w:p>
    <w:p w14:paraId="49199212">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(3) 按磋商须知要求提供的全部文件和磋商文件要求的响应文件；</w:t>
      </w:r>
    </w:p>
    <w:p w14:paraId="105BF7DE">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(4) 供应商资格证明文件；</w:t>
      </w:r>
    </w:p>
    <w:p w14:paraId="4BD5EA63">
      <w:pPr>
        <w:spacing w:line="460" w:lineRule="exact"/>
        <w:ind w:firstLine="480"/>
        <w:rPr>
          <w:rFonts w:hint="eastAsia" w:ascii="宋体" w:hAnsi="宋体" w:cs="仿宋"/>
          <w:color w:val="auto"/>
          <w:sz w:val="24"/>
          <w:highlight w:val="none"/>
          <w:lang w:val="en-US" w:eastAsia="zh-CN"/>
        </w:rPr>
      </w:pPr>
      <w:r>
        <w:rPr>
          <w:rFonts w:hint="eastAsia" w:ascii="宋体" w:hAnsi="宋体" w:cs="仿宋"/>
          <w:color w:val="auto"/>
          <w:sz w:val="24"/>
          <w:highlight w:val="none"/>
        </w:rPr>
        <w:t>(5) 我公司已</w:t>
      </w:r>
      <w:r>
        <w:rPr>
          <w:rFonts w:hint="eastAsia" w:ascii="宋体" w:hAnsi="宋体" w:cs="仿宋"/>
          <w:color w:val="auto"/>
          <w:sz w:val="24"/>
          <w:highlight w:val="none"/>
          <w:lang w:val="en-US" w:eastAsia="zh-CN"/>
        </w:rPr>
        <w:t>缴</w:t>
      </w:r>
      <w:r>
        <w:rPr>
          <w:rFonts w:hint="eastAsia" w:ascii="宋体" w:hAnsi="宋体" w:cs="仿宋"/>
          <w:color w:val="auto"/>
          <w:sz w:val="24"/>
          <w:highlight w:val="none"/>
        </w:rPr>
        <w:t>纳</w:t>
      </w:r>
      <w:r>
        <w:rPr>
          <w:rFonts w:hint="eastAsia" w:ascii="宋体" w:hAnsi="宋体" w:cs="仿宋"/>
          <w:color w:val="auto"/>
          <w:sz w:val="24"/>
          <w:highlight w:val="none"/>
          <w:lang w:eastAsia="zh-CN"/>
        </w:rPr>
        <w:t>磋商保证金</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缴纳形式为以下第</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lang w:val="en-US" w:eastAsia="zh-CN"/>
        </w:rPr>
        <w:t>种</w:t>
      </w:r>
      <w:r>
        <w:rPr>
          <w:rFonts w:hint="eastAsia" w:ascii="宋体" w:hAnsi="宋体" w:cs="仿宋"/>
          <w:color w:val="auto"/>
          <w:sz w:val="24"/>
          <w:highlight w:val="none"/>
          <w:lang w:val="en-US" w:eastAsia="zh-CN"/>
        </w:rPr>
        <w:t>：</w:t>
      </w:r>
    </w:p>
    <w:p w14:paraId="6FA76D00">
      <w:pPr>
        <w:spacing w:line="460" w:lineRule="exact"/>
        <w:ind w:firstLine="480"/>
        <w:rPr>
          <w:rFonts w:hint="eastAsia" w:ascii="宋体" w:hAnsi="宋体" w:cs="仿宋"/>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cs="仿宋"/>
          <w:color w:val="auto"/>
          <w:sz w:val="24"/>
          <w:highlight w:val="none"/>
        </w:rPr>
        <w:t>金额为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lang w:eastAsia="zh-CN"/>
        </w:rPr>
        <w:t>；</w:t>
      </w:r>
    </w:p>
    <w:p w14:paraId="569A0CC9">
      <w:pPr>
        <w:spacing w:line="460" w:lineRule="exact"/>
        <w:ind w:firstLine="480"/>
        <w:rPr>
          <w:rFonts w:hint="default" w:ascii="宋体" w:hAnsi="宋体" w:eastAsia="宋体" w:cs="仿宋"/>
          <w:color w:val="auto"/>
          <w:sz w:val="24"/>
          <w:highlight w:val="none"/>
          <w:lang w:val="en-US" w:eastAsia="zh-CN"/>
        </w:rPr>
      </w:pP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以保函形式，且保函原件已提交至代理机构备案。</w:t>
      </w:r>
    </w:p>
    <w:p w14:paraId="4A74154C">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2619BF2C">
      <w:pPr>
        <w:keepNext w:val="0"/>
        <w:keepLines w:val="0"/>
        <w:pageBreakBefore w:val="0"/>
        <w:widowControl w:val="0"/>
        <w:numPr>
          <w:ilvl w:val="0"/>
          <w:numId w:val="10"/>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供应商将按磋商文件的规定履行合同责任和义务；</w:t>
      </w:r>
    </w:p>
    <w:p w14:paraId="41C2C8FE">
      <w:pPr>
        <w:keepNext w:val="0"/>
        <w:keepLines w:val="0"/>
        <w:pageBreakBefore w:val="0"/>
        <w:widowControl w:val="0"/>
        <w:numPr>
          <w:ilvl w:val="0"/>
          <w:numId w:val="10"/>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供应商已详细审查全部磋商文件，包括修改文件（如有的话）以及全部参考资料和有关附件。我们完全理解并同意放弃对这方面有不明及误解的权利；</w:t>
      </w:r>
    </w:p>
    <w:p w14:paraId="31FF9E2A">
      <w:pPr>
        <w:keepNext w:val="0"/>
        <w:keepLines w:val="0"/>
        <w:pageBreakBefore w:val="0"/>
        <w:widowControl w:val="0"/>
        <w:numPr>
          <w:ilvl w:val="0"/>
          <w:numId w:val="10"/>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磋商有效期为自磋商响应文件递交截止之日起</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lang w:val="en-US" w:eastAsia="zh-CN"/>
        </w:rPr>
        <w:t>日历天；</w:t>
      </w:r>
    </w:p>
    <w:p w14:paraId="3395B78C">
      <w:pPr>
        <w:keepNext w:val="0"/>
        <w:keepLines w:val="0"/>
        <w:pageBreakBefore w:val="0"/>
        <w:widowControl w:val="0"/>
        <w:numPr>
          <w:ilvl w:val="0"/>
          <w:numId w:val="10"/>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如果在规定的宣读磋商报价时间后，供应商在磋商有效期内撤回磋商报价；或成交后未按磋商文件中磋商须知规定的向采购代理机构</w:t>
      </w:r>
      <w:r>
        <w:rPr>
          <w:rFonts w:hint="eastAsia" w:ascii="宋体" w:hAnsi="宋体" w:cs="仿宋"/>
          <w:color w:val="auto"/>
          <w:sz w:val="24"/>
          <w:highlight w:val="none"/>
          <w:lang w:eastAsia="zh-CN"/>
        </w:rPr>
        <w:t>缴</w:t>
      </w:r>
      <w:r>
        <w:rPr>
          <w:rFonts w:hint="eastAsia" w:ascii="宋体" w:hAnsi="宋体" w:cs="仿宋"/>
          <w:color w:val="auto"/>
          <w:sz w:val="24"/>
          <w:highlight w:val="none"/>
        </w:rPr>
        <w:t>纳足额的招标代理服务费，其</w:t>
      </w:r>
      <w:r>
        <w:rPr>
          <w:rFonts w:hint="eastAsia" w:ascii="宋体" w:hAnsi="宋体" w:cs="仿宋"/>
          <w:color w:val="auto"/>
          <w:sz w:val="24"/>
          <w:highlight w:val="none"/>
          <w:lang w:eastAsia="zh-CN"/>
        </w:rPr>
        <w:t>磋商保证金</w:t>
      </w:r>
      <w:r>
        <w:rPr>
          <w:rFonts w:hint="eastAsia" w:ascii="宋体" w:hAnsi="宋体" w:cs="仿宋"/>
          <w:color w:val="auto"/>
          <w:sz w:val="24"/>
          <w:highlight w:val="none"/>
        </w:rPr>
        <w:t>将被贵方没收；</w:t>
      </w:r>
    </w:p>
    <w:p w14:paraId="02740C20">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、供应商同意提供按照贵方可能要求的与其报价有关的一切数据或资料，完全理解贵方不一定要接受最低价的磋商报价或收到的任何磋商报价。</w:t>
      </w:r>
    </w:p>
    <w:p w14:paraId="3E8FB381">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、与本磋商有关的一切正式往来通讯请寄：</w:t>
      </w:r>
    </w:p>
    <w:p w14:paraId="290538BD">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07B03845">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1EFC6561">
      <w:pPr>
        <w:keepNext w:val="0"/>
        <w:keepLines w:val="0"/>
        <w:pageBreakBefore w:val="0"/>
        <w:widowControl w:val="0"/>
        <w:kinsoku/>
        <w:wordWrap/>
        <w:overflowPunct/>
        <w:topLinePunct w:val="0"/>
        <w:autoSpaceDE/>
        <w:autoSpaceDN/>
        <w:bidi w:val="0"/>
        <w:adjustRightInd/>
        <w:snapToGrid/>
        <w:spacing w:line="456" w:lineRule="exact"/>
        <w:ind w:right="-161"/>
        <w:textAlignment w:val="auto"/>
        <w:outlineLvl w:val="9"/>
        <w:rPr>
          <w:rFonts w:hint="eastAsia" w:ascii="宋体" w:hAnsi="宋体" w:eastAsia="宋体" w:cs="仿宋"/>
          <w:color w:val="auto"/>
          <w:sz w:val="24"/>
          <w:highlight w:val="none"/>
          <w:lang w:eastAsia="zh-CN"/>
        </w:rPr>
      </w:pPr>
    </w:p>
    <w:p w14:paraId="0B238BB0">
      <w:pPr>
        <w:keepNext w:val="0"/>
        <w:keepLines w:val="0"/>
        <w:pageBreakBefore w:val="0"/>
        <w:widowControl w:val="0"/>
        <w:kinsoku/>
        <w:wordWrap/>
        <w:overflowPunct/>
        <w:topLinePunct w:val="0"/>
        <w:autoSpaceDE/>
        <w:autoSpaceDN/>
        <w:bidi w:val="0"/>
        <w:adjustRightInd/>
        <w:snapToGrid/>
        <w:spacing w:line="456" w:lineRule="exact"/>
        <w:ind w:right="-161"/>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ab/>
      </w:r>
      <w:bookmarkStart w:id="125" w:name="OLE_LINK50"/>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3E598CD2">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51071B8C">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bookmarkEnd w:id="125"/>
    </w:p>
    <w:p w14:paraId="713DD8B6">
      <w:pPr>
        <w:adjustRightInd w:val="0"/>
        <w:spacing w:line="480" w:lineRule="auto"/>
        <w:jc w:val="center"/>
        <w:textAlignment w:val="baseline"/>
        <w:outlineLvl w:val="9"/>
        <w:rPr>
          <w:rFonts w:hint="eastAsia" w:ascii="宋体" w:hAnsi="宋体" w:cs="仿宋"/>
          <w:b/>
          <w:bCs/>
          <w:color w:val="auto"/>
          <w:sz w:val="32"/>
          <w:szCs w:val="32"/>
          <w:highlight w:val="none"/>
          <w:lang w:val="en-US" w:eastAsia="zh-CN"/>
        </w:rPr>
      </w:pPr>
      <w:bookmarkStart w:id="126" w:name="OLE_LINK42"/>
    </w:p>
    <w:p w14:paraId="21B0AEB0">
      <w:pPr>
        <w:adjustRightInd w:val="0"/>
        <w:spacing w:line="480" w:lineRule="auto"/>
        <w:jc w:val="center"/>
        <w:textAlignment w:val="baseline"/>
        <w:outlineLvl w:val="9"/>
        <w:rPr>
          <w:rFonts w:hint="eastAsia" w:ascii="宋体" w:hAnsi="宋体" w:cs="仿宋"/>
          <w:b/>
          <w:bCs/>
          <w:color w:val="auto"/>
          <w:sz w:val="32"/>
          <w:szCs w:val="32"/>
          <w:highlight w:val="none"/>
        </w:rPr>
      </w:pPr>
      <w:r>
        <w:rPr>
          <w:rFonts w:hint="eastAsia" w:ascii="宋体" w:hAnsi="宋体" w:cs="仿宋"/>
          <w:b/>
          <w:bCs/>
          <w:color w:val="auto"/>
          <w:sz w:val="32"/>
          <w:szCs w:val="32"/>
          <w:highlight w:val="none"/>
          <w:lang w:val="en-US" w:eastAsia="zh-CN"/>
        </w:rPr>
        <w:t>（四）</w:t>
      </w:r>
      <w:r>
        <w:rPr>
          <w:rFonts w:hint="eastAsia" w:ascii="宋体" w:hAnsi="宋体" w:cs="仿宋"/>
          <w:b/>
          <w:bCs/>
          <w:color w:val="auto"/>
          <w:sz w:val="32"/>
          <w:szCs w:val="32"/>
          <w:highlight w:val="none"/>
        </w:rPr>
        <w:t>磋商报价表</w:t>
      </w:r>
    </w:p>
    <w:bookmarkEnd w:id="126"/>
    <w:tbl>
      <w:tblPr>
        <w:tblStyle w:val="32"/>
        <w:tblW w:w="8790" w:type="dxa"/>
        <w:tblInd w:w="43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6780"/>
      </w:tblGrid>
      <w:tr w14:paraId="1DECA2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rPr>
        <w:tc>
          <w:tcPr>
            <w:tcW w:w="2010" w:type="dxa"/>
            <w:tcBorders>
              <w:bottom w:val="single" w:color="auto" w:sz="4" w:space="0"/>
            </w:tcBorders>
            <w:noWrap w:val="0"/>
            <w:vAlign w:val="bottom"/>
          </w:tcPr>
          <w:p w14:paraId="2FC6D484">
            <w:pPr>
              <w:spacing w:line="480" w:lineRule="auto"/>
              <w:jc w:val="center"/>
              <w:outlineLvl w:val="9"/>
              <w:rPr>
                <w:rFonts w:hint="eastAsia" w:ascii="宋体" w:hAnsi="宋体" w:cs="仿宋"/>
                <w:caps/>
                <w:color w:val="auto"/>
                <w:sz w:val="24"/>
                <w:highlight w:val="none"/>
              </w:rPr>
            </w:pPr>
            <w:r>
              <w:rPr>
                <w:rFonts w:hint="eastAsia" w:ascii="宋体" w:hAnsi="宋体" w:cs="仿宋"/>
                <w:color w:val="auto"/>
                <w:sz w:val="24"/>
                <w:highlight w:val="none"/>
                <w:lang w:val="en-US" w:eastAsia="zh-CN"/>
              </w:rPr>
              <w:t>项目</w:t>
            </w:r>
            <w:r>
              <w:rPr>
                <w:rFonts w:hint="eastAsia" w:ascii="宋体" w:hAnsi="宋体" w:cs="仿宋"/>
                <w:color w:val="auto"/>
                <w:sz w:val="24"/>
                <w:highlight w:val="none"/>
              </w:rPr>
              <w:t>名称</w:t>
            </w:r>
          </w:p>
        </w:tc>
        <w:tc>
          <w:tcPr>
            <w:tcW w:w="6780" w:type="dxa"/>
            <w:noWrap w:val="0"/>
            <w:vAlign w:val="center"/>
          </w:tcPr>
          <w:p w14:paraId="4A9C58E5">
            <w:pPr>
              <w:spacing w:line="480" w:lineRule="auto"/>
              <w:jc w:val="center"/>
              <w:outlineLvl w:val="9"/>
              <w:rPr>
                <w:rFonts w:hint="eastAsia" w:ascii="宋体" w:hAnsi="宋体" w:cs="仿宋"/>
                <w:caps/>
                <w:color w:val="auto"/>
                <w:sz w:val="24"/>
                <w:highlight w:val="none"/>
              </w:rPr>
            </w:pPr>
          </w:p>
        </w:tc>
      </w:tr>
      <w:tr w14:paraId="7787E5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2010" w:type="dxa"/>
            <w:tcBorders>
              <w:bottom w:val="single" w:color="auto" w:sz="4" w:space="0"/>
            </w:tcBorders>
            <w:noWrap w:val="0"/>
            <w:vAlign w:val="bottom"/>
          </w:tcPr>
          <w:p w14:paraId="155A3100">
            <w:pPr>
              <w:spacing w:line="480" w:lineRule="auto"/>
              <w:jc w:val="center"/>
              <w:outlineLvl w:val="9"/>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项目编号</w:t>
            </w:r>
          </w:p>
        </w:tc>
        <w:tc>
          <w:tcPr>
            <w:tcW w:w="6780" w:type="dxa"/>
            <w:tcBorders>
              <w:bottom w:val="single" w:color="auto" w:sz="4" w:space="0"/>
            </w:tcBorders>
            <w:noWrap w:val="0"/>
            <w:vAlign w:val="center"/>
          </w:tcPr>
          <w:p w14:paraId="7774534B">
            <w:pPr>
              <w:spacing w:line="480" w:lineRule="auto"/>
              <w:jc w:val="center"/>
              <w:outlineLvl w:val="9"/>
              <w:rPr>
                <w:rFonts w:hint="eastAsia" w:ascii="宋体" w:hAnsi="宋体" w:cs="仿宋"/>
                <w:caps/>
                <w:color w:val="auto"/>
                <w:sz w:val="24"/>
                <w:highlight w:val="none"/>
              </w:rPr>
            </w:pPr>
          </w:p>
        </w:tc>
      </w:tr>
      <w:tr w14:paraId="0162F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13989B2A">
            <w:pPr>
              <w:spacing w:line="480" w:lineRule="auto"/>
              <w:jc w:val="center"/>
              <w:outlineLvl w:val="9"/>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名称</w:t>
            </w:r>
          </w:p>
        </w:tc>
        <w:tc>
          <w:tcPr>
            <w:tcW w:w="6780" w:type="dxa"/>
            <w:noWrap w:val="0"/>
            <w:vAlign w:val="center"/>
          </w:tcPr>
          <w:p w14:paraId="5EEDB8EA">
            <w:pPr>
              <w:spacing w:line="480" w:lineRule="auto"/>
              <w:jc w:val="center"/>
              <w:outlineLvl w:val="9"/>
              <w:rPr>
                <w:rFonts w:hint="eastAsia" w:ascii="宋体" w:hAnsi="宋体" w:cs="仿宋"/>
                <w:color w:val="auto"/>
                <w:sz w:val="24"/>
                <w:highlight w:val="none"/>
              </w:rPr>
            </w:pPr>
          </w:p>
        </w:tc>
      </w:tr>
      <w:tr w14:paraId="0C0EA0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45BD732A">
            <w:pPr>
              <w:spacing w:line="480" w:lineRule="auto"/>
              <w:jc w:val="center"/>
              <w:outlineLvl w:val="9"/>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服务期限</w:t>
            </w:r>
          </w:p>
        </w:tc>
        <w:tc>
          <w:tcPr>
            <w:tcW w:w="6780" w:type="dxa"/>
            <w:noWrap w:val="0"/>
            <w:vAlign w:val="center"/>
          </w:tcPr>
          <w:p w14:paraId="686B1CD1">
            <w:pPr>
              <w:spacing w:line="480" w:lineRule="auto"/>
              <w:jc w:val="center"/>
              <w:outlineLvl w:val="9"/>
              <w:rPr>
                <w:rFonts w:hint="eastAsia" w:ascii="宋体" w:hAnsi="宋体" w:cs="仿宋"/>
                <w:color w:val="auto"/>
                <w:sz w:val="24"/>
                <w:highlight w:val="none"/>
              </w:rPr>
            </w:pPr>
          </w:p>
        </w:tc>
      </w:tr>
      <w:tr w14:paraId="2DC8A6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384DCBA0">
            <w:pPr>
              <w:spacing w:line="480" w:lineRule="auto"/>
              <w:jc w:val="center"/>
              <w:outlineLvl w:val="9"/>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质量标准</w:t>
            </w:r>
          </w:p>
        </w:tc>
        <w:tc>
          <w:tcPr>
            <w:tcW w:w="6780" w:type="dxa"/>
            <w:noWrap w:val="0"/>
            <w:vAlign w:val="center"/>
          </w:tcPr>
          <w:p w14:paraId="4F7D3C49">
            <w:pPr>
              <w:spacing w:line="480" w:lineRule="auto"/>
              <w:jc w:val="center"/>
              <w:outlineLvl w:val="9"/>
              <w:rPr>
                <w:rFonts w:hint="eastAsia" w:ascii="宋体" w:hAnsi="宋体" w:cs="仿宋"/>
                <w:color w:val="auto"/>
                <w:sz w:val="24"/>
                <w:highlight w:val="none"/>
              </w:rPr>
            </w:pPr>
          </w:p>
        </w:tc>
      </w:tr>
      <w:tr w14:paraId="10708E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center"/>
          </w:tcPr>
          <w:p w14:paraId="477F5475">
            <w:pPr>
              <w:spacing w:line="480" w:lineRule="auto"/>
              <w:jc w:val="center"/>
              <w:outlineLvl w:val="9"/>
              <w:rPr>
                <w:rFonts w:hint="eastAsia" w:ascii="宋体" w:hAnsi="宋体" w:cs="仿宋"/>
                <w:color w:val="auto"/>
                <w:sz w:val="24"/>
                <w:highlight w:val="none"/>
              </w:rPr>
            </w:pPr>
            <w:r>
              <w:rPr>
                <w:rFonts w:hint="eastAsia" w:ascii="宋体" w:hAnsi="宋体" w:cs="仿宋"/>
                <w:color w:val="auto"/>
                <w:sz w:val="24"/>
                <w:highlight w:val="none"/>
              </w:rPr>
              <w:t>磋商报价（元）</w:t>
            </w:r>
          </w:p>
        </w:tc>
        <w:tc>
          <w:tcPr>
            <w:tcW w:w="6780" w:type="dxa"/>
            <w:noWrap w:val="0"/>
            <w:vAlign w:val="center"/>
          </w:tcPr>
          <w:p w14:paraId="739AADB0">
            <w:pPr>
              <w:spacing w:before="100" w:beforeAutospacing="1" w:after="100" w:afterAutospacing="1" w:line="480" w:lineRule="auto"/>
              <w:jc w:val="left"/>
              <w:outlineLvl w:val="9"/>
              <w:rPr>
                <w:rFonts w:hint="eastAsia" w:ascii="宋体" w:hAnsi="宋体" w:cs="仿宋"/>
                <w:color w:val="auto"/>
                <w:sz w:val="24"/>
                <w:highlight w:val="none"/>
              </w:rPr>
            </w:pPr>
            <w:r>
              <w:rPr>
                <w:rFonts w:hint="eastAsia" w:ascii="宋体" w:hAnsi="宋体" w:cs="仿宋"/>
                <w:color w:val="auto"/>
                <w:sz w:val="24"/>
                <w:highlight w:val="none"/>
              </w:rPr>
              <w:t>大写：</w:t>
            </w:r>
          </w:p>
          <w:p w14:paraId="78440F85">
            <w:pPr>
              <w:spacing w:before="100" w:beforeAutospacing="1" w:after="100" w:afterAutospacing="1" w:line="480" w:lineRule="auto"/>
              <w:jc w:val="left"/>
              <w:outlineLvl w:val="9"/>
              <w:rPr>
                <w:rFonts w:hint="eastAsia" w:ascii="宋体" w:hAnsi="宋体" w:cs="仿宋"/>
                <w:color w:val="auto"/>
                <w:sz w:val="24"/>
                <w:highlight w:val="none"/>
              </w:rPr>
            </w:pPr>
            <w:r>
              <w:rPr>
                <w:rFonts w:hint="eastAsia" w:ascii="宋体" w:hAnsi="宋体" w:cs="仿宋"/>
                <w:color w:val="auto"/>
                <w:sz w:val="24"/>
                <w:highlight w:val="none"/>
              </w:rPr>
              <w:t>小写：</w:t>
            </w:r>
          </w:p>
        </w:tc>
      </w:tr>
      <w:tr w14:paraId="7BF074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90" w:type="dxa"/>
            <w:gridSpan w:val="2"/>
            <w:noWrap w:val="0"/>
            <w:vAlign w:val="center"/>
          </w:tcPr>
          <w:p w14:paraId="0512D5F5">
            <w:pPr>
              <w:numPr>
                <w:ilvl w:val="0"/>
                <w:numId w:val="0"/>
              </w:numPr>
              <w:kinsoku w:val="0"/>
              <w:topLinePunct w:val="0"/>
              <w:bidi w:val="0"/>
              <w:spacing w:line="360" w:lineRule="auto"/>
              <w:jc w:val="left"/>
              <w:outlineLvl w:val="9"/>
              <w:rPr>
                <w:rFonts w:hint="eastAsia" w:ascii="宋体" w:hAnsi="宋体" w:eastAsia="宋体" w:cs="宋体"/>
                <w:color w:val="auto"/>
                <w:sz w:val="24"/>
                <w:szCs w:val="24"/>
                <w:highlight w:val="none"/>
              </w:rPr>
            </w:pPr>
            <w:r>
              <w:rPr>
                <w:rFonts w:ascii="宋体" w:hAnsi="宋体" w:cs="宋体"/>
                <w:b/>
                <w:bCs/>
                <w:color w:val="auto"/>
                <w:kern w:val="0"/>
                <w:sz w:val="24"/>
                <w:highlight w:val="none"/>
                <w:lang w:bidi="ar"/>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表内报价内容以元为单位，精确到小数点后两位</w:t>
            </w:r>
            <w:r>
              <w:rPr>
                <w:rFonts w:hint="eastAsia" w:ascii="宋体" w:hAnsi="宋体" w:eastAsia="宋体" w:cs="宋体"/>
                <w:color w:val="auto"/>
                <w:sz w:val="24"/>
                <w:szCs w:val="24"/>
                <w:highlight w:val="none"/>
                <w:lang w:eastAsia="zh-CN"/>
              </w:rPr>
              <w:t>（四舍五入）</w:t>
            </w:r>
            <w:r>
              <w:rPr>
                <w:rFonts w:hint="eastAsia" w:ascii="宋体" w:hAnsi="宋体" w:eastAsia="宋体" w:cs="宋体"/>
                <w:color w:val="auto"/>
                <w:sz w:val="24"/>
                <w:szCs w:val="24"/>
                <w:highlight w:val="none"/>
              </w:rPr>
              <w:t>；</w:t>
            </w:r>
          </w:p>
          <w:p w14:paraId="1C829494">
            <w:pPr>
              <w:spacing w:line="380" w:lineRule="exact"/>
              <w:ind w:firstLine="480" w:firstLineChars="2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2、报价应包含供应商需缴纳的税费；</w:t>
            </w:r>
          </w:p>
          <w:p w14:paraId="4194243B">
            <w:pPr>
              <w:spacing w:line="380" w:lineRule="exact"/>
              <w:ind w:firstLine="480" w:firstLineChars="200"/>
              <w:outlineLvl w:val="9"/>
              <w:rPr>
                <w:rFonts w:hint="default" w:ascii="宋体" w:hAnsi="宋体" w:eastAsia="宋体" w:cs="仿宋"/>
                <w:color w:val="auto"/>
                <w:sz w:val="24"/>
                <w:highlight w:val="none"/>
                <w:lang w:val="en-US" w:eastAsia="zh-CN"/>
              </w:rPr>
            </w:pPr>
            <w:r>
              <w:rPr>
                <w:rFonts w:hint="eastAsia" w:ascii="宋体" w:hAnsi="宋体" w:cs="宋体"/>
                <w:color w:val="auto"/>
                <w:sz w:val="24"/>
                <w:szCs w:val="24"/>
                <w:highlight w:val="none"/>
                <w:lang w:val="en-US" w:eastAsia="zh-CN"/>
              </w:rPr>
              <w:t>3、磋商报价为本次服务的所有费用，不做调整。</w:t>
            </w:r>
          </w:p>
        </w:tc>
      </w:tr>
    </w:tbl>
    <w:p w14:paraId="027CE3B3">
      <w:pPr>
        <w:spacing w:line="480" w:lineRule="auto"/>
        <w:ind w:right="-161"/>
        <w:outlineLvl w:val="9"/>
        <w:rPr>
          <w:rFonts w:hint="eastAsia" w:ascii="宋体" w:hAnsi="宋体" w:cs="仿宋"/>
          <w:color w:val="auto"/>
          <w:sz w:val="28"/>
          <w:szCs w:val="28"/>
          <w:highlight w:val="none"/>
        </w:rPr>
      </w:pPr>
      <w:r>
        <w:rPr>
          <w:rFonts w:hint="eastAsia" w:ascii="宋体" w:hAnsi="宋体" w:cs="仿宋"/>
          <w:color w:val="auto"/>
          <w:sz w:val="28"/>
          <w:szCs w:val="28"/>
          <w:highlight w:val="none"/>
        </w:rPr>
        <w:t xml:space="preserve">      </w:t>
      </w:r>
    </w:p>
    <w:p w14:paraId="1CDA1534">
      <w:pPr>
        <w:pStyle w:val="12"/>
        <w:rPr>
          <w:rFonts w:hint="eastAsia" w:ascii="宋体" w:hAnsi="宋体" w:cs="仿宋"/>
          <w:color w:val="auto"/>
          <w:sz w:val="28"/>
          <w:szCs w:val="28"/>
          <w:highlight w:val="none"/>
        </w:rPr>
      </w:pPr>
    </w:p>
    <w:p w14:paraId="0A6A6973">
      <w:pPr>
        <w:rPr>
          <w:rFonts w:hint="eastAsia"/>
          <w:color w:val="auto"/>
        </w:rPr>
      </w:pPr>
    </w:p>
    <w:p w14:paraId="77C40EA2">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4BD54D7">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60F852E5">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4BFD374">
      <w:pPr>
        <w:pStyle w:val="9"/>
        <w:rPr>
          <w:rFonts w:hint="eastAsia" w:ascii="宋体" w:hAnsi="宋体" w:cs="仿宋"/>
          <w:color w:val="auto"/>
          <w:sz w:val="24"/>
          <w:highlight w:val="none"/>
        </w:rPr>
      </w:pPr>
    </w:p>
    <w:p w14:paraId="5AC4CB9E">
      <w:pPr>
        <w:pStyle w:val="9"/>
        <w:rPr>
          <w:rFonts w:hint="eastAsia" w:ascii="宋体" w:hAnsi="宋体" w:cs="仿宋"/>
          <w:color w:val="auto"/>
          <w:sz w:val="24"/>
          <w:highlight w:val="none"/>
        </w:rPr>
      </w:pPr>
    </w:p>
    <w:p w14:paraId="7E6A3F20">
      <w:pPr>
        <w:pStyle w:val="9"/>
        <w:rPr>
          <w:rFonts w:hint="eastAsia" w:ascii="宋体" w:hAnsi="宋体" w:cs="仿宋"/>
          <w:color w:val="auto"/>
          <w:sz w:val="24"/>
          <w:highlight w:val="none"/>
        </w:rPr>
      </w:pPr>
    </w:p>
    <w:p w14:paraId="178CE930">
      <w:pPr>
        <w:pStyle w:val="9"/>
        <w:rPr>
          <w:rFonts w:hint="eastAsia" w:ascii="宋体" w:hAnsi="宋体" w:cs="仿宋"/>
          <w:color w:val="auto"/>
          <w:sz w:val="24"/>
          <w:highlight w:val="none"/>
        </w:rPr>
      </w:pPr>
    </w:p>
    <w:p w14:paraId="4737AFF6">
      <w:pPr>
        <w:pStyle w:val="9"/>
        <w:rPr>
          <w:rFonts w:hint="eastAsia" w:ascii="宋体" w:hAnsi="宋体" w:cs="仿宋"/>
          <w:color w:val="auto"/>
          <w:sz w:val="24"/>
          <w:highlight w:val="none"/>
        </w:rPr>
      </w:pPr>
    </w:p>
    <w:p w14:paraId="79D64150">
      <w:pPr>
        <w:pStyle w:val="9"/>
        <w:rPr>
          <w:rFonts w:hint="eastAsia" w:ascii="宋体" w:hAnsi="宋体" w:cs="仿宋"/>
          <w:color w:val="auto"/>
          <w:sz w:val="24"/>
          <w:highlight w:val="none"/>
        </w:rPr>
      </w:pPr>
    </w:p>
    <w:p w14:paraId="5A9ECFEF">
      <w:pPr>
        <w:pStyle w:val="9"/>
        <w:rPr>
          <w:rFonts w:hint="eastAsia" w:ascii="宋体" w:hAnsi="宋体" w:cs="仿宋"/>
          <w:color w:val="auto"/>
          <w:sz w:val="24"/>
          <w:highlight w:val="none"/>
        </w:rPr>
      </w:pPr>
    </w:p>
    <w:p w14:paraId="003F5161">
      <w:pPr>
        <w:pStyle w:val="3"/>
        <w:numPr>
          <w:ilvl w:val="0"/>
          <w:numId w:val="0"/>
        </w:numPr>
        <w:topLinePunct w:val="0"/>
        <w:bidi w:val="0"/>
        <w:spacing w:line="360" w:lineRule="auto"/>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附件1：</w:t>
      </w:r>
    </w:p>
    <w:p w14:paraId="58F3D522">
      <w:pPr>
        <w:adjustRightInd w:val="0"/>
        <w:spacing w:line="480" w:lineRule="auto"/>
        <w:jc w:val="center"/>
        <w:textAlignment w:val="baseline"/>
        <w:outlineLvl w:val="9"/>
        <w:rPr>
          <w:rFonts w:hint="default" w:ascii="宋体" w:hAnsi="宋体" w:eastAsia="宋体" w:cs="仿宋"/>
          <w:b/>
          <w:bCs/>
          <w:color w:val="auto"/>
          <w:sz w:val="32"/>
          <w:szCs w:val="32"/>
          <w:highlight w:val="none"/>
          <w:lang w:val="en-US" w:eastAsia="zh-CN"/>
        </w:rPr>
      </w:pPr>
      <w:r>
        <w:rPr>
          <w:rFonts w:hint="eastAsia" w:ascii="宋体" w:hAnsi="宋体" w:eastAsia="宋体" w:cs="仿宋"/>
          <w:b/>
          <w:bCs/>
          <w:color w:val="auto"/>
          <w:sz w:val="32"/>
          <w:szCs w:val="32"/>
          <w:highlight w:val="none"/>
          <w:lang w:val="en-US" w:eastAsia="zh-CN"/>
        </w:rPr>
        <w:t>分项报价表</w:t>
      </w:r>
    </w:p>
    <w:p w14:paraId="4A5B7C3C">
      <w:pPr>
        <w:widowControl/>
        <w:wordWrap w:val="0"/>
        <w:topLinePunct w:val="0"/>
        <w:bidi w:val="0"/>
        <w:spacing w:line="360" w:lineRule="auto"/>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9E71936">
      <w:pPr>
        <w:pStyle w:val="9"/>
        <w:topLinePunct w:val="0"/>
        <w:bidi w:val="0"/>
        <w:spacing w:line="360" w:lineRule="auto"/>
        <w:ind w:left="0" w:leftChars="0" w:firstLine="0" w:firstLineChars="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40637D34">
      <w:pPr>
        <w:kinsoku w:val="0"/>
        <w:topLinePunct w:val="0"/>
        <w:bidi w:val="0"/>
        <w:spacing w:line="360" w:lineRule="auto"/>
        <w:ind w:firstLine="6480" w:firstLineChars="2700"/>
        <w:jc w:val="left"/>
        <w:rPr>
          <w:rFonts w:hint="default" w:ascii="宋体" w:hAnsi="宋体" w:cs="宋体"/>
          <w:color w:val="auto"/>
          <w:sz w:val="24"/>
          <w:u w:val="single"/>
          <w:lang w:val="en-US" w:eastAsia="zh-CN"/>
        </w:rPr>
      </w:pPr>
      <w:r>
        <w:rPr>
          <w:rFonts w:hint="eastAsia" w:ascii="宋体" w:hAnsi="宋体" w:cs="宋体"/>
          <w:color w:val="auto"/>
          <w:sz w:val="24"/>
        </w:rPr>
        <w:t>单    位：</w:t>
      </w:r>
      <w:r>
        <w:rPr>
          <w:rFonts w:hint="eastAsia" w:ascii="宋体" w:hAnsi="宋体" w:cs="宋体"/>
          <w:color w:val="auto"/>
          <w:sz w:val="24"/>
          <w:szCs w:val="24"/>
        </w:rPr>
        <w:t>元</w:t>
      </w:r>
    </w:p>
    <w:tbl>
      <w:tblPr>
        <w:tblStyle w:val="33"/>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3960"/>
        <w:gridCol w:w="3581"/>
      </w:tblGrid>
      <w:tr w14:paraId="36FF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78" w:type="dxa"/>
            <w:vAlign w:val="center"/>
          </w:tcPr>
          <w:p w14:paraId="0E2DA17B">
            <w:pPr>
              <w:pStyle w:val="51"/>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序号</w:t>
            </w:r>
          </w:p>
        </w:tc>
        <w:tc>
          <w:tcPr>
            <w:tcW w:w="3960" w:type="dxa"/>
            <w:vAlign w:val="center"/>
          </w:tcPr>
          <w:p w14:paraId="3E93E7A8">
            <w:pPr>
              <w:pStyle w:val="51"/>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项目</w:t>
            </w:r>
          </w:p>
        </w:tc>
        <w:tc>
          <w:tcPr>
            <w:tcW w:w="3581" w:type="dxa"/>
            <w:vAlign w:val="center"/>
          </w:tcPr>
          <w:p w14:paraId="63FD704D">
            <w:pPr>
              <w:pStyle w:val="51"/>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金额</w:t>
            </w:r>
          </w:p>
        </w:tc>
      </w:tr>
      <w:tr w14:paraId="715F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8" w:type="dxa"/>
            <w:vAlign w:val="center"/>
          </w:tcPr>
          <w:p w14:paraId="5FAF7046">
            <w:pPr>
              <w:pStyle w:val="51"/>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960" w:type="dxa"/>
            <w:vAlign w:val="center"/>
          </w:tcPr>
          <w:p w14:paraId="7576D267">
            <w:pPr>
              <w:pStyle w:val="51"/>
              <w:jc w:val="center"/>
              <w:rPr>
                <w:rFonts w:hint="eastAsia" w:ascii="宋体" w:hAnsi="宋体" w:eastAsia="宋体" w:cs="宋体"/>
                <w:color w:val="auto"/>
                <w:sz w:val="24"/>
                <w:szCs w:val="24"/>
                <w:vertAlign w:val="baseline"/>
              </w:rPr>
            </w:pPr>
          </w:p>
        </w:tc>
        <w:tc>
          <w:tcPr>
            <w:tcW w:w="3581" w:type="dxa"/>
            <w:vAlign w:val="center"/>
          </w:tcPr>
          <w:p w14:paraId="269CEA93">
            <w:pPr>
              <w:pStyle w:val="51"/>
              <w:jc w:val="center"/>
              <w:rPr>
                <w:rFonts w:hint="eastAsia" w:ascii="宋体" w:hAnsi="宋体" w:eastAsia="宋体" w:cs="宋体"/>
                <w:color w:val="auto"/>
                <w:sz w:val="24"/>
                <w:szCs w:val="24"/>
                <w:vertAlign w:val="baseline"/>
              </w:rPr>
            </w:pPr>
          </w:p>
        </w:tc>
      </w:tr>
      <w:tr w14:paraId="568A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8" w:type="dxa"/>
            <w:vAlign w:val="center"/>
          </w:tcPr>
          <w:p w14:paraId="2801A5EC">
            <w:pPr>
              <w:pStyle w:val="51"/>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960" w:type="dxa"/>
            <w:vAlign w:val="center"/>
          </w:tcPr>
          <w:p w14:paraId="7D39506C">
            <w:pPr>
              <w:pStyle w:val="51"/>
              <w:jc w:val="center"/>
              <w:rPr>
                <w:rFonts w:hint="eastAsia" w:ascii="宋体" w:hAnsi="宋体" w:eastAsia="宋体" w:cs="宋体"/>
                <w:color w:val="auto"/>
                <w:sz w:val="24"/>
                <w:szCs w:val="24"/>
                <w:vertAlign w:val="baseline"/>
              </w:rPr>
            </w:pPr>
          </w:p>
        </w:tc>
        <w:tc>
          <w:tcPr>
            <w:tcW w:w="3581" w:type="dxa"/>
            <w:vAlign w:val="center"/>
          </w:tcPr>
          <w:p w14:paraId="51D04AE9">
            <w:pPr>
              <w:pStyle w:val="51"/>
              <w:jc w:val="center"/>
              <w:rPr>
                <w:rFonts w:hint="eastAsia" w:ascii="宋体" w:hAnsi="宋体" w:eastAsia="宋体" w:cs="宋体"/>
                <w:color w:val="auto"/>
                <w:sz w:val="24"/>
                <w:szCs w:val="24"/>
                <w:vertAlign w:val="baseline"/>
              </w:rPr>
            </w:pPr>
          </w:p>
        </w:tc>
      </w:tr>
      <w:tr w14:paraId="673E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8" w:type="dxa"/>
            <w:vAlign w:val="center"/>
          </w:tcPr>
          <w:p w14:paraId="2080E63E">
            <w:pPr>
              <w:pStyle w:val="51"/>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960" w:type="dxa"/>
            <w:vAlign w:val="center"/>
          </w:tcPr>
          <w:p w14:paraId="4DF7F538">
            <w:pPr>
              <w:pStyle w:val="51"/>
              <w:jc w:val="center"/>
              <w:rPr>
                <w:rFonts w:hint="eastAsia" w:ascii="宋体" w:hAnsi="宋体" w:eastAsia="宋体" w:cs="宋体"/>
                <w:color w:val="auto"/>
                <w:sz w:val="24"/>
                <w:szCs w:val="24"/>
                <w:vertAlign w:val="baseline"/>
              </w:rPr>
            </w:pPr>
          </w:p>
        </w:tc>
        <w:tc>
          <w:tcPr>
            <w:tcW w:w="3581" w:type="dxa"/>
            <w:vAlign w:val="center"/>
          </w:tcPr>
          <w:p w14:paraId="60600359">
            <w:pPr>
              <w:pStyle w:val="51"/>
              <w:jc w:val="center"/>
              <w:rPr>
                <w:rFonts w:hint="eastAsia" w:ascii="宋体" w:hAnsi="宋体" w:eastAsia="宋体" w:cs="宋体"/>
                <w:color w:val="auto"/>
                <w:sz w:val="24"/>
                <w:szCs w:val="24"/>
                <w:vertAlign w:val="baseline"/>
              </w:rPr>
            </w:pPr>
          </w:p>
        </w:tc>
      </w:tr>
      <w:tr w14:paraId="54B3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8" w:type="dxa"/>
            <w:vAlign w:val="center"/>
          </w:tcPr>
          <w:p w14:paraId="14924009">
            <w:pPr>
              <w:pStyle w:val="51"/>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3960" w:type="dxa"/>
            <w:vAlign w:val="center"/>
          </w:tcPr>
          <w:p w14:paraId="5863BD44">
            <w:pPr>
              <w:pStyle w:val="51"/>
              <w:jc w:val="center"/>
              <w:rPr>
                <w:rFonts w:hint="eastAsia" w:ascii="宋体" w:hAnsi="宋体" w:eastAsia="宋体" w:cs="宋体"/>
                <w:color w:val="auto"/>
                <w:sz w:val="24"/>
                <w:szCs w:val="24"/>
                <w:vertAlign w:val="baseline"/>
              </w:rPr>
            </w:pPr>
          </w:p>
        </w:tc>
        <w:tc>
          <w:tcPr>
            <w:tcW w:w="3581" w:type="dxa"/>
            <w:vAlign w:val="center"/>
          </w:tcPr>
          <w:p w14:paraId="3DDEF025">
            <w:pPr>
              <w:pStyle w:val="51"/>
              <w:jc w:val="center"/>
              <w:rPr>
                <w:rFonts w:hint="eastAsia" w:ascii="宋体" w:hAnsi="宋体" w:eastAsia="宋体" w:cs="宋体"/>
                <w:color w:val="auto"/>
                <w:sz w:val="24"/>
                <w:szCs w:val="24"/>
                <w:vertAlign w:val="baseline"/>
              </w:rPr>
            </w:pPr>
          </w:p>
        </w:tc>
      </w:tr>
      <w:tr w14:paraId="388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8" w:type="dxa"/>
            <w:vAlign w:val="center"/>
          </w:tcPr>
          <w:p w14:paraId="1EF4625A">
            <w:pPr>
              <w:pStyle w:val="51"/>
              <w:jc w:val="center"/>
              <w:rPr>
                <w:rFonts w:hint="eastAsia" w:ascii="宋体" w:hAnsi="宋体" w:eastAsia="宋体" w:cs="宋体"/>
                <w:color w:val="auto"/>
                <w:sz w:val="24"/>
                <w:szCs w:val="24"/>
                <w:vertAlign w:val="baseline"/>
              </w:rPr>
            </w:pPr>
          </w:p>
        </w:tc>
        <w:tc>
          <w:tcPr>
            <w:tcW w:w="3960" w:type="dxa"/>
            <w:vAlign w:val="center"/>
          </w:tcPr>
          <w:p w14:paraId="76647903">
            <w:pPr>
              <w:pStyle w:val="51"/>
              <w:jc w:val="center"/>
              <w:rPr>
                <w:rFonts w:hint="eastAsia" w:ascii="宋体" w:hAnsi="宋体" w:eastAsia="宋体" w:cs="宋体"/>
                <w:color w:val="auto"/>
                <w:sz w:val="24"/>
                <w:szCs w:val="24"/>
                <w:vertAlign w:val="baseline"/>
              </w:rPr>
            </w:pPr>
          </w:p>
        </w:tc>
        <w:tc>
          <w:tcPr>
            <w:tcW w:w="3581" w:type="dxa"/>
            <w:vAlign w:val="center"/>
          </w:tcPr>
          <w:p w14:paraId="09ED0D14">
            <w:pPr>
              <w:pStyle w:val="51"/>
              <w:jc w:val="center"/>
              <w:rPr>
                <w:rFonts w:hint="eastAsia" w:ascii="宋体" w:hAnsi="宋体" w:eastAsia="宋体" w:cs="宋体"/>
                <w:color w:val="auto"/>
                <w:sz w:val="24"/>
                <w:szCs w:val="24"/>
                <w:vertAlign w:val="baseline"/>
              </w:rPr>
            </w:pPr>
          </w:p>
        </w:tc>
      </w:tr>
      <w:tr w14:paraId="30AD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8" w:type="dxa"/>
            <w:vAlign w:val="center"/>
          </w:tcPr>
          <w:p w14:paraId="164EC73E">
            <w:pPr>
              <w:pStyle w:val="51"/>
              <w:jc w:val="center"/>
              <w:rPr>
                <w:rFonts w:hint="eastAsia" w:ascii="宋体" w:hAnsi="宋体" w:eastAsia="宋体" w:cs="宋体"/>
                <w:color w:val="auto"/>
                <w:sz w:val="24"/>
                <w:szCs w:val="24"/>
                <w:vertAlign w:val="baseline"/>
              </w:rPr>
            </w:pPr>
          </w:p>
        </w:tc>
        <w:tc>
          <w:tcPr>
            <w:tcW w:w="3960" w:type="dxa"/>
            <w:vAlign w:val="center"/>
          </w:tcPr>
          <w:p w14:paraId="35CFF988">
            <w:pPr>
              <w:pStyle w:val="51"/>
              <w:jc w:val="center"/>
              <w:rPr>
                <w:rFonts w:hint="eastAsia" w:ascii="宋体" w:hAnsi="宋体" w:eastAsia="宋体" w:cs="宋体"/>
                <w:color w:val="auto"/>
                <w:sz w:val="24"/>
                <w:szCs w:val="24"/>
                <w:vertAlign w:val="baseline"/>
              </w:rPr>
            </w:pPr>
          </w:p>
        </w:tc>
        <w:tc>
          <w:tcPr>
            <w:tcW w:w="3581" w:type="dxa"/>
            <w:vAlign w:val="center"/>
          </w:tcPr>
          <w:p w14:paraId="4ABE4407">
            <w:pPr>
              <w:pStyle w:val="51"/>
              <w:jc w:val="center"/>
              <w:rPr>
                <w:rFonts w:hint="eastAsia" w:ascii="宋体" w:hAnsi="宋体" w:eastAsia="宋体" w:cs="宋体"/>
                <w:color w:val="auto"/>
                <w:sz w:val="24"/>
                <w:szCs w:val="24"/>
                <w:vertAlign w:val="baseline"/>
              </w:rPr>
            </w:pPr>
          </w:p>
        </w:tc>
      </w:tr>
      <w:tr w14:paraId="5817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278" w:type="dxa"/>
            <w:vAlign w:val="center"/>
          </w:tcPr>
          <w:p w14:paraId="6AB880D2">
            <w:pPr>
              <w:pStyle w:val="51"/>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3960" w:type="dxa"/>
            <w:vAlign w:val="center"/>
          </w:tcPr>
          <w:p w14:paraId="39EC1A2D">
            <w:pPr>
              <w:pStyle w:val="51"/>
              <w:jc w:val="center"/>
              <w:rPr>
                <w:rFonts w:hint="eastAsia" w:ascii="宋体" w:hAnsi="宋体" w:eastAsia="宋体" w:cs="宋体"/>
                <w:color w:val="auto"/>
                <w:sz w:val="24"/>
                <w:szCs w:val="24"/>
                <w:vertAlign w:val="baseline"/>
              </w:rPr>
            </w:pPr>
          </w:p>
        </w:tc>
        <w:tc>
          <w:tcPr>
            <w:tcW w:w="3581" w:type="dxa"/>
            <w:vAlign w:val="center"/>
          </w:tcPr>
          <w:p w14:paraId="4DB59AB3">
            <w:pPr>
              <w:pStyle w:val="51"/>
              <w:jc w:val="center"/>
              <w:rPr>
                <w:rFonts w:hint="eastAsia" w:ascii="宋体" w:hAnsi="宋体" w:eastAsia="宋体" w:cs="宋体"/>
                <w:color w:val="auto"/>
                <w:sz w:val="24"/>
                <w:szCs w:val="24"/>
                <w:vertAlign w:val="baseline"/>
              </w:rPr>
            </w:pPr>
          </w:p>
        </w:tc>
      </w:tr>
      <w:tr w14:paraId="1F16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38" w:type="dxa"/>
            <w:gridSpan w:val="2"/>
            <w:vAlign w:val="center"/>
          </w:tcPr>
          <w:p w14:paraId="28BBE850">
            <w:pPr>
              <w:pStyle w:val="51"/>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投标总报价</w:t>
            </w:r>
          </w:p>
        </w:tc>
        <w:tc>
          <w:tcPr>
            <w:tcW w:w="3581" w:type="dxa"/>
            <w:vAlign w:val="center"/>
          </w:tcPr>
          <w:p w14:paraId="269362E0">
            <w:pPr>
              <w:pStyle w:val="51"/>
              <w:jc w:val="center"/>
              <w:rPr>
                <w:rFonts w:hint="eastAsia" w:ascii="宋体" w:hAnsi="宋体" w:eastAsia="宋体" w:cs="宋体"/>
                <w:color w:val="auto"/>
                <w:sz w:val="24"/>
                <w:szCs w:val="24"/>
                <w:vertAlign w:val="baseline"/>
              </w:rPr>
            </w:pPr>
          </w:p>
        </w:tc>
      </w:tr>
    </w:tbl>
    <w:p w14:paraId="3B18AF0F">
      <w:pPr>
        <w:pStyle w:val="51"/>
        <w:rPr>
          <w:color w:val="auto"/>
        </w:rPr>
      </w:pPr>
    </w:p>
    <w:p w14:paraId="168C417E">
      <w:pPr>
        <w:keepNext w:val="0"/>
        <w:keepLines w:val="0"/>
        <w:pageBreakBefore w:val="0"/>
        <w:widowControl w:val="0"/>
        <w:kinsoku/>
        <w:wordWrap/>
        <w:overflowPunct/>
        <w:topLinePunct w:val="0"/>
        <w:autoSpaceDE/>
        <w:autoSpaceDN/>
        <w:bidi w:val="0"/>
        <w:adjustRightInd/>
        <w:snapToGrid/>
        <w:spacing w:line="400" w:lineRule="exact"/>
        <w:ind w:right="-161"/>
        <w:textAlignment w:val="auto"/>
        <w:rPr>
          <w:rFonts w:hint="eastAsia" w:ascii="宋体" w:hAnsi="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p>
    <w:p w14:paraId="55A067FE">
      <w:pPr>
        <w:spacing w:line="480" w:lineRule="auto"/>
        <w:ind w:right="-161"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662DECFB">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694AFA70">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0AC2107">
      <w:pPr>
        <w:pStyle w:val="26"/>
        <w:rPr>
          <w:rFonts w:hint="eastAsia" w:ascii="宋体" w:hAnsi="宋体" w:cs="宋体"/>
          <w:color w:val="auto"/>
          <w:highlight w:val="none"/>
          <w:lang w:val="en-US" w:eastAsia="zh-CN"/>
        </w:rPr>
      </w:pPr>
    </w:p>
    <w:p w14:paraId="2707CBBA">
      <w:pPr>
        <w:rPr>
          <w:rFonts w:hint="eastAsia"/>
          <w:color w:val="auto"/>
          <w:highlight w:val="yellow"/>
          <w:lang w:val="en-US" w:eastAsia="zh-CN"/>
        </w:rPr>
      </w:pPr>
      <w:r>
        <w:rPr>
          <w:rFonts w:hint="eastAsia"/>
          <w:color w:val="auto"/>
          <w:highlight w:val="yellow"/>
          <w:lang w:val="en-US" w:eastAsia="zh-CN"/>
        </w:rPr>
        <w:br w:type="page"/>
      </w:r>
    </w:p>
    <w:p w14:paraId="4CDC97BA">
      <w:pPr>
        <w:pStyle w:val="3"/>
        <w:numPr>
          <w:ilvl w:val="0"/>
          <w:numId w:val="0"/>
        </w:numPr>
        <w:topLinePunct w:val="0"/>
        <w:bidi w:val="0"/>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附件2：</w:t>
      </w:r>
    </w:p>
    <w:p w14:paraId="57928AA5">
      <w:pPr>
        <w:pStyle w:val="3"/>
        <w:numPr>
          <w:ilvl w:val="0"/>
          <w:numId w:val="0"/>
        </w:numPr>
        <w:topLinePunct w:val="0"/>
        <w:bidi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服务内容偏离表</w:t>
      </w:r>
    </w:p>
    <w:p w14:paraId="5A0F64D3">
      <w:pPr>
        <w:widowControl/>
        <w:wordWrap w:val="0"/>
        <w:topLinePunct w:val="0"/>
        <w:bidi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51AF206">
      <w:pPr>
        <w:pStyle w:val="9"/>
        <w:topLinePunct w:val="0"/>
        <w:bidi w:val="0"/>
        <w:spacing w:line="360" w:lineRule="auto"/>
        <w:ind w:firstLine="0"/>
        <w:rPr>
          <w:color w:val="auto"/>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EF1F0F2">
      <w:pPr>
        <w:spacing w:line="189" w:lineRule="exact"/>
        <w:rPr>
          <w:color w:val="auto"/>
        </w:rPr>
      </w:pPr>
    </w:p>
    <w:tbl>
      <w:tblPr>
        <w:tblStyle w:val="136"/>
        <w:tblW w:w="834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853"/>
        <w:gridCol w:w="2010"/>
        <w:gridCol w:w="2250"/>
        <w:gridCol w:w="1365"/>
      </w:tblGrid>
      <w:tr w14:paraId="2805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66" w:type="dxa"/>
            <w:vAlign w:val="center"/>
          </w:tcPr>
          <w:p w14:paraId="3A8354FA">
            <w:pPr>
              <w:spacing w:before="41" w:line="272" w:lineRule="auto"/>
              <w:ind w:right="154"/>
              <w:jc w:val="center"/>
              <w:rPr>
                <w:rFonts w:ascii="宋体" w:hAnsi="宋体" w:eastAsia="宋体" w:cs="宋体"/>
                <w:color w:val="auto"/>
                <w:spacing w:val="-2"/>
                <w:sz w:val="24"/>
                <w:szCs w:val="24"/>
              </w:rPr>
            </w:pPr>
            <w:r>
              <w:rPr>
                <w:rFonts w:ascii="宋体" w:hAnsi="宋体" w:eastAsia="宋体" w:cs="宋体"/>
                <w:color w:val="auto"/>
                <w:spacing w:val="-2"/>
                <w:sz w:val="24"/>
                <w:szCs w:val="24"/>
              </w:rPr>
              <w:t>序号</w:t>
            </w:r>
          </w:p>
        </w:tc>
        <w:tc>
          <w:tcPr>
            <w:tcW w:w="1853" w:type="dxa"/>
            <w:vAlign w:val="center"/>
          </w:tcPr>
          <w:p w14:paraId="0F748540">
            <w:pPr>
              <w:spacing w:before="41" w:line="272" w:lineRule="auto"/>
              <w:ind w:right="154"/>
              <w:jc w:val="center"/>
              <w:rPr>
                <w:rFonts w:ascii="宋体" w:hAnsi="宋体" w:eastAsia="宋体" w:cs="宋体"/>
                <w:color w:val="auto"/>
                <w:spacing w:val="-2"/>
                <w:sz w:val="24"/>
                <w:szCs w:val="24"/>
              </w:rPr>
            </w:pPr>
            <w:r>
              <w:rPr>
                <w:rFonts w:ascii="宋体" w:hAnsi="宋体" w:eastAsia="宋体" w:cs="宋体"/>
                <w:color w:val="auto"/>
                <w:spacing w:val="-2"/>
                <w:sz w:val="24"/>
                <w:szCs w:val="24"/>
              </w:rPr>
              <w:t>磋商文件要求</w:t>
            </w:r>
          </w:p>
        </w:tc>
        <w:tc>
          <w:tcPr>
            <w:tcW w:w="2010" w:type="dxa"/>
            <w:vAlign w:val="center"/>
          </w:tcPr>
          <w:p w14:paraId="13D50DB5">
            <w:pPr>
              <w:spacing w:before="41" w:line="272" w:lineRule="auto"/>
              <w:ind w:right="153"/>
              <w:jc w:val="center"/>
              <w:rPr>
                <w:rFonts w:hint="eastAsia" w:ascii="宋体" w:hAnsi="宋体" w:eastAsia="宋体" w:cs="宋体"/>
                <w:color w:val="auto"/>
                <w:sz w:val="24"/>
                <w:szCs w:val="24"/>
                <w:lang w:val="en-US" w:eastAsia="zh-CN"/>
              </w:rPr>
            </w:pPr>
            <w:r>
              <w:rPr>
                <w:rFonts w:ascii="宋体" w:hAnsi="宋体" w:eastAsia="宋体" w:cs="宋体"/>
                <w:color w:val="auto"/>
                <w:spacing w:val="-5"/>
                <w:sz w:val="24"/>
                <w:szCs w:val="24"/>
              </w:rPr>
              <w:t>响应文件</w:t>
            </w:r>
            <w:r>
              <w:rPr>
                <w:rFonts w:hint="eastAsia" w:ascii="宋体" w:hAnsi="宋体" w:cs="宋体"/>
                <w:color w:val="auto"/>
                <w:spacing w:val="-5"/>
                <w:sz w:val="24"/>
                <w:szCs w:val="24"/>
                <w:lang w:val="en-US" w:eastAsia="zh-CN"/>
              </w:rPr>
              <w:t>内容</w:t>
            </w:r>
          </w:p>
        </w:tc>
        <w:tc>
          <w:tcPr>
            <w:tcW w:w="2250" w:type="dxa"/>
            <w:vAlign w:val="center"/>
          </w:tcPr>
          <w:p w14:paraId="19076797">
            <w:pPr>
              <w:spacing w:before="41" w:line="272" w:lineRule="auto"/>
              <w:ind w:right="153"/>
              <w:jc w:val="center"/>
              <w:rPr>
                <w:rFonts w:hint="default" w:eastAsia="宋体"/>
                <w:color w:val="auto"/>
                <w:highlight w:val="none"/>
                <w:lang w:val="en-US" w:eastAsia="zh-CN"/>
              </w:rPr>
            </w:pPr>
            <w:r>
              <w:rPr>
                <w:rFonts w:ascii="宋体" w:hAnsi="宋体" w:eastAsia="宋体" w:cs="宋体"/>
                <w:color w:val="auto"/>
                <w:spacing w:val="-5"/>
                <w:sz w:val="24"/>
                <w:szCs w:val="24"/>
                <w:highlight w:val="none"/>
              </w:rPr>
              <w:t>偏离</w:t>
            </w:r>
          </w:p>
        </w:tc>
        <w:tc>
          <w:tcPr>
            <w:tcW w:w="1365" w:type="dxa"/>
            <w:vAlign w:val="center"/>
          </w:tcPr>
          <w:p w14:paraId="5E5E7B9C">
            <w:pPr>
              <w:spacing w:before="41" w:line="272" w:lineRule="auto"/>
              <w:ind w:right="153"/>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偏离说明</w:t>
            </w:r>
          </w:p>
        </w:tc>
      </w:tr>
      <w:tr w14:paraId="00E8F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66" w:type="dxa"/>
            <w:vAlign w:val="center"/>
          </w:tcPr>
          <w:p w14:paraId="2B8082D1">
            <w:pPr>
              <w:jc w:val="center"/>
              <w:rPr>
                <w:rFonts w:ascii="宋体"/>
                <w:color w:val="auto"/>
                <w:sz w:val="21"/>
              </w:rPr>
            </w:pPr>
          </w:p>
        </w:tc>
        <w:tc>
          <w:tcPr>
            <w:tcW w:w="1853" w:type="dxa"/>
            <w:vAlign w:val="center"/>
          </w:tcPr>
          <w:p w14:paraId="07ED1FE5">
            <w:pPr>
              <w:jc w:val="center"/>
              <w:rPr>
                <w:rFonts w:ascii="宋体"/>
                <w:color w:val="auto"/>
                <w:sz w:val="21"/>
              </w:rPr>
            </w:pPr>
          </w:p>
        </w:tc>
        <w:tc>
          <w:tcPr>
            <w:tcW w:w="2010" w:type="dxa"/>
            <w:vAlign w:val="center"/>
          </w:tcPr>
          <w:p w14:paraId="143327A5">
            <w:pPr>
              <w:jc w:val="center"/>
              <w:rPr>
                <w:rFonts w:ascii="宋体"/>
                <w:color w:val="auto"/>
                <w:sz w:val="21"/>
              </w:rPr>
            </w:pPr>
          </w:p>
        </w:tc>
        <w:tc>
          <w:tcPr>
            <w:tcW w:w="2250" w:type="dxa"/>
            <w:vAlign w:val="center"/>
          </w:tcPr>
          <w:p w14:paraId="7631F9B6">
            <w:pPr>
              <w:jc w:val="center"/>
              <w:rPr>
                <w:rFonts w:ascii="宋体"/>
                <w:color w:val="auto"/>
                <w:sz w:val="21"/>
              </w:rPr>
            </w:pPr>
          </w:p>
        </w:tc>
        <w:tc>
          <w:tcPr>
            <w:tcW w:w="1365" w:type="dxa"/>
            <w:vAlign w:val="center"/>
          </w:tcPr>
          <w:p w14:paraId="7097F5AC">
            <w:pPr>
              <w:jc w:val="center"/>
              <w:rPr>
                <w:rFonts w:ascii="宋体"/>
                <w:color w:val="auto"/>
                <w:sz w:val="21"/>
              </w:rPr>
            </w:pPr>
          </w:p>
        </w:tc>
      </w:tr>
      <w:tr w14:paraId="44BE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66" w:type="dxa"/>
            <w:vAlign w:val="top"/>
          </w:tcPr>
          <w:p w14:paraId="79104047">
            <w:pPr>
              <w:rPr>
                <w:rFonts w:ascii="宋体"/>
                <w:color w:val="auto"/>
                <w:sz w:val="21"/>
              </w:rPr>
            </w:pPr>
          </w:p>
        </w:tc>
        <w:tc>
          <w:tcPr>
            <w:tcW w:w="1853" w:type="dxa"/>
            <w:vAlign w:val="top"/>
          </w:tcPr>
          <w:p w14:paraId="2998ECE2">
            <w:pPr>
              <w:rPr>
                <w:rFonts w:ascii="宋体"/>
                <w:color w:val="auto"/>
                <w:sz w:val="21"/>
              </w:rPr>
            </w:pPr>
          </w:p>
        </w:tc>
        <w:tc>
          <w:tcPr>
            <w:tcW w:w="2010" w:type="dxa"/>
            <w:vAlign w:val="top"/>
          </w:tcPr>
          <w:p w14:paraId="65D58E8C">
            <w:pPr>
              <w:rPr>
                <w:rFonts w:ascii="宋体"/>
                <w:color w:val="auto"/>
                <w:sz w:val="21"/>
              </w:rPr>
            </w:pPr>
          </w:p>
        </w:tc>
        <w:tc>
          <w:tcPr>
            <w:tcW w:w="2250" w:type="dxa"/>
            <w:vAlign w:val="top"/>
          </w:tcPr>
          <w:p w14:paraId="63FDEB11">
            <w:pPr>
              <w:rPr>
                <w:rFonts w:ascii="宋体"/>
                <w:color w:val="auto"/>
                <w:sz w:val="21"/>
              </w:rPr>
            </w:pPr>
          </w:p>
        </w:tc>
        <w:tc>
          <w:tcPr>
            <w:tcW w:w="1365" w:type="dxa"/>
            <w:vAlign w:val="top"/>
          </w:tcPr>
          <w:p w14:paraId="4C731290">
            <w:pPr>
              <w:rPr>
                <w:rFonts w:ascii="宋体"/>
                <w:color w:val="auto"/>
                <w:sz w:val="21"/>
              </w:rPr>
            </w:pPr>
          </w:p>
        </w:tc>
      </w:tr>
      <w:tr w14:paraId="7800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66" w:type="dxa"/>
            <w:vAlign w:val="top"/>
          </w:tcPr>
          <w:p w14:paraId="0457F1BC">
            <w:pPr>
              <w:rPr>
                <w:rFonts w:ascii="宋体"/>
                <w:color w:val="auto"/>
                <w:sz w:val="21"/>
              </w:rPr>
            </w:pPr>
          </w:p>
        </w:tc>
        <w:tc>
          <w:tcPr>
            <w:tcW w:w="1853" w:type="dxa"/>
            <w:vAlign w:val="top"/>
          </w:tcPr>
          <w:p w14:paraId="145C1856">
            <w:pPr>
              <w:rPr>
                <w:rFonts w:ascii="宋体"/>
                <w:color w:val="auto"/>
                <w:sz w:val="21"/>
              </w:rPr>
            </w:pPr>
          </w:p>
        </w:tc>
        <w:tc>
          <w:tcPr>
            <w:tcW w:w="2010" w:type="dxa"/>
            <w:vAlign w:val="top"/>
          </w:tcPr>
          <w:p w14:paraId="0AA6D820">
            <w:pPr>
              <w:rPr>
                <w:rFonts w:ascii="宋体"/>
                <w:color w:val="auto"/>
                <w:sz w:val="21"/>
              </w:rPr>
            </w:pPr>
          </w:p>
        </w:tc>
        <w:tc>
          <w:tcPr>
            <w:tcW w:w="2250" w:type="dxa"/>
            <w:vAlign w:val="top"/>
          </w:tcPr>
          <w:p w14:paraId="138DE932">
            <w:pPr>
              <w:rPr>
                <w:rFonts w:ascii="宋体"/>
                <w:color w:val="auto"/>
                <w:sz w:val="21"/>
              </w:rPr>
            </w:pPr>
          </w:p>
        </w:tc>
        <w:tc>
          <w:tcPr>
            <w:tcW w:w="1365" w:type="dxa"/>
            <w:vAlign w:val="top"/>
          </w:tcPr>
          <w:p w14:paraId="37E6D316">
            <w:pPr>
              <w:rPr>
                <w:rFonts w:ascii="宋体"/>
                <w:color w:val="auto"/>
                <w:sz w:val="21"/>
              </w:rPr>
            </w:pPr>
          </w:p>
        </w:tc>
      </w:tr>
      <w:tr w14:paraId="4BF3B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6" w:type="dxa"/>
            <w:vAlign w:val="top"/>
          </w:tcPr>
          <w:p w14:paraId="33775D64">
            <w:pPr>
              <w:rPr>
                <w:rFonts w:ascii="宋体"/>
                <w:color w:val="auto"/>
                <w:sz w:val="21"/>
              </w:rPr>
            </w:pPr>
          </w:p>
        </w:tc>
        <w:tc>
          <w:tcPr>
            <w:tcW w:w="1853" w:type="dxa"/>
            <w:vAlign w:val="top"/>
          </w:tcPr>
          <w:p w14:paraId="3F47BCE1">
            <w:pPr>
              <w:rPr>
                <w:rFonts w:ascii="宋体"/>
                <w:color w:val="auto"/>
                <w:sz w:val="21"/>
              </w:rPr>
            </w:pPr>
          </w:p>
        </w:tc>
        <w:tc>
          <w:tcPr>
            <w:tcW w:w="2010" w:type="dxa"/>
            <w:vAlign w:val="top"/>
          </w:tcPr>
          <w:p w14:paraId="60B2E16E">
            <w:pPr>
              <w:rPr>
                <w:rFonts w:ascii="宋体"/>
                <w:color w:val="auto"/>
                <w:sz w:val="21"/>
              </w:rPr>
            </w:pPr>
          </w:p>
        </w:tc>
        <w:tc>
          <w:tcPr>
            <w:tcW w:w="2250" w:type="dxa"/>
            <w:vAlign w:val="top"/>
          </w:tcPr>
          <w:p w14:paraId="1BDB5294">
            <w:pPr>
              <w:rPr>
                <w:rFonts w:ascii="宋体"/>
                <w:color w:val="auto"/>
                <w:sz w:val="21"/>
              </w:rPr>
            </w:pPr>
          </w:p>
        </w:tc>
        <w:tc>
          <w:tcPr>
            <w:tcW w:w="1365" w:type="dxa"/>
            <w:vAlign w:val="top"/>
          </w:tcPr>
          <w:p w14:paraId="0089FC5A">
            <w:pPr>
              <w:rPr>
                <w:rFonts w:ascii="宋体"/>
                <w:color w:val="auto"/>
                <w:sz w:val="21"/>
              </w:rPr>
            </w:pPr>
          </w:p>
        </w:tc>
      </w:tr>
      <w:tr w14:paraId="5615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6" w:type="dxa"/>
            <w:vAlign w:val="top"/>
          </w:tcPr>
          <w:p w14:paraId="324D0F8B">
            <w:pPr>
              <w:rPr>
                <w:rFonts w:ascii="宋体"/>
                <w:color w:val="auto"/>
                <w:sz w:val="21"/>
              </w:rPr>
            </w:pPr>
          </w:p>
        </w:tc>
        <w:tc>
          <w:tcPr>
            <w:tcW w:w="1853" w:type="dxa"/>
            <w:vAlign w:val="top"/>
          </w:tcPr>
          <w:p w14:paraId="573CE4F1">
            <w:pPr>
              <w:rPr>
                <w:rFonts w:ascii="宋体"/>
                <w:color w:val="auto"/>
                <w:sz w:val="21"/>
              </w:rPr>
            </w:pPr>
          </w:p>
        </w:tc>
        <w:tc>
          <w:tcPr>
            <w:tcW w:w="2010" w:type="dxa"/>
            <w:vAlign w:val="top"/>
          </w:tcPr>
          <w:p w14:paraId="2FE3D31A">
            <w:pPr>
              <w:rPr>
                <w:rFonts w:ascii="宋体"/>
                <w:color w:val="auto"/>
                <w:sz w:val="21"/>
              </w:rPr>
            </w:pPr>
          </w:p>
        </w:tc>
        <w:tc>
          <w:tcPr>
            <w:tcW w:w="2250" w:type="dxa"/>
            <w:vAlign w:val="top"/>
          </w:tcPr>
          <w:p w14:paraId="1EA64761">
            <w:pPr>
              <w:rPr>
                <w:rFonts w:ascii="宋体"/>
                <w:color w:val="auto"/>
                <w:sz w:val="21"/>
              </w:rPr>
            </w:pPr>
          </w:p>
        </w:tc>
        <w:tc>
          <w:tcPr>
            <w:tcW w:w="1365" w:type="dxa"/>
            <w:vAlign w:val="top"/>
          </w:tcPr>
          <w:p w14:paraId="7000FA36">
            <w:pPr>
              <w:rPr>
                <w:rFonts w:ascii="宋体"/>
                <w:color w:val="auto"/>
                <w:sz w:val="21"/>
              </w:rPr>
            </w:pPr>
          </w:p>
        </w:tc>
      </w:tr>
      <w:tr w14:paraId="5C8C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66" w:type="dxa"/>
            <w:vAlign w:val="top"/>
          </w:tcPr>
          <w:p w14:paraId="3DF92401">
            <w:pPr>
              <w:rPr>
                <w:rFonts w:ascii="宋体"/>
                <w:color w:val="auto"/>
                <w:sz w:val="21"/>
              </w:rPr>
            </w:pPr>
          </w:p>
        </w:tc>
        <w:tc>
          <w:tcPr>
            <w:tcW w:w="1853" w:type="dxa"/>
            <w:vAlign w:val="top"/>
          </w:tcPr>
          <w:p w14:paraId="67E68DF3">
            <w:pPr>
              <w:rPr>
                <w:rFonts w:ascii="宋体"/>
                <w:color w:val="auto"/>
                <w:sz w:val="21"/>
              </w:rPr>
            </w:pPr>
          </w:p>
        </w:tc>
        <w:tc>
          <w:tcPr>
            <w:tcW w:w="2010" w:type="dxa"/>
            <w:vAlign w:val="top"/>
          </w:tcPr>
          <w:p w14:paraId="6ABFB788">
            <w:pPr>
              <w:rPr>
                <w:rFonts w:ascii="宋体"/>
                <w:color w:val="auto"/>
                <w:sz w:val="21"/>
              </w:rPr>
            </w:pPr>
          </w:p>
        </w:tc>
        <w:tc>
          <w:tcPr>
            <w:tcW w:w="2250" w:type="dxa"/>
            <w:vAlign w:val="top"/>
          </w:tcPr>
          <w:p w14:paraId="66508F87">
            <w:pPr>
              <w:rPr>
                <w:rFonts w:ascii="宋体"/>
                <w:color w:val="auto"/>
                <w:sz w:val="21"/>
              </w:rPr>
            </w:pPr>
          </w:p>
        </w:tc>
        <w:tc>
          <w:tcPr>
            <w:tcW w:w="1365" w:type="dxa"/>
            <w:vAlign w:val="top"/>
          </w:tcPr>
          <w:p w14:paraId="42BB26A8">
            <w:pPr>
              <w:rPr>
                <w:rFonts w:ascii="宋体"/>
                <w:color w:val="auto"/>
                <w:sz w:val="21"/>
              </w:rPr>
            </w:pPr>
          </w:p>
        </w:tc>
      </w:tr>
      <w:tr w14:paraId="3AFFC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top"/>
          </w:tcPr>
          <w:p w14:paraId="697D0C1B">
            <w:pPr>
              <w:rPr>
                <w:rFonts w:ascii="宋体"/>
                <w:color w:val="auto"/>
                <w:sz w:val="21"/>
              </w:rPr>
            </w:pPr>
          </w:p>
        </w:tc>
        <w:tc>
          <w:tcPr>
            <w:tcW w:w="1853" w:type="dxa"/>
            <w:vAlign w:val="top"/>
          </w:tcPr>
          <w:p w14:paraId="6BDC4883">
            <w:pPr>
              <w:rPr>
                <w:rFonts w:ascii="宋体"/>
                <w:color w:val="auto"/>
                <w:sz w:val="21"/>
              </w:rPr>
            </w:pPr>
          </w:p>
        </w:tc>
        <w:tc>
          <w:tcPr>
            <w:tcW w:w="2010" w:type="dxa"/>
            <w:vAlign w:val="top"/>
          </w:tcPr>
          <w:p w14:paraId="6942A668">
            <w:pPr>
              <w:rPr>
                <w:rFonts w:ascii="宋体"/>
                <w:color w:val="auto"/>
                <w:sz w:val="21"/>
              </w:rPr>
            </w:pPr>
          </w:p>
        </w:tc>
        <w:tc>
          <w:tcPr>
            <w:tcW w:w="2250" w:type="dxa"/>
            <w:vAlign w:val="top"/>
          </w:tcPr>
          <w:p w14:paraId="6EDBFD97">
            <w:pPr>
              <w:rPr>
                <w:rFonts w:ascii="宋体"/>
                <w:color w:val="auto"/>
                <w:sz w:val="21"/>
              </w:rPr>
            </w:pPr>
          </w:p>
        </w:tc>
        <w:tc>
          <w:tcPr>
            <w:tcW w:w="1365" w:type="dxa"/>
            <w:vAlign w:val="top"/>
          </w:tcPr>
          <w:p w14:paraId="6FBF45CA">
            <w:pPr>
              <w:rPr>
                <w:rFonts w:ascii="宋体"/>
                <w:color w:val="auto"/>
                <w:sz w:val="21"/>
              </w:rPr>
            </w:pPr>
          </w:p>
        </w:tc>
      </w:tr>
    </w:tbl>
    <w:p w14:paraId="6F3B376F">
      <w:pPr>
        <w:pStyle w:val="16"/>
        <w:topLinePunct w:val="0"/>
        <w:bidi w:val="0"/>
        <w:spacing w:line="360" w:lineRule="auto"/>
        <w:jc w:val="left"/>
        <w:rPr>
          <w:rFonts w:hint="default" w:hAnsi="宋体" w:eastAsia="宋体" w:cs="宋体"/>
          <w:b/>
          <w:bCs/>
          <w:sz w:val="24"/>
          <w:szCs w:val="24"/>
          <w:highlight w:val="none"/>
          <w:lang w:val="en-US" w:eastAsia="zh-CN"/>
        </w:rPr>
      </w:pPr>
      <w:r>
        <w:rPr>
          <w:rFonts w:hint="eastAsia" w:hAnsi="宋体" w:cs="宋体"/>
          <w:b/>
          <w:color w:val="auto"/>
          <w:sz w:val="24"/>
          <w:szCs w:val="24"/>
          <w:highlight w:val="none"/>
        </w:rPr>
        <w:t>填写说明：</w:t>
      </w:r>
      <w:bookmarkStart w:id="127" w:name="_Toc13065137"/>
      <w:bookmarkStart w:id="128" w:name="_Toc15679"/>
      <w:bookmarkStart w:id="129" w:name="_Toc11309"/>
      <w:bookmarkStart w:id="130" w:name="_Toc28174"/>
      <w:r>
        <w:rPr>
          <w:rFonts w:hint="eastAsia" w:hAnsi="宋体" w:cs="宋体"/>
          <w:b/>
          <w:bCs/>
          <w:sz w:val="24"/>
          <w:szCs w:val="24"/>
          <w:highlight w:val="none"/>
        </w:rPr>
        <w:t>1.</w:t>
      </w:r>
      <w:r>
        <w:rPr>
          <w:rFonts w:hint="eastAsia" w:hAnsi="宋体" w:cs="宋体"/>
          <w:b/>
          <w:sz w:val="24"/>
          <w:szCs w:val="24"/>
          <w:highlight w:val="none"/>
        </w:rPr>
        <w:t>请</w:t>
      </w:r>
      <w:r>
        <w:rPr>
          <w:rFonts w:hint="eastAsia" w:hAnsi="宋体" w:cs="宋体"/>
          <w:b/>
          <w:sz w:val="24"/>
          <w:szCs w:val="24"/>
          <w:highlight w:val="none"/>
          <w:lang w:val="en-US" w:eastAsia="zh-CN"/>
        </w:rPr>
        <w:t>供应商根据磋商</w:t>
      </w:r>
      <w:r>
        <w:rPr>
          <w:rFonts w:hint="eastAsia" w:hAnsi="宋体" w:cs="宋体"/>
          <w:b/>
          <w:sz w:val="24"/>
          <w:szCs w:val="24"/>
          <w:highlight w:val="none"/>
          <w:lang w:eastAsia="zh-CN"/>
        </w:rPr>
        <w:t>文件</w:t>
      </w:r>
      <w:r>
        <w:rPr>
          <w:rFonts w:hint="eastAsia" w:hAnsi="宋体" w:cs="宋体"/>
          <w:b/>
          <w:sz w:val="24"/>
          <w:szCs w:val="24"/>
          <w:highlight w:val="none"/>
        </w:rPr>
        <w:t>第</w:t>
      </w:r>
      <w:r>
        <w:rPr>
          <w:rFonts w:hint="eastAsia" w:hAnsi="宋体" w:cs="宋体"/>
          <w:b/>
          <w:sz w:val="24"/>
          <w:szCs w:val="24"/>
          <w:highlight w:val="none"/>
          <w:lang w:val="en-US" w:eastAsia="zh-CN"/>
        </w:rPr>
        <w:t>三</w:t>
      </w:r>
      <w:r>
        <w:rPr>
          <w:rFonts w:hint="eastAsia" w:hAnsi="宋体" w:cs="宋体"/>
          <w:b/>
          <w:sz w:val="24"/>
          <w:szCs w:val="24"/>
          <w:highlight w:val="none"/>
        </w:rPr>
        <w:t>部分“</w:t>
      </w:r>
      <w:r>
        <w:rPr>
          <w:rFonts w:hint="eastAsia" w:hAnsi="宋体" w:cs="宋体"/>
          <w:b/>
          <w:sz w:val="24"/>
          <w:szCs w:val="24"/>
          <w:highlight w:val="none"/>
          <w:lang w:val="en-US" w:eastAsia="zh-CN"/>
        </w:rPr>
        <w:t>采购</w:t>
      </w:r>
      <w:r>
        <w:rPr>
          <w:rFonts w:hint="eastAsia" w:hAnsi="宋体" w:cs="宋体"/>
          <w:b/>
          <w:sz w:val="24"/>
          <w:szCs w:val="24"/>
          <w:highlight w:val="none"/>
          <w:lang w:eastAsia="zh-CN"/>
        </w:rPr>
        <w:t>内容及</w:t>
      </w:r>
      <w:r>
        <w:rPr>
          <w:rFonts w:hint="eastAsia" w:hAnsi="宋体" w:cs="宋体"/>
          <w:b/>
          <w:sz w:val="24"/>
          <w:szCs w:val="24"/>
          <w:highlight w:val="none"/>
          <w:lang w:val="en-US" w:eastAsia="zh-CN"/>
        </w:rPr>
        <w:t>要求</w:t>
      </w:r>
      <w:r>
        <w:rPr>
          <w:rFonts w:hint="eastAsia" w:hAnsi="宋体" w:cs="宋体"/>
          <w:b/>
          <w:sz w:val="24"/>
          <w:szCs w:val="24"/>
          <w:highlight w:val="none"/>
        </w:rPr>
        <w:t>”</w:t>
      </w:r>
      <w:r>
        <w:rPr>
          <w:rFonts w:hint="eastAsia" w:hAnsi="宋体" w:cs="宋体"/>
          <w:b/>
          <w:sz w:val="24"/>
          <w:szCs w:val="24"/>
          <w:highlight w:val="none"/>
          <w:lang w:val="en-US" w:eastAsia="zh-CN"/>
        </w:rPr>
        <w:t>进行</w:t>
      </w:r>
      <w:r>
        <w:rPr>
          <w:rFonts w:hint="eastAsia" w:hAnsi="宋体" w:cs="宋体"/>
          <w:b/>
          <w:bCs/>
          <w:sz w:val="24"/>
          <w:szCs w:val="24"/>
          <w:highlight w:val="none"/>
          <w:lang w:val="en-US" w:eastAsia="zh-CN"/>
        </w:rPr>
        <w:t>响应</w:t>
      </w:r>
      <w:r>
        <w:rPr>
          <w:rFonts w:hint="eastAsia" w:hAnsi="宋体" w:cs="宋体"/>
          <w:b/>
          <w:bCs/>
          <w:sz w:val="24"/>
          <w:szCs w:val="24"/>
          <w:highlight w:val="none"/>
        </w:rPr>
        <w:t>，磋商响应文件中服务响应与磋商文件要求完全一致的，不用在此表中列出，但须提供空白表。</w:t>
      </w:r>
    </w:p>
    <w:p w14:paraId="37EC03E7">
      <w:pPr>
        <w:pStyle w:val="22"/>
        <w:spacing w:line="360" w:lineRule="auto"/>
        <w:rPr>
          <w:rFonts w:ascii="宋体" w:hAnsi="宋体" w:cs="宋体"/>
          <w:b/>
          <w:bCs/>
          <w:sz w:val="24"/>
          <w:szCs w:val="24"/>
          <w:highlight w:val="none"/>
        </w:rPr>
      </w:pPr>
      <w:r>
        <w:rPr>
          <w:rFonts w:hint="eastAsia" w:ascii="宋体" w:hAnsi="宋体" w:cs="宋体"/>
          <w:b/>
          <w:bCs/>
          <w:sz w:val="24"/>
          <w:szCs w:val="24"/>
          <w:highlight w:val="none"/>
        </w:rPr>
        <w:t>2.偏离填写：正偏离。</w:t>
      </w:r>
    </w:p>
    <w:p w14:paraId="71B1AC3C">
      <w:pPr>
        <w:numPr>
          <w:ilvl w:val="0"/>
          <w:numId w:val="0"/>
        </w:numPr>
        <w:spacing w:line="480" w:lineRule="auto"/>
        <w:ind w:right="-161" w:rightChars="0"/>
        <w:outlineLvl w:val="9"/>
        <w:rPr>
          <w:rFonts w:hint="eastAsia" w:ascii="宋体" w:hAnsi="宋体" w:cs="Times New Roman"/>
          <w:b/>
          <w:bCs/>
          <w:color w:val="auto"/>
          <w:sz w:val="24"/>
          <w:szCs w:val="24"/>
          <w:highlight w:val="none"/>
          <w:lang w:val="en-US" w:eastAsia="zh-CN"/>
        </w:rPr>
      </w:pPr>
      <w:r>
        <w:rPr>
          <w:rFonts w:hint="eastAsia" w:ascii="宋体" w:hAnsi="宋体" w:cs="宋体"/>
          <w:b/>
          <w:bCs/>
          <w:sz w:val="24"/>
          <w:szCs w:val="24"/>
          <w:highlight w:val="none"/>
        </w:rPr>
        <w:t>3.供应商的服务偏</w:t>
      </w:r>
      <w:r>
        <w:rPr>
          <w:rFonts w:hint="eastAsia" w:ascii="宋体" w:hAnsi="宋体" w:cs="宋体"/>
          <w:b/>
          <w:bCs/>
          <w:sz w:val="24"/>
          <w:szCs w:val="24"/>
          <w:highlight w:val="none"/>
          <w:lang w:val="en-US" w:eastAsia="zh-CN"/>
        </w:rPr>
        <w:t>离</w:t>
      </w:r>
      <w:r>
        <w:rPr>
          <w:rFonts w:hint="eastAsia" w:ascii="宋体" w:hAnsi="宋体" w:cs="宋体"/>
          <w:b/>
          <w:bCs/>
          <w:sz w:val="24"/>
          <w:szCs w:val="24"/>
          <w:highlight w:val="none"/>
        </w:rPr>
        <w:t>必须如实填写，并应对偏</w:t>
      </w:r>
      <w:r>
        <w:rPr>
          <w:rFonts w:hint="eastAsia" w:ascii="宋体" w:hAnsi="宋体" w:cs="宋体"/>
          <w:b/>
          <w:bCs/>
          <w:sz w:val="24"/>
          <w:szCs w:val="24"/>
          <w:highlight w:val="none"/>
          <w:lang w:val="en-US" w:eastAsia="zh-CN"/>
        </w:rPr>
        <w:t>离</w:t>
      </w:r>
      <w:r>
        <w:rPr>
          <w:rFonts w:hint="eastAsia" w:ascii="宋体" w:hAnsi="宋体" w:cs="宋体"/>
          <w:b/>
          <w:bCs/>
          <w:sz w:val="24"/>
          <w:szCs w:val="24"/>
          <w:highlight w:val="none"/>
        </w:rPr>
        <w:t>情况做出必要说明。供应商应对故意隐瞒服务偏</w:t>
      </w:r>
      <w:r>
        <w:rPr>
          <w:rFonts w:hint="eastAsia" w:ascii="宋体" w:hAnsi="宋体" w:cs="宋体"/>
          <w:b/>
          <w:bCs/>
          <w:sz w:val="24"/>
          <w:szCs w:val="24"/>
          <w:highlight w:val="none"/>
          <w:lang w:val="en-US" w:eastAsia="zh-CN"/>
        </w:rPr>
        <w:t>离</w:t>
      </w:r>
      <w:r>
        <w:rPr>
          <w:rFonts w:hint="eastAsia" w:ascii="宋体" w:hAnsi="宋体" w:cs="宋体"/>
          <w:b/>
          <w:bCs/>
          <w:sz w:val="24"/>
          <w:szCs w:val="24"/>
          <w:highlight w:val="none"/>
        </w:rPr>
        <w:t>的行为承担责任。</w:t>
      </w:r>
    </w:p>
    <w:p w14:paraId="4653E2B0">
      <w:pPr>
        <w:spacing w:line="480" w:lineRule="auto"/>
        <w:ind w:right="-161"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1976130C">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2C52176D">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688D7A7">
      <w:pPr>
        <w:pStyle w:val="49"/>
        <w:rPr>
          <w:rFonts w:hint="eastAsia" w:ascii="宋体" w:hAnsi="宋体" w:cs="仿宋"/>
          <w:color w:val="auto"/>
          <w:sz w:val="24"/>
          <w:highlight w:val="none"/>
        </w:rPr>
      </w:pPr>
    </w:p>
    <w:p w14:paraId="42EFC817">
      <w:pPr>
        <w:pStyle w:val="49"/>
        <w:rPr>
          <w:rFonts w:hint="eastAsia" w:ascii="宋体" w:hAnsi="宋体" w:cs="仿宋"/>
          <w:color w:val="auto"/>
          <w:sz w:val="24"/>
          <w:highlight w:val="none"/>
        </w:rPr>
      </w:pPr>
    </w:p>
    <w:p w14:paraId="59FC56A0">
      <w:pPr>
        <w:pStyle w:val="3"/>
        <w:numPr>
          <w:ilvl w:val="0"/>
          <w:numId w:val="0"/>
        </w:numPr>
        <w:topLinePunct w:val="0"/>
        <w:bidi w:val="0"/>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附件3：</w:t>
      </w:r>
    </w:p>
    <w:p w14:paraId="3DF5DD03">
      <w:pPr>
        <w:pStyle w:val="3"/>
        <w:numPr>
          <w:ilvl w:val="0"/>
          <w:numId w:val="0"/>
        </w:numPr>
        <w:topLinePunct w:val="0"/>
        <w:bidi w:val="0"/>
        <w:spacing w:line="360" w:lineRule="auto"/>
        <w:jc w:val="center"/>
        <w:rPr>
          <w:rFonts w:ascii="宋体" w:hAnsi="宋体" w:cs="宋体"/>
          <w:color w:val="auto"/>
        </w:rPr>
      </w:pPr>
      <w:r>
        <w:rPr>
          <w:rFonts w:hint="eastAsia" w:ascii="宋体" w:hAnsi="宋体" w:cs="宋体"/>
          <w:color w:val="auto"/>
          <w:lang w:val="en-US" w:eastAsia="zh-CN"/>
        </w:rPr>
        <w:t>商务</w:t>
      </w:r>
      <w:r>
        <w:rPr>
          <w:rFonts w:hint="eastAsia" w:ascii="宋体" w:hAnsi="宋体" w:cs="宋体"/>
          <w:color w:val="auto"/>
        </w:rPr>
        <w:t>响应偏差表</w:t>
      </w:r>
    </w:p>
    <w:p w14:paraId="39997B38">
      <w:pPr>
        <w:widowControl/>
        <w:wordWrap w:val="0"/>
        <w:topLinePunct w:val="0"/>
        <w:bidi w:val="0"/>
        <w:spacing w:line="360" w:lineRule="auto"/>
        <w:jc w:val="left"/>
        <w:rPr>
          <w:rFonts w:ascii="宋体" w:hAnsi="宋体" w:cs="宋体"/>
          <w:color w:val="auto"/>
          <w:sz w:val="24"/>
          <w:u w:val="single"/>
        </w:rPr>
      </w:pPr>
      <w:r>
        <w:rPr>
          <w:rFonts w:hint="eastAsia" w:ascii="宋体" w:hAnsi="宋体" w:cs="宋体"/>
          <w:color w:val="auto"/>
          <w:sz w:val="24"/>
          <w:lang w:val="en-US" w:eastAsia="zh-CN"/>
        </w:rPr>
        <w:t>项目名称</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378DD050">
      <w:pPr>
        <w:pStyle w:val="9"/>
        <w:topLinePunct w:val="0"/>
        <w:bidi w:val="0"/>
        <w:spacing w:line="360" w:lineRule="auto"/>
        <w:ind w:firstLine="0"/>
        <w:rPr>
          <w:color w:val="auto"/>
        </w:rPr>
      </w:pPr>
      <w:r>
        <w:rPr>
          <w:rFonts w:hint="eastAsia" w:ascii="宋体" w:hAnsi="宋体" w:cs="宋体"/>
          <w:color w:val="auto"/>
          <w:sz w:val="24"/>
          <w:lang w:val="en-US" w:eastAsia="zh-CN"/>
        </w:rPr>
        <w:t>项目编号</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p>
    <w:tbl>
      <w:tblPr>
        <w:tblStyle w:val="32"/>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399"/>
        <w:gridCol w:w="3963"/>
      </w:tblGrid>
      <w:tr w14:paraId="5DBB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57" w:type="dxa"/>
            <w:vAlign w:val="center"/>
          </w:tcPr>
          <w:p w14:paraId="2FBEB84E">
            <w:pPr>
              <w:pStyle w:val="16"/>
              <w:topLinePunct w:val="0"/>
              <w:bidi w:val="0"/>
              <w:spacing w:line="360" w:lineRule="auto"/>
              <w:jc w:val="center"/>
              <w:rPr>
                <w:rFonts w:hAnsi="宋体" w:cs="宋体"/>
                <w:color w:val="auto"/>
                <w:sz w:val="24"/>
                <w:szCs w:val="24"/>
              </w:rPr>
            </w:pPr>
            <w:r>
              <w:rPr>
                <w:rFonts w:hint="eastAsia" w:hAnsi="宋体" w:cs="宋体"/>
                <w:color w:val="auto"/>
                <w:sz w:val="24"/>
                <w:szCs w:val="24"/>
              </w:rPr>
              <w:t>序号</w:t>
            </w:r>
          </w:p>
        </w:tc>
        <w:tc>
          <w:tcPr>
            <w:tcW w:w="3399" w:type="dxa"/>
            <w:vAlign w:val="center"/>
          </w:tcPr>
          <w:p w14:paraId="3F2E25A8">
            <w:pPr>
              <w:pStyle w:val="16"/>
              <w:topLinePunct w:val="0"/>
              <w:bidi w:val="0"/>
              <w:spacing w:line="360" w:lineRule="auto"/>
              <w:jc w:val="center"/>
              <w:rPr>
                <w:rFonts w:hAnsi="宋体" w:cs="宋体"/>
                <w:color w:val="auto"/>
                <w:sz w:val="24"/>
                <w:szCs w:val="24"/>
              </w:rPr>
            </w:pPr>
            <w:r>
              <w:rPr>
                <w:rFonts w:hint="eastAsia" w:hAnsi="宋体" w:cs="宋体"/>
                <w:color w:val="auto"/>
                <w:sz w:val="24"/>
                <w:szCs w:val="24"/>
                <w:lang w:val="en-US" w:eastAsia="zh-CN"/>
              </w:rPr>
              <w:t>磋商文件</w:t>
            </w:r>
            <w:r>
              <w:rPr>
                <w:rFonts w:hint="eastAsia" w:hAnsi="宋体" w:cs="宋体"/>
                <w:color w:val="auto"/>
                <w:sz w:val="24"/>
                <w:szCs w:val="24"/>
              </w:rPr>
              <w:t>商务要求内容</w:t>
            </w:r>
          </w:p>
        </w:tc>
        <w:tc>
          <w:tcPr>
            <w:tcW w:w="3963" w:type="dxa"/>
            <w:vAlign w:val="center"/>
          </w:tcPr>
          <w:p w14:paraId="6B46DFF6">
            <w:pPr>
              <w:pStyle w:val="16"/>
              <w:topLinePunct w:val="0"/>
              <w:bidi w:val="0"/>
              <w:spacing w:line="360" w:lineRule="auto"/>
              <w:jc w:val="center"/>
              <w:rPr>
                <w:rFonts w:hAnsi="宋体" w:cs="宋体"/>
                <w:color w:val="auto"/>
                <w:sz w:val="24"/>
                <w:szCs w:val="24"/>
              </w:rPr>
            </w:pPr>
            <w:r>
              <w:rPr>
                <w:rFonts w:hint="eastAsia" w:hAnsi="宋体" w:cs="宋体"/>
                <w:color w:val="auto"/>
                <w:sz w:val="24"/>
                <w:szCs w:val="24"/>
                <w:lang w:val="en-US" w:eastAsia="zh-CN"/>
              </w:rPr>
              <w:t>响应</w:t>
            </w:r>
            <w:r>
              <w:rPr>
                <w:rFonts w:hint="eastAsia" w:hAnsi="宋体" w:cs="宋体"/>
                <w:color w:val="auto"/>
                <w:sz w:val="24"/>
                <w:szCs w:val="24"/>
              </w:rPr>
              <w:t>文件商务响应内容</w:t>
            </w:r>
          </w:p>
        </w:tc>
      </w:tr>
      <w:tr w14:paraId="6CB4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7" w:type="dxa"/>
          </w:tcPr>
          <w:p w14:paraId="01DB6629">
            <w:pPr>
              <w:pStyle w:val="16"/>
              <w:topLinePunct w:val="0"/>
              <w:bidi w:val="0"/>
              <w:spacing w:line="360" w:lineRule="auto"/>
              <w:ind w:firstLine="480" w:firstLineChars="200"/>
              <w:jc w:val="left"/>
              <w:rPr>
                <w:rFonts w:hAnsi="宋体" w:cs="宋体"/>
                <w:color w:val="auto"/>
                <w:sz w:val="24"/>
                <w:szCs w:val="24"/>
              </w:rPr>
            </w:pPr>
          </w:p>
        </w:tc>
        <w:tc>
          <w:tcPr>
            <w:tcW w:w="3399" w:type="dxa"/>
            <w:vAlign w:val="center"/>
          </w:tcPr>
          <w:p w14:paraId="65691F6A">
            <w:pPr>
              <w:pStyle w:val="16"/>
              <w:topLinePunct w:val="0"/>
              <w:bidi w:val="0"/>
              <w:spacing w:line="360" w:lineRule="auto"/>
              <w:ind w:firstLine="480" w:firstLineChars="200"/>
              <w:jc w:val="left"/>
              <w:rPr>
                <w:rFonts w:hAnsi="宋体" w:cs="宋体"/>
                <w:color w:val="auto"/>
                <w:sz w:val="24"/>
                <w:szCs w:val="24"/>
              </w:rPr>
            </w:pPr>
          </w:p>
        </w:tc>
        <w:tc>
          <w:tcPr>
            <w:tcW w:w="3963" w:type="dxa"/>
            <w:vAlign w:val="center"/>
          </w:tcPr>
          <w:p w14:paraId="695336CF">
            <w:pPr>
              <w:pStyle w:val="16"/>
              <w:topLinePunct w:val="0"/>
              <w:bidi w:val="0"/>
              <w:spacing w:line="360" w:lineRule="auto"/>
              <w:ind w:firstLine="480" w:firstLineChars="200"/>
              <w:jc w:val="left"/>
              <w:rPr>
                <w:rFonts w:hAnsi="宋体" w:cs="宋体"/>
                <w:color w:val="auto"/>
                <w:sz w:val="24"/>
                <w:szCs w:val="24"/>
              </w:rPr>
            </w:pPr>
          </w:p>
        </w:tc>
      </w:tr>
      <w:tr w14:paraId="4AF0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57" w:type="dxa"/>
          </w:tcPr>
          <w:p w14:paraId="25CB797C">
            <w:pPr>
              <w:pStyle w:val="16"/>
              <w:topLinePunct w:val="0"/>
              <w:bidi w:val="0"/>
              <w:spacing w:line="360" w:lineRule="auto"/>
              <w:ind w:firstLine="480" w:firstLineChars="200"/>
              <w:jc w:val="left"/>
              <w:rPr>
                <w:rFonts w:hAnsi="宋体" w:cs="宋体"/>
                <w:color w:val="auto"/>
                <w:sz w:val="24"/>
                <w:szCs w:val="24"/>
              </w:rPr>
            </w:pPr>
          </w:p>
        </w:tc>
        <w:tc>
          <w:tcPr>
            <w:tcW w:w="3399" w:type="dxa"/>
          </w:tcPr>
          <w:p w14:paraId="56BEEC03">
            <w:pPr>
              <w:pStyle w:val="16"/>
              <w:topLinePunct w:val="0"/>
              <w:bidi w:val="0"/>
              <w:spacing w:line="360" w:lineRule="auto"/>
              <w:ind w:firstLine="480" w:firstLineChars="200"/>
              <w:jc w:val="left"/>
              <w:rPr>
                <w:rFonts w:hAnsi="宋体" w:cs="宋体"/>
                <w:color w:val="auto"/>
                <w:sz w:val="24"/>
                <w:szCs w:val="24"/>
              </w:rPr>
            </w:pPr>
          </w:p>
        </w:tc>
        <w:tc>
          <w:tcPr>
            <w:tcW w:w="3963" w:type="dxa"/>
          </w:tcPr>
          <w:p w14:paraId="316CCA9F">
            <w:pPr>
              <w:pStyle w:val="16"/>
              <w:topLinePunct w:val="0"/>
              <w:bidi w:val="0"/>
              <w:spacing w:line="360" w:lineRule="auto"/>
              <w:ind w:firstLine="480" w:firstLineChars="200"/>
              <w:jc w:val="left"/>
              <w:rPr>
                <w:rFonts w:hAnsi="宋体" w:cs="宋体"/>
                <w:color w:val="auto"/>
                <w:sz w:val="24"/>
                <w:szCs w:val="24"/>
              </w:rPr>
            </w:pPr>
          </w:p>
        </w:tc>
      </w:tr>
      <w:tr w14:paraId="4EE6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57" w:type="dxa"/>
          </w:tcPr>
          <w:p w14:paraId="4168DF77">
            <w:pPr>
              <w:pStyle w:val="16"/>
              <w:topLinePunct w:val="0"/>
              <w:bidi w:val="0"/>
              <w:spacing w:line="360" w:lineRule="auto"/>
              <w:ind w:firstLine="480" w:firstLineChars="200"/>
              <w:jc w:val="left"/>
              <w:rPr>
                <w:rFonts w:hAnsi="宋体" w:cs="宋体"/>
                <w:color w:val="auto"/>
                <w:sz w:val="24"/>
                <w:szCs w:val="24"/>
              </w:rPr>
            </w:pPr>
          </w:p>
        </w:tc>
        <w:tc>
          <w:tcPr>
            <w:tcW w:w="3399" w:type="dxa"/>
          </w:tcPr>
          <w:p w14:paraId="66EBC060">
            <w:pPr>
              <w:pStyle w:val="16"/>
              <w:topLinePunct w:val="0"/>
              <w:bidi w:val="0"/>
              <w:spacing w:line="360" w:lineRule="auto"/>
              <w:ind w:firstLine="480" w:firstLineChars="200"/>
              <w:jc w:val="left"/>
              <w:rPr>
                <w:rFonts w:hAnsi="宋体" w:cs="宋体"/>
                <w:color w:val="auto"/>
                <w:sz w:val="24"/>
                <w:szCs w:val="24"/>
              </w:rPr>
            </w:pPr>
          </w:p>
        </w:tc>
        <w:tc>
          <w:tcPr>
            <w:tcW w:w="3963" w:type="dxa"/>
          </w:tcPr>
          <w:p w14:paraId="243DFB63">
            <w:pPr>
              <w:pStyle w:val="16"/>
              <w:topLinePunct w:val="0"/>
              <w:bidi w:val="0"/>
              <w:spacing w:line="360" w:lineRule="auto"/>
              <w:ind w:firstLine="480" w:firstLineChars="200"/>
              <w:jc w:val="left"/>
              <w:rPr>
                <w:rFonts w:hAnsi="宋体" w:cs="宋体"/>
                <w:color w:val="auto"/>
                <w:sz w:val="24"/>
                <w:szCs w:val="24"/>
              </w:rPr>
            </w:pPr>
          </w:p>
        </w:tc>
      </w:tr>
      <w:tr w14:paraId="53D6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7" w:type="dxa"/>
          </w:tcPr>
          <w:p w14:paraId="4DCAE38D">
            <w:pPr>
              <w:pStyle w:val="16"/>
              <w:topLinePunct w:val="0"/>
              <w:bidi w:val="0"/>
              <w:spacing w:line="360" w:lineRule="auto"/>
              <w:ind w:firstLine="480" w:firstLineChars="200"/>
              <w:jc w:val="left"/>
              <w:rPr>
                <w:rFonts w:hAnsi="宋体" w:cs="宋体"/>
                <w:color w:val="auto"/>
                <w:sz w:val="24"/>
                <w:szCs w:val="24"/>
              </w:rPr>
            </w:pPr>
          </w:p>
        </w:tc>
        <w:tc>
          <w:tcPr>
            <w:tcW w:w="3399" w:type="dxa"/>
          </w:tcPr>
          <w:p w14:paraId="10A41CF8">
            <w:pPr>
              <w:pStyle w:val="16"/>
              <w:topLinePunct w:val="0"/>
              <w:bidi w:val="0"/>
              <w:spacing w:line="360" w:lineRule="auto"/>
              <w:ind w:firstLine="480" w:firstLineChars="200"/>
              <w:jc w:val="left"/>
              <w:rPr>
                <w:rFonts w:hAnsi="宋体" w:cs="宋体"/>
                <w:color w:val="auto"/>
                <w:sz w:val="24"/>
                <w:szCs w:val="24"/>
              </w:rPr>
            </w:pPr>
          </w:p>
        </w:tc>
        <w:tc>
          <w:tcPr>
            <w:tcW w:w="3963" w:type="dxa"/>
          </w:tcPr>
          <w:p w14:paraId="67708183">
            <w:pPr>
              <w:pStyle w:val="16"/>
              <w:topLinePunct w:val="0"/>
              <w:bidi w:val="0"/>
              <w:spacing w:line="360" w:lineRule="auto"/>
              <w:ind w:firstLine="480" w:firstLineChars="200"/>
              <w:jc w:val="left"/>
              <w:rPr>
                <w:rFonts w:hAnsi="宋体" w:cs="宋体"/>
                <w:color w:val="auto"/>
                <w:sz w:val="24"/>
                <w:szCs w:val="24"/>
              </w:rPr>
            </w:pPr>
          </w:p>
        </w:tc>
      </w:tr>
      <w:tr w14:paraId="3D2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7" w:type="dxa"/>
          </w:tcPr>
          <w:p w14:paraId="1520584E">
            <w:pPr>
              <w:pStyle w:val="16"/>
              <w:topLinePunct w:val="0"/>
              <w:bidi w:val="0"/>
              <w:spacing w:line="360" w:lineRule="auto"/>
              <w:ind w:firstLine="480" w:firstLineChars="200"/>
              <w:jc w:val="left"/>
              <w:rPr>
                <w:rFonts w:hAnsi="宋体" w:cs="宋体"/>
                <w:color w:val="auto"/>
                <w:sz w:val="24"/>
                <w:szCs w:val="24"/>
              </w:rPr>
            </w:pPr>
          </w:p>
        </w:tc>
        <w:tc>
          <w:tcPr>
            <w:tcW w:w="3399" w:type="dxa"/>
          </w:tcPr>
          <w:p w14:paraId="625D89AB">
            <w:pPr>
              <w:pStyle w:val="16"/>
              <w:topLinePunct w:val="0"/>
              <w:bidi w:val="0"/>
              <w:spacing w:line="360" w:lineRule="auto"/>
              <w:ind w:firstLine="480" w:firstLineChars="200"/>
              <w:jc w:val="left"/>
              <w:rPr>
                <w:rFonts w:hAnsi="宋体" w:cs="宋体"/>
                <w:color w:val="auto"/>
                <w:sz w:val="24"/>
                <w:szCs w:val="24"/>
              </w:rPr>
            </w:pPr>
          </w:p>
        </w:tc>
        <w:tc>
          <w:tcPr>
            <w:tcW w:w="3963" w:type="dxa"/>
          </w:tcPr>
          <w:p w14:paraId="5AA1C103">
            <w:pPr>
              <w:pStyle w:val="16"/>
              <w:topLinePunct w:val="0"/>
              <w:bidi w:val="0"/>
              <w:spacing w:line="360" w:lineRule="auto"/>
              <w:ind w:firstLine="480" w:firstLineChars="200"/>
              <w:jc w:val="left"/>
              <w:rPr>
                <w:rFonts w:hAnsi="宋体" w:cs="宋体"/>
                <w:color w:val="auto"/>
                <w:sz w:val="24"/>
                <w:szCs w:val="24"/>
              </w:rPr>
            </w:pPr>
          </w:p>
        </w:tc>
      </w:tr>
      <w:tr w14:paraId="5FD0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7" w:type="dxa"/>
          </w:tcPr>
          <w:p w14:paraId="1FA0ECB2">
            <w:pPr>
              <w:pStyle w:val="16"/>
              <w:topLinePunct w:val="0"/>
              <w:bidi w:val="0"/>
              <w:spacing w:line="360" w:lineRule="auto"/>
              <w:ind w:firstLine="480" w:firstLineChars="200"/>
              <w:jc w:val="left"/>
              <w:rPr>
                <w:rFonts w:hAnsi="宋体" w:cs="宋体"/>
                <w:color w:val="auto"/>
                <w:sz w:val="24"/>
                <w:szCs w:val="24"/>
              </w:rPr>
            </w:pPr>
          </w:p>
        </w:tc>
        <w:tc>
          <w:tcPr>
            <w:tcW w:w="3399" w:type="dxa"/>
          </w:tcPr>
          <w:p w14:paraId="4AE1F0C0">
            <w:pPr>
              <w:pStyle w:val="16"/>
              <w:topLinePunct w:val="0"/>
              <w:bidi w:val="0"/>
              <w:spacing w:line="360" w:lineRule="auto"/>
              <w:ind w:firstLine="480" w:firstLineChars="200"/>
              <w:jc w:val="left"/>
              <w:rPr>
                <w:rFonts w:hAnsi="宋体" w:cs="宋体"/>
                <w:color w:val="auto"/>
                <w:sz w:val="24"/>
                <w:szCs w:val="24"/>
              </w:rPr>
            </w:pPr>
          </w:p>
        </w:tc>
        <w:tc>
          <w:tcPr>
            <w:tcW w:w="3963" w:type="dxa"/>
          </w:tcPr>
          <w:p w14:paraId="6D98A394">
            <w:pPr>
              <w:pStyle w:val="16"/>
              <w:topLinePunct w:val="0"/>
              <w:bidi w:val="0"/>
              <w:spacing w:line="360" w:lineRule="auto"/>
              <w:ind w:firstLine="480" w:firstLineChars="200"/>
              <w:jc w:val="left"/>
              <w:rPr>
                <w:rFonts w:hAnsi="宋体" w:cs="宋体"/>
                <w:color w:val="auto"/>
                <w:sz w:val="24"/>
                <w:szCs w:val="24"/>
              </w:rPr>
            </w:pPr>
          </w:p>
        </w:tc>
      </w:tr>
      <w:tr w14:paraId="5430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7" w:type="dxa"/>
          </w:tcPr>
          <w:p w14:paraId="1F0161D0">
            <w:pPr>
              <w:pStyle w:val="16"/>
              <w:topLinePunct w:val="0"/>
              <w:bidi w:val="0"/>
              <w:spacing w:line="360" w:lineRule="auto"/>
              <w:ind w:firstLine="480" w:firstLineChars="200"/>
              <w:jc w:val="left"/>
              <w:rPr>
                <w:rFonts w:hAnsi="宋体" w:cs="宋体"/>
                <w:color w:val="auto"/>
                <w:sz w:val="24"/>
                <w:szCs w:val="24"/>
              </w:rPr>
            </w:pPr>
          </w:p>
        </w:tc>
        <w:tc>
          <w:tcPr>
            <w:tcW w:w="3399" w:type="dxa"/>
          </w:tcPr>
          <w:p w14:paraId="5898A225">
            <w:pPr>
              <w:pStyle w:val="16"/>
              <w:topLinePunct w:val="0"/>
              <w:bidi w:val="0"/>
              <w:spacing w:line="360" w:lineRule="auto"/>
              <w:ind w:firstLine="480" w:firstLineChars="200"/>
              <w:jc w:val="left"/>
              <w:rPr>
                <w:rFonts w:hAnsi="宋体" w:cs="宋体"/>
                <w:color w:val="auto"/>
                <w:sz w:val="24"/>
                <w:szCs w:val="24"/>
              </w:rPr>
            </w:pPr>
          </w:p>
        </w:tc>
        <w:tc>
          <w:tcPr>
            <w:tcW w:w="3963" w:type="dxa"/>
          </w:tcPr>
          <w:p w14:paraId="13AC1290">
            <w:pPr>
              <w:pStyle w:val="16"/>
              <w:topLinePunct w:val="0"/>
              <w:bidi w:val="0"/>
              <w:spacing w:line="360" w:lineRule="auto"/>
              <w:ind w:firstLine="480" w:firstLineChars="200"/>
              <w:jc w:val="left"/>
              <w:rPr>
                <w:rFonts w:hAnsi="宋体" w:cs="宋体"/>
                <w:color w:val="auto"/>
                <w:sz w:val="24"/>
                <w:szCs w:val="24"/>
              </w:rPr>
            </w:pPr>
          </w:p>
        </w:tc>
      </w:tr>
      <w:tr w14:paraId="2B40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57" w:type="dxa"/>
          </w:tcPr>
          <w:p w14:paraId="73236681">
            <w:pPr>
              <w:pStyle w:val="16"/>
              <w:topLinePunct w:val="0"/>
              <w:bidi w:val="0"/>
              <w:spacing w:line="360" w:lineRule="auto"/>
              <w:ind w:firstLine="480" w:firstLineChars="200"/>
              <w:jc w:val="left"/>
              <w:rPr>
                <w:rFonts w:hAnsi="宋体" w:cs="宋体"/>
                <w:color w:val="auto"/>
                <w:sz w:val="24"/>
                <w:szCs w:val="24"/>
              </w:rPr>
            </w:pPr>
          </w:p>
        </w:tc>
        <w:tc>
          <w:tcPr>
            <w:tcW w:w="3399" w:type="dxa"/>
          </w:tcPr>
          <w:p w14:paraId="694FFD33">
            <w:pPr>
              <w:pStyle w:val="16"/>
              <w:topLinePunct w:val="0"/>
              <w:bidi w:val="0"/>
              <w:spacing w:line="360" w:lineRule="auto"/>
              <w:ind w:firstLine="480" w:firstLineChars="200"/>
              <w:jc w:val="left"/>
              <w:rPr>
                <w:rFonts w:hAnsi="宋体" w:cs="宋体"/>
                <w:color w:val="auto"/>
                <w:sz w:val="24"/>
                <w:szCs w:val="24"/>
              </w:rPr>
            </w:pPr>
          </w:p>
        </w:tc>
        <w:tc>
          <w:tcPr>
            <w:tcW w:w="3963" w:type="dxa"/>
          </w:tcPr>
          <w:p w14:paraId="0D4CE2D5">
            <w:pPr>
              <w:pStyle w:val="16"/>
              <w:topLinePunct w:val="0"/>
              <w:bidi w:val="0"/>
              <w:spacing w:line="360" w:lineRule="auto"/>
              <w:ind w:firstLine="480" w:firstLineChars="200"/>
              <w:jc w:val="left"/>
              <w:rPr>
                <w:rFonts w:hAnsi="宋体" w:cs="宋体"/>
                <w:color w:val="auto"/>
                <w:sz w:val="24"/>
                <w:szCs w:val="24"/>
              </w:rPr>
            </w:pPr>
          </w:p>
        </w:tc>
      </w:tr>
    </w:tbl>
    <w:p w14:paraId="2BDDC645">
      <w:pPr>
        <w:pStyle w:val="9"/>
        <w:topLinePunct w:val="0"/>
        <w:bidi w:val="0"/>
        <w:spacing w:line="360" w:lineRule="auto"/>
        <w:ind w:firstLine="0"/>
        <w:rPr>
          <w:rFonts w:ascii="宋体" w:hAnsi="宋体"/>
          <w:b/>
          <w:bCs/>
          <w:color w:val="auto"/>
          <w:sz w:val="24"/>
          <w:szCs w:val="24"/>
          <w:highlight w:val="none"/>
        </w:rPr>
      </w:pPr>
      <w:r>
        <w:rPr>
          <w:rFonts w:hint="eastAsia" w:ascii="宋体" w:hAnsi="宋体"/>
          <w:b/>
          <w:bCs/>
          <w:color w:val="auto"/>
          <w:sz w:val="24"/>
          <w:szCs w:val="24"/>
        </w:rPr>
        <w:t xml:space="preserve"> 填写说明：供</w:t>
      </w:r>
      <w:r>
        <w:rPr>
          <w:rFonts w:hint="eastAsia" w:ascii="宋体" w:hAnsi="宋体"/>
          <w:b/>
          <w:bCs/>
          <w:color w:val="auto"/>
          <w:sz w:val="24"/>
          <w:szCs w:val="24"/>
          <w:highlight w:val="none"/>
        </w:rPr>
        <w:t>应商根据</w:t>
      </w:r>
      <w:r>
        <w:rPr>
          <w:rFonts w:hint="eastAsia" w:ascii="宋体" w:hAnsi="宋体"/>
          <w:b/>
          <w:bCs/>
          <w:color w:val="auto"/>
          <w:sz w:val="24"/>
          <w:szCs w:val="24"/>
          <w:highlight w:val="none"/>
          <w:lang w:val="en-US" w:eastAsia="zh-CN"/>
        </w:rPr>
        <w:t>磋商文件</w:t>
      </w:r>
      <w:r>
        <w:rPr>
          <w:rFonts w:hint="eastAsia" w:ascii="宋体" w:hAnsi="宋体"/>
          <w:b/>
          <w:bCs/>
          <w:color w:val="auto"/>
          <w:sz w:val="24"/>
          <w:szCs w:val="24"/>
          <w:highlight w:val="none"/>
        </w:rPr>
        <w:t>对本项目</w:t>
      </w:r>
      <w:r>
        <w:rPr>
          <w:rFonts w:hint="eastAsia" w:ascii="宋体" w:hAnsi="宋体"/>
          <w:b/>
          <w:bCs/>
          <w:color w:val="auto"/>
          <w:sz w:val="24"/>
          <w:szCs w:val="24"/>
          <w:highlight w:val="none"/>
          <w:lang w:val="en-US" w:eastAsia="zh-CN"/>
        </w:rPr>
        <w:t>服务期限</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服务地点、付款方式、</w:t>
      </w:r>
      <w:r>
        <w:rPr>
          <w:rFonts w:hint="eastAsia" w:ascii="宋体" w:hAnsi="宋体"/>
          <w:b/>
          <w:bCs/>
          <w:color w:val="auto"/>
          <w:sz w:val="24"/>
          <w:szCs w:val="24"/>
          <w:highlight w:val="none"/>
          <w:lang w:val="en-US" w:eastAsia="zh-CN"/>
        </w:rPr>
        <w:t>质量标准、磋商有效期</w:t>
      </w:r>
      <w:r>
        <w:rPr>
          <w:rFonts w:hint="eastAsia" w:ascii="宋体" w:hAnsi="宋体"/>
          <w:b/>
          <w:bCs/>
          <w:color w:val="auto"/>
          <w:sz w:val="24"/>
          <w:szCs w:val="24"/>
          <w:highlight w:val="none"/>
        </w:rPr>
        <w:t>等商务方面进行响应说明，并保证响应的真实性。</w:t>
      </w:r>
    </w:p>
    <w:p w14:paraId="473A2939">
      <w:pPr>
        <w:pStyle w:val="20"/>
        <w:spacing w:line="360" w:lineRule="auto"/>
        <w:rPr>
          <w:rFonts w:hint="eastAsia"/>
          <w:color w:val="auto"/>
        </w:rPr>
      </w:pPr>
      <w:r>
        <w:rPr>
          <w:rFonts w:hint="eastAsia" w:ascii="宋体" w:hAnsi="宋体" w:eastAsia="宋体" w:cs="宋体"/>
          <w:color w:val="auto"/>
          <w:spacing w:val="0"/>
          <w:w w:val="100"/>
          <w:position w:val="0"/>
          <w:sz w:val="24"/>
          <w:szCs w:val="24"/>
        </w:rPr>
        <w:t>  </w:t>
      </w:r>
    </w:p>
    <w:p w14:paraId="45EDCF8D">
      <w:pPr>
        <w:spacing w:line="480" w:lineRule="auto"/>
        <w:ind w:right="-161"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176B3EC">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296CA7D0">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C7424E0">
      <w:pPr>
        <w:pStyle w:val="49"/>
        <w:ind w:left="0" w:leftChars="0" w:firstLine="0" w:firstLineChars="0"/>
        <w:rPr>
          <w:rFonts w:hint="eastAsia" w:ascii="宋体" w:hAnsi="宋体" w:cs="仿宋"/>
          <w:color w:val="auto"/>
          <w:sz w:val="24"/>
          <w:highlight w:val="none"/>
        </w:rPr>
      </w:pPr>
    </w:p>
    <w:p w14:paraId="5945952E">
      <w:pPr>
        <w:pStyle w:val="49"/>
        <w:rPr>
          <w:rFonts w:hint="eastAsia" w:ascii="宋体" w:hAnsi="宋体" w:cs="仿宋"/>
          <w:color w:val="auto"/>
          <w:sz w:val="24"/>
          <w:highlight w:val="none"/>
        </w:rPr>
      </w:pPr>
    </w:p>
    <w:p w14:paraId="1E8849FE">
      <w:pPr>
        <w:pStyle w:val="49"/>
        <w:rPr>
          <w:rFonts w:hint="eastAsia" w:ascii="宋体" w:hAnsi="宋体" w:cs="仿宋"/>
          <w:color w:val="auto"/>
          <w:sz w:val="24"/>
          <w:highlight w:val="none"/>
        </w:rPr>
      </w:pPr>
    </w:p>
    <w:p w14:paraId="5E34AA79">
      <w:pPr>
        <w:pStyle w:val="49"/>
        <w:rPr>
          <w:rFonts w:hint="eastAsia" w:ascii="宋体" w:hAnsi="宋体" w:cs="仿宋"/>
          <w:color w:val="auto"/>
          <w:sz w:val="24"/>
          <w:highlight w:val="none"/>
        </w:rPr>
      </w:pPr>
    </w:p>
    <w:p w14:paraId="6F5F8622">
      <w:pPr>
        <w:pStyle w:val="49"/>
        <w:rPr>
          <w:rFonts w:hint="eastAsia" w:ascii="宋体" w:hAnsi="宋体" w:cs="仿宋"/>
          <w:color w:val="auto"/>
          <w:sz w:val="24"/>
          <w:highlight w:val="none"/>
        </w:rPr>
      </w:pPr>
    </w:p>
    <w:p w14:paraId="309DACC8">
      <w:pPr>
        <w:pStyle w:val="3"/>
        <w:topLinePunct w:val="0"/>
        <w:bidi w:val="0"/>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供应商资</w:t>
      </w:r>
      <w:r>
        <w:rPr>
          <w:rFonts w:hint="eastAsia" w:ascii="宋体" w:hAnsi="宋体" w:cs="宋体"/>
          <w:color w:val="auto"/>
          <w:highlight w:val="none"/>
          <w:lang w:val="en-US" w:eastAsia="zh-CN"/>
        </w:rPr>
        <w:t>格</w:t>
      </w:r>
      <w:r>
        <w:rPr>
          <w:rFonts w:hint="eastAsia" w:ascii="宋体" w:hAnsi="宋体" w:cs="宋体"/>
          <w:color w:val="auto"/>
          <w:highlight w:val="none"/>
        </w:rPr>
        <w:t>要求</w:t>
      </w:r>
    </w:p>
    <w:p w14:paraId="030D1D87">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（1）</w:t>
      </w:r>
      <w:r>
        <w:rPr>
          <w:rFonts w:hint="eastAsia" w:ascii="宋体" w:hAnsi="宋体" w:eastAsia="宋体" w:cs="宋体"/>
          <w:color w:val="auto"/>
          <w:sz w:val="24"/>
          <w:szCs w:val="24"/>
        </w:rPr>
        <w:t>具有独立承担民事责任能力的法人、其他组织或自然人，提供合法有效年报合格的统一社会信用代码营业执照或事业单位法人证书等国家规定的相关证明，自然人参与的提供其身份证明；</w:t>
      </w:r>
    </w:p>
    <w:p w14:paraId="6712FBE0">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提供法定代表人授权委托书原件（附法定代表人、被授权人身份证复印件）及被授权人身份证原件（法定代表人参会只须提供其身份证原件）</w:t>
      </w:r>
      <w:r>
        <w:rPr>
          <w:rFonts w:hint="eastAsia" w:ascii="宋体" w:hAnsi="宋体" w:eastAsia="宋体" w:cs="宋体"/>
          <w:color w:val="auto"/>
          <w:sz w:val="24"/>
          <w:szCs w:val="24"/>
          <w:highlight w:val="none"/>
        </w:rPr>
        <w:t>；</w:t>
      </w:r>
    </w:p>
    <w:p w14:paraId="42AD50D6">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供 应 商 信 息 须 在 “ 社 会 消 防 技 术 服 务 信 息 系 统 </w:t>
      </w:r>
    </w:p>
    <w:p w14:paraId="1C36E608">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（https://shhxf.119.gov.cn/templet/index_7.jsp）”中可查询，且服务类型须包含“消防设施维护保养检测”（截图并加盖单位公章）；</w:t>
      </w:r>
    </w:p>
    <w:p w14:paraId="3EA4412E">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须提供2023年至今任意一年经审计的财务报告（成立时间至提交磋商响应文件截止时间不足一年的可提供成立后任意时段的财务报表</w:t>
      </w:r>
      <w:r>
        <w:rPr>
          <w:rFonts w:hint="eastAsia" w:ascii="宋体" w:hAnsi="宋体" w:eastAsia="宋体" w:cs="宋体"/>
          <w:color w:val="auto"/>
          <w:sz w:val="24"/>
          <w:szCs w:val="24"/>
          <w:lang w:val="en-US" w:eastAsia="zh-CN"/>
        </w:rPr>
        <w:t>）；</w:t>
      </w:r>
    </w:p>
    <w:p w14:paraId="3837D61C">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）须提供依法缴纳税收的良好记录（提供递交磋商响应文件截止时间前六个月内任意一个月份的缴纳凭据复印件并加盖单位公章。依法免税或开标前一年内零申报的供应商应提供相关证明文件）；</w:t>
      </w:r>
    </w:p>
    <w:p w14:paraId="0BA2541D">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须提供依法缴纳社会保障资金的良好记录（提供磋商响应文件递交截止时间前六个月内任意一个月份的缴纳凭据复印件并加盖单位公章。依法不需要缴纳社会保障资金的供应商应提供相关证明文件）</w:t>
      </w:r>
      <w:r>
        <w:rPr>
          <w:rFonts w:hint="eastAsia" w:ascii="宋体" w:hAnsi="宋体" w:eastAsia="宋体" w:cs="宋体"/>
          <w:color w:val="auto"/>
          <w:sz w:val="24"/>
          <w:szCs w:val="24"/>
        </w:rPr>
        <w:t>；</w:t>
      </w:r>
    </w:p>
    <w:p w14:paraId="42DFC210">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投标截止日前不得为“信用中国”网站（www.creditchina.gov.cn）中列入失信被执行人、重大税收违法失信主体和政府采购严重违法失信行为记录名单的供应商；不得为“中国政府采购网”（www.ccgp.gov.cn）政府采购严重违法失信行为信息记录名单中被财政部门禁止参加政府采购活动的供应商。（最终以采购代理机构评审现场查询结果为准）</w:t>
      </w:r>
      <w:r>
        <w:rPr>
          <w:rFonts w:hint="eastAsia" w:ascii="宋体" w:hAnsi="宋体" w:eastAsia="宋体" w:cs="宋体"/>
          <w:color w:val="auto"/>
          <w:sz w:val="24"/>
          <w:szCs w:val="24"/>
        </w:rPr>
        <w:t>；</w:t>
      </w:r>
    </w:p>
    <w:p w14:paraId="1838D46B">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）提供近三年内在经营活动中无重大违法记录的书面声明；</w:t>
      </w:r>
    </w:p>
    <w:p w14:paraId="1E2EF188">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磋商保证金</w:t>
      </w:r>
      <w:r>
        <w:rPr>
          <w:rFonts w:hint="eastAsia" w:ascii="宋体" w:hAnsi="宋体" w:eastAsia="宋体" w:cs="宋体"/>
          <w:color w:val="auto"/>
          <w:sz w:val="24"/>
          <w:szCs w:val="24"/>
          <w:highlight w:val="none"/>
        </w:rPr>
        <w:t>银行转账凭证</w:t>
      </w:r>
      <w:r>
        <w:rPr>
          <w:rFonts w:hint="eastAsia" w:ascii="宋体" w:hAnsi="宋体" w:eastAsia="宋体" w:cs="宋体"/>
          <w:b w:val="0"/>
          <w:bCs w:val="0"/>
          <w:sz w:val="24"/>
          <w:szCs w:val="24"/>
          <w:highlight w:val="none"/>
          <w:lang w:val="en-US" w:eastAsia="zh-CN" w:bidi="ar-SA"/>
        </w:rPr>
        <w:t>及基本存款账户信息</w:t>
      </w:r>
      <w:r>
        <w:rPr>
          <w:rFonts w:hint="eastAsia" w:ascii="宋体" w:hAnsi="宋体" w:eastAsia="宋体" w:cs="宋体"/>
          <w:color w:val="auto"/>
          <w:sz w:val="24"/>
          <w:szCs w:val="24"/>
          <w:highlight w:val="none"/>
        </w:rPr>
        <w:t>复印件或</w:t>
      </w:r>
      <w:r>
        <w:rPr>
          <w:rFonts w:hint="eastAsia" w:ascii="宋体" w:hAnsi="宋体" w:eastAsia="宋体" w:cs="宋体"/>
          <w:color w:val="auto"/>
          <w:sz w:val="24"/>
          <w:szCs w:val="24"/>
          <w:highlight w:val="none"/>
          <w:lang w:val="en-US" w:eastAsia="zh-CN"/>
        </w:rPr>
        <w:t>金融机构、担保机构</w:t>
      </w:r>
      <w:r>
        <w:rPr>
          <w:rFonts w:hint="eastAsia" w:ascii="宋体" w:hAnsi="宋体" w:eastAsia="宋体" w:cs="宋体"/>
          <w:color w:val="auto"/>
          <w:sz w:val="24"/>
          <w:szCs w:val="24"/>
          <w:highlight w:val="none"/>
        </w:rPr>
        <w:t>出具的保函</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lang w:val="en-US" w:eastAsia="zh-CN"/>
        </w:rPr>
        <w:t>复印件均须加盖公章</w:t>
      </w:r>
      <w:r>
        <w:rPr>
          <w:rFonts w:hint="eastAsia" w:ascii="宋体" w:hAnsi="宋体" w:eastAsia="宋体" w:cs="宋体"/>
          <w:color w:val="auto"/>
          <w:sz w:val="24"/>
          <w:szCs w:val="24"/>
        </w:rPr>
        <w:t>；</w:t>
      </w:r>
    </w:p>
    <w:p w14:paraId="428B0205">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）提供单位负责人为同一人或者存在直接控股、管理关系的不同供应商，不得参加同一合同项下的政府采购活动的书面声明；</w:t>
      </w:r>
    </w:p>
    <w:p w14:paraId="2EAC8554">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）提供具有履行本合同所必需的设备和专业技术能力的说明及承诺；</w:t>
      </w:r>
    </w:p>
    <w:p w14:paraId="6A69CC1D">
      <w:pPr>
        <w:pStyle w:val="13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）本项目专门面向中小企业采购，供应商须提供《中小企业声明函》。</w:t>
      </w:r>
    </w:p>
    <w:p w14:paraId="573DEF14">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textAlignment w:val="auto"/>
        <w:rPr>
          <w:rFonts w:hint="eastAsia" w:hAnsi="宋体"/>
          <w:color w:val="auto"/>
          <w:sz w:val="24"/>
          <w:szCs w:val="24"/>
          <w:highlight w:val="none"/>
        </w:rPr>
      </w:pPr>
      <w:r>
        <w:rPr>
          <w:rFonts w:hint="eastAsia" w:ascii="宋体" w:hAnsi="宋体"/>
          <w:b/>
          <w:bCs/>
          <w:color w:val="auto"/>
          <w:sz w:val="24"/>
          <w:highlight w:val="none"/>
          <w:lang w:val="en-US" w:eastAsia="zh-CN"/>
        </w:rPr>
        <w:t>注：</w:t>
      </w:r>
      <w:r>
        <w:rPr>
          <w:rFonts w:hint="eastAsia" w:ascii="宋体" w:hAnsi="宋体"/>
          <w:b/>
          <w:bCs/>
          <w:color w:val="auto"/>
          <w:sz w:val="24"/>
          <w:highlight w:val="none"/>
        </w:rPr>
        <w:t>磋商</w:t>
      </w:r>
      <w:r>
        <w:rPr>
          <w:rFonts w:hint="eastAsia" w:ascii="宋体" w:hAnsi="宋体"/>
          <w:b/>
          <w:bCs/>
          <w:color w:val="auto"/>
          <w:sz w:val="24"/>
          <w:highlight w:val="none"/>
          <w:lang w:val="en-US" w:eastAsia="zh-CN"/>
        </w:rPr>
        <w:t>响应</w:t>
      </w:r>
      <w:r>
        <w:rPr>
          <w:rFonts w:hint="eastAsia" w:ascii="宋体" w:hAnsi="宋体"/>
          <w:b/>
          <w:bCs/>
          <w:color w:val="auto"/>
          <w:sz w:val="24"/>
          <w:highlight w:val="none"/>
        </w:rPr>
        <w:t>文件中附以上证件的复印件</w:t>
      </w:r>
      <w:r>
        <w:rPr>
          <w:rFonts w:hint="eastAsia" w:ascii="宋体" w:hAnsi="宋体"/>
          <w:b/>
          <w:bCs/>
          <w:color w:val="auto"/>
          <w:sz w:val="24"/>
          <w:highlight w:val="none"/>
          <w:lang w:eastAsia="zh-CN"/>
        </w:rPr>
        <w:t>（或扫描件）</w:t>
      </w:r>
      <w:r>
        <w:rPr>
          <w:rFonts w:hint="eastAsia" w:ascii="宋体" w:hAnsi="宋体"/>
          <w:b/>
          <w:bCs/>
          <w:color w:val="auto"/>
          <w:sz w:val="24"/>
          <w:highlight w:val="none"/>
        </w:rPr>
        <w:t>并加盖</w:t>
      </w:r>
      <w:r>
        <w:rPr>
          <w:rFonts w:hint="eastAsia" w:ascii="宋体" w:hAnsi="宋体"/>
          <w:b/>
          <w:bCs/>
          <w:color w:val="auto"/>
          <w:sz w:val="24"/>
          <w:highlight w:val="none"/>
          <w:lang w:eastAsia="zh-CN"/>
        </w:rPr>
        <w:t>单位公章</w:t>
      </w:r>
      <w:r>
        <w:rPr>
          <w:rFonts w:hint="eastAsia" w:ascii="宋体" w:hAnsi="宋体"/>
          <w:b/>
          <w:bCs/>
          <w:color w:val="auto"/>
          <w:sz w:val="24"/>
          <w:highlight w:val="none"/>
        </w:rPr>
        <w:t>。</w:t>
      </w:r>
    </w:p>
    <w:p w14:paraId="48FE5B3F">
      <w:pPr>
        <w:rPr>
          <w:rFonts w:hint="eastAsia"/>
          <w:color w:val="auto"/>
        </w:rPr>
      </w:pPr>
    </w:p>
    <w:p w14:paraId="3E8E1BFE">
      <w:pPr>
        <w:rPr>
          <w:rFonts w:hint="eastAsia" w:hAnsi="宋体"/>
          <w:color w:val="auto"/>
          <w:sz w:val="24"/>
          <w:szCs w:val="24"/>
          <w:highlight w:val="none"/>
        </w:rPr>
      </w:pPr>
      <w:r>
        <w:rPr>
          <w:rFonts w:hint="eastAsia" w:hAnsi="宋体"/>
          <w:color w:val="auto"/>
          <w:sz w:val="24"/>
          <w:szCs w:val="24"/>
          <w:highlight w:val="none"/>
        </w:rPr>
        <w:br w:type="page"/>
      </w:r>
    </w:p>
    <w:p w14:paraId="65F96AA0">
      <w:pPr>
        <w:rPr>
          <w:rFonts w:hint="eastAsia" w:hAnsi="宋体"/>
          <w:color w:val="auto"/>
          <w:sz w:val="24"/>
          <w:szCs w:val="24"/>
          <w:highlight w:val="none"/>
        </w:rPr>
      </w:pPr>
    </w:p>
    <w:p w14:paraId="2410C468">
      <w:pPr>
        <w:rPr>
          <w:rFonts w:hint="eastAsia" w:hAnsi="宋体"/>
          <w:color w:val="auto"/>
          <w:sz w:val="24"/>
          <w:szCs w:val="24"/>
          <w:highlight w:val="none"/>
        </w:rPr>
      </w:pPr>
      <w:r>
        <w:rPr>
          <w:rFonts w:hint="eastAsia" w:hAnsi="宋体"/>
          <w:color w:val="auto"/>
          <w:sz w:val="24"/>
          <w:szCs w:val="24"/>
          <w:highlight w:val="none"/>
        </w:rPr>
        <w:t>格</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lang w:val="en-US" w:eastAsia="zh-CN"/>
        </w:rPr>
        <w:t>1</w:t>
      </w:r>
      <w:r>
        <w:rPr>
          <w:rFonts w:hint="eastAsia" w:hAnsi="宋体"/>
          <w:color w:val="auto"/>
          <w:sz w:val="24"/>
          <w:szCs w:val="24"/>
          <w:highlight w:val="none"/>
        </w:rPr>
        <w:t>：</w:t>
      </w:r>
    </w:p>
    <w:p w14:paraId="05ED2D02">
      <w:pPr>
        <w:pStyle w:val="121"/>
        <w:keepNext/>
        <w:keepLines/>
        <w:rPr>
          <w:rFonts w:hint="eastAsia" w:ascii="宋体" w:hAnsi="宋体" w:eastAsia="宋体" w:cs="宋体"/>
          <w:b/>
          <w:bCs/>
          <w:color w:val="auto"/>
          <w:kern w:val="44"/>
          <w:highlight w:val="none"/>
        </w:rPr>
      </w:pPr>
    </w:p>
    <w:p w14:paraId="32C1B313">
      <w:pPr>
        <w:pStyle w:val="121"/>
        <w:keepNext/>
        <w:keepLines/>
        <w:rPr>
          <w:rFonts w:hint="eastAsia" w:ascii="宋体" w:hAnsi="宋体" w:eastAsia="宋体" w:cs="宋体"/>
          <w:b/>
          <w:bCs/>
          <w:color w:val="auto"/>
          <w:kern w:val="44"/>
          <w:sz w:val="28"/>
          <w:szCs w:val="28"/>
          <w:highlight w:val="none"/>
        </w:rPr>
      </w:pPr>
      <w:bookmarkStart w:id="131" w:name="_Toc24750"/>
      <w:bookmarkStart w:id="132" w:name="_Toc12524"/>
      <w:r>
        <w:rPr>
          <w:rFonts w:hint="eastAsia" w:ascii="宋体" w:hAnsi="宋体" w:eastAsia="宋体" w:cs="宋体"/>
          <w:b/>
          <w:bCs/>
          <w:color w:val="auto"/>
          <w:kern w:val="44"/>
          <w:sz w:val="28"/>
          <w:szCs w:val="28"/>
          <w:highlight w:val="none"/>
        </w:rPr>
        <w:t>近三年内在经营活动中无重大违法记录的书面声明</w:t>
      </w:r>
      <w:bookmarkEnd w:id="131"/>
      <w:bookmarkEnd w:id="132"/>
    </w:p>
    <w:p w14:paraId="692BAEA3">
      <w:pPr>
        <w:rPr>
          <w:rFonts w:hint="eastAsia"/>
          <w:color w:val="auto"/>
          <w:highlight w:val="none"/>
        </w:rPr>
      </w:pPr>
    </w:p>
    <w:p w14:paraId="098AD3C4">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54CD18E9">
      <w:pPr>
        <w:widowControl/>
        <w:spacing w:line="70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我方参加贵单位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项目名称</w:t>
      </w:r>
      <w:r>
        <w:rPr>
          <w:rFonts w:hint="eastAsia" w:ascii="宋体" w:hAnsi="宋体" w:eastAsia="宋体" w:cs="宋体"/>
          <w:color w:val="auto"/>
          <w:sz w:val="24"/>
          <w:highlight w:val="none"/>
        </w:rPr>
        <w:t>）投标的申请，现我方向你方慎重承诺：</w:t>
      </w:r>
    </w:p>
    <w:p w14:paraId="0C927BFB">
      <w:pPr>
        <w:widowControl/>
        <w:spacing w:line="700" w:lineRule="exact"/>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违约或不恰当履约引起的合同争议纠纷及仲裁和诉讼记录。如果我方经本</w:t>
      </w:r>
      <w:r>
        <w:rPr>
          <w:rFonts w:hint="eastAsia" w:ascii="宋体" w:hAnsi="宋体" w:eastAsia="宋体" w:cs="宋体"/>
          <w:color w:val="auto"/>
          <w:sz w:val="24"/>
          <w:highlight w:val="none"/>
          <w:lang w:val="en-US" w:eastAsia="zh-CN"/>
        </w:rPr>
        <w:t>项目</w:t>
      </w:r>
      <w:r>
        <w:rPr>
          <w:rFonts w:hint="eastAsia" w:ascii="宋体" w:hAnsi="宋体" w:cs="宋体"/>
          <w:color w:val="auto"/>
          <w:sz w:val="24"/>
          <w:highlight w:val="none"/>
          <w:lang w:val="en-US" w:eastAsia="zh-CN"/>
        </w:rPr>
        <w:t>磋商小组</w:t>
      </w:r>
      <w:r>
        <w:rPr>
          <w:rFonts w:hint="eastAsia" w:ascii="宋体" w:hAnsi="宋体" w:eastAsia="宋体" w:cs="宋体"/>
          <w:color w:val="auto"/>
          <w:sz w:val="24"/>
          <w:highlight w:val="none"/>
        </w:rPr>
        <w:t>评定为第一</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候选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，在公示期间被他人举报并经招标投标监管机构核实，确认存在上述不良记录，你方即可取消我方第一</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候选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资格，并同意</w:t>
      </w:r>
      <w:r>
        <w:rPr>
          <w:rFonts w:hint="eastAsia" w:ascii="宋体" w:hAnsi="宋体" w:cs="宋体"/>
          <w:color w:val="auto"/>
          <w:sz w:val="24"/>
          <w:highlight w:val="none"/>
          <w:lang w:eastAsia="zh-CN"/>
        </w:rPr>
        <w:t>磋商保证金</w:t>
      </w:r>
      <w:r>
        <w:rPr>
          <w:rFonts w:hint="eastAsia" w:ascii="宋体" w:hAnsi="宋体" w:eastAsia="宋体" w:cs="宋体"/>
          <w:color w:val="auto"/>
          <w:sz w:val="24"/>
          <w:highlight w:val="none"/>
        </w:rPr>
        <w:t>不予退还。</w:t>
      </w:r>
    </w:p>
    <w:p w14:paraId="170010FD">
      <w:pPr>
        <w:spacing w:line="360" w:lineRule="auto"/>
        <w:ind w:firstLine="480"/>
        <w:rPr>
          <w:rFonts w:hint="eastAsia" w:ascii="宋体" w:hAnsi="宋体" w:eastAsia="宋体" w:cs="宋体"/>
          <w:color w:val="auto"/>
          <w:sz w:val="24"/>
          <w:highlight w:val="none"/>
        </w:rPr>
      </w:pPr>
    </w:p>
    <w:p w14:paraId="6458F784">
      <w:pPr>
        <w:spacing w:line="360" w:lineRule="auto"/>
        <w:ind w:firstLine="480"/>
        <w:rPr>
          <w:rFonts w:hint="eastAsia" w:ascii="宋体" w:hAnsi="宋体"/>
          <w:color w:val="auto"/>
          <w:sz w:val="24"/>
          <w:highlight w:val="none"/>
        </w:rPr>
      </w:pPr>
    </w:p>
    <w:p w14:paraId="3EAA0947">
      <w:pPr>
        <w:spacing w:line="360" w:lineRule="auto"/>
        <w:ind w:firstLine="480"/>
        <w:rPr>
          <w:rFonts w:hint="eastAsia" w:ascii="宋体" w:hAnsi="宋体"/>
          <w:color w:val="auto"/>
          <w:sz w:val="24"/>
          <w:highlight w:val="none"/>
        </w:rPr>
      </w:pPr>
    </w:p>
    <w:p w14:paraId="0F70F5F1">
      <w:pPr>
        <w:keepNext w:val="0"/>
        <w:keepLines w:val="0"/>
        <w:pageBreakBefore w:val="0"/>
        <w:widowControl w:val="0"/>
        <w:kinsoku/>
        <w:wordWrap/>
        <w:overflowPunct/>
        <w:topLinePunct w:val="0"/>
        <w:autoSpaceDE/>
        <w:autoSpaceDN/>
        <w:bidi w:val="0"/>
        <w:adjustRightInd/>
        <w:snapToGrid/>
        <w:spacing w:line="800" w:lineRule="exact"/>
        <w:ind w:right="-161"/>
        <w:textAlignment w:val="auto"/>
        <w:rPr>
          <w:rFonts w:hint="eastAsia" w:ascii="宋体" w:hAnsi="宋体" w:cs="仿宋"/>
          <w:color w:val="auto"/>
          <w:sz w:val="28"/>
          <w:szCs w:val="28"/>
          <w:highlight w:val="none"/>
        </w:rPr>
      </w:pPr>
      <w:r>
        <w:rPr>
          <w:rFonts w:hint="eastAsia" w:ascii="宋体" w:hAnsi="宋体"/>
          <w:color w:val="auto"/>
          <w:sz w:val="24"/>
          <w:highlight w:val="none"/>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rPr>
        <w:t>（</w:t>
      </w:r>
      <w:r>
        <w:rPr>
          <w:rFonts w:hint="eastAsia" w:ascii="宋体" w:hAnsi="宋体" w:cs="仿宋"/>
          <w:color w:val="auto"/>
          <w:sz w:val="24"/>
          <w:highlight w:val="none"/>
          <w:u w:val="none"/>
          <w:lang w:eastAsia="zh-CN"/>
        </w:rPr>
        <w:t>公</w:t>
      </w:r>
      <w:r>
        <w:rPr>
          <w:rFonts w:hint="eastAsia" w:ascii="宋体" w:hAnsi="宋体" w:cs="仿宋"/>
          <w:color w:val="auto"/>
          <w:sz w:val="24"/>
          <w:highlight w:val="none"/>
          <w:u w:val="none"/>
        </w:rPr>
        <w:t>章</w:t>
      </w:r>
      <w:r>
        <w:rPr>
          <w:rFonts w:hint="eastAsia" w:ascii="宋体" w:hAnsi="宋体" w:cs="仿宋"/>
          <w:color w:val="auto"/>
          <w:sz w:val="24"/>
          <w:highlight w:val="none"/>
          <w:u w:val="none"/>
          <w:lang w:eastAsia="zh-CN"/>
        </w:rPr>
        <w:t>）</w:t>
      </w:r>
    </w:p>
    <w:p w14:paraId="16A12705">
      <w:pPr>
        <w:keepNext w:val="0"/>
        <w:keepLines w:val="0"/>
        <w:pageBreakBefore w:val="0"/>
        <w:widowControl w:val="0"/>
        <w:kinsoku/>
        <w:wordWrap/>
        <w:overflowPunct/>
        <w:topLinePunct w:val="0"/>
        <w:autoSpaceDE/>
        <w:autoSpaceDN/>
        <w:bidi w:val="0"/>
        <w:adjustRightInd/>
        <w:snapToGrid/>
        <w:spacing w:line="800" w:lineRule="exact"/>
        <w:ind w:firstLine="840" w:firstLineChars="300"/>
        <w:textAlignment w:val="auto"/>
        <w:rPr>
          <w:rFonts w:hint="eastAsia"/>
          <w:color w:val="auto"/>
          <w:highlight w:val="none"/>
        </w:rPr>
      </w:pPr>
      <w:r>
        <w:rPr>
          <w:rFonts w:hint="eastAsia" w:ascii="宋体" w:hAnsi="宋体" w:cs="仿宋"/>
          <w:color w:val="auto"/>
          <w:sz w:val="28"/>
          <w:szCs w:val="28"/>
          <w:highlight w:val="none"/>
        </w:rPr>
        <w:t xml:space="preserve"> </w:t>
      </w:r>
      <w:r>
        <w:rPr>
          <w:rFonts w:hint="eastAsia" w:ascii="宋体" w:hAnsi="宋体" w:eastAsia="宋体" w:cs="仿宋"/>
          <w:color w:val="auto"/>
          <w:sz w:val="28"/>
          <w:szCs w:val="28"/>
          <w:highlight w:val="none"/>
          <w:lang w:val="en-US" w:eastAsia="zh-CN"/>
        </w:rPr>
        <w:t xml:space="preserve">     </w:t>
      </w:r>
      <w:r>
        <w:rPr>
          <w:rFonts w:hint="eastAsia" w:ascii="宋体" w:hAnsi="宋体" w:cs="仿宋"/>
          <w:color w:val="auto"/>
          <w:sz w:val="28"/>
          <w:szCs w:val="28"/>
          <w:highlight w:val="none"/>
          <w:lang w:val="en-US" w:eastAsia="zh-CN"/>
        </w:rPr>
        <w:t xml:space="preserve">  </w:t>
      </w:r>
      <w:r>
        <w:rPr>
          <w:rFonts w:hint="eastAsia" w:ascii="宋体" w:hAnsi="宋体" w:eastAsia="宋体" w:cs="宋体"/>
          <w:color w:val="auto"/>
          <w:kern w:val="1"/>
          <w:sz w:val="24"/>
          <w:szCs w:val="36"/>
          <w:highlight w:val="none"/>
        </w:rPr>
        <w:t>法定代表人或</w:t>
      </w:r>
      <w:r>
        <w:rPr>
          <w:rFonts w:hint="eastAsia" w:ascii="宋体" w:hAnsi="宋体" w:cs="宋体"/>
          <w:color w:val="auto"/>
          <w:sz w:val="24"/>
          <w:highlight w:val="none"/>
          <w:lang w:val="en-US" w:eastAsia="zh-CN"/>
        </w:rPr>
        <w:t>被</w:t>
      </w:r>
      <w:r>
        <w:rPr>
          <w:rFonts w:hint="eastAsia" w:ascii="宋体" w:hAnsi="宋体" w:eastAsia="宋体" w:cs="宋体"/>
          <w:color w:val="auto"/>
          <w:sz w:val="24"/>
          <w:highlight w:val="none"/>
        </w:rPr>
        <w:t>授权</w:t>
      </w:r>
      <w:r>
        <w:rPr>
          <w:rFonts w:hint="eastAsia" w:ascii="宋体" w:hAnsi="宋体" w:cs="宋体"/>
          <w:color w:val="auto"/>
          <w:sz w:val="24"/>
          <w:highlight w:val="none"/>
          <w:lang w:val="en-US" w:eastAsia="zh-CN"/>
        </w:rPr>
        <w:t>人</w:t>
      </w:r>
      <w:r>
        <w:rPr>
          <w:rFonts w:hint="eastAsia" w:ascii="宋体" w:hAnsi="宋体" w:eastAsia="宋体" w:cs="宋体"/>
          <w:color w:val="auto"/>
          <w:kern w:val="1"/>
          <w:sz w:val="24"/>
          <w:szCs w:val="36"/>
          <w:highlight w:val="none"/>
        </w:rPr>
        <w:t>：</w:t>
      </w:r>
      <w:r>
        <w:rPr>
          <w:rFonts w:hint="eastAsia" w:ascii="宋体" w:hAnsi="宋体" w:eastAsia="宋体" w:cs="宋体"/>
          <w:i/>
          <w:iCs/>
          <w:color w:val="auto"/>
          <w:kern w:val="1"/>
          <w:sz w:val="24"/>
          <w:szCs w:val="36"/>
          <w:highlight w:val="none"/>
          <w:u w:val="single"/>
        </w:rPr>
        <w:t xml:space="preserve">           </w:t>
      </w:r>
      <w:r>
        <w:rPr>
          <w:rFonts w:hint="eastAsia" w:ascii="宋体" w:hAnsi="宋体" w:cs="宋体"/>
          <w:i/>
          <w:iCs/>
          <w:color w:val="auto"/>
          <w:kern w:val="1"/>
          <w:sz w:val="24"/>
          <w:szCs w:val="36"/>
          <w:highlight w:val="none"/>
          <w:u w:val="single"/>
          <w:lang w:val="en-US" w:eastAsia="zh-CN"/>
        </w:rPr>
        <w:t xml:space="preserve"> </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color w:val="auto"/>
          <w:kern w:val="1"/>
          <w:sz w:val="24"/>
          <w:highlight w:val="none"/>
          <w:u w:val="none"/>
        </w:rPr>
        <w:t>（签字或盖章）</w:t>
      </w:r>
    </w:p>
    <w:p w14:paraId="3151F9E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66EBBCF2">
      <w:pPr>
        <w:spacing w:line="360" w:lineRule="auto"/>
        <w:ind w:firstLine="480"/>
        <w:rPr>
          <w:rFonts w:hint="eastAsia" w:ascii="宋体" w:hAnsi="宋体"/>
          <w:color w:val="auto"/>
          <w:sz w:val="24"/>
          <w:highlight w:val="none"/>
        </w:rPr>
      </w:pPr>
    </w:p>
    <w:p w14:paraId="7C6736E0">
      <w:pPr>
        <w:rPr>
          <w:rFonts w:hint="eastAsia"/>
          <w:color w:val="auto"/>
          <w:kern w:val="1"/>
          <w:sz w:val="36"/>
          <w:szCs w:val="36"/>
          <w:highlight w:val="none"/>
        </w:rPr>
      </w:pPr>
    </w:p>
    <w:p w14:paraId="067D8704">
      <w:pPr>
        <w:rPr>
          <w:rFonts w:hint="eastAsia"/>
          <w:color w:val="auto"/>
          <w:highlight w:val="none"/>
        </w:rPr>
      </w:pPr>
    </w:p>
    <w:p w14:paraId="32D045C2">
      <w:pPr>
        <w:pStyle w:val="20"/>
        <w:rPr>
          <w:rFonts w:hint="eastAsia"/>
          <w:color w:val="auto"/>
          <w:highlight w:val="none"/>
        </w:rPr>
      </w:pPr>
    </w:p>
    <w:p w14:paraId="05AE0E22">
      <w:pPr>
        <w:pStyle w:val="20"/>
        <w:rPr>
          <w:rFonts w:hint="eastAsia"/>
          <w:color w:val="auto"/>
          <w:highlight w:val="none"/>
        </w:rPr>
      </w:pPr>
    </w:p>
    <w:p w14:paraId="1B3A5DBE">
      <w:pPr>
        <w:pStyle w:val="20"/>
        <w:rPr>
          <w:rFonts w:hint="eastAsia"/>
          <w:color w:val="auto"/>
          <w:highlight w:val="none"/>
        </w:rPr>
      </w:pPr>
    </w:p>
    <w:p w14:paraId="6F2FBF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格式</w:t>
      </w:r>
      <w:r>
        <w:rPr>
          <w:rFonts w:hint="eastAsia" w:ascii="宋体" w:hAnsi="宋体" w:cs="宋体"/>
          <w:color w:val="auto"/>
          <w:spacing w:val="-4"/>
          <w:kern w:val="0"/>
          <w:sz w:val="24"/>
          <w:szCs w:val="24"/>
          <w:highlight w:val="none"/>
          <w:lang w:val="en-US" w:eastAsia="zh-CN" w:bidi="ar-SA"/>
        </w:rPr>
        <w:t>2</w:t>
      </w:r>
      <w:r>
        <w:rPr>
          <w:rFonts w:hint="eastAsia" w:ascii="宋体" w:hAnsi="宋体" w:eastAsia="宋体" w:cs="宋体"/>
          <w:color w:val="auto"/>
          <w:spacing w:val="-4"/>
          <w:kern w:val="0"/>
          <w:sz w:val="24"/>
          <w:szCs w:val="24"/>
          <w:highlight w:val="none"/>
          <w:lang w:val="en-US" w:eastAsia="zh-CN" w:bidi="ar-SA"/>
        </w:rPr>
        <w:t>：</w:t>
      </w:r>
    </w:p>
    <w:p w14:paraId="01EDBB18">
      <w:pPr>
        <w:pStyle w:val="12"/>
        <w:rPr>
          <w:rFonts w:hint="eastAsia"/>
          <w:color w:val="auto"/>
          <w:highlight w:val="none"/>
        </w:rPr>
      </w:pPr>
    </w:p>
    <w:p w14:paraId="44624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6"/>
          <w:kern w:val="0"/>
          <w:sz w:val="28"/>
          <w:szCs w:val="28"/>
          <w:highlight w:val="none"/>
          <w:lang w:val="en-US" w:eastAsia="zh-CN" w:bidi="ar"/>
        </w:rPr>
      </w:pPr>
      <w:r>
        <w:rPr>
          <w:rFonts w:hint="eastAsia" w:ascii="宋体" w:hAnsi="宋体" w:eastAsia="宋体" w:cs="宋体"/>
          <w:b/>
          <w:bCs/>
          <w:color w:val="auto"/>
          <w:spacing w:val="0"/>
          <w:kern w:val="0"/>
          <w:sz w:val="28"/>
          <w:szCs w:val="28"/>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b/>
          <w:bCs/>
          <w:color w:val="auto"/>
          <w:spacing w:val="-6"/>
          <w:kern w:val="0"/>
          <w:sz w:val="28"/>
          <w:szCs w:val="28"/>
          <w:highlight w:val="none"/>
          <w:lang w:val="en-US" w:eastAsia="zh-CN" w:bidi="ar"/>
        </w:rPr>
        <w:t>书面声明</w:t>
      </w:r>
    </w:p>
    <w:p w14:paraId="47077002">
      <w:pPr>
        <w:keepNext w:val="0"/>
        <w:keepLines w:val="0"/>
        <w:pageBreakBefore w:val="0"/>
        <w:widowControl w:val="0"/>
        <w:kinsoku/>
        <w:wordWrap/>
        <w:overflowPunct/>
        <w:topLinePunct w:val="0"/>
        <w:autoSpaceDE/>
        <w:autoSpaceDN/>
        <w:bidi w:val="0"/>
        <w:adjustRightInd/>
        <w:snapToGrid/>
        <w:spacing w:line="240" w:lineRule="exact"/>
        <w:ind w:left="505"/>
        <w:textAlignment w:val="auto"/>
        <w:rPr>
          <w:rFonts w:hint="eastAsia" w:ascii="宋体" w:hAnsi="宋体" w:eastAsia="宋体" w:cs="宋体"/>
          <w:color w:val="auto"/>
          <w:spacing w:val="-6"/>
          <w:kern w:val="0"/>
          <w:sz w:val="24"/>
          <w:szCs w:val="24"/>
          <w:highlight w:val="none"/>
          <w:lang w:val="en-US" w:eastAsia="zh-CN" w:bidi="ar"/>
        </w:rPr>
      </w:pPr>
    </w:p>
    <w:p w14:paraId="482E8F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58EEB37D">
      <w:pPr>
        <w:widowControl/>
        <w:spacing w:line="700" w:lineRule="exact"/>
        <w:ind w:firstLine="48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我方参加贵单位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投标申请，</w:t>
      </w:r>
      <w:r>
        <w:rPr>
          <w:rFonts w:hint="eastAsia" w:ascii="宋体" w:hAnsi="宋体" w:eastAsia="宋体" w:cs="宋体"/>
          <w:color w:val="auto"/>
          <w:sz w:val="24"/>
          <w:highlight w:val="none"/>
        </w:rPr>
        <w:t>郑重承诺：</w:t>
      </w:r>
    </w:p>
    <w:p w14:paraId="357124A2">
      <w:pPr>
        <w:widowControl/>
        <w:spacing w:line="700" w:lineRule="exact"/>
        <w:ind w:firstLine="48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我单位</w:t>
      </w:r>
      <w:r>
        <w:rPr>
          <w:rFonts w:hint="eastAsia" w:ascii="宋体" w:hAnsi="宋体" w:eastAsia="宋体" w:cs="宋体"/>
          <w:color w:val="auto"/>
          <w:sz w:val="24"/>
          <w:highlight w:val="none"/>
        </w:rPr>
        <w:t>在参加本次政府采购活动</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rPr>
        <w:t>不存在与参加本项目的其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供应商单位负责人为同一人或者存在直接控股、管理关系。本公司对上述承诺的真实性负责。如有虚假，将依法承担相应责任。  </w:t>
      </w:r>
    </w:p>
    <w:p w14:paraId="687B8CAC">
      <w:pPr>
        <w:widowControl/>
        <w:spacing w:line="700" w:lineRule="exact"/>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特此承诺</w:t>
      </w:r>
      <w:r>
        <w:rPr>
          <w:rFonts w:hint="eastAsia" w:ascii="宋体" w:hAnsi="宋体" w:cs="宋体"/>
          <w:color w:val="auto"/>
          <w:sz w:val="24"/>
          <w:highlight w:val="none"/>
          <w:lang w:eastAsia="zh-CN"/>
        </w:rPr>
        <w:t>。</w:t>
      </w:r>
    </w:p>
    <w:p w14:paraId="6772BA55">
      <w:pPr>
        <w:pStyle w:val="53"/>
        <w:rPr>
          <w:rFonts w:hint="eastAsia" w:ascii="宋体" w:hAnsi="宋体" w:eastAsia="宋体" w:cs="宋体"/>
          <w:b/>
          <w:color w:val="auto"/>
          <w:sz w:val="36"/>
          <w:szCs w:val="20"/>
          <w:highlight w:val="none"/>
        </w:rPr>
      </w:pPr>
    </w:p>
    <w:p w14:paraId="7617128B">
      <w:pPr>
        <w:pStyle w:val="53"/>
        <w:rPr>
          <w:rFonts w:hint="eastAsia" w:ascii="宋体" w:hAnsi="宋体" w:eastAsia="宋体" w:cs="宋体"/>
          <w:b/>
          <w:color w:val="auto"/>
          <w:sz w:val="36"/>
          <w:szCs w:val="20"/>
          <w:highlight w:val="none"/>
        </w:rPr>
      </w:pPr>
    </w:p>
    <w:p w14:paraId="00F1F9E6">
      <w:pPr>
        <w:keepNext w:val="0"/>
        <w:keepLines w:val="0"/>
        <w:pageBreakBefore w:val="0"/>
        <w:widowControl w:val="0"/>
        <w:kinsoku/>
        <w:wordWrap/>
        <w:overflowPunct/>
        <w:topLinePunct w:val="0"/>
        <w:autoSpaceDE/>
        <w:autoSpaceDN/>
        <w:bidi w:val="0"/>
        <w:adjustRightInd/>
        <w:snapToGrid/>
        <w:spacing w:line="800" w:lineRule="exact"/>
        <w:ind w:right="-161" w:firstLine="1920" w:firstLineChars="800"/>
        <w:textAlignment w:val="auto"/>
        <w:rPr>
          <w:rFonts w:hint="eastAsia" w:ascii="宋体" w:hAnsi="宋体" w:cs="仿宋"/>
          <w:color w:val="auto"/>
          <w:sz w:val="28"/>
          <w:szCs w:val="28"/>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rPr>
        <w:t>（</w:t>
      </w:r>
      <w:r>
        <w:rPr>
          <w:rFonts w:hint="eastAsia" w:ascii="宋体" w:hAnsi="宋体" w:cs="仿宋"/>
          <w:color w:val="auto"/>
          <w:sz w:val="24"/>
          <w:highlight w:val="none"/>
          <w:u w:val="none"/>
          <w:lang w:eastAsia="zh-CN"/>
        </w:rPr>
        <w:t>公</w:t>
      </w:r>
      <w:r>
        <w:rPr>
          <w:rFonts w:hint="eastAsia" w:ascii="宋体" w:hAnsi="宋体" w:cs="仿宋"/>
          <w:color w:val="auto"/>
          <w:sz w:val="24"/>
          <w:highlight w:val="none"/>
          <w:u w:val="none"/>
        </w:rPr>
        <w:t>章</w:t>
      </w:r>
      <w:r>
        <w:rPr>
          <w:rFonts w:hint="eastAsia" w:ascii="宋体" w:hAnsi="宋体" w:cs="仿宋"/>
          <w:color w:val="auto"/>
          <w:sz w:val="24"/>
          <w:highlight w:val="none"/>
          <w:u w:val="none"/>
          <w:lang w:eastAsia="zh-CN"/>
        </w:rPr>
        <w:t>）</w:t>
      </w:r>
    </w:p>
    <w:p w14:paraId="3DB03979">
      <w:pPr>
        <w:keepNext w:val="0"/>
        <w:keepLines w:val="0"/>
        <w:pageBreakBefore w:val="0"/>
        <w:widowControl w:val="0"/>
        <w:kinsoku/>
        <w:wordWrap/>
        <w:overflowPunct/>
        <w:topLinePunct w:val="0"/>
        <w:autoSpaceDE/>
        <w:autoSpaceDN/>
        <w:bidi w:val="0"/>
        <w:adjustRightInd/>
        <w:snapToGrid/>
        <w:spacing w:line="800" w:lineRule="exact"/>
        <w:ind w:firstLine="840" w:firstLineChars="300"/>
        <w:textAlignment w:val="auto"/>
        <w:rPr>
          <w:rFonts w:hint="eastAsia"/>
          <w:color w:val="auto"/>
          <w:highlight w:val="none"/>
        </w:rPr>
      </w:pPr>
      <w:r>
        <w:rPr>
          <w:rFonts w:hint="eastAsia" w:ascii="宋体" w:hAnsi="宋体" w:cs="仿宋"/>
          <w:color w:val="auto"/>
          <w:sz w:val="28"/>
          <w:szCs w:val="28"/>
          <w:highlight w:val="none"/>
        </w:rPr>
        <w:t xml:space="preserve"> </w:t>
      </w:r>
      <w:r>
        <w:rPr>
          <w:rFonts w:hint="eastAsia" w:ascii="宋体" w:hAnsi="宋体" w:eastAsia="宋体" w:cs="仿宋"/>
          <w:color w:val="auto"/>
          <w:sz w:val="28"/>
          <w:szCs w:val="28"/>
          <w:highlight w:val="none"/>
          <w:lang w:val="en-US" w:eastAsia="zh-CN"/>
        </w:rPr>
        <w:t xml:space="preserve">     </w:t>
      </w:r>
      <w:r>
        <w:rPr>
          <w:rFonts w:hint="eastAsia" w:ascii="宋体" w:hAnsi="宋体" w:cs="仿宋"/>
          <w:color w:val="auto"/>
          <w:sz w:val="28"/>
          <w:szCs w:val="28"/>
          <w:highlight w:val="none"/>
          <w:lang w:val="en-US" w:eastAsia="zh-CN"/>
        </w:rPr>
        <w:t xml:space="preserve">  </w:t>
      </w:r>
      <w:r>
        <w:rPr>
          <w:rFonts w:hint="eastAsia" w:ascii="宋体" w:hAnsi="宋体" w:eastAsia="宋体" w:cs="宋体"/>
          <w:color w:val="auto"/>
          <w:kern w:val="1"/>
          <w:sz w:val="24"/>
          <w:szCs w:val="36"/>
          <w:highlight w:val="none"/>
        </w:rPr>
        <w:t>法定代表人或</w:t>
      </w:r>
      <w:r>
        <w:rPr>
          <w:rFonts w:hint="eastAsia" w:ascii="宋体" w:hAnsi="宋体" w:cs="宋体"/>
          <w:color w:val="auto"/>
          <w:sz w:val="24"/>
          <w:highlight w:val="none"/>
          <w:lang w:val="en-US" w:eastAsia="zh-CN"/>
        </w:rPr>
        <w:t>被</w:t>
      </w:r>
      <w:r>
        <w:rPr>
          <w:rFonts w:hint="eastAsia" w:ascii="宋体" w:hAnsi="宋体" w:eastAsia="宋体" w:cs="宋体"/>
          <w:color w:val="auto"/>
          <w:sz w:val="24"/>
          <w:highlight w:val="none"/>
        </w:rPr>
        <w:t>授权</w:t>
      </w:r>
      <w:r>
        <w:rPr>
          <w:rFonts w:hint="eastAsia" w:ascii="宋体" w:hAnsi="宋体" w:cs="宋体"/>
          <w:color w:val="auto"/>
          <w:sz w:val="24"/>
          <w:highlight w:val="none"/>
          <w:lang w:val="en-US" w:eastAsia="zh-CN"/>
        </w:rPr>
        <w:t>人</w:t>
      </w:r>
      <w:r>
        <w:rPr>
          <w:rFonts w:hint="eastAsia" w:ascii="宋体" w:hAnsi="宋体" w:eastAsia="宋体" w:cs="宋体"/>
          <w:color w:val="auto"/>
          <w:kern w:val="1"/>
          <w:sz w:val="24"/>
          <w:szCs w:val="36"/>
          <w:highlight w:val="none"/>
        </w:rPr>
        <w:t>：</w:t>
      </w:r>
      <w:r>
        <w:rPr>
          <w:rFonts w:hint="eastAsia" w:ascii="宋体" w:hAnsi="宋体" w:eastAsia="宋体" w:cs="宋体"/>
          <w:i/>
          <w:iCs/>
          <w:color w:val="auto"/>
          <w:kern w:val="1"/>
          <w:sz w:val="24"/>
          <w:szCs w:val="36"/>
          <w:highlight w:val="none"/>
          <w:u w:val="single"/>
        </w:rPr>
        <w:t xml:space="preserve">           </w:t>
      </w:r>
      <w:r>
        <w:rPr>
          <w:rFonts w:hint="eastAsia" w:ascii="宋体" w:hAnsi="宋体" w:cs="宋体"/>
          <w:i/>
          <w:iCs/>
          <w:color w:val="auto"/>
          <w:kern w:val="1"/>
          <w:sz w:val="24"/>
          <w:szCs w:val="36"/>
          <w:highlight w:val="none"/>
          <w:u w:val="single"/>
          <w:lang w:val="en-US" w:eastAsia="zh-CN"/>
        </w:rPr>
        <w:t xml:space="preserve"> </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color w:val="auto"/>
          <w:kern w:val="1"/>
          <w:sz w:val="24"/>
          <w:highlight w:val="none"/>
          <w:u w:val="none"/>
        </w:rPr>
        <w:t>（签字或盖章）</w:t>
      </w:r>
    </w:p>
    <w:p w14:paraId="5EAEB42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39C7E22">
      <w:pPr>
        <w:pStyle w:val="20"/>
        <w:rPr>
          <w:rFonts w:hint="eastAsia" w:hAnsi="宋体"/>
          <w:color w:val="auto"/>
          <w:sz w:val="28"/>
          <w:szCs w:val="28"/>
          <w:highlight w:val="none"/>
        </w:rPr>
      </w:pPr>
    </w:p>
    <w:p w14:paraId="452DF9D6">
      <w:pPr>
        <w:pStyle w:val="20"/>
        <w:rPr>
          <w:rFonts w:hint="eastAsia" w:hAnsi="宋体"/>
          <w:color w:val="auto"/>
          <w:sz w:val="28"/>
          <w:szCs w:val="28"/>
          <w:highlight w:val="none"/>
        </w:rPr>
      </w:pPr>
    </w:p>
    <w:p w14:paraId="1EDDF4CC">
      <w:pPr>
        <w:pStyle w:val="20"/>
        <w:rPr>
          <w:rFonts w:hint="eastAsia" w:hAnsi="宋体"/>
          <w:color w:val="auto"/>
          <w:sz w:val="28"/>
          <w:szCs w:val="28"/>
          <w:highlight w:val="none"/>
        </w:rPr>
      </w:pPr>
    </w:p>
    <w:p w14:paraId="400D6E58">
      <w:pPr>
        <w:pStyle w:val="20"/>
        <w:rPr>
          <w:rFonts w:hint="eastAsia" w:hAnsi="宋体"/>
          <w:color w:val="auto"/>
          <w:sz w:val="28"/>
          <w:szCs w:val="28"/>
          <w:highlight w:val="none"/>
        </w:rPr>
      </w:pPr>
    </w:p>
    <w:p w14:paraId="1B4E54FE">
      <w:pPr>
        <w:pStyle w:val="20"/>
        <w:rPr>
          <w:rFonts w:hint="eastAsia" w:hAnsi="宋体"/>
          <w:color w:val="auto"/>
          <w:sz w:val="28"/>
          <w:szCs w:val="28"/>
          <w:highlight w:val="none"/>
        </w:rPr>
      </w:pPr>
    </w:p>
    <w:p w14:paraId="57E5E244">
      <w:pPr>
        <w:pStyle w:val="20"/>
        <w:rPr>
          <w:rFonts w:hint="eastAsia" w:hAnsi="宋体"/>
          <w:color w:val="auto"/>
          <w:sz w:val="28"/>
          <w:szCs w:val="28"/>
          <w:highlight w:val="none"/>
        </w:rPr>
      </w:pPr>
    </w:p>
    <w:p w14:paraId="611FF228">
      <w:pPr>
        <w:pStyle w:val="20"/>
        <w:rPr>
          <w:rFonts w:hint="eastAsia" w:hAnsi="宋体"/>
          <w:color w:val="auto"/>
          <w:sz w:val="28"/>
          <w:szCs w:val="28"/>
          <w:highlight w:val="none"/>
        </w:rPr>
      </w:pPr>
    </w:p>
    <w:p w14:paraId="332301EE">
      <w:pPr>
        <w:pStyle w:val="20"/>
        <w:rPr>
          <w:rFonts w:hint="eastAsia" w:hAnsi="宋体"/>
          <w:color w:val="auto"/>
          <w:sz w:val="28"/>
          <w:szCs w:val="28"/>
          <w:highlight w:val="none"/>
        </w:rPr>
      </w:pPr>
    </w:p>
    <w:p w14:paraId="27A61ECC">
      <w:pPr>
        <w:pStyle w:val="20"/>
        <w:rPr>
          <w:rFonts w:hint="eastAsia" w:hAnsi="宋体"/>
          <w:color w:val="auto"/>
          <w:sz w:val="28"/>
          <w:szCs w:val="28"/>
          <w:highlight w:val="none"/>
        </w:rPr>
      </w:pPr>
    </w:p>
    <w:p w14:paraId="3881D9D3">
      <w:pPr>
        <w:pStyle w:val="20"/>
        <w:rPr>
          <w:rFonts w:hint="eastAsia" w:hAnsi="宋体"/>
          <w:color w:val="auto"/>
          <w:sz w:val="28"/>
          <w:szCs w:val="28"/>
          <w:highlight w:val="none"/>
        </w:rPr>
      </w:pPr>
    </w:p>
    <w:p w14:paraId="2B6169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4"/>
          <w:kern w:val="0"/>
          <w:sz w:val="24"/>
          <w:szCs w:val="24"/>
          <w:highlight w:val="none"/>
          <w:lang w:val="en-US" w:eastAsia="zh-CN" w:bidi="ar-SA"/>
        </w:rPr>
      </w:pPr>
    </w:p>
    <w:p w14:paraId="3D7B12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格式</w:t>
      </w:r>
      <w:r>
        <w:rPr>
          <w:rFonts w:hint="eastAsia" w:ascii="宋体" w:hAnsi="宋体" w:cs="宋体"/>
          <w:color w:val="auto"/>
          <w:spacing w:val="-4"/>
          <w:kern w:val="0"/>
          <w:sz w:val="24"/>
          <w:szCs w:val="24"/>
          <w:highlight w:val="none"/>
          <w:lang w:val="en-US" w:eastAsia="zh-CN" w:bidi="ar-SA"/>
        </w:rPr>
        <w:t>3</w:t>
      </w:r>
      <w:r>
        <w:rPr>
          <w:rFonts w:hint="eastAsia" w:ascii="宋体" w:hAnsi="宋体" w:eastAsia="宋体" w:cs="宋体"/>
          <w:color w:val="auto"/>
          <w:spacing w:val="-4"/>
          <w:kern w:val="0"/>
          <w:sz w:val="24"/>
          <w:szCs w:val="24"/>
          <w:highlight w:val="none"/>
          <w:lang w:val="en-US" w:eastAsia="zh-CN" w:bidi="ar-SA"/>
        </w:rPr>
        <w:t>：</w:t>
      </w:r>
    </w:p>
    <w:p w14:paraId="629373D9">
      <w:pPr>
        <w:pStyle w:val="20"/>
        <w:rPr>
          <w:rFonts w:hint="eastAsia"/>
          <w:color w:val="auto"/>
          <w:highlight w:val="none"/>
        </w:rPr>
      </w:pPr>
    </w:p>
    <w:p w14:paraId="101421E5">
      <w:pPr>
        <w:pStyle w:val="20"/>
        <w:rPr>
          <w:rFonts w:hint="eastAsia"/>
          <w:color w:val="auto"/>
          <w:highlight w:val="none"/>
        </w:rPr>
      </w:pPr>
    </w:p>
    <w:p w14:paraId="29964FF5">
      <w:pPr>
        <w:spacing w:line="360" w:lineRule="auto"/>
        <w:jc w:val="center"/>
        <w:outlineLvl w:val="9"/>
        <w:rPr>
          <w:rFonts w:hint="eastAsia" w:ascii="宋体" w:hAnsi="宋体"/>
          <w:b/>
          <w:bCs/>
          <w:snapToGrid w:val="0"/>
          <w:color w:val="auto"/>
          <w:spacing w:val="-6"/>
          <w:kern w:val="2"/>
          <w:sz w:val="32"/>
          <w:szCs w:val="32"/>
          <w:highlight w:val="none"/>
          <w:lang w:val="en-US" w:eastAsia="zh-CN" w:bidi="ar-SA"/>
        </w:rPr>
      </w:pPr>
      <w:bookmarkStart w:id="133" w:name="_Toc20550"/>
      <w:bookmarkStart w:id="134" w:name="_Toc15853"/>
      <w:r>
        <w:rPr>
          <w:rFonts w:hint="eastAsia" w:ascii="宋体" w:hAnsi="宋体"/>
          <w:b/>
          <w:bCs/>
          <w:snapToGrid w:val="0"/>
          <w:color w:val="auto"/>
          <w:spacing w:val="-6"/>
          <w:kern w:val="2"/>
          <w:sz w:val="32"/>
          <w:szCs w:val="32"/>
          <w:highlight w:val="none"/>
          <w:lang w:val="en-US" w:eastAsia="zh-CN" w:bidi="ar-SA"/>
        </w:rPr>
        <w:t>具备履行合同所必需的设备和专业技术能力的说明及承诺书</w:t>
      </w:r>
      <w:bookmarkEnd w:id="133"/>
      <w:bookmarkEnd w:id="134"/>
    </w:p>
    <w:p w14:paraId="1663617A">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1308A0A8">
      <w:pPr>
        <w:pStyle w:val="122"/>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eastAsia="宋体" w:cs="宋体"/>
          <w:color w:val="auto"/>
          <w:sz w:val="24"/>
          <w:szCs w:val="24"/>
          <w:highlight w:val="none"/>
        </w:rPr>
        <w:t>投标活动，如我方获得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资格，我方保证具备履行合同所必需的设备和专业技术能力：并承诺如下：</w:t>
      </w:r>
    </w:p>
    <w:p w14:paraId="3E8CB208">
      <w:pPr>
        <w:pStyle w:val="122"/>
        <w:keepNext w:val="0"/>
        <w:keepLines w:val="0"/>
        <w:pageBreakBefore w:val="0"/>
        <w:kinsoku/>
        <w:wordWrap/>
        <w:overflowPunct/>
        <w:topLinePunct w:val="0"/>
        <w:autoSpaceDE/>
        <w:autoSpaceDN/>
        <w:bidi w:val="0"/>
        <w:adjustRightInd/>
        <w:snapToGrid/>
        <w:spacing w:line="560" w:lineRule="exact"/>
        <w:ind w:firstLine="42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rPr>
        <w:t>（供应商名称）于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在中华人民共和国境内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（详细注册地址）合法注册并经营，公司主营业务为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，营业（生产经营）面积为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，现有员工数量为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，其中与履行本合同相关的专业技术人员数量有</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w w:val="100"/>
          <w:position w:val="0"/>
          <w:sz w:val="24"/>
          <w:szCs w:val="24"/>
          <w:highlight w:val="none"/>
        </w:rPr>
        <w:t>我公司保证具备履行合同所必需的设备和专业技术能力，</w:t>
      </w:r>
      <w:r>
        <w:rPr>
          <w:rFonts w:hint="eastAsia" w:ascii="宋体" w:hAnsi="宋体" w:eastAsia="宋体" w:cs="宋体"/>
          <w:color w:val="auto"/>
          <w:spacing w:val="0"/>
          <w:w w:val="100"/>
          <w:position w:val="0"/>
          <w:sz w:val="24"/>
          <w:szCs w:val="24"/>
          <w:highlight w:val="none"/>
          <w:lang w:val="en-US" w:eastAsia="zh-CN"/>
        </w:rPr>
        <w:t>能胜任本项目的服务工作</w:t>
      </w:r>
      <w:r>
        <w:rPr>
          <w:rFonts w:hint="eastAsia" w:ascii="宋体" w:hAnsi="宋体" w:eastAsia="宋体" w:cs="宋体"/>
          <w:color w:val="auto"/>
          <w:spacing w:val="0"/>
          <w:w w:val="100"/>
          <w:position w:val="0"/>
          <w:sz w:val="24"/>
          <w:szCs w:val="24"/>
          <w:highlight w:val="none"/>
        </w:rPr>
        <w:t>。</w:t>
      </w:r>
    </w:p>
    <w:p w14:paraId="33420FC3">
      <w:pPr>
        <w:pStyle w:val="122"/>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w:t>
      </w:r>
      <w:r>
        <w:rPr>
          <w:rFonts w:hint="eastAsia" w:ascii="宋体" w:hAnsi="宋体" w:eastAsia="宋体" w:cs="宋体"/>
          <w:color w:val="auto"/>
          <w:sz w:val="24"/>
          <w:szCs w:val="24"/>
          <w:highlight w:val="none"/>
          <w:lang w:val="en-US" w:eastAsia="zh-CN" w:bidi="en-US"/>
        </w:rPr>
        <w:t>一切</w:t>
      </w:r>
      <w:r>
        <w:rPr>
          <w:rFonts w:hint="eastAsia" w:ascii="宋体" w:hAnsi="宋体" w:eastAsia="宋体" w:cs="宋体"/>
          <w:color w:val="auto"/>
          <w:sz w:val="24"/>
          <w:szCs w:val="24"/>
          <w:highlight w:val="none"/>
        </w:rPr>
        <w:t>法律责任。</w:t>
      </w:r>
    </w:p>
    <w:p w14:paraId="4EC60B3C">
      <w:pPr>
        <w:pStyle w:val="20"/>
        <w:spacing w:line="360" w:lineRule="auto"/>
        <w:outlineLvl w:val="9"/>
        <w:rPr>
          <w:rFonts w:hint="eastAsia" w:ascii="宋体" w:hAnsi="宋体" w:cs="宋体"/>
          <w:color w:val="auto"/>
          <w:sz w:val="24"/>
          <w:szCs w:val="24"/>
          <w:highlight w:val="none"/>
        </w:rPr>
      </w:pPr>
    </w:p>
    <w:p w14:paraId="76659461">
      <w:pPr>
        <w:pStyle w:val="20"/>
        <w:spacing w:line="360" w:lineRule="auto"/>
        <w:outlineLvl w:val="9"/>
        <w:rPr>
          <w:rFonts w:hint="eastAsia" w:ascii="宋体" w:hAnsi="宋体" w:cs="宋体"/>
          <w:color w:val="auto"/>
          <w:sz w:val="24"/>
          <w:szCs w:val="24"/>
          <w:highlight w:val="none"/>
        </w:rPr>
      </w:pPr>
    </w:p>
    <w:p w14:paraId="12197770">
      <w:pPr>
        <w:pStyle w:val="20"/>
        <w:outlineLvl w:val="9"/>
        <w:rPr>
          <w:rFonts w:hint="eastAsia"/>
          <w:color w:val="auto"/>
          <w:highlight w:val="none"/>
        </w:rPr>
      </w:pPr>
    </w:p>
    <w:p w14:paraId="43BC25D9">
      <w:pPr>
        <w:pStyle w:val="12"/>
        <w:keepNext w:val="0"/>
        <w:keepLines w:val="0"/>
        <w:pageBreakBefore w:val="0"/>
        <w:widowControl w:val="0"/>
        <w:kinsoku/>
        <w:wordWrap/>
        <w:overflowPunct/>
        <w:topLinePunct w:val="0"/>
        <w:autoSpaceDE/>
        <w:autoSpaceDN/>
        <w:bidi w:val="0"/>
        <w:adjustRightInd/>
        <w:snapToGrid/>
        <w:spacing w:line="400" w:lineRule="exact"/>
        <w:ind w:firstLine="2160"/>
        <w:textAlignment w:val="auto"/>
        <w:outlineLvl w:val="9"/>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732624C4">
      <w:pPr>
        <w:keepNext w:val="0"/>
        <w:keepLines w:val="0"/>
        <w:pageBreakBefore w:val="0"/>
        <w:widowControl w:val="0"/>
        <w:kinsoku/>
        <w:wordWrap/>
        <w:overflowPunct/>
        <w:topLinePunct w:val="0"/>
        <w:autoSpaceDE/>
        <w:autoSpaceDN/>
        <w:bidi w:val="0"/>
        <w:adjustRightInd/>
        <w:snapToGrid/>
        <w:spacing w:line="400" w:lineRule="exact"/>
        <w:ind w:firstLine="1200"/>
        <w:textAlignment w:val="auto"/>
        <w:outlineLvl w:val="9"/>
        <w:rPr>
          <w:rFonts w:hint="eastAsia" w:ascii="宋体" w:hAnsi="宋体" w:cs="宋体"/>
          <w:color w:val="auto"/>
          <w:kern w:val="1"/>
          <w:sz w:val="24"/>
          <w:szCs w:val="36"/>
          <w:highlight w:val="none"/>
        </w:rPr>
      </w:pPr>
    </w:p>
    <w:p w14:paraId="5D5C7A8D">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4"/>
          <w:highlight w:val="none"/>
          <w:u w:val="singl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法定代表人或</w:t>
      </w:r>
      <w:r>
        <w:rPr>
          <w:rFonts w:hint="eastAsia" w:ascii="宋体" w:hAnsi="宋体" w:cs="仿宋"/>
          <w:color w:val="auto"/>
          <w:sz w:val="24"/>
          <w:highlight w:val="none"/>
          <w:lang w:eastAsia="zh-CN"/>
        </w:rPr>
        <w:t>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（签字或盖章）</w:t>
      </w:r>
    </w:p>
    <w:p w14:paraId="0CDEE09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eastAsia="宋体"/>
          <w:color w:val="auto"/>
          <w:highlight w:val="none"/>
          <w:lang w:val="en-US" w:eastAsia="zh-CN"/>
        </w:rPr>
      </w:pPr>
      <w:r>
        <w:rPr>
          <w:rFonts w:hint="eastAsia"/>
          <w:color w:val="auto"/>
          <w:highlight w:val="none"/>
          <w:lang w:val="en-US" w:eastAsia="zh-CN"/>
        </w:rPr>
        <w:t xml:space="preserve">  </w:t>
      </w:r>
    </w:p>
    <w:p w14:paraId="4D8D0A87">
      <w:pPr>
        <w:pStyle w:val="12"/>
        <w:keepNext w:val="0"/>
        <w:keepLines w:val="0"/>
        <w:pageBreakBefore w:val="0"/>
        <w:widowControl w:val="0"/>
        <w:kinsoku/>
        <w:wordWrap/>
        <w:overflowPunct/>
        <w:topLinePunct w:val="0"/>
        <w:autoSpaceDE/>
        <w:autoSpaceDN/>
        <w:bidi w:val="0"/>
        <w:adjustRightInd/>
        <w:snapToGrid/>
        <w:spacing w:line="400" w:lineRule="exact"/>
        <w:ind w:firstLine="2160" w:firstLineChars="900"/>
        <w:textAlignment w:val="auto"/>
        <w:outlineLvl w:val="9"/>
        <w:rPr>
          <w:rFonts w:hint="eastAsia"/>
          <w:color w:val="auto"/>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b/>
          <w:color w:val="auto"/>
          <w:highlight w:val="none"/>
        </w:rPr>
        <w:t xml:space="preserve"> </w:t>
      </w:r>
      <w:r>
        <w:rPr>
          <w:rFonts w:hint="eastAsia" w:ascii="宋体" w:hAnsi="宋体" w:cs="宋体"/>
          <w:color w:val="auto"/>
          <w:sz w:val="24"/>
          <w:highlight w:val="none"/>
        </w:rPr>
        <w:t>日</w:t>
      </w:r>
    </w:p>
    <w:p w14:paraId="78DA91E4">
      <w:pPr>
        <w:pStyle w:val="12"/>
        <w:ind w:firstLine="1890" w:firstLineChars="900"/>
        <w:outlineLvl w:val="9"/>
        <w:rPr>
          <w:rFonts w:hint="eastAsia"/>
          <w:color w:val="auto"/>
          <w:highlight w:val="none"/>
          <w:lang w:eastAsia="zh-CN"/>
        </w:rPr>
      </w:pPr>
    </w:p>
    <w:p w14:paraId="26D7118E">
      <w:pPr>
        <w:topLinePunct w:val="0"/>
        <w:bidi w:val="0"/>
        <w:spacing w:line="360" w:lineRule="auto"/>
        <w:rPr>
          <w:color w:val="auto"/>
          <w:highlight w:val="none"/>
        </w:rPr>
      </w:pPr>
    </w:p>
    <w:p w14:paraId="3A9A2A8E">
      <w:pPr>
        <w:pStyle w:val="20"/>
        <w:rPr>
          <w:color w:val="auto"/>
          <w:highlight w:val="none"/>
        </w:rPr>
      </w:pPr>
    </w:p>
    <w:p w14:paraId="4C35156B">
      <w:pPr>
        <w:pStyle w:val="20"/>
        <w:rPr>
          <w:color w:val="auto"/>
          <w:highlight w:val="none"/>
        </w:rPr>
      </w:pPr>
    </w:p>
    <w:p w14:paraId="531DA360">
      <w:pPr>
        <w:pStyle w:val="20"/>
        <w:rPr>
          <w:color w:val="auto"/>
          <w:highlight w:val="none"/>
        </w:rPr>
      </w:pPr>
    </w:p>
    <w:p w14:paraId="12C1D208">
      <w:pPr>
        <w:pStyle w:val="20"/>
        <w:rPr>
          <w:color w:val="auto"/>
          <w:highlight w:val="none"/>
        </w:rPr>
      </w:pPr>
    </w:p>
    <w:p w14:paraId="5B56D926">
      <w:pPr>
        <w:pStyle w:val="20"/>
        <w:rPr>
          <w:color w:val="auto"/>
          <w:highlight w:val="none"/>
        </w:rPr>
      </w:pPr>
    </w:p>
    <w:p w14:paraId="6DB530F0">
      <w:pPr>
        <w:pStyle w:val="20"/>
        <w:rPr>
          <w:color w:val="auto"/>
          <w:highlight w:val="none"/>
        </w:rPr>
      </w:pPr>
    </w:p>
    <w:p w14:paraId="1D72A249">
      <w:pPr>
        <w:pStyle w:val="20"/>
        <w:rPr>
          <w:color w:val="auto"/>
          <w:highlight w:val="none"/>
        </w:rPr>
      </w:pPr>
    </w:p>
    <w:p w14:paraId="59938D19">
      <w:pPr>
        <w:pStyle w:val="20"/>
        <w:rPr>
          <w:color w:val="auto"/>
          <w:highlight w:val="none"/>
        </w:rPr>
      </w:pPr>
    </w:p>
    <w:p w14:paraId="230D632C">
      <w:pPr>
        <w:pStyle w:val="20"/>
        <w:rPr>
          <w:color w:val="auto"/>
          <w:highlight w:val="none"/>
        </w:rPr>
      </w:pPr>
    </w:p>
    <w:p w14:paraId="05283E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格式</w:t>
      </w:r>
      <w:r>
        <w:rPr>
          <w:rFonts w:hint="eastAsia" w:ascii="宋体" w:hAnsi="宋体" w:cs="宋体"/>
          <w:color w:val="auto"/>
          <w:spacing w:val="-4"/>
          <w:kern w:val="0"/>
          <w:sz w:val="24"/>
          <w:szCs w:val="24"/>
          <w:highlight w:val="none"/>
          <w:lang w:val="en-US" w:eastAsia="zh-CN" w:bidi="ar-SA"/>
        </w:rPr>
        <w:t>4</w:t>
      </w:r>
      <w:r>
        <w:rPr>
          <w:rFonts w:hint="eastAsia" w:ascii="宋体" w:hAnsi="宋体" w:eastAsia="宋体" w:cs="宋体"/>
          <w:color w:val="auto"/>
          <w:spacing w:val="-4"/>
          <w:kern w:val="0"/>
          <w:sz w:val="24"/>
          <w:szCs w:val="24"/>
          <w:highlight w:val="none"/>
          <w:lang w:val="en-US" w:eastAsia="zh-CN" w:bidi="ar-SA"/>
        </w:rPr>
        <w:t>：</w:t>
      </w:r>
    </w:p>
    <w:p w14:paraId="2BD98E0E">
      <w:pPr>
        <w:pStyle w:val="3"/>
        <w:topLinePunct w:val="0"/>
        <w:bidi w:val="0"/>
        <w:adjustRightInd w:val="0"/>
        <w:spacing w:line="360" w:lineRule="auto"/>
        <w:textAlignment w:val="baseline"/>
        <w:rPr>
          <w:rFonts w:ascii="宋体" w:hAnsi="宋体" w:cs="宋体"/>
          <w:color w:val="auto"/>
          <w:highlight w:val="none"/>
        </w:rPr>
      </w:pPr>
      <w:r>
        <w:rPr>
          <w:rFonts w:hint="eastAsia" w:ascii="宋体" w:hAnsi="宋体" w:cs="宋体"/>
          <w:color w:val="auto"/>
          <w:highlight w:val="none"/>
        </w:rPr>
        <w:t>中小企业声明函</w:t>
      </w:r>
    </w:p>
    <w:p w14:paraId="6C8247CC">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46号）的规定，本公司（联合体）参加</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lang w:val="en-US" w:eastAsia="zh-CN"/>
        </w:rPr>
        <w:t>采购活动，</w:t>
      </w:r>
      <w:r>
        <w:rPr>
          <w:rFonts w:hint="eastAsia" w:ascii="宋体" w:hAnsi="宋体" w:cs="宋体"/>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color w:val="auto"/>
          <w:sz w:val="24"/>
          <w:szCs w:val="24"/>
          <w:lang w:val="en-US" w:eastAsia="zh-CN"/>
        </w:rPr>
        <w:t>。相关企业（含联合体中的中小企业、签订分包意向协议的中小企业） 的具体情况如下：</w:t>
      </w:r>
    </w:p>
    <w:p w14:paraId="3CA24808">
      <w:pPr>
        <w:pStyle w:val="87"/>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single"/>
          <w:lang w:val="en-US" w:eastAsia="zh-CN" w:bidi="ar-SA"/>
        </w:rPr>
        <w:t>（标的名称 ）</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（采购文件中明确的所属行业）行业</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1638340B">
      <w:pPr>
        <w:pStyle w:val="87"/>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（采购文件中明确的所属行业）行业</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2AF83D6D">
      <w:pPr>
        <w:pStyle w:val="12"/>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549A3265">
      <w:pPr>
        <w:pStyle w:val="12"/>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79307176">
      <w:pPr>
        <w:pStyle w:val="12"/>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sz w:val="24"/>
          <w:szCs w:val="24"/>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3C2B00B2">
      <w:pPr>
        <w:tabs>
          <w:tab w:val="left" w:pos="465"/>
          <w:tab w:val="left" w:pos="780"/>
        </w:tabs>
        <w:spacing w:line="360" w:lineRule="auto"/>
        <w:ind w:firstLine="480" w:firstLineChars="200"/>
        <w:rPr>
          <w:rFonts w:hint="eastAsia" w:ascii="宋体" w:hAnsi="宋体" w:eastAsia="宋体"/>
          <w:color w:val="auto"/>
          <w:sz w:val="24"/>
          <w:szCs w:val="24"/>
          <w:lang w:eastAsia="zh-CN"/>
        </w:rPr>
      </w:pPr>
    </w:p>
    <w:p w14:paraId="122F151B">
      <w:pPr>
        <w:tabs>
          <w:tab w:val="left" w:pos="465"/>
          <w:tab w:val="left" w:pos="780"/>
        </w:tabs>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注：从业人员、营业收入、资产总额填报上一年度数据，无上一年度数据的新成立企业可不填报。</w:t>
      </w:r>
      <w:r>
        <w:rPr>
          <w:rFonts w:hint="eastAsia" w:ascii="宋体" w:hAnsi="宋体" w:eastAsia="宋体"/>
          <w:color w:val="auto"/>
          <w:sz w:val="24"/>
          <w:szCs w:val="24"/>
          <w:lang w:eastAsia="zh-CN"/>
        </w:rPr>
        <w:t>）</w:t>
      </w:r>
    </w:p>
    <w:p w14:paraId="6685F04D">
      <w:pPr>
        <w:pStyle w:val="20"/>
        <w:rPr>
          <w:rFonts w:hint="eastAsia" w:ascii="宋体" w:hAnsi="宋体" w:eastAsia="宋体"/>
          <w:color w:val="auto"/>
          <w:sz w:val="24"/>
          <w:szCs w:val="24"/>
          <w:lang w:eastAsia="zh-CN"/>
        </w:rPr>
      </w:pPr>
    </w:p>
    <w:p w14:paraId="6226C301">
      <w:pPr>
        <w:pStyle w:val="20"/>
        <w:rPr>
          <w:rFonts w:hint="eastAsia" w:ascii="宋体" w:hAnsi="宋体" w:eastAsia="宋体"/>
          <w:color w:val="auto"/>
          <w:sz w:val="24"/>
          <w:szCs w:val="24"/>
          <w:lang w:val="en-US" w:eastAsia="zh-CN"/>
        </w:rPr>
      </w:pPr>
    </w:p>
    <w:p w14:paraId="7F5A2718">
      <w:pPr>
        <w:pStyle w:val="20"/>
        <w:rPr>
          <w:rFonts w:hint="eastAsia" w:ascii="宋体" w:hAnsi="宋体" w:eastAsia="宋体"/>
          <w:color w:val="auto"/>
          <w:sz w:val="24"/>
          <w:szCs w:val="24"/>
          <w:lang w:val="en-US" w:eastAsia="zh-CN"/>
        </w:rPr>
      </w:pPr>
    </w:p>
    <w:p w14:paraId="378881A9">
      <w:pPr>
        <w:pStyle w:val="20"/>
        <w:ind w:firstLine="4320" w:firstLineChars="1800"/>
        <w:rPr>
          <w:rFonts w:hint="default" w:ascii="宋体" w:hAnsi="宋体" w:eastAsia="宋体"/>
          <w:color w:val="auto"/>
          <w:sz w:val="24"/>
          <w:szCs w:val="24"/>
          <w:u w:val="single"/>
          <w:lang w:val="en-US" w:eastAsia="zh-CN"/>
        </w:rPr>
      </w:pPr>
      <w:r>
        <w:rPr>
          <w:rFonts w:hint="eastAsia" w:ascii="宋体" w:hAnsi="宋体" w:eastAsia="宋体"/>
          <w:color w:val="auto"/>
          <w:sz w:val="24"/>
          <w:szCs w:val="24"/>
          <w:lang w:val="en-US" w:eastAsia="zh-CN"/>
        </w:rPr>
        <w:t>企业名称（盖章）：</w:t>
      </w:r>
      <w:r>
        <w:rPr>
          <w:rFonts w:hint="eastAsia" w:ascii="宋体" w:hAnsi="宋体" w:eastAsia="宋体"/>
          <w:color w:val="auto"/>
          <w:sz w:val="24"/>
          <w:szCs w:val="24"/>
          <w:u w:val="single"/>
          <w:lang w:val="en-US" w:eastAsia="zh-CN"/>
        </w:rPr>
        <w:t xml:space="preserve">             </w:t>
      </w:r>
    </w:p>
    <w:p w14:paraId="72889D8E">
      <w:pPr>
        <w:pStyle w:val="20"/>
        <w:rPr>
          <w:rFonts w:hint="eastAsia" w:ascii="宋体" w:hAnsi="宋体" w:eastAsia="宋体"/>
          <w:color w:val="auto"/>
          <w:sz w:val="24"/>
          <w:szCs w:val="24"/>
          <w:lang w:val="en-US" w:eastAsia="zh-CN"/>
        </w:rPr>
      </w:pPr>
    </w:p>
    <w:p w14:paraId="041B11DB">
      <w:pPr>
        <w:pStyle w:val="20"/>
        <w:ind w:firstLine="4320" w:firstLineChars="1800"/>
        <w:rPr>
          <w:color w:val="auto"/>
          <w:highlight w:val="none"/>
        </w:rPr>
        <w:sectPr>
          <w:footerReference r:id="rId6" w:type="default"/>
          <w:pgSz w:w="11906" w:h="16838"/>
          <w:pgMar w:top="1440" w:right="1701" w:bottom="1440" w:left="1701" w:header="850" w:footer="992" w:gutter="0"/>
          <w:pgBorders>
            <w:top w:val="none" w:sz="0" w:space="0"/>
            <w:left w:val="none" w:sz="0" w:space="0"/>
            <w:bottom w:val="none" w:sz="0" w:space="0"/>
            <w:right w:val="none" w:sz="0" w:space="0"/>
          </w:pgBorders>
          <w:pgNumType w:fmt="decimal"/>
          <w:cols w:space="0" w:num="1"/>
          <w:rtlGutter w:val="0"/>
          <w:docGrid w:type="lines" w:linePitch="325" w:charSpace="0"/>
        </w:sectPr>
      </w:pPr>
      <w:r>
        <w:rPr>
          <w:rFonts w:hint="eastAsia" w:ascii="宋体" w:hAnsi="宋体" w:eastAsia="宋体"/>
          <w:color w:val="auto"/>
          <w:sz w:val="24"/>
          <w:szCs w:val="24"/>
          <w:lang w:val="en-US" w:eastAsia="zh-CN"/>
        </w:rPr>
        <w:t>日期：</w:t>
      </w:r>
      <w:r>
        <w:rPr>
          <w:rFonts w:hint="eastAsia" w:ascii="宋体" w:hAnsi="宋体" w:eastAsia="宋体"/>
          <w:color w:val="auto"/>
          <w:sz w:val="24"/>
          <w:szCs w:val="24"/>
          <w:u w:val="single"/>
          <w:lang w:val="en-US" w:eastAsia="zh-CN"/>
        </w:rPr>
        <w:t xml:space="preserve">                         </w:t>
      </w:r>
    </w:p>
    <w:bookmarkEnd w:id="127"/>
    <w:bookmarkEnd w:id="128"/>
    <w:bookmarkEnd w:id="129"/>
    <w:bookmarkEnd w:id="130"/>
    <w:p w14:paraId="60B48E8C">
      <w:pPr>
        <w:jc w:val="center"/>
        <w:rPr>
          <w:rFonts w:hint="eastAsia" w:hAnsi="宋体" w:cs="仿宋"/>
          <w:b/>
          <w:bCs/>
          <w:color w:val="auto"/>
          <w:sz w:val="30"/>
          <w:szCs w:val="30"/>
        </w:rPr>
      </w:pPr>
      <w:bookmarkStart w:id="135" w:name="_Toc13065138"/>
      <w:bookmarkStart w:id="136" w:name="_Toc18426"/>
      <w:bookmarkStart w:id="137" w:name="_Toc1188"/>
      <w:bookmarkStart w:id="138" w:name="_Toc32169"/>
      <w:bookmarkStart w:id="139" w:name="_Toc14564"/>
      <w:bookmarkStart w:id="140" w:name="_Toc1408"/>
      <w:r>
        <w:rPr>
          <w:rFonts w:hint="eastAsia" w:hAnsi="宋体" w:cs="仿宋"/>
          <w:b/>
          <w:bCs/>
          <w:color w:val="auto"/>
          <w:sz w:val="30"/>
          <w:szCs w:val="30"/>
          <w:lang w:val="en-US" w:eastAsia="zh-CN"/>
        </w:rPr>
        <w:t>（六）近三年</w:t>
      </w:r>
      <w:r>
        <w:rPr>
          <w:rFonts w:hint="eastAsia" w:ascii="宋体" w:hAnsi="宋体" w:eastAsia="宋体" w:cs="宋体"/>
          <w:b/>
          <w:bCs/>
          <w:color w:val="auto"/>
          <w:sz w:val="30"/>
          <w:szCs w:val="30"/>
        </w:rPr>
        <w:t>类似项目业绩</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434"/>
        <w:gridCol w:w="1650"/>
        <w:gridCol w:w="1595"/>
      </w:tblGrid>
      <w:tr w14:paraId="748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2F97C20E">
            <w:pPr>
              <w:pStyle w:val="126"/>
              <w:spacing w:line="460" w:lineRule="exact"/>
              <w:rPr>
                <w:b w:val="0"/>
                <w:color w:val="auto"/>
                <w:sz w:val="24"/>
                <w:szCs w:val="24"/>
              </w:rPr>
            </w:pPr>
            <w:r>
              <w:rPr>
                <w:rFonts w:hint="eastAsia"/>
                <w:b w:val="0"/>
                <w:bCs/>
                <w:color w:val="auto"/>
                <w:sz w:val="24"/>
                <w:szCs w:val="24"/>
              </w:rPr>
              <w:t>序号</w:t>
            </w:r>
          </w:p>
        </w:tc>
        <w:tc>
          <w:tcPr>
            <w:tcW w:w="4434" w:type="dxa"/>
            <w:tcBorders>
              <w:top w:val="single" w:color="auto" w:sz="4" w:space="0"/>
              <w:left w:val="nil"/>
              <w:bottom w:val="single" w:color="auto" w:sz="4" w:space="0"/>
              <w:right w:val="single" w:color="auto" w:sz="4" w:space="0"/>
            </w:tcBorders>
            <w:noWrap w:val="0"/>
            <w:vAlign w:val="center"/>
          </w:tcPr>
          <w:p w14:paraId="1CDCE36B">
            <w:pPr>
              <w:pStyle w:val="126"/>
              <w:spacing w:line="460" w:lineRule="exact"/>
              <w:rPr>
                <w:b w:val="0"/>
                <w:color w:val="auto"/>
                <w:sz w:val="24"/>
                <w:szCs w:val="24"/>
              </w:rPr>
            </w:pPr>
            <w:r>
              <w:rPr>
                <w:rFonts w:hint="eastAsia"/>
                <w:b w:val="0"/>
                <w:bCs/>
                <w:color w:val="auto"/>
                <w:sz w:val="24"/>
                <w:szCs w:val="24"/>
              </w:rPr>
              <w:t>项目名称</w:t>
            </w:r>
          </w:p>
        </w:tc>
        <w:tc>
          <w:tcPr>
            <w:tcW w:w="1650" w:type="dxa"/>
            <w:tcBorders>
              <w:top w:val="single" w:color="auto" w:sz="4" w:space="0"/>
              <w:left w:val="nil"/>
              <w:bottom w:val="single" w:color="auto" w:sz="4" w:space="0"/>
              <w:right w:val="single" w:color="auto" w:sz="4" w:space="0"/>
            </w:tcBorders>
            <w:noWrap w:val="0"/>
            <w:vAlign w:val="center"/>
          </w:tcPr>
          <w:p w14:paraId="1BE8DD96">
            <w:pPr>
              <w:pStyle w:val="126"/>
              <w:spacing w:line="460" w:lineRule="exact"/>
              <w:rPr>
                <w:b w:val="0"/>
                <w:color w:val="auto"/>
                <w:sz w:val="24"/>
                <w:szCs w:val="24"/>
              </w:rPr>
            </w:pPr>
            <w:r>
              <w:rPr>
                <w:rFonts w:hint="eastAsia"/>
                <w:b w:val="0"/>
                <w:bCs/>
                <w:color w:val="auto"/>
                <w:sz w:val="24"/>
                <w:szCs w:val="24"/>
              </w:rPr>
              <w:t>中标金额</w:t>
            </w:r>
          </w:p>
        </w:tc>
        <w:tc>
          <w:tcPr>
            <w:tcW w:w="1595" w:type="dxa"/>
            <w:tcBorders>
              <w:top w:val="single" w:color="auto" w:sz="4" w:space="0"/>
              <w:left w:val="nil"/>
              <w:bottom w:val="single" w:color="auto" w:sz="4" w:space="0"/>
              <w:right w:val="single" w:color="auto" w:sz="4" w:space="0"/>
            </w:tcBorders>
            <w:noWrap w:val="0"/>
            <w:vAlign w:val="center"/>
          </w:tcPr>
          <w:p w14:paraId="36243E60">
            <w:pPr>
              <w:pStyle w:val="126"/>
              <w:spacing w:line="460" w:lineRule="exact"/>
              <w:rPr>
                <w:b w:val="0"/>
                <w:color w:val="auto"/>
                <w:sz w:val="24"/>
                <w:szCs w:val="24"/>
              </w:rPr>
            </w:pPr>
            <w:r>
              <w:rPr>
                <w:rFonts w:hint="eastAsia"/>
                <w:b w:val="0"/>
                <w:bCs/>
                <w:color w:val="auto"/>
                <w:sz w:val="24"/>
                <w:szCs w:val="24"/>
              </w:rPr>
              <w:t>备注</w:t>
            </w:r>
          </w:p>
        </w:tc>
      </w:tr>
      <w:tr w14:paraId="275D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6B389231">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3ABCC3B4">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70F64A99">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44843B66">
            <w:pPr>
              <w:pStyle w:val="126"/>
              <w:spacing w:line="460" w:lineRule="exact"/>
              <w:rPr>
                <w:b w:val="0"/>
                <w:color w:val="auto"/>
                <w:sz w:val="24"/>
                <w:szCs w:val="24"/>
              </w:rPr>
            </w:pPr>
          </w:p>
        </w:tc>
      </w:tr>
      <w:tr w14:paraId="14CF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3EFEFA5F">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48F284B7">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121FC95B">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45DE348A">
            <w:pPr>
              <w:pStyle w:val="126"/>
              <w:spacing w:line="460" w:lineRule="exact"/>
              <w:rPr>
                <w:b w:val="0"/>
                <w:color w:val="auto"/>
                <w:sz w:val="24"/>
                <w:szCs w:val="24"/>
              </w:rPr>
            </w:pPr>
          </w:p>
        </w:tc>
      </w:tr>
      <w:tr w14:paraId="2E70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62D23868">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526F4CCF">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7ECF4C7C">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4A09722F">
            <w:pPr>
              <w:pStyle w:val="126"/>
              <w:spacing w:line="460" w:lineRule="exact"/>
              <w:rPr>
                <w:b w:val="0"/>
                <w:color w:val="auto"/>
                <w:sz w:val="24"/>
                <w:szCs w:val="24"/>
              </w:rPr>
            </w:pPr>
          </w:p>
        </w:tc>
      </w:tr>
      <w:tr w14:paraId="26AD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6BD1C036">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4A4B405F">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19185AD7">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733C21A6">
            <w:pPr>
              <w:pStyle w:val="126"/>
              <w:spacing w:line="460" w:lineRule="exact"/>
              <w:rPr>
                <w:b w:val="0"/>
                <w:color w:val="auto"/>
                <w:sz w:val="24"/>
                <w:szCs w:val="24"/>
              </w:rPr>
            </w:pPr>
          </w:p>
        </w:tc>
      </w:tr>
      <w:tr w14:paraId="5DCE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762F931E">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35432C04">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17A306B8">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0F549338">
            <w:pPr>
              <w:pStyle w:val="126"/>
              <w:spacing w:line="460" w:lineRule="exact"/>
              <w:rPr>
                <w:b w:val="0"/>
                <w:color w:val="auto"/>
                <w:sz w:val="24"/>
                <w:szCs w:val="24"/>
              </w:rPr>
            </w:pPr>
          </w:p>
        </w:tc>
      </w:tr>
      <w:tr w14:paraId="3490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46E4081F">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2AEF86D5">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5334961E">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7B53C466">
            <w:pPr>
              <w:pStyle w:val="126"/>
              <w:spacing w:line="460" w:lineRule="exact"/>
              <w:rPr>
                <w:b w:val="0"/>
                <w:color w:val="auto"/>
                <w:sz w:val="24"/>
                <w:szCs w:val="24"/>
              </w:rPr>
            </w:pPr>
          </w:p>
        </w:tc>
      </w:tr>
      <w:tr w14:paraId="4E9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37F5A129">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753402BE">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18F7319F">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48221F9C">
            <w:pPr>
              <w:pStyle w:val="126"/>
              <w:spacing w:line="460" w:lineRule="exact"/>
              <w:rPr>
                <w:b w:val="0"/>
                <w:color w:val="auto"/>
                <w:sz w:val="24"/>
                <w:szCs w:val="24"/>
              </w:rPr>
            </w:pPr>
          </w:p>
        </w:tc>
      </w:tr>
      <w:tr w14:paraId="57FF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468818AD">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2F91DD42">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0F140632">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5322BFDC">
            <w:pPr>
              <w:pStyle w:val="126"/>
              <w:spacing w:line="460" w:lineRule="exact"/>
              <w:rPr>
                <w:b w:val="0"/>
                <w:color w:val="auto"/>
                <w:sz w:val="24"/>
                <w:szCs w:val="24"/>
              </w:rPr>
            </w:pPr>
          </w:p>
        </w:tc>
      </w:tr>
      <w:tr w14:paraId="377A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7308BEAE">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7D3405F9">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22489A5E">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292A31E6">
            <w:pPr>
              <w:pStyle w:val="126"/>
              <w:spacing w:line="460" w:lineRule="exact"/>
              <w:rPr>
                <w:b w:val="0"/>
                <w:color w:val="auto"/>
                <w:sz w:val="24"/>
                <w:szCs w:val="24"/>
              </w:rPr>
            </w:pPr>
          </w:p>
        </w:tc>
      </w:tr>
      <w:tr w14:paraId="625F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16D3BB71">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6139CA3D">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37968DF9">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2507BC86">
            <w:pPr>
              <w:pStyle w:val="126"/>
              <w:spacing w:line="460" w:lineRule="exact"/>
              <w:rPr>
                <w:b w:val="0"/>
                <w:color w:val="auto"/>
                <w:sz w:val="24"/>
                <w:szCs w:val="24"/>
              </w:rPr>
            </w:pPr>
          </w:p>
        </w:tc>
      </w:tr>
      <w:tr w14:paraId="14DB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1D02DDF6">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782465D6">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74ACB58A">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6A1D83FA">
            <w:pPr>
              <w:pStyle w:val="126"/>
              <w:spacing w:line="460" w:lineRule="exact"/>
              <w:rPr>
                <w:b w:val="0"/>
                <w:color w:val="auto"/>
                <w:sz w:val="24"/>
                <w:szCs w:val="24"/>
              </w:rPr>
            </w:pPr>
          </w:p>
        </w:tc>
      </w:tr>
      <w:tr w14:paraId="6422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4C16CD5D">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571B0F34">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672F3AF7">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767693E6">
            <w:pPr>
              <w:pStyle w:val="126"/>
              <w:spacing w:line="460" w:lineRule="exact"/>
              <w:rPr>
                <w:b w:val="0"/>
                <w:color w:val="auto"/>
                <w:sz w:val="24"/>
                <w:szCs w:val="24"/>
              </w:rPr>
            </w:pPr>
          </w:p>
        </w:tc>
      </w:tr>
      <w:tr w14:paraId="278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22DEAAF8">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774D54E2">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3D96D71C">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6E69382F">
            <w:pPr>
              <w:pStyle w:val="126"/>
              <w:spacing w:line="460" w:lineRule="exact"/>
              <w:rPr>
                <w:b w:val="0"/>
                <w:color w:val="auto"/>
                <w:sz w:val="24"/>
                <w:szCs w:val="24"/>
              </w:rPr>
            </w:pPr>
          </w:p>
        </w:tc>
      </w:tr>
      <w:tr w14:paraId="7ECA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7BB1C07B">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27A1D7A0">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16A7376F">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528A77E5">
            <w:pPr>
              <w:pStyle w:val="126"/>
              <w:spacing w:line="460" w:lineRule="exact"/>
              <w:rPr>
                <w:b w:val="0"/>
                <w:color w:val="auto"/>
                <w:sz w:val="24"/>
                <w:szCs w:val="24"/>
              </w:rPr>
            </w:pPr>
          </w:p>
        </w:tc>
      </w:tr>
      <w:tr w14:paraId="27D9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55C6E244">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66015308">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7BB6B91F">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1E30A945">
            <w:pPr>
              <w:pStyle w:val="126"/>
              <w:spacing w:line="460" w:lineRule="exact"/>
              <w:rPr>
                <w:b w:val="0"/>
                <w:color w:val="auto"/>
                <w:sz w:val="24"/>
                <w:szCs w:val="24"/>
              </w:rPr>
            </w:pPr>
          </w:p>
        </w:tc>
      </w:tr>
      <w:tr w14:paraId="65C8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22BBF345">
            <w:pPr>
              <w:pStyle w:val="126"/>
              <w:spacing w:line="460" w:lineRule="exact"/>
              <w:rPr>
                <w:b w:val="0"/>
                <w:color w:val="auto"/>
                <w:sz w:val="24"/>
                <w:szCs w:val="24"/>
              </w:rPr>
            </w:pPr>
          </w:p>
        </w:tc>
        <w:tc>
          <w:tcPr>
            <w:tcW w:w="4434" w:type="dxa"/>
            <w:tcBorders>
              <w:top w:val="single" w:color="auto" w:sz="4" w:space="0"/>
              <w:left w:val="nil"/>
              <w:bottom w:val="single" w:color="auto" w:sz="4" w:space="0"/>
              <w:right w:val="single" w:color="auto" w:sz="4" w:space="0"/>
            </w:tcBorders>
            <w:noWrap w:val="0"/>
            <w:vAlign w:val="center"/>
          </w:tcPr>
          <w:p w14:paraId="7E428434">
            <w:pPr>
              <w:pStyle w:val="126"/>
              <w:spacing w:line="460" w:lineRule="exact"/>
              <w:rPr>
                <w:b w:val="0"/>
                <w:color w:val="auto"/>
                <w:sz w:val="24"/>
                <w:szCs w:val="24"/>
              </w:rPr>
            </w:pPr>
          </w:p>
        </w:tc>
        <w:tc>
          <w:tcPr>
            <w:tcW w:w="1650" w:type="dxa"/>
            <w:tcBorders>
              <w:top w:val="single" w:color="auto" w:sz="4" w:space="0"/>
              <w:left w:val="nil"/>
              <w:bottom w:val="single" w:color="auto" w:sz="4" w:space="0"/>
              <w:right w:val="single" w:color="auto" w:sz="4" w:space="0"/>
            </w:tcBorders>
            <w:noWrap w:val="0"/>
            <w:vAlign w:val="center"/>
          </w:tcPr>
          <w:p w14:paraId="72B18FD1">
            <w:pPr>
              <w:pStyle w:val="126"/>
              <w:spacing w:line="460" w:lineRule="exact"/>
              <w:rPr>
                <w:b w:val="0"/>
                <w:color w:val="auto"/>
                <w:sz w:val="24"/>
                <w:szCs w:val="24"/>
              </w:rPr>
            </w:pPr>
          </w:p>
        </w:tc>
        <w:tc>
          <w:tcPr>
            <w:tcW w:w="1595" w:type="dxa"/>
            <w:tcBorders>
              <w:top w:val="single" w:color="auto" w:sz="4" w:space="0"/>
              <w:left w:val="nil"/>
              <w:bottom w:val="single" w:color="auto" w:sz="4" w:space="0"/>
              <w:right w:val="single" w:color="auto" w:sz="4" w:space="0"/>
            </w:tcBorders>
            <w:noWrap w:val="0"/>
            <w:vAlign w:val="center"/>
          </w:tcPr>
          <w:p w14:paraId="7666F950">
            <w:pPr>
              <w:pStyle w:val="126"/>
              <w:spacing w:line="460" w:lineRule="exact"/>
              <w:rPr>
                <w:b w:val="0"/>
                <w:color w:val="auto"/>
                <w:sz w:val="24"/>
                <w:szCs w:val="24"/>
              </w:rPr>
            </w:pPr>
          </w:p>
        </w:tc>
      </w:tr>
    </w:tbl>
    <w:p w14:paraId="68E6FBEC">
      <w:pPr>
        <w:rPr>
          <w:rFonts w:hint="eastAsia" w:ascii="宋体" w:hAnsi="宋体"/>
          <w:color w:val="auto"/>
        </w:rPr>
      </w:pPr>
    </w:p>
    <w:p w14:paraId="55EE5F29">
      <w:pPr>
        <w:rPr>
          <w:rFonts w:hint="eastAsia" w:ascii="宋体" w:hAnsi="宋体"/>
          <w:color w:val="auto"/>
        </w:rPr>
      </w:pPr>
      <w:r>
        <w:rPr>
          <w:rFonts w:hint="eastAsia" w:ascii="宋体" w:hAnsi="宋体"/>
          <w:color w:val="auto"/>
        </w:rPr>
        <w:t>注：后附</w:t>
      </w:r>
      <w:r>
        <w:rPr>
          <w:rFonts w:hint="eastAsia" w:ascii="宋体" w:hAnsi="宋体"/>
          <w:color w:val="auto"/>
          <w:lang w:val="en-US" w:eastAsia="zh-CN"/>
        </w:rPr>
        <w:t>合同或中标（成交）通知书</w:t>
      </w:r>
      <w:r>
        <w:rPr>
          <w:rFonts w:hint="eastAsia" w:ascii="宋体" w:hAnsi="宋体"/>
          <w:color w:val="auto"/>
        </w:rPr>
        <w:t>复印件</w:t>
      </w:r>
      <w:r>
        <w:rPr>
          <w:rFonts w:hint="eastAsia" w:ascii="宋体" w:hAnsi="宋体"/>
          <w:color w:val="auto"/>
          <w:lang w:val="en-US" w:eastAsia="zh-CN"/>
        </w:rPr>
        <w:t>或</w:t>
      </w:r>
      <w:r>
        <w:rPr>
          <w:rFonts w:hint="eastAsia" w:ascii="宋体" w:hAnsi="宋体"/>
          <w:color w:val="auto"/>
        </w:rPr>
        <w:t>扫描件并加盖单位公</w:t>
      </w:r>
      <w:r>
        <w:rPr>
          <w:rFonts w:hint="eastAsia" w:ascii="宋体" w:hAnsi="宋体"/>
          <w:color w:val="auto"/>
          <w:highlight w:val="none"/>
        </w:rPr>
        <w:t>章</w:t>
      </w:r>
      <w:r>
        <w:rPr>
          <w:rFonts w:hint="eastAsia" w:ascii="宋体" w:hAnsi="宋体" w:cs="宋体"/>
          <w:color w:val="auto"/>
          <w:szCs w:val="21"/>
          <w:highlight w:val="none"/>
        </w:rPr>
        <w:t>。</w:t>
      </w:r>
    </w:p>
    <w:p w14:paraId="3D39C1F1">
      <w:pPr>
        <w:rPr>
          <w:rFonts w:hint="eastAsia" w:ascii="宋体" w:hAnsi="宋体" w:cs="宋体"/>
          <w:color w:val="auto"/>
          <w:highlight w:val="none"/>
          <w:lang w:eastAsia="zh-CN"/>
        </w:rPr>
      </w:pPr>
      <w:r>
        <w:rPr>
          <w:rFonts w:hint="eastAsia" w:ascii="宋体" w:hAnsi="宋体" w:cs="宋体"/>
          <w:color w:val="auto"/>
          <w:highlight w:val="none"/>
          <w:lang w:eastAsia="zh-CN"/>
        </w:rPr>
        <w:br w:type="page"/>
      </w:r>
    </w:p>
    <w:p w14:paraId="3F489A98">
      <w:pPr>
        <w:rPr>
          <w:rFonts w:hint="eastAsia" w:ascii="宋体" w:hAnsi="宋体" w:cs="宋体"/>
          <w:color w:val="auto"/>
          <w:highlight w:val="none"/>
          <w:lang w:val="en-US" w:eastAsia="zh-CN"/>
        </w:rPr>
      </w:pPr>
    </w:p>
    <w:bookmarkEnd w:id="135"/>
    <w:bookmarkEnd w:id="136"/>
    <w:bookmarkEnd w:id="137"/>
    <w:bookmarkEnd w:id="138"/>
    <w:bookmarkEnd w:id="139"/>
    <w:p w14:paraId="4FA2D188">
      <w:pPr>
        <w:pStyle w:val="87"/>
        <w:ind w:firstLine="0" w:firstLineChars="0"/>
        <w:jc w:val="center"/>
        <w:rPr>
          <w:rFonts w:hint="eastAsia" w:ascii="宋体" w:hAnsi="宋体" w:eastAsia="宋体"/>
          <w:color w:val="auto"/>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（七）服务方案</w:t>
      </w:r>
    </w:p>
    <w:p w14:paraId="38598FB3">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（根据评审标准内容自拟）</w:t>
      </w:r>
    </w:p>
    <w:p w14:paraId="277548F7">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default" w:ascii="宋体" w:hAnsi="宋体"/>
          <w:color w:val="auto"/>
          <w:sz w:val="28"/>
          <w:szCs w:val="28"/>
          <w:highlight w:val="none"/>
          <w:lang w:val="en-US" w:eastAsia="zh-CN"/>
        </w:rPr>
      </w:pPr>
      <w:r>
        <w:rPr>
          <w:rFonts w:hint="eastAsia" w:hAnsi="宋体"/>
          <w:color w:val="auto"/>
          <w:sz w:val="28"/>
          <w:szCs w:val="28"/>
          <w:highlight w:val="none"/>
          <w:lang w:val="en-US" w:eastAsia="zh-CN"/>
        </w:rPr>
        <w:t>（八）质量保证</w:t>
      </w:r>
    </w:p>
    <w:p w14:paraId="6E48E18A">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hAnsi="宋体"/>
          <w:color w:val="auto"/>
          <w:sz w:val="28"/>
          <w:szCs w:val="28"/>
          <w:highlight w:val="none"/>
          <w:lang w:val="en-US" w:eastAsia="zh-CN"/>
        </w:rPr>
      </w:pPr>
      <w:r>
        <w:rPr>
          <w:rFonts w:hint="eastAsia" w:ascii="宋体" w:hAnsi="宋体"/>
          <w:color w:val="auto"/>
          <w:sz w:val="24"/>
          <w:szCs w:val="24"/>
          <w:highlight w:val="none"/>
          <w:lang w:val="en-US" w:eastAsia="zh-CN"/>
        </w:rPr>
        <w:t>（根据评审标准内容自拟）</w:t>
      </w:r>
    </w:p>
    <w:p w14:paraId="75681E9C">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default" w:ascii="宋体" w:hAnsi="宋体"/>
          <w:color w:val="auto"/>
          <w:sz w:val="28"/>
          <w:szCs w:val="28"/>
          <w:highlight w:val="none"/>
          <w:lang w:val="en-US" w:eastAsia="zh-CN"/>
        </w:rPr>
      </w:pPr>
      <w:r>
        <w:rPr>
          <w:rFonts w:hint="eastAsia" w:hAnsi="宋体"/>
          <w:color w:val="auto"/>
          <w:sz w:val="28"/>
          <w:szCs w:val="28"/>
          <w:highlight w:val="none"/>
          <w:lang w:val="en-US" w:eastAsia="zh-CN"/>
        </w:rPr>
        <w:t>（九）进度控制方案</w:t>
      </w:r>
    </w:p>
    <w:bookmarkEnd w:id="140"/>
    <w:p w14:paraId="1A26B797">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hAnsi="宋体"/>
          <w:color w:val="auto"/>
          <w:sz w:val="28"/>
          <w:szCs w:val="28"/>
          <w:highlight w:val="none"/>
          <w:lang w:val="en-US" w:eastAsia="zh-CN"/>
        </w:rPr>
      </w:pPr>
      <w:bookmarkStart w:id="141" w:name="_Toc18673"/>
      <w:bookmarkStart w:id="142" w:name="_Toc7161"/>
      <w:bookmarkStart w:id="143" w:name="_Toc1803"/>
      <w:bookmarkStart w:id="144" w:name="_Toc13065140"/>
      <w:bookmarkStart w:id="145" w:name="_Toc605"/>
      <w:bookmarkStart w:id="146" w:name="_Toc26981"/>
      <w:r>
        <w:rPr>
          <w:rFonts w:hint="eastAsia" w:ascii="宋体" w:hAnsi="宋体"/>
          <w:color w:val="auto"/>
          <w:sz w:val="24"/>
          <w:szCs w:val="24"/>
          <w:highlight w:val="none"/>
          <w:lang w:val="en-US" w:eastAsia="zh-CN"/>
        </w:rPr>
        <w:t>（根据评审标准内容自拟）</w:t>
      </w:r>
    </w:p>
    <w:p w14:paraId="73024374">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default" w:ascii="宋体" w:hAnsi="宋体"/>
          <w:color w:val="auto"/>
          <w:sz w:val="28"/>
          <w:szCs w:val="28"/>
          <w:highlight w:val="none"/>
          <w:lang w:val="en-US" w:eastAsia="zh-CN"/>
        </w:rPr>
      </w:pPr>
      <w:r>
        <w:rPr>
          <w:rFonts w:hint="eastAsia" w:hAnsi="宋体"/>
          <w:color w:val="auto"/>
          <w:sz w:val="28"/>
          <w:szCs w:val="28"/>
          <w:highlight w:val="none"/>
          <w:lang w:val="en-US" w:eastAsia="zh-CN"/>
        </w:rPr>
        <w:t>（十</w:t>
      </w:r>
      <w:r>
        <w:rPr>
          <w:rFonts w:hint="eastAsia" w:ascii="宋体" w:hAnsi="宋体" w:eastAsia="宋体" w:cs="Times New Roman"/>
          <w:b/>
          <w:color w:val="auto"/>
          <w:kern w:val="0"/>
          <w:sz w:val="28"/>
          <w:szCs w:val="28"/>
          <w:highlight w:val="none"/>
          <w:lang w:val="en-US" w:eastAsia="zh-CN" w:bidi="ar-SA"/>
        </w:rPr>
        <w:t>）</w:t>
      </w:r>
      <w:r>
        <w:rPr>
          <w:rFonts w:hint="eastAsia" w:ascii="宋体" w:hAnsi="宋体" w:eastAsia="宋体" w:cs="Times New Roman"/>
          <w:color w:val="auto"/>
          <w:sz w:val="28"/>
          <w:szCs w:val="28"/>
          <w:highlight w:val="none"/>
          <w:lang w:val="en-US" w:eastAsia="zh-CN"/>
        </w:rPr>
        <w:t>拟配备检测设备</w:t>
      </w:r>
    </w:p>
    <w:p w14:paraId="3FA2737B">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hAnsi="宋体"/>
          <w:color w:val="auto"/>
          <w:sz w:val="28"/>
          <w:szCs w:val="28"/>
          <w:highlight w:val="none"/>
          <w:lang w:val="en-US" w:eastAsia="zh-CN"/>
        </w:rPr>
      </w:pPr>
      <w:r>
        <w:rPr>
          <w:rFonts w:hint="eastAsia" w:ascii="宋体" w:hAnsi="宋体"/>
          <w:color w:val="auto"/>
          <w:sz w:val="24"/>
          <w:szCs w:val="24"/>
          <w:highlight w:val="none"/>
          <w:lang w:val="en-US" w:eastAsia="zh-CN"/>
        </w:rPr>
        <w:t>（根据评审标准内容自拟）</w:t>
      </w:r>
    </w:p>
    <w:p w14:paraId="017A92F8">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default" w:ascii="宋体" w:hAnsi="宋体" w:eastAsia="宋体" w:cs="宋体"/>
          <w:b/>
          <w:color w:val="auto"/>
          <w:kern w:val="2"/>
          <w:sz w:val="28"/>
          <w:szCs w:val="21"/>
          <w:highlight w:val="none"/>
          <w:lang w:val="en-US" w:eastAsia="zh-CN" w:bidi="ar-SA"/>
        </w:rPr>
      </w:pPr>
      <w:r>
        <w:rPr>
          <w:rFonts w:hint="eastAsia" w:ascii="宋体" w:hAnsi="宋体" w:cs="Times New Roman"/>
          <w:color w:val="auto"/>
          <w:sz w:val="28"/>
          <w:szCs w:val="28"/>
          <w:highlight w:val="none"/>
          <w:lang w:val="en-US" w:eastAsia="zh-CN"/>
        </w:rPr>
        <w:t>（十</w:t>
      </w:r>
      <w:r>
        <w:rPr>
          <w:rFonts w:hint="eastAsia" w:hAnsi="宋体" w:cs="Times New Roman"/>
          <w:color w:val="auto"/>
          <w:sz w:val="28"/>
          <w:szCs w:val="28"/>
          <w:highlight w:val="none"/>
          <w:lang w:val="en-US" w:eastAsia="zh-CN"/>
        </w:rPr>
        <w:t>一</w:t>
      </w:r>
      <w:r>
        <w:rPr>
          <w:rFonts w:hint="eastAsia" w:ascii="宋体" w:hAnsi="宋体" w:eastAsia="宋体" w:cs="宋体"/>
          <w:b/>
          <w:color w:val="auto"/>
          <w:kern w:val="2"/>
          <w:sz w:val="28"/>
          <w:szCs w:val="21"/>
          <w:highlight w:val="none"/>
          <w:lang w:val="en-US" w:eastAsia="zh-CN" w:bidi="ar-SA"/>
        </w:rPr>
        <w:t>）人员配备管理</w:t>
      </w:r>
    </w:p>
    <w:p w14:paraId="121B488F">
      <w:pPr>
        <w:jc w:val="center"/>
        <w:rPr>
          <w:b/>
          <w:color w:val="auto"/>
          <w:kern w:val="1"/>
          <w:sz w:val="24"/>
          <w:highlight w:val="none"/>
        </w:rPr>
      </w:pPr>
      <w:r>
        <w:rPr>
          <w:b/>
          <w:color w:val="auto"/>
          <w:kern w:val="1"/>
          <w:sz w:val="24"/>
          <w:highlight w:val="none"/>
        </w:rPr>
        <w:t>（</w:t>
      </w:r>
      <w:r>
        <w:rPr>
          <w:rFonts w:hint="eastAsia"/>
          <w:b/>
          <w:color w:val="auto"/>
          <w:kern w:val="1"/>
          <w:sz w:val="24"/>
          <w:highlight w:val="none"/>
          <w:lang w:val="en-US" w:eastAsia="zh-CN"/>
        </w:rPr>
        <w:t>根据评审标准</w:t>
      </w:r>
      <w:r>
        <w:rPr>
          <w:b/>
          <w:color w:val="auto"/>
          <w:kern w:val="1"/>
          <w:sz w:val="24"/>
          <w:highlight w:val="none"/>
        </w:rPr>
        <w:t>内容自拟）</w:t>
      </w:r>
    </w:p>
    <w:p w14:paraId="7862EA54">
      <w:pPr>
        <w:pStyle w:val="20"/>
        <w:rPr>
          <w:rFonts w:hint="eastAsia" w:ascii="宋体" w:hAnsi="宋体" w:eastAsia="宋体" w:cs="宋体"/>
          <w:b/>
          <w:color w:val="auto"/>
          <w:kern w:val="1"/>
          <w:sz w:val="24"/>
          <w:highlight w:val="none"/>
        </w:rPr>
      </w:pPr>
    </w:p>
    <w:p w14:paraId="0E4F9DA7">
      <w:pPr>
        <w:pStyle w:val="20"/>
        <w:rPr>
          <w:rFonts w:hint="eastAsia" w:ascii="宋体" w:hAnsi="宋体" w:eastAsia="宋体" w:cs="宋体"/>
          <w:b/>
          <w:color w:val="auto"/>
          <w:kern w:val="1"/>
          <w:sz w:val="24"/>
          <w:highlight w:val="none"/>
        </w:rPr>
      </w:pPr>
    </w:p>
    <w:p w14:paraId="468254D8">
      <w:pPr>
        <w:jc w:val="center"/>
        <w:rPr>
          <w:rFonts w:hint="eastAsia" w:eastAsia="宋体" w:cs="Times New Roman"/>
          <w:b/>
          <w:color w:val="auto"/>
          <w:kern w:val="1"/>
          <w:sz w:val="24"/>
          <w:highlight w:val="none"/>
          <w:lang w:val="en-US" w:eastAsia="zh-CN"/>
        </w:rPr>
      </w:pPr>
      <w:bookmarkStart w:id="147" w:name="_Toc6511"/>
      <w:r>
        <w:rPr>
          <w:rFonts w:hint="eastAsia" w:eastAsia="宋体" w:cs="Times New Roman"/>
          <w:b/>
          <w:color w:val="auto"/>
          <w:kern w:val="1"/>
          <w:sz w:val="24"/>
          <w:highlight w:val="none"/>
          <w:lang w:val="en-US" w:eastAsia="zh-CN"/>
        </w:rPr>
        <w:t>（十</w:t>
      </w:r>
      <w:r>
        <w:rPr>
          <w:rFonts w:hint="eastAsia" w:cs="Times New Roman"/>
          <w:b/>
          <w:color w:val="auto"/>
          <w:kern w:val="1"/>
          <w:sz w:val="24"/>
          <w:highlight w:val="none"/>
          <w:lang w:val="en-US" w:eastAsia="zh-CN"/>
        </w:rPr>
        <w:t>二</w:t>
      </w:r>
      <w:r>
        <w:rPr>
          <w:rFonts w:hint="eastAsia" w:eastAsia="宋体" w:cs="Times New Roman"/>
          <w:b/>
          <w:color w:val="auto"/>
          <w:kern w:val="1"/>
          <w:sz w:val="24"/>
          <w:highlight w:val="none"/>
          <w:lang w:val="en-US" w:eastAsia="zh-CN"/>
        </w:rPr>
        <w:t>）</w:t>
      </w:r>
      <w:bookmarkEnd w:id="147"/>
      <w:r>
        <w:rPr>
          <w:rFonts w:hint="eastAsia" w:eastAsia="宋体" w:cs="Times New Roman"/>
          <w:b/>
          <w:color w:val="auto"/>
          <w:kern w:val="1"/>
          <w:sz w:val="24"/>
          <w:highlight w:val="none"/>
          <w:lang w:val="en-US" w:eastAsia="zh-CN"/>
        </w:rPr>
        <w:t>保障措施</w:t>
      </w:r>
    </w:p>
    <w:p w14:paraId="6A7EFF17">
      <w:pPr>
        <w:rPr>
          <w:rFonts w:hint="eastAsia" w:ascii="宋体" w:hAnsi="宋体" w:eastAsia="宋体" w:cs="宋体"/>
          <w:color w:val="auto"/>
          <w:highlight w:val="none"/>
          <w:lang w:val="zh-CN" w:eastAsia="zh-CN"/>
        </w:rPr>
      </w:pPr>
    </w:p>
    <w:p w14:paraId="0D831D86">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w:t>
      </w:r>
      <w:r>
        <w:rPr>
          <w:rFonts w:hint="eastAsia" w:ascii="宋体" w:hAnsi="宋体" w:eastAsia="宋体" w:cs="宋体"/>
          <w:b/>
          <w:color w:val="auto"/>
          <w:kern w:val="1"/>
          <w:sz w:val="24"/>
          <w:highlight w:val="none"/>
          <w:lang w:val="en-US" w:eastAsia="zh-CN"/>
        </w:rPr>
        <w:t>根据评审标准</w:t>
      </w:r>
      <w:r>
        <w:rPr>
          <w:rFonts w:hint="eastAsia" w:ascii="宋体" w:hAnsi="宋体" w:eastAsia="宋体" w:cs="宋体"/>
          <w:b/>
          <w:color w:val="auto"/>
          <w:kern w:val="1"/>
          <w:sz w:val="24"/>
          <w:highlight w:val="none"/>
        </w:rPr>
        <w:t>内容自拟）</w:t>
      </w:r>
    </w:p>
    <w:p w14:paraId="1C51CBBC">
      <w:pPr>
        <w:pStyle w:val="31"/>
        <w:rPr>
          <w:rFonts w:hint="eastAsia" w:ascii="宋体" w:hAnsi="宋体" w:eastAsia="宋体" w:cs="宋体"/>
          <w:b/>
          <w:color w:val="auto"/>
          <w:kern w:val="1"/>
          <w:sz w:val="24"/>
          <w:highlight w:val="none"/>
        </w:rPr>
      </w:pPr>
    </w:p>
    <w:p w14:paraId="304ACD01">
      <w:pPr>
        <w:pStyle w:val="126"/>
        <w:keepNext w:val="0"/>
        <w:keepLines w:val="0"/>
        <w:pageBreakBefore w:val="0"/>
        <w:widowControl/>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Times New Roman"/>
          <w:color w:val="auto"/>
          <w:sz w:val="28"/>
          <w:szCs w:val="28"/>
          <w:highlight w:val="none"/>
          <w:lang w:val="en-US" w:eastAsia="zh-CN"/>
        </w:rPr>
      </w:pPr>
      <w:r>
        <w:rPr>
          <w:rFonts w:hint="eastAsia" w:hAnsi="宋体"/>
          <w:color w:val="auto"/>
          <w:sz w:val="28"/>
          <w:szCs w:val="28"/>
          <w:highlight w:val="none"/>
          <w:lang w:val="en-US" w:eastAsia="zh-CN"/>
        </w:rPr>
        <w:t>（十三）</w:t>
      </w:r>
      <w:r>
        <w:rPr>
          <w:rFonts w:hint="eastAsia" w:ascii="宋体" w:hAnsi="宋体" w:eastAsia="宋体" w:cs="宋体"/>
          <w:b/>
          <w:color w:val="auto"/>
          <w:kern w:val="2"/>
          <w:sz w:val="28"/>
          <w:szCs w:val="21"/>
          <w:highlight w:val="none"/>
          <w:lang w:val="en-US" w:eastAsia="zh-CN" w:bidi="ar-SA"/>
        </w:rPr>
        <w:t>服务承诺</w:t>
      </w:r>
    </w:p>
    <w:p w14:paraId="2F1B5170">
      <w:pPr>
        <w:rPr>
          <w:rFonts w:hint="eastAsia" w:ascii="宋体" w:hAnsi="宋体" w:eastAsia="宋体" w:cs="宋体"/>
          <w:color w:val="auto"/>
          <w:highlight w:val="none"/>
          <w:lang w:val="zh-CN" w:eastAsia="zh-CN"/>
        </w:rPr>
      </w:pPr>
    </w:p>
    <w:p w14:paraId="7972664E">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w:t>
      </w:r>
      <w:r>
        <w:rPr>
          <w:rFonts w:hint="eastAsia" w:ascii="宋体" w:hAnsi="宋体" w:eastAsia="宋体" w:cs="宋体"/>
          <w:b/>
          <w:color w:val="auto"/>
          <w:kern w:val="1"/>
          <w:sz w:val="24"/>
          <w:highlight w:val="none"/>
          <w:lang w:val="en-US" w:eastAsia="zh-CN"/>
        </w:rPr>
        <w:t>根据评审标准</w:t>
      </w:r>
      <w:r>
        <w:rPr>
          <w:rFonts w:hint="eastAsia" w:ascii="宋体" w:hAnsi="宋体" w:eastAsia="宋体" w:cs="宋体"/>
          <w:b/>
          <w:color w:val="auto"/>
          <w:kern w:val="1"/>
          <w:sz w:val="24"/>
          <w:highlight w:val="none"/>
        </w:rPr>
        <w:t>内容自拟）</w:t>
      </w:r>
    </w:p>
    <w:p w14:paraId="61490B30">
      <w:pPr>
        <w:pStyle w:val="31"/>
        <w:rPr>
          <w:rFonts w:hint="eastAsia" w:ascii="宋体" w:hAnsi="宋体" w:eastAsia="宋体" w:cs="宋体"/>
          <w:b/>
          <w:color w:val="auto"/>
          <w:kern w:val="1"/>
          <w:sz w:val="24"/>
          <w:highlight w:val="yellow"/>
        </w:rPr>
      </w:pPr>
    </w:p>
    <w:p w14:paraId="55418BDA">
      <w:pPr>
        <w:pStyle w:val="31"/>
        <w:rPr>
          <w:rFonts w:hint="eastAsia" w:ascii="宋体" w:hAnsi="宋体" w:eastAsia="宋体" w:cs="宋体"/>
          <w:b/>
          <w:color w:val="auto"/>
          <w:kern w:val="1"/>
          <w:sz w:val="24"/>
          <w:highlight w:val="yellow"/>
        </w:rPr>
      </w:pPr>
    </w:p>
    <w:bookmarkEnd w:id="0"/>
    <w:bookmarkEnd w:id="113"/>
    <w:bookmarkEnd w:id="114"/>
    <w:bookmarkEnd w:id="141"/>
    <w:bookmarkEnd w:id="142"/>
    <w:bookmarkEnd w:id="143"/>
    <w:bookmarkEnd w:id="144"/>
    <w:bookmarkEnd w:id="145"/>
    <w:bookmarkEnd w:id="146"/>
    <w:p w14:paraId="3A5495FF">
      <w:pPr>
        <w:spacing w:line="360" w:lineRule="auto"/>
        <w:jc w:val="center"/>
        <w:rPr>
          <w:rFonts w:hint="eastAsia" w:ascii="宋体" w:hAnsi="宋体" w:cs="仿宋"/>
          <w:b/>
          <w:color w:val="auto"/>
          <w:spacing w:val="-6"/>
          <w:sz w:val="30"/>
          <w:szCs w:val="30"/>
          <w:highlight w:val="none"/>
          <w:lang w:val="en-US" w:eastAsia="zh-CN"/>
        </w:rPr>
      </w:pPr>
      <w:bookmarkStart w:id="148" w:name="_Toc13065147"/>
      <w:bookmarkStart w:id="149" w:name="_Toc13122"/>
      <w:bookmarkStart w:id="150" w:name="_Toc11401"/>
      <w:bookmarkStart w:id="151" w:name="_Toc11969"/>
      <w:bookmarkStart w:id="152" w:name="_Toc2126"/>
      <w:bookmarkStart w:id="153" w:name="_Toc13303"/>
      <w:bookmarkStart w:id="154" w:name="_Toc563"/>
      <w:bookmarkStart w:id="155" w:name="_Toc12765"/>
    </w:p>
    <w:p w14:paraId="5057DF35">
      <w:pPr>
        <w:spacing w:line="360" w:lineRule="auto"/>
        <w:jc w:val="center"/>
        <w:rPr>
          <w:rFonts w:hint="eastAsia" w:ascii="宋体" w:hAnsi="宋体" w:cs="仿宋"/>
          <w:b/>
          <w:color w:val="auto"/>
          <w:spacing w:val="-6"/>
          <w:sz w:val="30"/>
          <w:szCs w:val="30"/>
          <w:highlight w:val="none"/>
        </w:rPr>
      </w:pPr>
      <w:r>
        <w:rPr>
          <w:rFonts w:hint="eastAsia" w:ascii="宋体" w:hAnsi="宋体" w:cs="仿宋"/>
          <w:b/>
          <w:color w:val="auto"/>
          <w:spacing w:val="-6"/>
          <w:sz w:val="30"/>
          <w:szCs w:val="30"/>
          <w:highlight w:val="none"/>
          <w:lang w:val="en-US" w:eastAsia="zh-CN"/>
        </w:rPr>
        <w:t>（十四）</w:t>
      </w:r>
      <w:r>
        <w:rPr>
          <w:rFonts w:ascii="宋体" w:hAnsi="宋体" w:cs="仿宋"/>
          <w:b/>
          <w:color w:val="auto"/>
          <w:spacing w:val="-6"/>
          <w:sz w:val="30"/>
          <w:szCs w:val="30"/>
          <w:highlight w:val="none"/>
        </w:rPr>
        <w:t>陕</w:t>
      </w:r>
      <w:r>
        <w:rPr>
          <w:rFonts w:hint="eastAsia" w:ascii="宋体" w:hAnsi="宋体" w:cs="仿宋"/>
          <w:b/>
          <w:color w:val="auto"/>
          <w:spacing w:val="-6"/>
          <w:sz w:val="30"/>
          <w:szCs w:val="30"/>
          <w:highlight w:val="none"/>
        </w:rPr>
        <w:t>西省政府采购供应商拒绝政府采购领域商业贿赂承诺书</w:t>
      </w:r>
    </w:p>
    <w:p w14:paraId="493A1BD5">
      <w:pPr>
        <w:widowControl/>
        <w:spacing w:line="360" w:lineRule="auto"/>
        <w:ind w:left="239" w:leftChars="114" w:firstLine="470" w:firstLineChars="196"/>
        <w:jc w:val="left"/>
        <w:rPr>
          <w:rFonts w:hint="eastAsia" w:ascii="宋体" w:hAnsi="宋体" w:cs="宋体"/>
          <w:color w:val="auto"/>
          <w:kern w:val="0"/>
          <w:sz w:val="24"/>
        </w:rPr>
      </w:pPr>
    </w:p>
    <w:p w14:paraId="395264A5">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为响应党中央、国务院关于治理政府采购领域商业贿赂行为的号召，我公司在此承诺：</w:t>
      </w:r>
    </w:p>
    <w:p w14:paraId="53432593">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1、在参与政府采购活动中遵纪守法、诚信经营、公平竞标。</w:t>
      </w:r>
    </w:p>
    <w:p w14:paraId="4FAD9308">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2、不向政府采购人、采购代理机构和政府采购评审专家进行任何形式的商业贿赂以谋取交易机会。</w:t>
      </w:r>
    </w:p>
    <w:p w14:paraId="55E8E7B1">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3、不向政府采购代理机构和采购人提供虚假资质文件或采用虚假</w:t>
      </w:r>
      <w:r>
        <w:rPr>
          <w:rFonts w:hint="eastAsia" w:ascii="宋体" w:hAnsi="宋体" w:eastAsia="宋体" w:cs="宋体"/>
          <w:color w:val="auto"/>
          <w:kern w:val="0"/>
          <w:sz w:val="24"/>
          <w:szCs w:val="24"/>
        </w:rPr>
        <w:t>磋商</w:t>
      </w:r>
      <w:r>
        <w:rPr>
          <w:rFonts w:ascii="宋体" w:hAnsi="宋体" w:eastAsia="宋体" w:cs="宋体"/>
          <w:color w:val="auto"/>
          <w:kern w:val="0"/>
          <w:sz w:val="24"/>
          <w:szCs w:val="24"/>
        </w:rPr>
        <w:t>方式参与政府采购市场竞争并谋取成交。</w:t>
      </w:r>
    </w:p>
    <w:p w14:paraId="6F87E0B3">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4、不采取“围、</w:t>
      </w:r>
      <w:r>
        <w:rPr>
          <w:rFonts w:hint="eastAsia" w:ascii="宋体" w:hAnsi="宋体" w:eastAsia="宋体" w:cs="宋体"/>
          <w:color w:val="auto"/>
          <w:kern w:val="0"/>
          <w:sz w:val="24"/>
          <w:szCs w:val="24"/>
        </w:rPr>
        <w:t>陪</w:t>
      </w:r>
      <w:r>
        <w:rPr>
          <w:rFonts w:ascii="宋体" w:hAnsi="宋体" w:eastAsia="宋体" w:cs="宋体"/>
          <w:color w:val="auto"/>
          <w:kern w:val="0"/>
          <w:sz w:val="24"/>
          <w:szCs w:val="24"/>
        </w:rPr>
        <w:t>”等商业欺诈手段获得政府采购定单。</w:t>
      </w:r>
    </w:p>
    <w:p w14:paraId="5A76DD8D">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5、不采取不正当手段诋毁、排挤其他供应商。</w:t>
      </w:r>
    </w:p>
    <w:p w14:paraId="1845EEC4">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6、不在提供商品和服务时“偷梁换柱、以次充好”损害采购人的合法权益。</w:t>
      </w:r>
    </w:p>
    <w:p w14:paraId="495B53A3">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7、不与采购人、采购代理机构政府采购评审专家或其它供应商恶意串通，进行质疑和投诉，维护政府采购市场秩序。</w:t>
      </w:r>
    </w:p>
    <w:p w14:paraId="03DD436B">
      <w:pPr>
        <w:widowControl/>
        <w:spacing w:line="360" w:lineRule="auto"/>
        <w:ind w:left="239" w:leftChars="114" w:firstLine="470" w:firstLineChars="196"/>
        <w:jc w:val="left"/>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8、尊重和接受政府采购监督管理部门的监督和政府采购代理机构采购要求，承担因违约行为给采购人造成的损失。</w:t>
      </w:r>
    </w:p>
    <w:p w14:paraId="46DECAE6">
      <w:pPr>
        <w:widowControl/>
        <w:spacing w:line="360" w:lineRule="auto"/>
        <w:ind w:left="239" w:leftChars="114" w:firstLine="470" w:firstLineChars="196"/>
        <w:jc w:val="left"/>
        <w:rPr>
          <w:rFonts w:ascii="宋体" w:hAnsi="宋体" w:eastAsia="宋体" w:cs="宋体"/>
          <w:color w:val="auto"/>
          <w:kern w:val="0"/>
          <w:sz w:val="24"/>
          <w:szCs w:val="24"/>
        </w:rPr>
      </w:pPr>
      <w:r>
        <w:rPr>
          <w:rFonts w:ascii="宋体" w:hAnsi="宋体" w:eastAsia="宋体" w:cs="宋体"/>
          <w:color w:val="auto"/>
          <w:kern w:val="0"/>
          <w:sz w:val="24"/>
          <w:szCs w:val="24"/>
        </w:rPr>
        <w:t>9、不发生其他有悖于政府采购公开、公平、公正和诚信原则的行为。</w:t>
      </w:r>
    </w:p>
    <w:p w14:paraId="69C450C9">
      <w:pPr>
        <w:keepNext w:val="0"/>
        <w:keepLines w:val="0"/>
        <w:pageBreakBefore w:val="0"/>
        <w:widowControl w:val="0"/>
        <w:kinsoku/>
        <w:wordWrap/>
        <w:overflowPunct/>
        <w:topLinePunct w:val="0"/>
        <w:autoSpaceDE/>
        <w:autoSpaceDN/>
        <w:bidi w:val="0"/>
        <w:adjustRightInd/>
        <w:snapToGrid/>
        <w:spacing w:line="800" w:lineRule="exact"/>
        <w:ind w:right="-161" w:firstLine="1920" w:firstLineChars="800"/>
        <w:textAlignment w:val="auto"/>
        <w:rPr>
          <w:rFonts w:hint="eastAsia" w:ascii="宋体" w:hAnsi="宋体" w:cs="仿宋"/>
          <w:color w:val="auto"/>
          <w:sz w:val="24"/>
          <w:highlight w:val="none"/>
        </w:rPr>
      </w:pPr>
    </w:p>
    <w:p w14:paraId="4E2127FE">
      <w:pPr>
        <w:keepNext w:val="0"/>
        <w:keepLines w:val="0"/>
        <w:pageBreakBefore w:val="0"/>
        <w:widowControl w:val="0"/>
        <w:kinsoku/>
        <w:wordWrap/>
        <w:overflowPunct/>
        <w:topLinePunct w:val="0"/>
        <w:autoSpaceDE/>
        <w:autoSpaceDN/>
        <w:bidi w:val="0"/>
        <w:adjustRightInd/>
        <w:snapToGrid/>
        <w:spacing w:line="800" w:lineRule="exact"/>
        <w:ind w:right="-161" w:firstLine="1920" w:firstLineChars="800"/>
        <w:textAlignment w:val="auto"/>
        <w:rPr>
          <w:rFonts w:hint="eastAsia" w:ascii="宋体" w:hAnsi="宋体" w:cs="仿宋"/>
          <w:color w:val="auto"/>
          <w:sz w:val="28"/>
          <w:szCs w:val="28"/>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rPr>
        <w:t>（</w:t>
      </w:r>
      <w:r>
        <w:rPr>
          <w:rFonts w:hint="eastAsia" w:ascii="宋体" w:hAnsi="宋体" w:cs="仿宋"/>
          <w:color w:val="auto"/>
          <w:sz w:val="24"/>
          <w:highlight w:val="none"/>
          <w:u w:val="none"/>
          <w:lang w:eastAsia="zh-CN"/>
        </w:rPr>
        <w:t>公</w:t>
      </w:r>
      <w:r>
        <w:rPr>
          <w:rFonts w:hint="eastAsia" w:ascii="宋体" w:hAnsi="宋体" w:cs="仿宋"/>
          <w:color w:val="auto"/>
          <w:sz w:val="24"/>
          <w:highlight w:val="none"/>
          <w:u w:val="none"/>
        </w:rPr>
        <w:t>章</w:t>
      </w:r>
      <w:r>
        <w:rPr>
          <w:rFonts w:hint="eastAsia" w:ascii="宋体" w:hAnsi="宋体" w:cs="仿宋"/>
          <w:color w:val="auto"/>
          <w:sz w:val="24"/>
          <w:highlight w:val="none"/>
          <w:u w:val="none"/>
          <w:lang w:eastAsia="zh-CN"/>
        </w:rPr>
        <w:t>）</w:t>
      </w:r>
    </w:p>
    <w:p w14:paraId="53D0BF8A">
      <w:pPr>
        <w:keepNext w:val="0"/>
        <w:keepLines w:val="0"/>
        <w:pageBreakBefore w:val="0"/>
        <w:widowControl w:val="0"/>
        <w:tabs>
          <w:tab w:val="left" w:pos="1890"/>
          <w:tab w:val="left" w:pos="2100"/>
        </w:tabs>
        <w:kinsoku/>
        <w:wordWrap/>
        <w:overflowPunct/>
        <w:topLinePunct w:val="0"/>
        <w:autoSpaceDE/>
        <w:autoSpaceDN/>
        <w:bidi w:val="0"/>
        <w:adjustRightInd/>
        <w:snapToGrid/>
        <w:spacing w:line="800" w:lineRule="exact"/>
        <w:ind w:firstLine="840" w:firstLineChars="300"/>
        <w:textAlignment w:val="auto"/>
        <w:rPr>
          <w:rFonts w:hint="eastAsia"/>
          <w:color w:val="auto"/>
          <w:highlight w:val="none"/>
        </w:rPr>
      </w:pPr>
      <w:r>
        <w:rPr>
          <w:rFonts w:hint="eastAsia" w:ascii="宋体" w:hAnsi="宋体" w:cs="仿宋"/>
          <w:color w:val="auto"/>
          <w:sz w:val="28"/>
          <w:szCs w:val="28"/>
          <w:highlight w:val="none"/>
        </w:rPr>
        <w:t xml:space="preserve"> </w:t>
      </w:r>
      <w:r>
        <w:rPr>
          <w:rFonts w:hint="eastAsia" w:ascii="宋体" w:hAnsi="宋体" w:eastAsia="宋体" w:cs="仿宋"/>
          <w:color w:val="auto"/>
          <w:sz w:val="28"/>
          <w:szCs w:val="28"/>
          <w:highlight w:val="none"/>
          <w:lang w:val="en-US" w:eastAsia="zh-CN"/>
        </w:rPr>
        <w:t xml:space="preserve">     </w:t>
      </w:r>
      <w:r>
        <w:rPr>
          <w:rFonts w:hint="eastAsia" w:ascii="宋体" w:hAnsi="宋体" w:cs="仿宋"/>
          <w:color w:val="auto"/>
          <w:sz w:val="28"/>
          <w:szCs w:val="28"/>
          <w:highlight w:val="none"/>
          <w:lang w:val="en-US" w:eastAsia="zh-CN"/>
        </w:rPr>
        <w:t xml:space="preserve">  </w:t>
      </w:r>
      <w:r>
        <w:rPr>
          <w:rFonts w:hint="eastAsia" w:ascii="宋体" w:hAnsi="宋体" w:eastAsia="宋体" w:cs="宋体"/>
          <w:color w:val="auto"/>
          <w:kern w:val="1"/>
          <w:sz w:val="24"/>
          <w:szCs w:val="36"/>
          <w:highlight w:val="none"/>
        </w:rPr>
        <w:t>法定代表人或</w:t>
      </w:r>
      <w:r>
        <w:rPr>
          <w:rFonts w:hint="eastAsia" w:ascii="宋体" w:hAnsi="宋体" w:cs="宋体"/>
          <w:color w:val="auto"/>
          <w:sz w:val="24"/>
          <w:highlight w:val="none"/>
          <w:lang w:val="en-US" w:eastAsia="zh-CN"/>
        </w:rPr>
        <w:t>被</w:t>
      </w:r>
      <w:r>
        <w:rPr>
          <w:rFonts w:hint="eastAsia" w:ascii="宋体" w:hAnsi="宋体" w:eastAsia="宋体" w:cs="宋体"/>
          <w:color w:val="auto"/>
          <w:sz w:val="24"/>
          <w:highlight w:val="none"/>
        </w:rPr>
        <w:t>授权</w:t>
      </w:r>
      <w:r>
        <w:rPr>
          <w:rFonts w:hint="eastAsia" w:ascii="宋体" w:hAnsi="宋体" w:cs="宋体"/>
          <w:color w:val="auto"/>
          <w:sz w:val="24"/>
          <w:highlight w:val="none"/>
          <w:lang w:val="en-US" w:eastAsia="zh-CN"/>
        </w:rPr>
        <w:t>人</w:t>
      </w:r>
      <w:r>
        <w:rPr>
          <w:rFonts w:hint="eastAsia" w:ascii="宋体" w:hAnsi="宋体" w:eastAsia="宋体" w:cs="宋体"/>
          <w:color w:val="auto"/>
          <w:kern w:val="1"/>
          <w:sz w:val="24"/>
          <w:szCs w:val="36"/>
          <w:highlight w:val="none"/>
        </w:rPr>
        <w:t>：</w:t>
      </w:r>
      <w:r>
        <w:rPr>
          <w:rFonts w:hint="eastAsia" w:ascii="宋体" w:hAnsi="宋体" w:eastAsia="宋体" w:cs="宋体"/>
          <w:i/>
          <w:iCs/>
          <w:color w:val="auto"/>
          <w:kern w:val="1"/>
          <w:sz w:val="24"/>
          <w:szCs w:val="36"/>
          <w:highlight w:val="none"/>
          <w:u w:val="single"/>
        </w:rPr>
        <w:t xml:space="preserve">           </w:t>
      </w:r>
      <w:r>
        <w:rPr>
          <w:rFonts w:hint="eastAsia" w:ascii="宋体" w:hAnsi="宋体" w:cs="宋体"/>
          <w:i/>
          <w:iCs/>
          <w:color w:val="auto"/>
          <w:kern w:val="1"/>
          <w:sz w:val="24"/>
          <w:szCs w:val="36"/>
          <w:highlight w:val="none"/>
          <w:u w:val="single"/>
          <w:lang w:val="en-US" w:eastAsia="zh-CN"/>
        </w:rPr>
        <w:t xml:space="preserve"> </w:t>
      </w:r>
      <w:r>
        <w:rPr>
          <w:rFonts w:hint="eastAsia" w:ascii="宋体" w:hAnsi="宋体" w:eastAsia="宋体" w:cs="宋体"/>
          <w:i/>
          <w:iCs/>
          <w:color w:val="auto"/>
          <w:kern w:val="1"/>
          <w:sz w:val="24"/>
          <w:szCs w:val="36"/>
          <w:highlight w:val="none"/>
          <w:u w:val="single"/>
        </w:rPr>
        <w:t xml:space="preserve">   </w:t>
      </w:r>
      <w:r>
        <w:rPr>
          <w:rFonts w:hint="eastAsia" w:ascii="宋体" w:hAnsi="宋体" w:eastAsia="宋体" w:cs="宋体"/>
          <w:color w:val="auto"/>
          <w:kern w:val="1"/>
          <w:sz w:val="24"/>
          <w:highlight w:val="none"/>
          <w:u w:val="none"/>
        </w:rPr>
        <w:t>（签字或盖章）</w:t>
      </w:r>
    </w:p>
    <w:p w14:paraId="10B1B85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                日      期： </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eastAsia="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373F1B2">
      <w:pPr>
        <w:rPr>
          <w:rFonts w:hint="eastAsia"/>
          <w:color w:val="auto"/>
          <w:highlight w:val="yellow"/>
        </w:rPr>
      </w:pPr>
      <w:r>
        <w:rPr>
          <w:rFonts w:hint="eastAsia"/>
          <w:color w:val="auto"/>
          <w:highlight w:val="yellow"/>
        </w:rPr>
        <w:br w:type="page"/>
      </w:r>
    </w:p>
    <w:bookmarkEnd w:id="148"/>
    <w:bookmarkEnd w:id="149"/>
    <w:bookmarkEnd w:id="150"/>
    <w:bookmarkEnd w:id="151"/>
    <w:bookmarkEnd w:id="152"/>
    <w:bookmarkEnd w:id="153"/>
    <w:bookmarkEnd w:id="154"/>
    <w:bookmarkEnd w:id="155"/>
    <w:p w14:paraId="6A4C6CA6">
      <w:pPr>
        <w:pStyle w:val="20"/>
        <w:rPr>
          <w:color w:val="auto"/>
        </w:rPr>
      </w:pPr>
    </w:p>
    <w:p w14:paraId="08244A25">
      <w:pPr>
        <w:pStyle w:val="126"/>
        <w:jc w:val="both"/>
        <w:outlineLvl w:val="9"/>
        <w:rPr>
          <w:rFonts w:hint="default" w:ascii="宋体" w:hAnsi="宋体" w:cs="仿宋"/>
          <w:b/>
          <w:color w:val="auto"/>
          <w:sz w:val="30"/>
          <w:szCs w:val="30"/>
          <w:highlight w:val="none"/>
          <w:lang w:val="en-US" w:eastAsia="zh-CN"/>
        </w:rPr>
      </w:pPr>
      <w:r>
        <w:rPr>
          <w:rFonts w:hint="eastAsia" w:ascii="宋体" w:hAnsi="宋体" w:cs="仿宋"/>
          <w:b/>
          <w:color w:val="auto"/>
          <w:sz w:val="30"/>
          <w:szCs w:val="30"/>
          <w:highlight w:val="none"/>
          <w:lang w:val="en-US" w:eastAsia="zh-CN"/>
        </w:rPr>
        <w:t>附件</w:t>
      </w:r>
      <w:r>
        <w:rPr>
          <w:rFonts w:hint="eastAsia" w:hAnsi="宋体" w:cs="仿宋"/>
          <w:b/>
          <w:color w:val="auto"/>
          <w:sz w:val="30"/>
          <w:szCs w:val="30"/>
          <w:highlight w:val="none"/>
          <w:lang w:val="en-US" w:eastAsia="zh-CN"/>
        </w:rPr>
        <w:t>一</w:t>
      </w:r>
      <w:r>
        <w:rPr>
          <w:rFonts w:hint="eastAsia" w:ascii="宋体" w:hAnsi="宋体" w:cs="仿宋"/>
          <w:b/>
          <w:color w:val="auto"/>
          <w:sz w:val="30"/>
          <w:szCs w:val="30"/>
          <w:highlight w:val="none"/>
          <w:lang w:val="en-US" w:eastAsia="zh-CN"/>
        </w:rPr>
        <w:t>、</w:t>
      </w:r>
      <w:r>
        <w:rPr>
          <w:rFonts w:hint="eastAsia" w:hAnsi="宋体"/>
          <w:b/>
          <w:bCs/>
          <w:color w:val="auto"/>
          <w:kern w:val="2"/>
          <w:sz w:val="32"/>
          <w:szCs w:val="32"/>
          <w:highlight w:val="none"/>
          <w:lang w:val="en-US" w:eastAsia="zh-CN" w:bidi="ar-SA"/>
        </w:rPr>
        <w:t>监狱企业证明文件（若有）</w:t>
      </w:r>
    </w:p>
    <w:p w14:paraId="02AA6661">
      <w:pPr>
        <w:pStyle w:val="20"/>
        <w:outlineLvl w:val="9"/>
        <w:rPr>
          <w:rFonts w:hint="eastAsia"/>
          <w:color w:val="auto"/>
          <w:highlight w:val="none"/>
        </w:rPr>
      </w:pPr>
    </w:p>
    <w:p w14:paraId="3786635A">
      <w:pPr>
        <w:topLinePunct w:val="0"/>
        <w:bidi w:val="0"/>
        <w:snapToGrid w:val="0"/>
        <w:spacing w:line="360" w:lineRule="auto"/>
        <w:ind w:firstLine="504" w:firstLineChars="200"/>
        <w:jc w:val="left"/>
        <w:outlineLvl w:val="9"/>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2AB6A5D4">
      <w:pPr>
        <w:pStyle w:val="126"/>
        <w:jc w:val="both"/>
        <w:outlineLvl w:val="9"/>
        <w:rPr>
          <w:rFonts w:hint="eastAsia" w:ascii="宋体" w:hAnsi="宋体"/>
          <w:b/>
          <w:bCs/>
          <w:color w:val="auto"/>
          <w:kern w:val="2"/>
          <w:sz w:val="32"/>
          <w:szCs w:val="32"/>
          <w:highlight w:val="none"/>
          <w:lang w:val="en-US" w:eastAsia="zh-CN" w:bidi="ar-SA"/>
        </w:rPr>
      </w:pPr>
    </w:p>
    <w:p w14:paraId="2A8A7B93">
      <w:pPr>
        <w:pStyle w:val="126"/>
        <w:jc w:val="both"/>
        <w:outlineLvl w:val="9"/>
        <w:rPr>
          <w:rFonts w:hint="eastAsia" w:ascii="宋体" w:hAnsi="宋体"/>
          <w:b/>
          <w:bCs/>
          <w:color w:val="auto"/>
          <w:kern w:val="2"/>
          <w:sz w:val="32"/>
          <w:szCs w:val="32"/>
          <w:highlight w:val="none"/>
          <w:lang w:val="en-US" w:eastAsia="zh-CN" w:bidi="ar-SA"/>
        </w:rPr>
      </w:pPr>
      <w:r>
        <w:rPr>
          <w:rFonts w:hint="eastAsia" w:ascii="宋体" w:hAnsi="宋体" w:cs="仿宋"/>
          <w:b/>
          <w:color w:val="auto"/>
          <w:sz w:val="30"/>
          <w:szCs w:val="30"/>
          <w:highlight w:val="none"/>
          <w:lang w:val="en-US" w:eastAsia="zh-CN"/>
        </w:rPr>
        <w:t>附件</w:t>
      </w:r>
      <w:r>
        <w:rPr>
          <w:rFonts w:hint="eastAsia" w:hAnsi="宋体" w:cs="仿宋"/>
          <w:b/>
          <w:color w:val="auto"/>
          <w:sz w:val="30"/>
          <w:szCs w:val="30"/>
          <w:highlight w:val="none"/>
          <w:lang w:val="en-US" w:eastAsia="zh-CN"/>
        </w:rPr>
        <w:t>二</w:t>
      </w:r>
      <w:r>
        <w:rPr>
          <w:rFonts w:hint="eastAsia" w:ascii="宋体" w:hAnsi="宋体" w:cs="仿宋"/>
          <w:b/>
          <w:color w:val="auto"/>
          <w:sz w:val="30"/>
          <w:szCs w:val="30"/>
          <w:highlight w:val="none"/>
          <w:lang w:val="en-US" w:eastAsia="zh-CN"/>
        </w:rPr>
        <w:t>、</w:t>
      </w:r>
      <w:r>
        <w:rPr>
          <w:rFonts w:hint="eastAsia" w:ascii="宋体" w:hAnsi="宋体" w:eastAsia="宋体" w:cs="Times New Roman"/>
          <w:b/>
          <w:bCs/>
          <w:color w:val="auto"/>
          <w:kern w:val="2"/>
          <w:sz w:val="32"/>
          <w:szCs w:val="32"/>
          <w:highlight w:val="none"/>
          <w:lang w:val="en-US" w:eastAsia="zh-CN" w:bidi="ar-SA"/>
        </w:rPr>
        <w:t>残疾人福利性单位声明（若有）</w:t>
      </w:r>
    </w:p>
    <w:p w14:paraId="46FA85C9">
      <w:pPr>
        <w:topLinePunct w:val="0"/>
        <w:bidi w:val="0"/>
        <w:spacing w:line="360" w:lineRule="auto"/>
        <w:ind w:firstLine="504" w:firstLineChars="200"/>
        <w:rPr>
          <w:rFonts w:ascii="宋体" w:hAnsi="宋体"/>
          <w:color w:val="auto"/>
          <w:spacing w:val="6"/>
          <w:sz w:val="24"/>
        </w:rPr>
      </w:pPr>
      <w:r>
        <w:rPr>
          <w:rFonts w:hint="eastAsia" w:ascii="宋体" w:hAnsi="宋体"/>
          <w:color w:val="auto"/>
          <w:spacing w:val="6"/>
          <w:sz w:val="24"/>
        </w:rPr>
        <w:t>根据</w:t>
      </w:r>
      <w:r>
        <w:rPr>
          <w:rFonts w:hint="eastAsia" w:ascii="宋体" w:hAnsi="宋体"/>
          <w:color w:val="auto"/>
          <w:spacing w:val="6"/>
          <w:sz w:val="24"/>
          <w:highlight w:val="none"/>
        </w:rPr>
        <w:t>三部门联合发布</w:t>
      </w:r>
      <w:r>
        <w:rPr>
          <w:rFonts w:hint="eastAsia" w:ascii="宋体" w:hAnsi="宋体"/>
          <w:color w:val="auto"/>
          <w:spacing w:val="6"/>
          <w:sz w:val="24"/>
        </w:rPr>
        <w:t>《关于促进残疾人就业政府采购政策的通知》（财库〔2017〕141号）的规定，由</w:t>
      </w:r>
      <w:r>
        <w:rPr>
          <w:rFonts w:hint="eastAsia" w:ascii="宋体" w:hAnsi="宋体"/>
          <w:color w:val="auto"/>
          <w:spacing w:val="6"/>
          <w:sz w:val="24"/>
          <w:lang w:val="en-US" w:eastAsia="zh-CN"/>
        </w:rPr>
        <w:t>供应商</w:t>
      </w:r>
      <w:r>
        <w:rPr>
          <w:rFonts w:hint="eastAsia" w:ascii="宋体" w:hAnsi="宋体"/>
          <w:color w:val="auto"/>
          <w:spacing w:val="6"/>
          <w:sz w:val="24"/>
        </w:rPr>
        <w:t>自行申明，并对申明真实性负责。如有虚假，将依法承担相应责任。</w:t>
      </w:r>
    </w:p>
    <w:p w14:paraId="4184FFEE">
      <w:pPr>
        <w:topLinePunct w:val="0"/>
        <w:bidi w:val="0"/>
        <w:spacing w:line="360" w:lineRule="auto"/>
        <w:rPr>
          <w:color w:val="auto"/>
        </w:rPr>
      </w:pPr>
    </w:p>
    <w:p w14:paraId="22D4ECFC">
      <w:pPr>
        <w:topLinePunct w:val="0"/>
        <w:bidi w:val="0"/>
        <w:spacing w:line="360" w:lineRule="auto"/>
        <w:jc w:val="center"/>
        <w:rPr>
          <w:rFonts w:ascii="宋体" w:hAnsi="宋体" w:cs="宋体"/>
          <w:b/>
          <w:color w:val="auto"/>
          <w:spacing w:val="6"/>
          <w:sz w:val="24"/>
          <w:szCs w:val="24"/>
          <w:highlight w:val="none"/>
        </w:rPr>
      </w:pPr>
      <w:bookmarkStart w:id="156" w:name="OLE_LINK14"/>
      <w:r>
        <w:rPr>
          <w:rFonts w:hint="eastAsia" w:ascii="宋体" w:hAnsi="宋体" w:cs="宋体"/>
          <w:b/>
          <w:color w:val="auto"/>
          <w:spacing w:val="6"/>
          <w:sz w:val="24"/>
          <w:szCs w:val="24"/>
          <w:highlight w:val="none"/>
        </w:rPr>
        <w:t>残疾人福利性单位声明函</w:t>
      </w:r>
      <w:bookmarkEnd w:id="156"/>
    </w:p>
    <w:p w14:paraId="0DDE4BC5">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026A4178">
      <w:pPr>
        <w:spacing w:line="588" w:lineRule="exact"/>
        <w:ind w:firstLine="504" w:firstLineChars="200"/>
        <w:rPr>
          <w:rFonts w:ascii="宋体" w:hAnsi="宋体"/>
          <w:color w:val="auto"/>
          <w:spacing w:val="6"/>
          <w:szCs w:val="21"/>
        </w:rPr>
      </w:pPr>
      <w:r>
        <w:rPr>
          <w:rFonts w:hint="eastAsia" w:ascii="宋体" w:hAnsi="宋体"/>
          <w:color w:val="auto"/>
          <w:spacing w:val="6"/>
          <w:sz w:val="24"/>
          <w:szCs w:val="24"/>
        </w:rPr>
        <w:t>本单位对上述声明的真实性负责。如有虚假，将依法承担相应责任。</w:t>
      </w:r>
    </w:p>
    <w:p w14:paraId="14491B4E">
      <w:pPr>
        <w:pStyle w:val="20"/>
        <w:rPr>
          <w:color w:val="auto"/>
        </w:rPr>
      </w:pPr>
    </w:p>
    <w:p w14:paraId="34FA39A1">
      <w:pPr>
        <w:pStyle w:val="12"/>
        <w:numPr>
          <w:ilvl w:val="0"/>
          <w:numId w:val="0"/>
        </w:numPr>
        <w:rPr>
          <w:color w:val="auto"/>
        </w:rPr>
      </w:pPr>
    </w:p>
    <w:p w14:paraId="017FC592">
      <w:pPr>
        <w:tabs>
          <w:tab w:val="left" w:pos="4860"/>
        </w:tabs>
        <w:topLinePunct w:val="0"/>
        <w:bidi w:val="0"/>
        <w:spacing w:line="360" w:lineRule="auto"/>
        <w:ind w:right="1560" w:firstLine="3024" w:firstLineChars="1200"/>
        <w:rPr>
          <w:rFonts w:hint="default" w:ascii="宋体" w:hAnsi="宋体" w:eastAsia="宋体" w:cs="宋体"/>
          <w:color w:val="auto"/>
          <w:spacing w:val="6"/>
          <w:sz w:val="24"/>
          <w:szCs w:val="24"/>
          <w:lang w:val="en-US" w:eastAsia="zh-CN"/>
        </w:rPr>
      </w:pPr>
      <w:r>
        <w:rPr>
          <w:rFonts w:hint="eastAsia" w:ascii="宋体" w:hAnsi="宋体" w:cs="宋体"/>
          <w:color w:val="auto"/>
          <w:spacing w:val="6"/>
          <w:sz w:val="24"/>
          <w:szCs w:val="24"/>
        </w:rPr>
        <w:t>单位名称（</w:t>
      </w:r>
      <w:r>
        <w:rPr>
          <w:rFonts w:hint="eastAsia" w:ascii="宋体" w:hAnsi="宋体" w:cs="宋体"/>
          <w:color w:val="auto"/>
          <w:spacing w:val="6"/>
          <w:sz w:val="24"/>
          <w:szCs w:val="24"/>
          <w:lang w:val="en-US" w:eastAsia="zh-CN"/>
        </w:rPr>
        <w:t>公</w:t>
      </w:r>
      <w:r>
        <w:rPr>
          <w:rFonts w:hint="eastAsia" w:ascii="宋体" w:hAnsi="宋体" w:cs="宋体"/>
          <w:color w:val="auto"/>
          <w:spacing w:val="6"/>
          <w:sz w:val="24"/>
          <w:szCs w:val="24"/>
        </w:rPr>
        <w:t>章）：</w:t>
      </w:r>
      <w:r>
        <w:rPr>
          <w:rFonts w:hint="eastAsia" w:ascii="宋体" w:hAnsi="宋体" w:cs="宋体"/>
          <w:color w:val="auto"/>
          <w:spacing w:val="6"/>
          <w:sz w:val="24"/>
          <w:szCs w:val="24"/>
          <w:u w:val="single"/>
          <w:lang w:val="en-US" w:eastAsia="zh-CN"/>
        </w:rPr>
        <w:t xml:space="preserve">             </w:t>
      </w:r>
    </w:p>
    <w:p w14:paraId="77487EF9">
      <w:pPr>
        <w:pStyle w:val="126"/>
        <w:outlineLvl w:val="9"/>
        <w:rPr>
          <w:rFonts w:hint="eastAsia" w:ascii="宋体" w:hAnsi="宋体"/>
          <w:b w:val="0"/>
          <w:bCs/>
          <w:color w:val="auto"/>
          <w:kern w:val="2"/>
          <w:sz w:val="32"/>
          <w:szCs w:val="32"/>
          <w:highlight w:val="none"/>
          <w:lang w:val="en-US" w:eastAsia="zh-CN" w:bidi="ar-SA"/>
        </w:rPr>
      </w:pPr>
      <w:r>
        <w:rPr>
          <w:rFonts w:hint="eastAsia" w:ascii="宋体" w:hAnsi="宋体" w:cs="宋体"/>
          <w:color w:val="auto"/>
          <w:spacing w:val="6"/>
          <w:sz w:val="24"/>
          <w:szCs w:val="24"/>
          <w:lang w:val="en-US" w:eastAsia="zh-CN"/>
        </w:rPr>
        <w:t xml:space="preserve">           </w:t>
      </w:r>
      <w:r>
        <w:rPr>
          <w:rFonts w:hint="eastAsia" w:ascii="宋体" w:hAnsi="宋体" w:cs="宋体"/>
          <w:b w:val="0"/>
          <w:bCs/>
          <w:color w:val="auto"/>
          <w:spacing w:val="6"/>
          <w:sz w:val="24"/>
          <w:szCs w:val="24"/>
          <w:lang w:val="en-US" w:eastAsia="zh-CN"/>
        </w:rPr>
        <w:t xml:space="preserve">  </w:t>
      </w:r>
      <w:r>
        <w:rPr>
          <w:rFonts w:hint="eastAsia" w:ascii="宋体" w:hAnsi="宋体" w:cs="宋体"/>
          <w:b w:val="0"/>
          <w:bCs/>
          <w:color w:val="auto"/>
          <w:spacing w:val="6"/>
          <w:sz w:val="24"/>
          <w:szCs w:val="24"/>
        </w:rPr>
        <w:t>日  期：</w:t>
      </w:r>
      <w:r>
        <w:rPr>
          <w:rFonts w:hint="eastAsia" w:ascii="宋体" w:hAnsi="宋体"/>
          <w:b w:val="0"/>
          <w:bCs/>
          <w:color w:val="auto"/>
          <w:sz w:val="24"/>
        </w:rPr>
        <w:t xml:space="preserve"> </w:t>
      </w:r>
      <w:r>
        <w:rPr>
          <w:rFonts w:hint="eastAsia" w:ascii="宋体" w:hAnsi="宋体"/>
          <w:b w:val="0"/>
          <w:bCs/>
          <w:color w:val="auto"/>
          <w:sz w:val="24"/>
          <w:u w:val="single"/>
        </w:rPr>
        <w:t xml:space="preserve">      </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rPr>
        <w:t>日</w:t>
      </w:r>
    </w:p>
    <w:p w14:paraId="779AC4B3">
      <w:pPr>
        <w:pStyle w:val="126"/>
        <w:outlineLvl w:val="9"/>
        <w:rPr>
          <w:rFonts w:hint="eastAsia" w:ascii="宋体" w:hAnsi="宋体"/>
          <w:b w:val="0"/>
          <w:bCs/>
          <w:color w:val="auto"/>
          <w:kern w:val="2"/>
          <w:sz w:val="32"/>
          <w:szCs w:val="32"/>
          <w:highlight w:val="none"/>
          <w:lang w:val="en-US" w:eastAsia="zh-CN" w:bidi="ar-SA"/>
        </w:rPr>
      </w:pPr>
    </w:p>
    <w:p w14:paraId="505D46F8">
      <w:pPr>
        <w:pStyle w:val="126"/>
        <w:outlineLvl w:val="9"/>
        <w:rPr>
          <w:rFonts w:hint="eastAsia" w:ascii="宋体" w:hAnsi="宋体"/>
          <w:b w:val="0"/>
          <w:bCs/>
          <w:color w:val="auto"/>
          <w:kern w:val="2"/>
          <w:sz w:val="32"/>
          <w:szCs w:val="32"/>
          <w:highlight w:val="none"/>
          <w:lang w:val="en-US" w:eastAsia="zh-CN" w:bidi="ar-SA"/>
        </w:rPr>
      </w:pPr>
    </w:p>
    <w:p w14:paraId="75FF99F2">
      <w:pPr>
        <w:pStyle w:val="126"/>
        <w:outlineLvl w:val="9"/>
        <w:rPr>
          <w:rFonts w:hint="eastAsia" w:ascii="宋体" w:hAnsi="宋体"/>
          <w:b w:val="0"/>
          <w:bCs/>
          <w:color w:val="auto"/>
          <w:kern w:val="2"/>
          <w:sz w:val="32"/>
          <w:szCs w:val="32"/>
          <w:highlight w:val="none"/>
          <w:lang w:val="en-US" w:eastAsia="zh-CN" w:bidi="ar-SA"/>
        </w:rPr>
      </w:pPr>
    </w:p>
    <w:p w14:paraId="522C2D9C">
      <w:pPr>
        <w:pStyle w:val="3"/>
        <w:topLinePunct w:val="0"/>
        <w:bidi w:val="0"/>
        <w:spacing w:line="360" w:lineRule="auto"/>
        <w:rPr>
          <w:rFonts w:ascii="宋体"/>
          <w:color w:val="auto"/>
          <w:highlight w:val="none"/>
        </w:rPr>
      </w:pPr>
      <w:r>
        <w:rPr>
          <w:rFonts w:hint="eastAsia" w:ascii="宋体" w:hAnsi="宋体" w:cs="宋体"/>
          <w:color w:val="auto"/>
          <w:highlight w:val="none"/>
          <w:lang w:val="en-US" w:eastAsia="zh-CN"/>
        </w:rPr>
        <w:t>（十五）</w:t>
      </w:r>
      <w:r>
        <w:rPr>
          <w:rFonts w:hint="eastAsia" w:ascii="宋体" w:hAnsi="宋体" w:cs="宋体"/>
          <w:color w:val="auto"/>
          <w:highlight w:val="none"/>
        </w:rPr>
        <w:t>供应商认为有必要说明的其他问题</w:t>
      </w:r>
    </w:p>
    <w:p w14:paraId="7E03311F">
      <w:pPr>
        <w:topLinePunct w:val="0"/>
        <w:bidi w:val="0"/>
        <w:spacing w:line="360" w:lineRule="auto"/>
        <w:rPr>
          <w:rFonts w:hint="eastAsia" w:ascii="宋体" w:hAnsi="宋体" w:cs="宋体"/>
          <w:color w:val="auto"/>
          <w:sz w:val="24"/>
          <w:szCs w:val="24"/>
          <w:highlight w:val="none"/>
        </w:rPr>
      </w:pPr>
    </w:p>
    <w:p w14:paraId="0AAE1DA3">
      <w:pPr>
        <w:topLinePunct w:val="0"/>
        <w:bidi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供应商根据竞争性磋商文件规定和要求提供的其他相关资料。</w:t>
      </w:r>
    </w:p>
    <w:p w14:paraId="58C54F35">
      <w:pPr>
        <w:topLinePunct w:val="0"/>
        <w:bidi w:val="0"/>
        <w:spacing w:line="360" w:lineRule="auto"/>
        <w:rPr>
          <w:color w:val="auto"/>
          <w:highlight w:val="none"/>
        </w:rPr>
      </w:pPr>
    </w:p>
    <w:p w14:paraId="28D4AA7A">
      <w:pPr>
        <w:topLinePunct w:val="0"/>
        <w:bidi w:val="0"/>
        <w:spacing w:line="360" w:lineRule="auto"/>
        <w:rPr>
          <w:color w:val="auto"/>
          <w:highlight w:val="none"/>
        </w:rPr>
      </w:pPr>
    </w:p>
    <w:p w14:paraId="7E1C6B9B">
      <w:pPr>
        <w:pStyle w:val="20"/>
        <w:rPr>
          <w:color w:val="auto"/>
        </w:rPr>
      </w:pPr>
    </w:p>
    <w:p w14:paraId="42AD942C">
      <w:pPr>
        <w:widowControl/>
        <w:topLinePunct w:val="0"/>
        <w:bidi w:val="0"/>
        <w:spacing w:line="360" w:lineRule="auto"/>
        <w:ind w:left="420" w:leftChars="200"/>
        <w:rPr>
          <w:rFonts w:ascii="宋体" w:hAnsi="宋体" w:cs="宋体"/>
          <w:color w:val="auto"/>
          <w:highlight w:val="none"/>
        </w:rPr>
      </w:pPr>
    </w:p>
    <w:sectPr>
      <w:footerReference r:id="rId7" w:type="default"/>
      <w:pgSz w:w="11906" w:h="16838"/>
      <w:pgMar w:top="1440" w:right="1701" w:bottom="1440" w:left="1701" w:header="850" w:footer="992" w:gutter="0"/>
      <w:pgBorders>
        <w:top w:val="none" w:sz="0" w:space="0"/>
        <w:left w:val="none" w:sz="0" w:space="0"/>
        <w:bottom w:val="none" w:sz="0" w:space="0"/>
        <w:right w:val="none" w:sz="0" w:space="0"/>
      </w:pgBorders>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3068">
    <w:pPr>
      <w:pStyle w:val="20"/>
      <w:tabs>
        <w:tab w:val="right" w:pos="8426"/>
      </w:tabs>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DEE6F">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14:paraId="261DEE6F">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r>
      <w:rPr>
        <w:rFonts w:ascii="宋体" w:cs="宋体"/>
      </w:rPr>
      <w:tab/>
    </w:r>
    <w:r>
      <w:rPr>
        <w:rFonts w:ascii="宋体" w:cs="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2A31">
    <w:pPr>
      <w:pStyle w:val="2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38482">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hnRM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4Z0TLAQAAnAMAAA4AAAAAAAAAAQAgAAAAHgEAAGRycy9lMm9E&#10;b2MueG1sUEsFBgAAAAAGAAYAWQEAAFsFAAAAAA==&#10;">
              <v:fill on="f" focussize="0,0"/>
              <v:stroke on="f"/>
              <v:imagedata o:title=""/>
              <o:lock v:ext="edit" aspectratio="f"/>
              <v:textbox inset="0mm,0mm,0mm,0mm" style="mso-fit-shape-to-text:t;">
                <w:txbxContent>
                  <w:p w14:paraId="6FC38482">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p w14:paraId="44875B4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74B7">
    <w:pPr>
      <w:pStyle w:val="20"/>
      <w:jc w:val="right"/>
      <w:rPr>
        <w:rFonts w:asci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BB25A">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uvqM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sLr6jLAQAAnAMAAA4AAAAAAAAAAQAgAAAAHgEAAGRycy9lMm9E&#10;b2MueG1sUEsFBgAAAAAGAAYAWQEAAFsFAAAAAA==&#10;">
              <v:fill on="f" focussize="0,0"/>
              <v:stroke on="f"/>
              <v:imagedata o:title=""/>
              <o:lock v:ext="edit" aspectratio="f"/>
              <v:textbox inset="0mm,0mm,0mm,0mm" style="mso-fit-shape-to-text:t;">
                <w:txbxContent>
                  <w:p w14:paraId="7E0BB25A">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1FDD">
    <w:pPr>
      <w:pStyle w:val="20"/>
      <w:jc w:val="right"/>
      <w:rPr>
        <w:rFonts w:hint="eastAsia" w:ascii="宋体" w:eastAsia="宋体" w:cs="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B953F">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J5c8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SeXPLAQAAnAMAAA4AAAAAAAAAAQAgAAAAHgEAAGRycy9lMm9E&#10;b2MueG1sUEsFBgAAAAAGAAYAWQEAAFsFAAAAAA==&#10;">
              <v:fill on="f" focussize="0,0"/>
              <v:stroke on="f"/>
              <v:imagedata o:title=""/>
              <o:lock v:ext="edit" aspectratio="f"/>
              <v:textbox inset="0mm,0mm,0mm,0mm" style="mso-fit-shape-to-text:t;">
                <w:txbxContent>
                  <w:p w14:paraId="385B953F">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828C">
    <w:pPr>
      <w:pStyle w:val="21"/>
      <w:jc w:val="left"/>
      <w:rPr>
        <w:rFonts w:hint="default" w:eastAsia="宋体"/>
        <w:lang w:val="en-US" w:eastAsia="zh-CN"/>
      </w:rPr>
    </w:pPr>
    <w:r>
      <w:rPr>
        <w:rFonts w:hint="eastAsia" w:ascii="宋体" w:hAnsi="宋体" w:cs="宋体"/>
        <w:b w:val="0"/>
        <w:bCs w:val="0"/>
        <w:i w:val="0"/>
        <w:iCs w:val="0"/>
        <w:caps w:val="0"/>
        <w:color w:val="333333"/>
        <w:spacing w:val="0"/>
        <w:sz w:val="21"/>
        <w:szCs w:val="21"/>
        <w:shd w:val="clear" w:fill="FFFFFF"/>
        <w:lang w:val="en-US" w:eastAsia="zh-CN"/>
      </w:rPr>
      <w:t xml:space="preserve">华春建设工程项目管理有限责任公司竞争性磋商文件                          </w:t>
    </w:r>
    <w:r>
      <w:rPr>
        <w:rFonts w:hint="eastAsia"/>
        <w:i/>
        <w:iCs/>
        <w:highlight w:val="none"/>
        <w:lang w:val="en-US" w:eastAsia="zh-CN"/>
      </w:rPr>
      <w:t xml:space="preserve">  </w:t>
    </w:r>
    <w:r>
      <w:rPr>
        <w:rFonts w:hint="eastAsia"/>
      </w:rPr>
      <w:drawing>
        <wp:inline distT="0" distB="0" distL="114300" distR="114300">
          <wp:extent cx="332740" cy="294640"/>
          <wp:effectExtent l="0" t="0" r="10160" b="10160"/>
          <wp:docPr id="1" name="图片 1"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717152624"/>
                  <pic:cNvPicPr>
                    <a:picLocks noChangeAspect="1"/>
                  </pic:cNvPicPr>
                </pic:nvPicPr>
                <pic:blipFill>
                  <a:blip r:embed="rId1"/>
                  <a:stretch>
                    <a:fillRect/>
                  </a:stretch>
                </pic:blipFill>
                <pic:spPr>
                  <a:xfrm>
                    <a:off x="0" y="0"/>
                    <a:ext cx="332740" cy="294640"/>
                  </a:xfrm>
                  <a:prstGeom prst="rect">
                    <a:avLst/>
                  </a:prstGeom>
                  <a:noFill/>
                  <a:ln>
                    <a:noFill/>
                  </a:ln>
                </pic:spPr>
              </pic:pic>
            </a:graphicData>
          </a:graphic>
        </wp:inline>
      </w:drawing>
    </w:r>
    <w:r>
      <w:rPr>
        <w:rFonts w:hint="eastAsia"/>
        <w:i/>
        <w:iCs/>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43299"/>
    <w:multiLevelType w:val="singleLevel"/>
    <w:tmpl w:val="D5543299"/>
    <w:lvl w:ilvl="0" w:tentative="0">
      <w:start w:val="2"/>
      <w:numFmt w:val="decimal"/>
      <w:suff w:val="nothing"/>
      <w:lvlText w:val="（%1）"/>
      <w:lvlJc w:val="left"/>
    </w:lvl>
  </w:abstractNum>
  <w:abstractNum w:abstractNumId="1">
    <w:nsid w:val="F321F036"/>
    <w:multiLevelType w:val="singleLevel"/>
    <w:tmpl w:val="F321F036"/>
    <w:lvl w:ilvl="0" w:tentative="0">
      <w:start w:val="1"/>
      <w:numFmt w:val="decimal"/>
      <w:suff w:val="nothing"/>
      <w:lvlText w:val="%1、"/>
      <w:lvlJc w:val="left"/>
      <w:pPr>
        <w:ind w:left="0" w:firstLine="0"/>
      </w:pPr>
    </w:lvl>
  </w:abstractNum>
  <w:abstractNum w:abstractNumId="2">
    <w:nsid w:val="245AB170"/>
    <w:multiLevelType w:val="singleLevel"/>
    <w:tmpl w:val="245AB170"/>
    <w:lvl w:ilvl="0" w:tentative="0">
      <w:start w:val="2"/>
      <w:numFmt w:val="chineseCounting"/>
      <w:suff w:val="space"/>
      <w:lvlText w:val="第%1部分"/>
      <w:lvlJc w:val="left"/>
      <w:rPr>
        <w:rFonts w:hint="eastAsia"/>
      </w:rPr>
    </w:lvl>
  </w:abstractNum>
  <w:abstractNum w:abstractNumId="3">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4">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5">
    <w:nsid w:val="59F08EA7"/>
    <w:multiLevelType w:val="singleLevel"/>
    <w:tmpl w:val="59F08EA7"/>
    <w:lvl w:ilvl="0" w:tentative="0">
      <w:start w:val="1"/>
      <w:numFmt w:val="decimal"/>
      <w:suff w:val="nothing"/>
      <w:lvlText w:val="（%1）"/>
      <w:lvlJc w:val="left"/>
      <w:pPr>
        <w:ind w:left="-60" w:firstLine="420"/>
      </w:pPr>
      <w:rPr>
        <w:rFonts w:hint="default"/>
      </w:rPr>
    </w:lvl>
  </w:abstractNum>
  <w:abstractNum w:abstractNumId="6">
    <w:nsid w:val="59F098B5"/>
    <w:multiLevelType w:val="singleLevel"/>
    <w:tmpl w:val="59F098B5"/>
    <w:lvl w:ilvl="0" w:tentative="0">
      <w:start w:val="1"/>
      <w:numFmt w:val="decimal"/>
      <w:suff w:val="nothing"/>
      <w:lvlText w:val="（%1）"/>
      <w:lvlJc w:val="left"/>
      <w:pPr>
        <w:ind w:left="0"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8">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9">
    <w:nsid w:val="5A825990"/>
    <w:multiLevelType w:val="singleLevel"/>
    <w:tmpl w:val="5A825990"/>
    <w:lvl w:ilvl="0" w:tentative="0">
      <w:start w:val="1"/>
      <w:numFmt w:val="decimal"/>
      <w:suff w:val="nothing"/>
      <w:lvlText w:val="%1、"/>
      <w:lvlJc w:val="left"/>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IwMDA0NWMzZDQyZGExMzIxM2JjYjU2ZWU5MDEifQ=="/>
  </w:docVars>
  <w:rsids>
    <w:rsidRoot w:val="2627224F"/>
    <w:rsid w:val="00001425"/>
    <w:rsid w:val="000532E2"/>
    <w:rsid w:val="00056CD8"/>
    <w:rsid w:val="00061B22"/>
    <w:rsid w:val="00063DC7"/>
    <w:rsid w:val="000A002F"/>
    <w:rsid w:val="000A2C3A"/>
    <w:rsid w:val="000B3FC4"/>
    <w:rsid w:val="000B68D4"/>
    <w:rsid w:val="000C0895"/>
    <w:rsid w:val="000E55ED"/>
    <w:rsid w:val="000E58A3"/>
    <w:rsid w:val="0011607E"/>
    <w:rsid w:val="0012180F"/>
    <w:rsid w:val="001269B4"/>
    <w:rsid w:val="00133387"/>
    <w:rsid w:val="00135474"/>
    <w:rsid w:val="00167A28"/>
    <w:rsid w:val="00170EBA"/>
    <w:rsid w:val="0018410D"/>
    <w:rsid w:val="001926F2"/>
    <w:rsid w:val="001F0785"/>
    <w:rsid w:val="002165BB"/>
    <w:rsid w:val="00226AB0"/>
    <w:rsid w:val="00241322"/>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75009"/>
    <w:rsid w:val="00386522"/>
    <w:rsid w:val="003A5C89"/>
    <w:rsid w:val="003D37C1"/>
    <w:rsid w:val="003E45DE"/>
    <w:rsid w:val="003E65D8"/>
    <w:rsid w:val="003E7B81"/>
    <w:rsid w:val="003F3D18"/>
    <w:rsid w:val="003F64A7"/>
    <w:rsid w:val="00417EF4"/>
    <w:rsid w:val="00421711"/>
    <w:rsid w:val="004313A1"/>
    <w:rsid w:val="004456E2"/>
    <w:rsid w:val="00447862"/>
    <w:rsid w:val="00447A3A"/>
    <w:rsid w:val="00462D92"/>
    <w:rsid w:val="00467536"/>
    <w:rsid w:val="00482B14"/>
    <w:rsid w:val="00490EB6"/>
    <w:rsid w:val="004D70C5"/>
    <w:rsid w:val="005044F7"/>
    <w:rsid w:val="00520C66"/>
    <w:rsid w:val="00522064"/>
    <w:rsid w:val="00524BC5"/>
    <w:rsid w:val="00534DAB"/>
    <w:rsid w:val="005539A0"/>
    <w:rsid w:val="005556EC"/>
    <w:rsid w:val="0057108C"/>
    <w:rsid w:val="005728D1"/>
    <w:rsid w:val="005918D7"/>
    <w:rsid w:val="005A1E74"/>
    <w:rsid w:val="005A62BA"/>
    <w:rsid w:val="005B3960"/>
    <w:rsid w:val="005C7B2B"/>
    <w:rsid w:val="005D7A12"/>
    <w:rsid w:val="005E2798"/>
    <w:rsid w:val="005E2886"/>
    <w:rsid w:val="005F60DA"/>
    <w:rsid w:val="005F65CD"/>
    <w:rsid w:val="00603C33"/>
    <w:rsid w:val="0064069F"/>
    <w:rsid w:val="00644E8B"/>
    <w:rsid w:val="00645208"/>
    <w:rsid w:val="0064541C"/>
    <w:rsid w:val="00652D89"/>
    <w:rsid w:val="0065463C"/>
    <w:rsid w:val="00654DDC"/>
    <w:rsid w:val="00660E91"/>
    <w:rsid w:val="00661C11"/>
    <w:rsid w:val="006657C9"/>
    <w:rsid w:val="0068282F"/>
    <w:rsid w:val="006911F9"/>
    <w:rsid w:val="00696FBA"/>
    <w:rsid w:val="006A140A"/>
    <w:rsid w:val="006A3734"/>
    <w:rsid w:val="006B38D0"/>
    <w:rsid w:val="006B71CA"/>
    <w:rsid w:val="006C6619"/>
    <w:rsid w:val="006D4400"/>
    <w:rsid w:val="006D7935"/>
    <w:rsid w:val="006E46DF"/>
    <w:rsid w:val="006F1FD6"/>
    <w:rsid w:val="006F6CE7"/>
    <w:rsid w:val="00733E26"/>
    <w:rsid w:val="00735065"/>
    <w:rsid w:val="00743BB4"/>
    <w:rsid w:val="007441D9"/>
    <w:rsid w:val="00792491"/>
    <w:rsid w:val="007C0818"/>
    <w:rsid w:val="007D1040"/>
    <w:rsid w:val="007D63C4"/>
    <w:rsid w:val="00803D85"/>
    <w:rsid w:val="00803F6A"/>
    <w:rsid w:val="00841916"/>
    <w:rsid w:val="00842F88"/>
    <w:rsid w:val="0086026F"/>
    <w:rsid w:val="00863B59"/>
    <w:rsid w:val="00886168"/>
    <w:rsid w:val="008866C0"/>
    <w:rsid w:val="00891290"/>
    <w:rsid w:val="008962A7"/>
    <w:rsid w:val="00897D92"/>
    <w:rsid w:val="008A367A"/>
    <w:rsid w:val="008B7CA5"/>
    <w:rsid w:val="008C49CF"/>
    <w:rsid w:val="008D56DD"/>
    <w:rsid w:val="008F6EFE"/>
    <w:rsid w:val="008F752D"/>
    <w:rsid w:val="009049D8"/>
    <w:rsid w:val="00916046"/>
    <w:rsid w:val="009269A2"/>
    <w:rsid w:val="00931804"/>
    <w:rsid w:val="009366A8"/>
    <w:rsid w:val="00941AF3"/>
    <w:rsid w:val="00954CF1"/>
    <w:rsid w:val="0095596F"/>
    <w:rsid w:val="0095772E"/>
    <w:rsid w:val="00973CE8"/>
    <w:rsid w:val="00975D66"/>
    <w:rsid w:val="00992691"/>
    <w:rsid w:val="009A009D"/>
    <w:rsid w:val="009A4A76"/>
    <w:rsid w:val="009B616D"/>
    <w:rsid w:val="009D6209"/>
    <w:rsid w:val="00A10123"/>
    <w:rsid w:val="00A1793C"/>
    <w:rsid w:val="00A24217"/>
    <w:rsid w:val="00A248F4"/>
    <w:rsid w:val="00A4619A"/>
    <w:rsid w:val="00A631F9"/>
    <w:rsid w:val="00A63494"/>
    <w:rsid w:val="00A73F78"/>
    <w:rsid w:val="00A8343C"/>
    <w:rsid w:val="00A921BA"/>
    <w:rsid w:val="00AB0730"/>
    <w:rsid w:val="00AB0D57"/>
    <w:rsid w:val="00AC60A6"/>
    <w:rsid w:val="00AC7625"/>
    <w:rsid w:val="00AD72BC"/>
    <w:rsid w:val="00AF042E"/>
    <w:rsid w:val="00AF7587"/>
    <w:rsid w:val="00B32079"/>
    <w:rsid w:val="00B6617C"/>
    <w:rsid w:val="00B661E8"/>
    <w:rsid w:val="00B721AB"/>
    <w:rsid w:val="00B76DB3"/>
    <w:rsid w:val="00B926EC"/>
    <w:rsid w:val="00BA067C"/>
    <w:rsid w:val="00BA4DAB"/>
    <w:rsid w:val="00BA747E"/>
    <w:rsid w:val="00BC1AB3"/>
    <w:rsid w:val="00BC7715"/>
    <w:rsid w:val="00BD2877"/>
    <w:rsid w:val="00BE47C5"/>
    <w:rsid w:val="00C10784"/>
    <w:rsid w:val="00C1147B"/>
    <w:rsid w:val="00C56CC2"/>
    <w:rsid w:val="00C735E8"/>
    <w:rsid w:val="00C77720"/>
    <w:rsid w:val="00C92784"/>
    <w:rsid w:val="00CA477A"/>
    <w:rsid w:val="00CA49CF"/>
    <w:rsid w:val="00CD0057"/>
    <w:rsid w:val="00CF275C"/>
    <w:rsid w:val="00D01247"/>
    <w:rsid w:val="00D0394F"/>
    <w:rsid w:val="00D574E4"/>
    <w:rsid w:val="00D576EF"/>
    <w:rsid w:val="00D723CA"/>
    <w:rsid w:val="00D91172"/>
    <w:rsid w:val="00D95D73"/>
    <w:rsid w:val="00DA4229"/>
    <w:rsid w:val="00DB7971"/>
    <w:rsid w:val="00DC1986"/>
    <w:rsid w:val="00DC7FB0"/>
    <w:rsid w:val="00E04145"/>
    <w:rsid w:val="00E24AFE"/>
    <w:rsid w:val="00E40286"/>
    <w:rsid w:val="00E55562"/>
    <w:rsid w:val="00E6619C"/>
    <w:rsid w:val="00E723EB"/>
    <w:rsid w:val="00E8261A"/>
    <w:rsid w:val="00E84BD2"/>
    <w:rsid w:val="00E9724B"/>
    <w:rsid w:val="00EA1ECE"/>
    <w:rsid w:val="00F00625"/>
    <w:rsid w:val="00F234ED"/>
    <w:rsid w:val="00F2428C"/>
    <w:rsid w:val="00F25511"/>
    <w:rsid w:val="00F75245"/>
    <w:rsid w:val="00FC5BAE"/>
    <w:rsid w:val="00FD3AE9"/>
    <w:rsid w:val="00FD62CF"/>
    <w:rsid w:val="00FE6CC5"/>
    <w:rsid w:val="00FF0EC5"/>
    <w:rsid w:val="00FF46C3"/>
    <w:rsid w:val="010B0F13"/>
    <w:rsid w:val="010F1DA1"/>
    <w:rsid w:val="011221F0"/>
    <w:rsid w:val="01135A12"/>
    <w:rsid w:val="01174437"/>
    <w:rsid w:val="01364AE0"/>
    <w:rsid w:val="013A223F"/>
    <w:rsid w:val="01421743"/>
    <w:rsid w:val="01461CE6"/>
    <w:rsid w:val="01525A0A"/>
    <w:rsid w:val="016140C6"/>
    <w:rsid w:val="01695955"/>
    <w:rsid w:val="016A454D"/>
    <w:rsid w:val="016C08D4"/>
    <w:rsid w:val="016E1781"/>
    <w:rsid w:val="017240DE"/>
    <w:rsid w:val="017767EF"/>
    <w:rsid w:val="017D3840"/>
    <w:rsid w:val="0180365F"/>
    <w:rsid w:val="01866C66"/>
    <w:rsid w:val="018D5873"/>
    <w:rsid w:val="01910A08"/>
    <w:rsid w:val="01916841"/>
    <w:rsid w:val="01920D21"/>
    <w:rsid w:val="019329D2"/>
    <w:rsid w:val="019C7937"/>
    <w:rsid w:val="01A324E9"/>
    <w:rsid w:val="01AC2FBF"/>
    <w:rsid w:val="01B14BA6"/>
    <w:rsid w:val="01C0309B"/>
    <w:rsid w:val="01C0374D"/>
    <w:rsid w:val="01C26E13"/>
    <w:rsid w:val="01D152A8"/>
    <w:rsid w:val="01D34B7C"/>
    <w:rsid w:val="01D64F82"/>
    <w:rsid w:val="01D93A75"/>
    <w:rsid w:val="01DB691F"/>
    <w:rsid w:val="01E1097C"/>
    <w:rsid w:val="01E1598A"/>
    <w:rsid w:val="01E21295"/>
    <w:rsid w:val="01E24B8D"/>
    <w:rsid w:val="01F12F1C"/>
    <w:rsid w:val="01F14C96"/>
    <w:rsid w:val="01F33470"/>
    <w:rsid w:val="01F33CB1"/>
    <w:rsid w:val="01F66ABD"/>
    <w:rsid w:val="01F90F7C"/>
    <w:rsid w:val="01FD31E9"/>
    <w:rsid w:val="01FF20E5"/>
    <w:rsid w:val="02005B8D"/>
    <w:rsid w:val="02042450"/>
    <w:rsid w:val="02052EB8"/>
    <w:rsid w:val="02056D00"/>
    <w:rsid w:val="02064B47"/>
    <w:rsid w:val="020F676D"/>
    <w:rsid w:val="021919D4"/>
    <w:rsid w:val="0219549D"/>
    <w:rsid w:val="02211D91"/>
    <w:rsid w:val="022E0F57"/>
    <w:rsid w:val="023B6BC5"/>
    <w:rsid w:val="02453D18"/>
    <w:rsid w:val="024E588E"/>
    <w:rsid w:val="02500CEF"/>
    <w:rsid w:val="025366F8"/>
    <w:rsid w:val="025475AC"/>
    <w:rsid w:val="025A34EF"/>
    <w:rsid w:val="026117A6"/>
    <w:rsid w:val="02636598"/>
    <w:rsid w:val="0264611C"/>
    <w:rsid w:val="026F2609"/>
    <w:rsid w:val="02704AC1"/>
    <w:rsid w:val="02740B05"/>
    <w:rsid w:val="027B35DF"/>
    <w:rsid w:val="027C4FD4"/>
    <w:rsid w:val="02854F8C"/>
    <w:rsid w:val="028E4D69"/>
    <w:rsid w:val="02985DC6"/>
    <w:rsid w:val="029A2476"/>
    <w:rsid w:val="029A38EC"/>
    <w:rsid w:val="02A64209"/>
    <w:rsid w:val="02B32C00"/>
    <w:rsid w:val="02B71C4C"/>
    <w:rsid w:val="02BC3862"/>
    <w:rsid w:val="02BD2D09"/>
    <w:rsid w:val="02D0336B"/>
    <w:rsid w:val="02D432A2"/>
    <w:rsid w:val="02D54B3E"/>
    <w:rsid w:val="02DE116F"/>
    <w:rsid w:val="02E638FA"/>
    <w:rsid w:val="02F47738"/>
    <w:rsid w:val="02F61685"/>
    <w:rsid w:val="02FA17E2"/>
    <w:rsid w:val="02FA4A66"/>
    <w:rsid w:val="02FC6355"/>
    <w:rsid w:val="030154E3"/>
    <w:rsid w:val="030A0C9E"/>
    <w:rsid w:val="03127926"/>
    <w:rsid w:val="031744AF"/>
    <w:rsid w:val="031C5CB6"/>
    <w:rsid w:val="031E276F"/>
    <w:rsid w:val="03246CE1"/>
    <w:rsid w:val="0328482B"/>
    <w:rsid w:val="03290D04"/>
    <w:rsid w:val="033354A5"/>
    <w:rsid w:val="033B50CF"/>
    <w:rsid w:val="03441037"/>
    <w:rsid w:val="034C725D"/>
    <w:rsid w:val="034E7094"/>
    <w:rsid w:val="03541409"/>
    <w:rsid w:val="035B7692"/>
    <w:rsid w:val="03696008"/>
    <w:rsid w:val="036C617D"/>
    <w:rsid w:val="036C68BD"/>
    <w:rsid w:val="036F0F6E"/>
    <w:rsid w:val="037003D0"/>
    <w:rsid w:val="03825317"/>
    <w:rsid w:val="038325D2"/>
    <w:rsid w:val="038B1487"/>
    <w:rsid w:val="039152BA"/>
    <w:rsid w:val="03A17CAE"/>
    <w:rsid w:val="03A30184"/>
    <w:rsid w:val="03B60F38"/>
    <w:rsid w:val="03BC71AC"/>
    <w:rsid w:val="03BD3D36"/>
    <w:rsid w:val="03BE3EFE"/>
    <w:rsid w:val="03C10C9F"/>
    <w:rsid w:val="03C32875"/>
    <w:rsid w:val="03C364D2"/>
    <w:rsid w:val="03C921C1"/>
    <w:rsid w:val="03CB5DC8"/>
    <w:rsid w:val="03CD78DC"/>
    <w:rsid w:val="03CE5F43"/>
    <w:rsid w:val="03CF3A69"/>
    <w:rsid w:val="03D02D9A"/>
    <w:rsid w:val="03D10F97"/>
    <w:rsid w:val="03D45150"/>
    <w:rsid w:val="03D6035F"/>
    <w:rsid w:val="03F555B3"/>
    <w:rsid w:val="03FC65D9"/>
    <w:rsid w:val="04002721"/>
    <w:rsid w:val="041476CE"/>
    <w:rsid w:val="04293AE6"/>
    <w:rsid w:val="042E1A9A"/>
    <w:rsid w:val="043A35D9"/>
    <w:rsid w:val="043A7135"/>
    <w:rsid w:val="043B3696"/>
    <w:rsid w:val="043C57CC"/>
    <w:rsid w:val="04402271"/>
    <w:rsid w:val="044C6785"/>
    <w:rsid w:val="045576C3"/>
    <w:rsid w:val="045D72C7"/>
    <w:rsid w:val="046643CE"/>
    <w:rsid w:val="04675A50"/>
    <w:rsid w:val="04690CFA"/>
    <w:rsid w:val="046A0DEF"/>
    <w:rsid w:val="046B3792"/>
    <w:rsid w:val="046B4E0C"/>
    <w:rsid w:val="046D004A"/>
    <w:rsid w:val="04702B56"/>
    <w:rsid w:val="04717649"/>
    <w:rsid w:val="047343F5"/>
    <w:rsid w:val="047F232E"/>
    <w:rsid w:val="04861DC0"/>
    <w:rsid w:val="0490563E"/>
    <w:rsid w:val="049762DA"/>
    <w:rsid w:val="04A57776"/>
    <w:rsid w:val="04A70542"/>
    <w:rsid w:val="04AF5B15"/>
    <w:rsid w:val="04C17856"/>
    <w:rsid w:val="04CC6371"/>
    <w:rsid w:val="04CD0688"/>
    <w:rsid w:val="04D303BC"/>
    <w:rsid w:val="04D502BA"/>
    <w:rsid w:val="04D550AF"/>
    <w:rsid w:val="04D9506A"/>
    <w:rsid w:val="04DC5407"/>
    <w:rsid w:val="04E552CD"/>
    <w:rsid w:val="04E832E1"/>
    <w:rsid w:val="04ED70D5"/>
    <w:rsid w:val="04F250CE"/>
    <w:rsid w:val="04F82CAA"/>
    <w:rsid w:val="04FA4B16"/>
    <w:rsid w:val="04FB2B14"/>
    <w:rsid w:val="04FF66B7"/>
    <w:rsid w:val="05011E10"/>
    <w:rsid w:val="050438CD"/>
    <w:rsid w:val="0504650C"/>
    <w:rsid w:val="050B6D23"/>
    <w:rsid w:val="051058E6"/>
    <w:rsid w:val="05110897"/>
    <w:rsid w:val="05133683"/>
    <w:rsid w:val="05281683"/>
    <w:rsid w:val="052A1438"/>
    <w:rsid w:val="052C42A3"/>
    <w:rsid w:val="053C77D5"/>
    <w:rsid w:val="05402991"/>
    <w:rsid w:val="05414F83"/>
    <w:rsid w:val="054C1A26"/>
    <w:rsid w:val="054D5821"/>
    <w:rsid w:val="054E1CE0"/>
    <w:rsid w:val="0550397C"/>
    <w:rsid w:val="055172F9"/>
    <w:rsid w:val="05524952"/>
    <w:rsid w:val="055324E3"/>
    <w:rsid w:val="0554272F"/>
    <w:rsid w:val="05551D4C"/>
    <w:rsid w:val="055A5AD1"/>
    <w:rsid w:val="05643A58"/>
    <w:rsid w:val="057A7F6E"/>
    <w:rsid w:val="057C5CDD"/>
    <w:rsid w:val="057F4E47"/>
    <w:rsid w:val="058368B9"/>
    <w:rsid w:val="05883ED0"/>
    <w:rsid w:val="058B2A13"/>
    <w:rsid w:val="05946D18"/>
    <w:rsid w:val="05972365"/>
    <w:rsid w:val="059C3B86"/>
    <w:rsid w:val="05AF2BAD"/>
    <w:rsid w:val="05C03935"/>
    <w:rsid w:val="05CC1024"/>
    <w:rsid w:val="05CF7AB5"/>
    <w:rsid w:val="05D610DF"/>
    <w:rsid w:val="05EF271A"/>
    <w:rsid w:val="05F15F19"/>
    <w:rsid w:val="05F7149D"/>
    <w:rsid w:val="05F75792"/>
    <w:rsid w:val="05FC3D00"/>
    <w:rsid w:val="06000B2F"/>
    <w:rsid w:val="060454DB"/>
    <w:rsid w:val="060C3EC5"/>
    <w:rsid w:val="060E0879"/>
    <w:rsid w:val="06110D47"/>
    <w:rsid w:val="061258FA"/>
    <w:rsid w:val="061F7732"/>
    <w:rsid w:val="06210C71"/>
    <w:rsid w:val="06231E4A"/>
    <w:rsid w:val="06253E14"/>
    <w:rsid w:val="062D73A8"/>
    <w:rsid w:val="063858F6"/>
    <w:rsid w:val="063876A4"/>
    <w:rsid w:val="063D2F0C"/>
    <w:rsid w:val="064047AA"/>
    <w:rsid w:val="06475ABC"/>
    <w:rsid w:val="066B7191"/>
    <w:rsid w:val="066D1D57"/>
    <w:rsid w:val="066D1EB1"/>
    <w:rsid w:val="06700F66"/>
    <w:rsid w:val="06744454"/>
    <w:rsid w:val="06764173"/>
    <w:rsid w:val="0678023C"/>
    <w:rsid w:val="068B304E"/>
    <w:rsid w:val="068E5516"/>
    <w:rsid w:val="0690032B"/>
    <w:rsid w:val="069004D6"/>
    <w:rsid w:val="06A47322"/>
    <w:rsid w:val="06AA32FE"/>
    <w:rsid w:val="06BC02D5"/>
    <w:rsid w:val="06BD5EEF"/>
    <w:rsid w:val="06BE30D0"/>
    <w:rsid w:val="06C242A6"/>
    <w:rsid w:val="06C47189"/>
    <w:rsid w:val="06C70A28"/>
    <w:rsid w:val="06C823BF"/>
    <w:rsid w:val="06C929F2"/>
    <w:rsid w:val="06CB0518"/>
    <w:rsid w:val="06CC2420"/>
    <w:rsid w:val="06CE2856"/>
    <w:rsid w:val="06CE5099"/>
    <w:rsid w:val="06D53145"/>
    <w:rsid w:val="06D92F30"/>
    <w:rsid w:val="06E37248"/>
    <w:rsid w:val="06E5268E"/>
    <w:rsid w:val="06E56C12"/>
    <w:rsid w:val="06F05EFB"/>
    <w:rsid w:val="06FA2BAB"/>
    <w:rsid w:val="070103DE"/>
    <w:rsid w:val="070D04FF"/>
    <w:rsid w:val="070F63B6"/>
    <w:rsid w:val="07101279"/>
    <w:rsid w:val="07204575"/>
    <w:rsid w:val="0722451B"/>
    <w:rsid w:val="07375BAD"/>
    <w:rsid w:val="07467D0B"/>
    <w:rsid w:val="074860B9"/>
    <w:rsid w:val="0750794B"/>
    <w:rsid w:val="076A4FF9"/>
    <w:rsid w:val="076A5F83"/>
    <w:rsid w:val="07794418"/>
    <w:rsid w:val="07810D4D"/>
    <w:rsid w:val="079E2470"/>
    <w:rsid w:val="07A80520"/>
    <w:rsid w:val="07AE4AAE"/>
    <w:rsid w:val="07BA4A4C"/>
    <w:rsid w:val="07C12713"/>
    <w:rsid w:val="07C46BCB"/>
    <w:rsid w:val="07C82CA9"/>
    <w:rsid w:val="07E35D35"/>
    <w:rsid w:val="07E562BD"/>
    <w:rsid w:val="07E6312F"/>
    <w:rsid w:val="07E83322"/>
    <w:rsid w:val="07EE32E6"/>
    <w:rsid w:val="07F06EFF"/>
    <w:rsid w:val="07F36F82"/>
    <w:rsid w:val="07FB26AE"/>
    <w:rsid w:val="07FF47D9"/>
    <w:rsid w:val="0803015E"/>
    <w:rsid w:val="08032CCA"/>
    <w:rsid w:val="08061450"/>
    <w:rsid w:val="08080656"/>
    <w:rsid w:val="08086868"/>
    <w:rsid w:val="080E095B"/>
    <w:rsid w:val="081164D3"/>
    <w:rsid w:val="08227B5F"/>
    <w:rsid w:val="082612EA"/>
    <w:rsid w:val="082D6FB0"/>
    <w:rsid w:val="08385A0E"/>
    <w:rsid w:val="084373E5"/>
    <w:rsid w:val="084920FC"/>
    <w:rsid w:val="08547E3B"/>
    <w:rsid w:val="08571370"/>
    <w:rsid w:val="08585DDB"/>
    <w:rsid w:val="085A5DDE"/>
    <w:rsid w:val="085C0709"/>
    <w:rsid w:val="086C6EF5"/>
    <w:rsid w:val="087D1536"/>
    <w:rsid w:val="08810C29"/>
    <w:rsid w:val="0882186E"/>
    <w:rsid w:val="088A7F5F"/>
    <w:rsid w:val="088C39B6"/>
    <w:rsid w:val="088E3EF3"/>
    <w:rsid w:val="08901A19"/>
    <w:rsid w:val="08981017"/>
    <w:rsid w:val="089963F4"/>
    <w:rsid w:val="089A181E"/>
    <w:rsid w:val="08A13470"/>
    <w:rsid w:val="08A66671"/>
    <w:rsid w:val="08AB6DCE"/>
    <w:rsid w:val="08B16FB6"/>
    <w:rsid w:val="08B62F1E"/>
    <w:rsid w:val="08B80F70"/>
    <w:rsid w:val="08BA0844"/>
    <w:rsid w:val="08BA4DBE"/>
    <w:rsid w:val="08C07E24"/>
    <w:rsid w:val="08C81828"/>
    <w:rsid w:val="08CE74ED"/>
    <w:rsid w:val="08D035E1"/>
    <w:rsid w:val="08D100F0"/>
    <w:rsid w:val="08DA35B7"/>
    <w:rsid w:val="08DE6DFC"/>
    <w:rsid w:val="08E6788B"/>
    <w:rsid w:val="08EB6F29"/>
    <w:rsid w:val="08F72E1F"/>
    <w:rsid w:val="08F9307B"/>
    <w:rsid w:val="08FE4CE1"/>
    <w:rsid w:val="09052179"/>
    <w:rsid w:val="09080564"/>
    <w:rsid w:val="09095DD2"/>
    <w:rsid w:val="090A42F6"/>
    <w:rsid w:val="090B7134"/>
    <w:rsid w:val="090C1561"/>
    <w:rsid w:val="090C569D"/>
    <w:rsid w:val="09181711"/>
    <w:rsid w:val="09204A00"/>
    <w:rsid w:val="09271A18"/>
    <w:rsid w:val="09412B5E"/>
    <w:rsid w:val="0949327F"/>
    <w:rsid w:val="094A6692"/>
    <w:rsid w:val="094B4F30"/>
    <w:rsid w:val="094E71DE"/>
    <w:rsid w:val="095C7B4D"/>
    <w:rsid w:val="09601498"/>
    <w:rsid w:val="096F733F"/>
    <w:rsid w:val="097514AE"/>
    <w:rsid w:val="097A7578"/>
    <w:rsid w:val="097A7FD3"/>
    <w:rsid w:val="097E1FE3"/>
    <w:rsid w:val="098826F0"/>
    <w:rsid w:val="09913C41"/>
    <w:rsid w:val="099217C1"/>
    <w:rsid w:val="0995305F"/>
    <w:rsid w:val="099F5C8C"/>
    <w:rsid w:val="09A339CE"/>
    <w:rsid w:val="09A33F5B"/>
    <w:rsid w:val="09A82D92"/>
    <w:rsid w:val="09AB2B5E"/>
    <w:rsid w:val="09C120A6"/>
    <w:rsid w:val="09C63218"/>
    <w:rsid w:val="09CA2E75"/>
    <w:rsid w:val="09D30787"/>
    <w:rsid w:val="09DB4F16"/>
    <w:rsid w:val="09E14FBA"/>
    <w:rsid w:val="09EA213D"/>
    <w:rsid w:val="09EA5159"/>
    <w:rsid w:val="09F23917"/>
    <w:rsid w:val="09F61DEB"/>
    <w:rsid w:val="09F71624"/>
    <w:rsid w:val="09F82B45"/>
    <w:rsid w:val="09FE0C04"/>
    <w:rsid w:val="09FE2D33"/>
    <w:rsid w:val="09FE743C"/>
    <w:rsid w:val="0A014251"/>
    <w:rsid w:val="0A032658"/>
    <w:rsid w:val="0A06085B"/>
    <w:rsid w:val="0A067AB9"/>
    <w:rsid w:val="0A0976BB"/>
    <w:rsid w:val="0A116B8A"/>
    <w:rsid w:val="0A1736B4"/>
    <w:rsid w:val="0A227AA9"/>
    <w:rsid w:val="0A2C0AF6"/>
    <w:rsid w:val="0A337FE4"/>
    <w:rsid w:val="0A3E3F88"/>
    <w:rsid w:val="0A402FCB"/>
    <w:rsid w:val="0A4C6B2F"/>
    <w:rsid w:val="0A4F1C29"/>
    <w:rsid w:val="0A4F76B2"/>
    <w:rsid w:val="0A54110C"/>
    <w:rsid w:val="0A54305F"/>
    <w:rsid w:val="0A5E521F"/>
    <w:rsid w:val="0A666FA9"/>
    <w:rsid w:val="0A672A35"/>
    <w:rsid w:val="0A7161F8"/>
    <w:rsid w:val="0A735A80"/>
    <w:rsid w:val="0A796D66"/>
    <w:rsid w:val="0A7D6C96"/>
    <w:rsid w:val="0A821813"/>
    <w:rsid w:val="0A8618AF"/>
    <w:rsid w:val="0A8A06EA"/>
    <w:rsid w:val="0A8C4DCE"/>
    <w:rsid w:val="0A8D4287"/>
    <w:rsid w:val="0A9357F1"/>
    <w:rsid w:val="0A9450C5"/>
    <w:rsid w:val="0A984BB5"/>
    <w:rsid w:val="0A9B0ECC"/>
    <w:rsid w:val="0A9B46A5"/>
    <w:rsid w:val="0A9E0A10"/>
    <w:rsid w:val="0AA1506E"/>
    <w:rsid w:val="0AA1601E"/>
    <w:rsid w:val="0AB63B4C"/>
    <w:rsid w:val="0AD17533"/>
    <w:rsid w:val="0AD51F79"/>
    <w:rsid w:val="0ADE0E35"/>
    <w:rsid w:val="0AE20F92"/>
    <w:rsid w:val="0AE253A9"/>
    <w:rsid w:val="0AE53B72"/>
    <w:rsid w:val="0AE62833"/>
    <w:rsid w:val="0AE75361"/>
    <w:rsid w:val="0AE95411"/>
    <w:rsid w:val="0AF37053"/>
    <w:rsid w:val="0AF637FB"/>
    <w:rsid w:val="0AFC012E"/>
    <w:rsid w:val="0AFE1286"/>
    <w:rsid w:val="0B017851"/>
    <w:rsid w:val="0B0511EB"/>
    <w:rsid w:val="0B065FC2"/>
    <w:rsid w:val="0B0F33A1"/>
    <w:rsid w:val="0B1150BC"/>
    <w:rsid w:val="0B1526A9"/>
    <w:rsid w:val="0B154B56"/>
    <w:rsid w:val="0B21104E"/>
    <w:rsid w:val="0B224DC6"/>
    <w:rsid w:val="0B267ED4"/>
    <w:rsid w:val="0B3051DA"/>
    <w:rsid w:val="0B352404"/>
    <w:rsid w:val="0B3A69FF"/>
    <w:rsid w:val="0B3E07BF"/>
    <w:rsid w:val="0B3F393E"/>
    <w:rsid w:val="0B405ADB"/>
    <w:rsid w:val="0B4076DA"/>
    <w:rsid w:val="0B416E3D"/>
    <w:rsid w:val="0B432AAB"/>
    <w:rsid w:val="0B4F4203"/>
    <w:rsid w:val="0B591783"/>
    <w:rsid w:val="0B5D1A85"/>
    <w:rsid w:val="0B612AD9"/>
    <w:rsid w:val="0B752A31"/>
    <w:rsid w:val="0B7849E6"/>
    <w:rsid w:val="0B790DCF"/>
    <w:rsid w:val="0B8E7D66"/>
    <w:rsid w:val="0B9B2395"/>
    <w:rsid w:val="0BA1174D"/>
    <w:rsid w:val="0BA92DF2"/>
    <w:rsid w:val="0BAC6D0F"/>
    <w:rsid w:val="0BAD4690"/>
    <w:rsid w:val="0BB2614A"/>
    <w:rsid w:val="0BB31A32"/>
    <w:rsid w:val="0BB5243F"/>
    <w:rsid w:val="0BBA2965"/>
    <w:rsid w:val="0BBC4218"/>
    <w:rsid w:val="0BC85B8D"/>
    <w:rsid w:val="0BCD5DB2"/>
    <w:rsid w:val="0BD02C08"/>
    <w:rsid w:val="0BD31C1D"/>
    <w:rsid w:val="0BDD543F"/>
    <w:rsid w:val="0BE1258C"/>
    <w:rsid w:val="0BEC0328"/>
    <w:rsid w:val="0BED26A5"/>
    <w:rsid w:val="0BED3564"/>
    <w:rsid w:val="0BF51293"/>
    <w:rsid w:val="0BF70001"/>
    <w:rsid w:val="0BF95B27"/>
    <w:rsid w:val="0C0D1497"/>
    <w:rsid w:val="0C105D40"/>
    <w:rsid w:val="0C1666D9"/>
    <w:rsid w:val="0C230DF6"/>
    <w:rsid w:val="0C3D6F66"/>
    <w:rsid w:val="0C460641"/>
    <w:rsid w:val="0C4B5393"/>
    <w:rsid w:val="0C4D5E73"/>
    <w:rsid w:val="0C50326D"/>
    <w:rsid w:val="0C5C7E64"/>
    <w:rsid w:val="0C623820"/>
    <w:rsid w:val="0C651F42"/>
    <w:rsid w:val="0C6E31C5"/>
    <w:rsid w:val="0C727279"/>
    <w:rsid w:val="0C817009"/>
    <w:rsid w:val="0C851169"/>
    <w:rsid w:val="0C987CC1"/>
    <w:rsid w:val="0CA15EF1"/>
    <w:rsid w:val="0CA710DF"/>
    <w:rsid w:val="0CA737D5"/>
    <w:rsid w:val="0CB22239"/>
    <w:rsid w:val="0CB5191B"/>
    <w:rsid w:val="0CB6728F"/>
    <w:rsid w:val="0CBA3508"/>
    <w:rsid w:val="0CBB6F2C"/>
    <w:rsid w:val="0CC223BD"/>
    <w:rsid w:val="0CC63EA9"/>
    <w:rsid w:val="0CCD2853"/>
    <w:rsid w:val="0CD36378"/>
    <w:rsid w:val="0CD8573D"/>
    <w:rsid w:val="0CE642FD"/>
    <w:rsid w:val="0CE9794A"/>
    <w:rsid w:val="0CF87B8D"/>
    <w:rsid w:val="0CFB1C24"/>
    <w:rsid w:val="0CFD25BD"/>
    <w:rsid w:val="0D076022"/>
    <w:rsid w:val="0D077CF2"/>
    <w:rsid w:val="0D0E73B0"/>
    <w:rsid w:val="0D1644B7"/>
    <w:rsid w:val="0D4032E2"/>
    <w:rsid w:val="0D452987"/>
    <w:rsid w:val="0D53638B"/>
    <w:rsid w:val="0D5A2A8C"/>
    <w:rsid w:val="0D5A43A4"/>
    <w:rsid w:val="0D5C6164"/>
    <w:rsid w:val="0D5F7C0C"/>
    <w:rsid w:val="0D6C2329"/>
    <w:rsid w:val="0D6D25BC"/>
    <w:rsid w:val="0D7116ED"/>
    <w:rsid w:val="0D7230AD"/>
    <w:rsid w:val="0D7815D5"/>
    <w:rsid w:val="0D7955CF"/>
    <w:rsid w:val="0D7B526E"/>
    <w:rsid w:val="0D7F205C"/>
    <w:rsid w:val="0D7F7B83"/>
    <w:rsid w:val="0D8238FA"/>
    <w:rsid w:val="0D847672"/>
    <w:rsid w:val="0D8B4EFD"/>
    <w:rsid w:val="0D8B68C3"/>
    <w:rsid w:val="0D933F5C"/>
    <w:rsid w:val="0D935784"/>
    <w:rsid w:val="0D951035"/>
    <w:rsid w:val="0D984677"/>
    <w:rsid w:val="0D9A2D80"/>
    <w:rsid w:val="0D9F7B6E"/>
    <w:rsid w:val="0DA800E4"/>
    <w:rsid w:val="0DA80655"/>
    <w:rsid w:val="0DAB20F5"/>
    <w:rsid w:val="0DB735A4"/>
    <w:rsid w:val="0DBF4416"/>
    <w:rsid w:val="0DC34DAD"/>
    <w:rsid w:val="0DCB34F3"/>
    <w:rsid w:val="0DE65566"/>
    <w:rsid w:val="0DEB5944"/>
    <w:rsid w:val="0DF52A03"/>
    <w:rsid w:val="0DF635C6"/>
    <w:rsid w:val="0DF842B4"/>
    <w:rsid w:val="0DFC18FF"/>
    <w:rsid w:val="0E0B38F0"/>
    <w:rsid w:val="0E0C42FA"/>
    <w:rsid w:val="0E250E55"/>
    <w:rsid w:val="0E381521"/>
    <w:rsid w:val="0E414801"/>
    <w:rsid w:val="0E46098D"/>
    <w:rsid w:val="0E4A0CDF"/>
    <w:rsid w:val="0E4F25F2"/>
    <w:rsid w:val="0E500480"/>
    <w:rsid w:val="0E507C98"/>
    <w:rsid w:val="0E572FD9"/>
    <w:rsid w:val="0E597398"/>
    <w:rsid w:val="0E5F1910"/>
    <w:rsid w:val="0E642D7E"/>
    <w:rsid w:val="0E646387"/>
    <w:rsid w:val="0E70195B"/>
    <w:rsid w:val="0E721BC1"/>
    <w:rsid w:val="0E735FE8"/>
    <w:rsid w:val="0E781564"/>
    <w:rsid w:val="0E7B0A75"/>
    <w:rsid w:val="0E802CFD"/>
    <w:rsid w:val="0E84603F"/>
    <w:rsid w:val="0E871431"/>
    <w:rsid w:val="0E8A7252"/>
    <w:rsid w:val="0E926198"/>
    <w:rsid w:val="0EA578A0"/>
    <w:rsid w:val="0EA64636"/>
    <w:rsid w:val="0EA855E3"/>
    <w:rsid w:val="0EA91CC7"/>
    <w:rsid w:val="0EB27F91"/>
    <w:rsid w:val="0EC91799"/>
    <w:rsid w:val="0ED4462A"/>
    <w:rsid w:val="0EE003CE"/>
    <w:rsid w:val="0EEA5645"/>
    <w:rsid w:val="0EEC1973"/>
    <w:rsid w:val="0EEC54CF"/>
    <w:rsid w:val="0F0119E6"/>
    <w:rsid w:val="0F032819"/>
    <w:rsid w:val="0F0B620A"/>
    <w:rsid w:val="0F0C791F"/>
    <w:rsid w:val="0F1B7B63"/>
    <w:rsid w:val="0F205179"/>
    <w:rsid w:val="0F227143"/>
    <w:rsid w:val="0F234C69"/>
    <w:rsid w:val="0F35306D"/>
    <w:rsid w:val="0F3B5837"/>
    <w:rsid w:val="0F403A6D"/>
    <w:rsid w:val="0F4519E6"/>
    <w:rsid w:val="0F456B9D"/>
    <w:rsid w:val="0F490310"/>
    <w:rsid w:val="0F503CB0"/>
    <w:rsid w:val="0F543075"/>
    <w:rsid w:val="0F5C4C71"/>
    <w:rsid w:val="0F5D63CD"/>
    <w:rsid w:val="0F600D55"/>
    <w:rsid w:val="0F767BFE"/>
    <w:rsid w:val="0F7B4AA5"/>
    <w:rsid w:val="0F851D59"/>
    <w:rsid w:val="0F8E0759"/>
    <w:rsid w:val="0F8E47D8"/>
    <w:rsid w:val="0F9067A2"/>
    <w:rsid w:val="0F915F42"/>
    <w:rsid w:val="0F987405"/>
    <w:rsid w:val="0F9C6EF5"/>
    <w:rsid w:val="0F9D0EBF"/>
    <w:rsid w:val="0FA72D16"/>
    <w:rsid w:val="0FA93ED9"/>
    <w:rsid w:val="0FC66DA3"/>
    <w:rsid w:val="0FCA0D24"/>
    <w:rsid w:val="0FDC5544"/>
    <w:rsid w:val="0FE2718C"/>
    <w:rsid w:val="0FE71013"/>
    <w:rsid w:val="0FEA3255"/>
    <w:rsid w:val="0FF00638"/>
    <w:rsid w:val="0FF26B15"/>
    <w:rsid w:val="0FF70A05"/>
    <w:rsid w:val="0FFE35A1"/>
    <w:rsid w:val="10150089"/>
    <w:rsid w:val="101653CE"/>
    <w:rsid w:val="101C54ED"/>
    <w:rsid w:val="101E3D34"/>
    <w:rsid w:val="1025513D"/>
    <w:rsid w:val="10392996"/>
    <w:rsid w:val="103966FB"/>
    <w:rsid w:val="103B4960"/>
    <w:rsid w:val="103E3E44"/>
    <w:rsid w:val="10401A61"/>
    <w:rsid w:val="105B1C65"/>
    <w:rsid w:val="105C0433"/>
    <w:rsid w:val="10725EA8"/>
    <w:rsid w:val="10765BB5"/>
    <w:rsid w:val="10846F9E"/>
    <w:rsid w:val="108A61CE"/>
    <w:rsid w:val="108D683E"/>
    <w:rsid w:val="108D7573"/>
    <w:rsid w:val="108E6DDE"/>
    <w:rsid w:val="1092654A"/>
    <w:rsid w:val="10930BE5"/>
    <w:rsid w:val="10976E2D"/>
    <w:rsid w:val="10AA7D92"/>
    <w:rsid w:val="10B4201D"/>
    <w:rsid w:val="10BD339A"/>
    <w:rsid w:val="10C77FA2"/>
    <w:rsid w:val="10C83D1A"/>
    <w:rsid w:val="10CF32FA"/>
    <w:rsid w:val="10D40C6B"/>
    <w:rsid w:val="10D43212"/>
    <w:rsid w:val="10D7330B"/>
    <w:rsid w:val="10E5105E"/>
    <w:rsid w:val="10E60CE0"/>
    <w:rsid w:val="10F468BD"/>
    <w:rsid w:val="10FF1E8F"/>
    <w:rsid w:val="10FF5794"/>
    <w:rsid w:val="11085E49"/>
    <w:rsid w:val="11184704"/>
    <w:rsid w:val="1122342A"/>
    <w:rsid w:val="1129294F"/>
    <w:rsid w:val="112F27D4"/>
    <w:rsid w:val="113A14B4"/>
    <w:rsid w:val="113D7DDE"/>
    <w:rsid w:val="113E01BE"/>
    <w:rsid w:val="113F584A"/>
    <w:rsid w:val="11401B02"/>
    <w:rsid w:val="114C6BED"/>
    <w:rsid w:val="11515ABE"/>
    <w:rsid w:val="115413EC"/>
    <w:rsid w:val="115563A0"/>
    <w:rsid w:val="11577EEE"/>
    <w:rsid w:val="115931DE"/>
    <w:rsid w:val="115C70AA"/>
    <w:rsid w:val="11697C08"/>
    <w:rsid w:val="116F7C25"/>
    <w:rsid w:val="11717863"/>
    <w:rsid w:val="117619C8"/>
    <w:rsid w:val="11780C26"/>
    <w:rsid w:val="11782C2C"/>
    <w:rsid w:val="117904A0"/>
    <w:rsid w:val="117A728F"/>
    <w:rsid w:val="118922C6"/>
    <w:rsid w:val="11924912"/>
    <w:rsid w:val="11967974"/>
    <w:rsid w:val="11A91935"/>
    <w:rsid w:val="11AC1DC2"/>
    <w:rsid w:val="11AD363C"/>
    <w:rsid w:val="11B361D3"/>
    <w:rsid w:val="11B77D91"/>
    <w:rsid w:val="11BB4D58"/>
    <w:rsid w:val="11C33C6D"/>
    <w:rsid w:val="11DB1585"/>
    <w:rsid w:val="11E132E5"/>
    <w:rsid w:val="11E70373"/>
    <w:rsid w:val="11EB2E68"/>
    <w:rsid w:val="11F0520D"/>
    <w:rsid w:val="11F27A58"/>
    <w:rsid w:val="11FF551A"/>
    <w:rsid w:val="120639FA"/>
    <w:rsid w:val="12064AFA"/>
    <w:rsid w:val="120E5507"/>
    <w:rsid w:val="121E2072"/>
    <w:rsid w:val="121E2EC6"/>
    <w:rsid w:val="121E703D"/>
    <w:rsid w:val="122071D4"/>
    <w:rsid w:val="12217B86"/>
    <w:rsid w:val="1227056E"/>
    <w:rsid w:val="122B64F4"/>
    <w:rsid w:val="122B65F9"/>
    <w:rsid w:val="12347244"/>
    <w:rsid w:val="12380737"/>
    <w:rsid w:val="12397847"/>
    <w:rsid w:val="123D010A"/>
    <w:rsid w:val="123F6BEE"/>
    <w:rsid w:val="1240660E"/>
    <w:rsid w:val="12455DD6"/>
    <w:rsid w:val="124949E7"/>
    <w:rsid w:val="124A70DD"/>
    <w:rsid w:val="126E05D0"/>
    <w:rsid w:val="126E27BF"/>
    <w:rsid w:val="12793BBE"/>
    <w:rsid w:val="127D7451"/>
    <w:rsid w:val="127E0B34"/>
    <w:rsid w:val="128B3251"/>
    <w:rsid w:val="128C33F4"/>
    <w:rsid w:val="128E35F8"/>
    <w:rsid w:val="12AB744F"/>
    <w:rsid w:val="12AB7D73"/>
    <w:rsid w:val="12AD0990"/>
    <w:rsid w:val="12AF0CEE"/>
    <w:rsid w:val="12B02CBC"/>
    <w:rsid w:val="12B10800"/>
    <w:rsid w:val="12B72298"/>
    <w:rsid w:val="12BD4622"/>
    <w:rsid w:val="12C0739F"/>
    <w:rsid w:val="12C334E7"/>
    <w:rsid w:val="12C62A75"/>
    <w:rsid w:val="12D02E98"/>
    <w:rsid w:val="12DE665D"/>
    <w:rsid w:val="12E56E05"/>
    <w:rsid w:val="130F3E82"/>
    <w:rsid w:val="13184B9C"/>
    <w:rsid w:val="131C06AC"/>
    <w:rsid w:val="131E5061"/>
    <w:rsid w:val="13207E3D"/>
    <w:rsid w:val="133310F1"/>
    <w:rsid w:val="133B485B"/>
    <w:rsid w:val="13446B2A"/>
    <w:rsid w:val="13487675"/>
    <w:rsid w:val="134A466E"/>
    <w:rsid w:val="13541895"/>
    <w:rsid w:val="13577988"/>
    <w:rsid w:val="136622CD"/>
    <w:rsid w:val="136A29BE"/>
    <w:rsid w:val="136C1804"/>
    <w:rsid w:val="136D5CD1"/>
    <w:rsid w:val="13734411"/>
    <w:rsid w:val="137447B2"/>
    <w:rsid w:val="13763F01"/>
    <w:rsid w:val="137B4C1A"/>
    <w:rsid w:val="137B4F00"/>
    <w:rsid w:val="13801C28"/>
    <w:rsid w:val="13833399"/>
    <w:rsid w:val="138D11BC"/>
    <w:rsid w:val="139A492C"/>
    <w:rsid w:val="139C63D1"/>
    <w:rsid w:val="139D2FCC"/>
    <w:rsid w:val="13AA7707"/>
    <w:rsid w:val="13AD6D5B"/>
    <w:rsid w:val="13B44283"/>
    <w:rsid w:val="13B62550"/>
    <w:rsid w:val="13B708E5"/>
    <w:rsid w:val="13C22D0E"/>
    <w:rsid w:val="13CC15EC"/>
    <w:rsid w:val="13CF6578"/>
    <w:rsid w:val="13CF6F1E"/>
    <w:rsid w:val="13D84C83"/>
    <w:rsid w:val="13DB3D73"/>
    <w:rsid w:val="13E01EDB"/>
    <w:rsid w:val="13E4340C"/>
    <w:rsid w:val="13E45E7F"/>
    <w:rsid w:val="13EE7F13"/>
    <w:rsid w:val="13FD1F2D"/>
    <w:rsid w:val="1400008B"/>
    <w:rsid w:val="14123C2A"/>
    <w:rsid w:val="14166FA3"/>
    <w:rsid w:val="143A4F2F"/>
    <w:rsid w:val="14440901"/>
    <w:rsid w:val="14515DD5"/>
    <w:rsid w:val="145C30F7"/>
    <w:rsid w:val="14612E51"/>
    <w:rsid w:val="1467279C"/>
    <w:rsid w:val="147805EC"/>
    <w:rsid w:val="147B27A9"/>
    <w:rsid w:val="147F4B84"/>
    <w:rsid w:val="148729C0"/>
    <w:rsid w:val="148D32B1"/>
    <w:rsid w:val="14952165"/>
    <w:rsid w:val="149743A5"/>
    <w:rsid w:val="14983A03"/>
    <w:rsid w:val="149C20CC"/>
    <w:rsid w:val="14AF77CF"/>
    <w:rsid w:val="14B568A6"/>
    <w:rsid w:val="14B845A5"/>
    <w:rsid w:val="14BE3BD2"/>
    <w:rsid w:val="14C64696"/>
    <w:rsid w:val="14CB3DD9"/>
    <w:rsid w:val="14D62EA9"/>
    <w:rsid w:val="14E86571"/>
    <w:rsid w:val="14ED76EE"/>
    <w:rsid w:val="14F41582"/>
    <w:rsid w:val="14F57F05"/>
    <w:rsid w:val="14F72F88"/>
    <w:rsid w:val="14FA3B77"/>
    <w:rsid w:val="15051099"/>
    <w:rsid w:val="1505631C"/>
    <w:rsid w:val="15102F30"/>
    <w:rsid w:val="15195C3E"/>
    <w:rsid w:val="151D6390"/>
    <w:rsid w:val="15205ED3"/>
    <w:rsid w:val="15220CD8"/>
    <w:rsid w:val="15237771"/>
    <w:rsid w:val="15273101"/>
    <w:rsid w:val="152B6CB1"/>
    <w:rsid w:val="15322B1F"/>
    <w:rsid w:val="153B6EA2"/>
    <w:rsid w:val="1542409B"/>
    <w:rsid w:val="154420FF"/>
    <w:rsid w:val="154A73F4"/>
    <w:rsid w:val="154E0B24"/>
    <w:rsid w:val="15524029"/>
    <w:rsid w:val="15526CF1"/>
    <w:rsid w:val="15550B09"/>
    <w:rsid w:val="155550C1"/>
    <w:rsid w:val="15597637"/>
    <w:rsid w:val="155A265A"/>
    <w:rsid w:val="15730A76"/>
    <w:rsid w:val="15734D4E"/>
    <w:rsid w:val="15761223"/>
    <w:rsid w:val="15793835"/>
    <w:rsid w:val="157A1819"/>
    <w:rsid w:val="15822CBA"/>
    <w:rsid w:val="15824F12"/>
    <w:rsid w:val="15844352"/>
    <w:rsid w:val="159517A5"/>
    <w:rsid w:val="159673EF"/>
    <w:rsid w:val="159E6254"/>
    <w:rsid w:val="159F14ED"/>
    <w:rsid w:val="15A005F4"/>
    <w:rsid w:val="15B036FB"/>
    <w:rsid w:val="15B12A79"/>
    <w:rsid w:val="15B30AF5"/>
    <w:rsid w:val="15C4051C"/>
    <w:rsid w:val="15C40D7D"/>
    <w:rsid w:val="15CB4C4B"/>
    <w:rsid w:val="15CE5D7B"/>
    <w:rsid w:val="15DA0777"/>
    <w:rsid w:val="15DB44F0"/>
    <w:rsid w:val="15E23CA8"/>
    <w:rsid w:val="15E67EEB"/>
    <w:rsid w:val="15EC04AB"/>
    <w:rsid w:val="15EE7D7F"/>
    <w:rsid w:val="15F258EB"/>
    <w:rsid w:val="15F43279"/>
    <w:rsid w:val="15FC545C"/>
    <w:rsid w:val="15FE3F61"/>
    <w:rsid w:val="160216BE"/>
    <w:rsid w:val="160A3A04"/>
    <w:rsid w:val="16110AAB"/>
    <w:rsid w:val="16155A8E"/>
    <w:rsid w:val="161E57D1"/>
    <w:rsid w:val="162611FD"/>
    <w:rsid w:val="16347255"/>
    <w:rsid w:val="16354618"/>
    <w:rsid w:val="163A4B06"/>
    <w:rsid w:val="16436843"/>
    <w:rsid w:val="164976AB"/>
    <w:rsid w:val="16504596"/>
    <w:rsid w:val="16507D95"/>
    <w:rsid w:val="16545E73"/>
    <w:rsid w:val="165851F3"/>
    <w:rsid w:val="16593288"/>
    <w:rsid w:val="165F7DBA"/>
    <w:rsid w:val="16646293"/>
    <w:rsid w:val="16652763"/>
    <w:rsid w:val="166B3507"/>
    <w:rsid w:val="166E72F6"/>
    <w:rsid w:val="1677485E"/>
    <w:rsid w:val="167F3913"/>
    <w:rsid w:val="167F6E20"/>
    <w:rsid w:val="16815BE2"/>
    <w:rsid w:val="1687311F"/>
    <w:rsid w:val="16890A28"/>
    <w:rsid w:val="168B1DA6"/>
    <w:rsid w:val="16901E1C"/>
    <w:rsid w:val="16914599"/>
    <w:rsid w:val="1699418F"/>
    <w:rsid w:val="16AE3D71"/>
    <w:rsid w:val="16CA27C1"/>
    <w:rsid w:val="16CF779E"/>
    <w:rsid w:val="16D74CB7"/>
    <w:rsid w:val="16DE1BA1"/>
    <w:rsid w:val="16F615E1"/>
    <w:rsid w:val="16FA2753"/>
    <w:rsid w:val="170705E0"/>
    <w:rsid w:val="17092996"/>
    <w:rsid w:val="170B2BB3"/>
    <w:rsid w:val="170E4685"/>
    <w:rsid w:val="17171557"/>
    <w:rsid w:val="171750B3"/>
    <w:rsid w:val="171D7E6B"/>
    <w:rsid w:val="17272BA6"/>
    <w:rsid w:val="172F4AF3"/>
    <w:rsid w:val="17304B16"/>
    <w:rsid w:val="173B0A77"/>
    <w:rsid w:val="173D7210"/>
    <w:rsid w:val="174536F7"/>
    <w:rsid w:val="174770EC"/>
    <w:rsid w:val="174F0CF1"/>
    <w:rsid w:val="174F5615"/>
    <w:rsid w:val="17575561"/>
    <w:rsid w:val="175E7186"/>
    <w:rsid w:val="176676A9"/>
    <w:rsid w:val="17687F8B"/>
    <w:rsid w:val="176A5B2B"/>
    <w:rsid w:val="176A68A7"/>
    <w:rsid w:val="176C1F49"/>
    <w:rsid w:val="176D1177"/>
    <w:rsid w:val="17847A95"/>
    <w:rsid w:val="178E3337"/>
    <w:rsid w:val="17907B2D"/>
    <w:rsid w:val="17935082"/>
    <w:rsid w:val="17A032FB"/>
    <w:rsid w:val="17A06173"/>
    <w:rsid w:val="17A65020"/>
    <w:rsid w:val="17A744D3"/>
    <w:rsid w:val="17AA5F28"/>
    <w:rsid w:val="17B46DA6"/>
    <w:rsid w:val="17B56054"/>
    <w:rsid w:val="17C01E12"/>
    <w:rsid w:val="17C0574B"/>
    <w:rsid w:val="17C53A66"/>
    <w:rsid w:val="17C9430F"/>
    <w:rsid w:val="17CE60BA"/>
    <w:rsid w:val="17D72CEF"/>
    <w:rsid w:val="17DA303F"/>
    <w:rsid w:val="17DE2E88"/>
    <w:rsid w:val="17DF536C"/>
    <w:rsid w:val="17E07B9B"/>
    <w:rsid w:val="17E21A75"/>
    <w:rsid w:val="17EB4197"/>
    <w:rsid w:val="17F218EA"/>
    <w:rsid w:val="17FF2717"/>
    <w:rsid w:val="18003D99"/>
    <w:rsid w:val="1805133D"/>
    <w:rsid w:val="18100480"/>
    <w:rsid w:val="181066D2"/>
    <w:rsid w:val="181B6E25"/>
    <w:rsid w:val="182254AA"/>
    <w:rsid w:val="18234DD3"/>
    <w:rsid w:val="182374F6"/>
    <w:rsid w:val="18265EA4"/>
    <w:rsid w:val="182F467F"/>
    <w:rsid w:val="182F75C0"/>
    <w:rsid w:val="183307E6"/>
    <w:rsid w:val="18353501"/>
    <w:rsid w:val="1835729E"/>
    <w:rsid w:val="183A34AF"/>
    <w:rsid w:val="183A54FD"/>
    <w:rsid w:val="183B1C41"/>
    <w:rsid w:val="183D0E38"/>
    <w:rsid w:val="1841587E"/>
    <w:rsid w:val="18510A99"/>
    <w:rsid w:val="18512A76"/>
    <w:rsid w:val="185750A7"/>
    <w:rsid w:val="18586850"/>
    <w:rsid w:val="185B5474"/>
    <w:rsid w:val="18602A8A"/>
    <w:rsid w:val="186500A0"/>
    <w:rsid w:val="1868172E"/>
    <w:rsid w:val="186E79B8"/>
    <w:rsid w:val="186F1C22"/>
    <w:rsid w:val="186F3E63"/>
    <w:rsid w:val="186F6C45"/>
    <w:rsid w:val="18700F1F"/>
    <w:rsid w:val="187857E7"/>
    <w:rsid w:val="187B19AA"/>
    <w:rsid w:val="188321C6"/>
    <w:rsid w:val="18887381"/>
    <w:rsid w:val="18921717"/>
    <w:rsid w:val="189255FF"/>
    <w:rsid w:val="18A106D2"/>
    <w:rsid w:val="18A207B7"/>
    <w:rsid w:val="18BA4890"/>
    <w:rsid w:val="18BA6E63"/>
    <w:rsid w:val="18BF7702"/>
    <w:rsid w:val="18C272A1"/>
    <w:rsid w:val="18C30443"/>
    <w:rsid w:val="18D80BE7"/>
    <w:rsid w:val="18D877BA"/>
    <w:rsid w:val="18E27AAA"/>
    <w:rsid w:val="18E37943"/>
    <w:rsid w:val="18F0098A"/>
    <w:rsid w:val="19094ED0"/>
    <w:rsid w:val="190B5F4D"/>
    <w:rsid w:val="19164DCB"/>
    <w:rsid w:val="1929605B"/>
    <w:rsid w:val="192F2B88"/>
    <w:rsid w:val="192F739D"/>
    <w:rsid w:val="193261D5"/>
    <w:rsid w:val="193443DF"/>
    <w:rsid w:val="19394B72"/>
    <w:rsid w:val="193A5AAC"/>
    <w:rsid w:val="193C0B28"/>
    <w:rsid w:val="194813EA"/>
    <w:rsid w:val="194D64B3"/>
    <w:rsid w:val="19502AFF"/>
    <w:rsid w:val="19533DD5"/>
    <w:rsid w:val="195B1BCF"/>
    <w:rsid w:val="19607F03"/>
    <w:rsid w:val="1973451F"/>
    <w:rsid w:val="19773DDC"/>
    <w:rsid w:val="197863B7"/>
    <w:rsid w:val="19930637"/>
    <w:rsid w:val="199401C5"/>
    <w:rsid w:val="19A90B8D"/>
    <w:rsid w:val="19BA6D87"/>
    <w:rsid w:val="19D06CAC"/>
    <w:rsid w:val="19DF45AE"/>
    <w:rsid w:val="19E27BFB"/>
    <w:rsid w:val="19EE2A43"/>
    <w:rsid w:val="19FE49F1"/>
    <w:rsid w:val="1A076831"/>
    <w:rsid w:val="1A080F4B"/>
    <w:rsid w:val="1A08209F"/>
    <w:rsid w:val="1A1968AB"/>
    <w:rsid w:val="1A1C2F9E"/>
    <w:rsid w:val="1A1D6E85"/>
    <w:rsid w:val="1A2226ED"/>
    <w:rsid w:val="1A246465"/>
    <w:rsid w:val="1A271A3B"/>
    <w:rsid w:val="1A324F2D"/>
    <w:rsid w:val="1A383CBF"/>
    <w:rsid w:val="1A390DA1"/>
    <w:rsid w:val="1A3D3083"/>
    <w:rsid w:val="1A4550C1"/>
    <w:rsid w:val="1A462475"/>
    <w:rsid w:val="1A503212"/>
    <w:rsid w:val="1A5921BF"/>
    <w:rsid w:val="1A5B76D6"/>
    <w:rsid w:val="1A5C211C"/>
    <w:rsid w:val="1A60295C"/>
    <w:rsid w:val="1A634952"/>
    <w:rsid w:val="1A654388"/>
    <w:rsid w:val="1A726740"/>
    <w:rsid w:val="1A767396"/>
    <w:rsid w:val="1A7A1FB7"/>
    <w:rsid w:val="1A7E2E35"/>
    <w:rsid w:val="1A87163F"/>
    <w:rsid w:val="1A8769F4"/>
    <w:rsid w:val="1A886D9D"/>
    <w:rsid w:val="1A8D1E64"/>
    <w:rsid w:val="1AA842C1"/>
    <w:rsid w:val="1AA96A06"/>
    <w:rsid w:val="1AAD37D0"/>
    <w:rsid w:val="1AB37FBE"/>
    <w:rsid w:val="1AD335E9"/>
    <w:rsid w:val="1AD52505"/>
    <w:rsid w:val="1AD72BEF"/>
    <w:rsid w:val="1AD92CC4"/>
    <w:rsid w:val="1AED2CFB"/>
    <w:rsid w:val="1AF11218"/>
    <w:rsid w:val="1AFF00A6"/>
    <w:rsid w:val="1AFF3F52"/>
    <w:rsid w:val="1B01768D"/>
    <w:rsid w:val="1B047751"/>
    <w:rsid w:val="1B102545"/>
    <w:rsid w:val="1B115D3C"/>
    <w:rsid w:val="1B190381"/>
    <w:rsid w:val="1B1E0896"/>
    <w:rsid w:val="1B1E1106"/>
    <w:rsid w:val="1B1E15F7"/>
    <w:rsid w:val="1B2317D5"/>
    <w:rsid w:val="1B293607"/>
    <w:rsid w:val="1B2A524D"/>
    <w:rsid w:val="1B2B737F"/>
    <w:rsid w:val="1B2F54E0"/>
    <w:rsid w:val="1B3B1CB8"/>
    <w:rsid w:val="1B4605FA"/>
    <w:rsid w:val="1B4B5C73"/>
    <w:rsid w:val="1B4F61D2"/>
    <w:rsid w:val="1B595D27"/>
    <w:rsid w:val="1B6846F3"/>
    <w:rsid w:val="1B6A1300"/>
    <w:rsid w:val="1B6C76E2"/>
    <w:rsid w:val="1B7C0450"/>
    <w:rsid w:val="1B80174E"/>
    <w:rsid w:val="1B807337"/>
    <w:rsid w:val="1B844153"/>
    <w:rsid w:val="1B8847D2"/>
    <w:rsid w:val="1B974864"/>
    <w:rsid w:val="1B974A15"/>
    <w:rsid w:val="1BA47C58"/>
    <w:rsid w:val="1BA733F4"/>
    <w:rsid w:val="1BAA0BEC"/>
    <w:rsid w:val="1BB455C7"/>
    <w:rsid w:val="1BB67591"/>
    <w:rsid w:val="1BB80F43"/>
    <w:rsid w:val="1BC010BD"/>
    <w:rsid w:val="1BC170B5"/>
    <w:rsid w:val="1BC33A5C"/>
    <w:rsid w:val="1BC60E2D"/>
    <w:rsid w:val="1BC85289"/>
    <w:rsid w:val="1BD3178E"/>
    <w:rsid w:val="1BDC02C0"/>
    <w:rsid w:val="1BE14509"/>
    <w:rsid w:val="1BE67BA8"/>
    <w:rsid w:val="1BEB7072"/>
    <w:rsid w:val="1BEE67CE"/>
    <w:rsid w:val="1BF0529D"/>
    <w:rsid w:val="1C054074"/>
    <w:rsid w:val="1C2D16F9"/>
    <w:rsid w:val="1C346708"/>
    <w:rsid w:val="1C41385E"/>
    <w:rsid w:val="1C4C349B"/>
    <w:rsid w:val="1C63596F"/>
    <w:rsid w:val="1C661CE8"/>
    <w:rsid w:val="1C6C0ADC"/>
    <w:rsid w:val="1C764031"/>
    <w:rsid w:val="1C7D0152"/>
    <w:rsid w:val="1C846FB1"/>
    <w:rsid w:val="1C8E4DE6"/>
    <w:rsid w:val="1C9D01AF"/>
    <w:rsid w:val="1CA53161"/>
    <w:rsid w:val="1CA613B3"/>
    <w:rsid w:val="1CAD5170"/>
    <w:rsid w:val="1CBB50F6"/>
    <w:rsid w:val="1CBD494F"/>
    <w:rsid w:val="1CC56212"/>
    <w:rsid w:val="1CCA5EDC"/>
    <w:rsid w:val="1CCB0B08"/>
    <w:rsid w:val="1CD53A47"/>
    <w:rsid w:val="1CD81789"/>
    <w:rsid w:val="1CDE5F2E"/>
    <w:rsid w:val="1CDE70B4"/>
    <w:rsid w:val="1CEC51A2"/>
    <w:rsid w:val="1CF06AD2"/>
    <w:rsid w:val="1CF625B4"/>
    <w:rsid w:val="1CF71C0F"/>
    <w:rsid w:val="1CF739BD"/>
    <w:rsid w:val="1D0A1F33"/>
    <w:rsid w:val="1D1111F4"/>
    <w:rsid w:val="1D1B5D73"/>
    <w:rsid w:val="1D271407"/>
    <w:rsid w:val="1D2A4BB9"/>
    <w:rsid w:val="1D36397B"/>
    <w:rsid w:val="1D385997"/>
    <w:rsid w:val="1D534505"/>
    <w:rsid w:val="1D554B87"/>
    <w:rsid w:val="1D593E7B"/>
    <w:rsid w:val="1D5F61F4"/>
    <w:rsid w:val="1D5F77BD"/>
    <w:rsid w:val="1D6152DA"/>
    <w:rsid w:val="1D624568"/>
    <w:rsid w:val="1D6B0D1C"/>
    <w:rsid w:val="1D6B34E3"/>
    <w:rsid w:val="1D892311"/>
    <w:rsid w:val="1D8E52A2"/>
    <w:rsid w:val="1D99466A"/>
    <w:rsid w:val="1DB30C84"/>
    <w:rsid w:val="1DC011C6"/>
    <w:rsid w:val="1DC64F3F"/>
    <w:rsid w:val="1DC8721D"/>
    <w:rsid w:val="1DD06C77"/>
    <w:rsid w:val="1DD92509"/>
    <w:rsid w:val="1DDA071D"/>
    <w:rsid w:val="1DEB7291"/>
    <w:rsid w:val="1DF95513"/>
    <w:rsid w:val="1DF97E9A"/>
    <w:rsid w:val="1E010F09"/>
    <w:rsid w:val="1E01766F"/>
    <w:rsid w:val="1E056255"/>
    <w:rsid w:val="1E14059F"/>
    <w:rsid w:val="1E225692"/>
    <w:rsid w:val="1E225A10"/>
    <w:rsid w:val="1E270D11"/>
    <w:rsid w:val="1E327D54"/>
    <w:rsid w:val="1E3429EF"/>
    <w:rsid w:val="1E36298C"/>
    <w:rsid w:val="1E3C6933"/>
    <w:rsid w:val="1E445B9E"/>
    <w:rsid w:val="1E4814B5"/>
    <w:rsid w:val="1E4E1D03"/>
    <w:rsid w:val="1E4F7829"/>
    <w:rsid w:val="1E5E18A6"/>
    <w:rsid w:val="1E60164D"/>
    <w:rsid w:val="1E6958E9"/>
    <w:rsid w:val="1E6A01BF"/>
    <w:rsid w:val="1E6A4663"/>
    <w:rsid w:val="1E6F6C5B"/>
    <w:rsid w:val="1E7B60D9"/>
    <w:rsid w:val="1E7F212C"/>
    <w:rsid w:val="1EA46C54"/>
    <w:rsid w:val="1EA667E5"/>
    <w:rsid w:val="1EAC04B6"/>
    <w:rsid w:val="1EAF7AD6"/>
    <w:rsid w:val="1EB104A5"/>
    <w:rsid w:val="1EB4768C"/>
    <w:rsid w:val="1EBA5A8A"/>
    <w:rsid w:val="1EC01EB9"/>
    <w:rsid w:val="1EC65D3D"/>
    <w:rsid w:val="1EC975DB"/>
    <w:rsid w:val="1ECB48E7"/>
    <w:rsid w:val="1ED130B1"/>
    <w:rsid w:val="1EDD6BE3"/>
    <w:rsid w:val="1EDF6DFF"/>
    <w:rsid w:val="1EE47F71"/>
    <w:rsid w:val="1EE6018D"/>
    <w:rsid w:val="1EE86F01"/>
    <w:rsid w:val="1EF359F7"/>
    <w:rsid w:val="1EF609DE"/>
    <w:rsid w:val="1EFA3E2F"/>
    <w:rsid w:val="1EFB34F3"/>
    <w:rsid w:val="1F122D30"/>
    <w:rsid w:val="1F14071F"/>
    <w:rsid w:val="1F1477B2"/>
    <w:rsid w:val="1F1A3993"/>
    <w:rsid w:val="1F1E1E89"/>
    <w:rsid w:val="1F206854"/>
    <w:rsid w:val="1F244EC9"/>
    <w:rsid w:val="1F49098D"/>
    <w:rsid w:val="1F4C29B9"/>
    <w:rsid w:val="1F4E4783"/>
    <w:rsid w:val="1F6E4AC2"/>
    <w:rsid w:val="1F7461C7"/>
    <w:rsid w:val="1F775289"/>
    <w:rsid w:val="1F7E79E6"/>
    <w:rsid w:val="1F8452B0"/>
    <w:rsid w:val="1F890B18"/>
    <w:rsid w:val="1F895E51"/>
    <w:rsid w:val="1F8C78F6"/>
    <w:rsid w:val="1F9C53C9"/>
    <w:rsid w:val="1F9E7433"/>
    <w:rsid w:val="1FA073B6"/>
    <w:rsid w:val="1FA12F8C"/>
    <w:rsid w:val="1FA45BA1"/>
    <w:rsid w:val="1FA47700"/>
    <w:rsid w:val="1FA92F69"/>
    <w:rsid w:val="1FAB0A8F"/>
    <w:rsid w:val="1FBD7D61"/>
    <w:rsid w:val="1FCD0309"/>
    <w:rsid w:val="1FD438E2"/>
    <w:rsid w:val="1FD46237"/>
    <w:rsid w:val="1FDC3414"/>
    <w:rsid w:val="1FF229D9"/>
    <w:rsid w:val="1FF27FCE"/>
    <w:rsid w:val="1FFB7C68"/>
    <w:rsid w:val="1FFF4EB9"/>
    <w:rsid w:val="200154FB"/>
    <w:rsid w:val="20020FF7"/>
    <w:rsid w:val="20025D99"/>
    <w:rsid w:val="20062169"/>
    <w:rsid w:val="20092F0D"/>
    <w:rsid w:val="201035E2"/>
    <w:rsid w:val="20125573"/>
    <w:rsid w:val="20132D55"/>
    <w:rsid w:val="20141954"/>
    <w:rsid w:val="201A25A9"/>
    <w:rsid w:val="201C7BDE"/>
    <w:rsid w:val="202D76F6"/>
    <w:rsid w:val="202E52A0"/>
    <w:rsid w:val="202F2BA9"/>
    <w:rsid w:val="203C5DBA"/>
    <w:rsid w:val="203F3CAC"/>
    <w:rsid w:val="20405CF1"/>
    <w:rsid w:val="20416C08"/>
    <w:rsid w:val="20451226"/>
    <w:rsid w:val="20515ADA"/>
    <w:rsid w:val="2054435F"/>
    <w:rsid w:val="205640C8"/>
    <w:rsid w:val="20587268"/>
    <w:rsid w:val="20594ABB"/>
    <w:rsid w:val="205B0707"/>
    <w:rsid w:val="20660EAB"/>
    <w:rsid w:val="206913FD"/>
    <w:rsid w:val="206D3AEA"/>
    <w:rsid w:val="207329F1"/>
    <w:rsid w:val="20754687"/>
    <w:rsid w:val="207707B9"/>
    <w:rsid w:val="20806AAB"/>
    <w:rsid w:val="20875058"/>
    <w:rsid w:val="208F03B0"/>
    <w:rsid w:val="20971516"/>
    <w:rsid w:val="2099122F"/>
    <w:rsid w:val="209B2556"/>
    <w:rsid w:val="20A37E01"/>
    <w:rsid w:val="20AC09F5"/>
    <w:rsid w:val="20BA16B0"/>
    <w:rsid w:val="20C07175"/>
    <w:rsid w:val="20C31E08"/>
    <w:rsid w:val="20C568B2"/>
    <w:rsid w:val="20C60302"/>
    <w:rsid w:val="20DA51DB"/>
    <w:rsid w:val="20DB53A4"/>
    <w:rsid w:val="20E438A3"/>
    <w:rsid w:val="20EC17FF"/>
    <w:rsid w:val="20F070A1"/>
    <w:rsid w:val="20FC4626"/>
    <w:rsid w:val="20FD4B22"/>
    <w:rsid w:val="21045E01"/>
    <w:rsid w:val="210A1607"/>
    <w:rsid w:val="210C7C53"/>
    <w:rsid w:val="21127C03"/>
    <w:rsid w:val="211309D4"/>
    <w:rsid w:val="21167BF2"/>
    <w:rsid w:val="2123761F"/>
    <w:rsid w:val="21266FD0"/>
    <w:rsid w:val="212B6F3C"/>
    <w:rsid w:val="21380E53"/>
    <w:rsid w:val="2149131F"/>
    <w:rsid w:val="214C6D81"/>
    <w:rsid w:val="214E3D55"/>
    <w:rsid w:val="214F1640"/>
    <w:rsid w:val="21570ECE"/>
    <w:rsid w:val="215C1322"/>
    <w:rsid w:val="215F1009"/>
    <w:rsid w:val="21613AFB"/>
    <w:rsid w:val="21684651"/>
    <w:rsid w:val="217575A6"/>
    <w:rsid w:val="217A7AE2"/>
    <w:rsid w:val="21844FD7"/>
    <w:rsid w:val="21857502"/>
    <w:rsid w:val="2186530F"/>
    <w:rsid w:val="219C7DE0"/>
    <w:rsid w:val="21A019C2"/>
    <w:rsid w:val="21A67760"/>
    <w:rsid w:val="21B53414"/>
    <w:rsid w:val="21B640DA"/>
    <w:rsid w:val="21C30F98"/>
    <w:rsid w:val="21C81DCC"/>
    <w:rsid w:val="21DA01B3"/>
    <w:rsid w:val="21E40058"/>
    <w:rsid w:val="21E5038E"/>
    <w:rsid w:val="21E72DD3"/>
    <w:rsid w:val="21EB1EA4"/>
    <w:rsid w:val="21EC1968"/>
    <w:rsid w:val="21EE3337"/>
    <w:rsid w:val="21FC79A2"/>
    <w:rsid w:val="220074F2"/>
    <w:rsid w:val="22124D22"/>
    <w:rsid w:val="22174B37"/>
    <w:rsid w:val="22237002"/>
    <w:rsid w:val="222565EA"/>
    <w:rsid w:val="223B1C68"/>
    <w:rsid w:val="223E6CF8"/>
    <w:rsid w:val="22430AEF"/>
    <w:rsid w:val="22435CE5"/>
    <w:rsid w:val="22477F13"/>
    <w:rsid w:val="22486159"/>
    <w:rsid w:val="22493E41"/>
    <w:rsid w:val="224A3921"/>
    <w:rsid w:val="224B3A26"/>
    <w:rsid w:val="224F6B5C"/>
    <w:rsid w:val="22563A79"/>
    <w:rsid w:val="225673D8"/>
    <w:rsid w:val="225906DB"/>
    <w:rsid w:val="2268567C"/>
    <w:rsid w:val="226C6BFB"/>
    <w:rsid w:val="2273191C"/>
    <w:rsid w:val="227669A1"/>
    <w:rsid w:val="227679E6"/>
    <w:rsid w:val="227847E2"/>
    <w:rsid w:val="227C1E95"/>
    <w:rsid w:val="227D0357"/>
    <w:rsid w:val="227E638C"/>
    <w:rsid w:val="228026A7"/>
    <w:rsid w:val="22842EBC"/>
    <w:rsid w:val="228D0A5C"/>
    <w:rsid w:val="228F28EA"/>
    <w:rsid w:val="228F73A6"/>
    <w:rsid w:val="229148D5"/>
    <w:rsid w:val="2298179E"/>
    <w:rsid w:val="22993B2E"/>
    <w:rsid w:val="229E2B2D"/>
    <w:rsid w:val="229F43EC"/>
    <w:rsid w:val="22A62396"/>
    <w:rsid w:val="22A719E1"/>
    <w:rsid w:val="22AC6FF8"/>
    <w:rsid w:val="22B957A9"/>
    <w:rsid w:val="22C02AA3"/>
    <w:rsid w:val="22C677C0"/>
    <w:rsid w:val="22CC769A"/>
    <w:rsid w:val="22D5749B"/>
    <w:rsid w:val="22DC3300"/>
    <w:rsid w:val="22DC6591"/>
    <w:rsid w:val="22DD3C85"/>
    <w:rsid w:val="22DE33C9"/>
    <w:rsid w:val="22E507E2"/>
    <w:rsid w:val="22E744D4"/>
    <w:rsid w:val="22EF5136"/>
    <w:rsid w:val="22F64FA7"/>
    <w:rsid w:val="22FA2603"/>
    <w:rsid w:val="230021F3"/>
    <w:rsid w:val="23004D1D"/>
    <w:rsid w:val="23021658"/>
    <w:rsid w:val="23061866"/>
    <w:rsid w:val="23072480"/>
    <w:rsid w:val="23110894"/>
    <w:rsid w:val="23272B22"/>
    <w:rsid w:val="23294AEC"/>
    <w:rsid w:val="23352111"/>
    <w:rsid w:val="23387B1F"/>
    <w:rsid w:val="233940DB"/>
    <w:rsid w:val="23424A5B"/>
    <w:rsid w:val="234D30C3"/>
    <w:rsid w:val="23623B5A"/>
    <w:rsid w:val="23637FAB"/>
    <w:rsid w:val="2369138D"/>
    <w:rsid w:val="23767606"/>
    <w:rsid w:val="23773046"/>
    <w:rsid w:val="237B2CE8"/>
    <w:rsid w:val="237C2E6E"/>
    <w:rsid w:val="23812232"/>
    <w:rsid w:val="23897339"/>
    <w:rsid w:val="23911432"/>
    <w:rsid w:val="23932691"/>
    <w:rsid w:val="23981997"/>
    <w:rsid w:val="239A7798"/>
    <w:rsid w:val="23B42767"/>
    <w:rsid w:val="23B94D41"/>
    <w:rsid w:val="23C12F77"/>
    <w:rsid w:val="23C866C7"/>
    <w:rsid w:val="23CD75E2"/>
    <w:rsid w:val="23CF4D61"/>
    <w:rsid w:val="23D34A58"/>
    <w:rsid w:val="23D70034"/>
    <w:rsid w:val="23DD1433"/>
    <w:rsid w:val="23E303FA"/>
    <w:rsid w:val="23E7750B"/>
    <w:rsid w:val="23EE53EE"/>
    <w:rsid w:val="23EF1892"/>
    <w:rsid w:val="23F607F7"/>
    <w:rsid w:val="23FC263E"/>
    <w:rsid w:val="240008AC"/>
    <w:rsid w:val="240659CB"/>
    <w:rsid w:val="24170DE9"/>
    <w:rsid w:val="241964DB"/>
    <w:rsid w:val="241E70B5"/>
    <w:rsid w:val="242B6642"/>
    <w:rsid w:val="242D516F"/>
    <w:rsid w:val="2435126F"/>
    <w:rsid w:val="24383C39"/>
    <w:rsid w:val="243C084F"/>
    <w:rsid w:val="243C5EB5"/>
    <w:rsid w:val="24470C15"/>
    <w:rsid w:val="24506376"/>
    <w:rsid w:val="245247ED"/>
    <w:rsid w:val="24575A93"/>
    <w:rsid w:val="245D0C35"/>
    <w:rsid w:val="247342D7"/>
    <w:rsid w:val="24824629"/>
    <w:rsid w:val="248315B4"/>
    <w:rsid w:val="248A5117"/>
    <w:rsid w:val="248C70E1"/>
    <w:rsid w:val="248D10AB"/>
    <w:rsid w:val="24934358"/>
    <w:rsid w:val="249D7540"/>
    <w:rsid w:val="24A02216"/>
    <w:rsid w:val="24A61A5A"/>
    <w:rsid w:val="24A941B5"/>
    <w:rsid w:val="24A962F3"/>
    <w:rsid w:val="24AC799B"/>
    <w:rsid w:val="24B01D71"/>
    <w:rsid w:val="24B14D99"/>
    <w:rsid w:val="24BC54EC"/>
    <w:rsid w:val="24BF4873"/>
    <w:rsid w:val="24C4413C"/>
    <w:rsid w:val="24C66EAC"/>
    <w:rsid w:val="24CF6FCD"/>
    <w:rsid w:val="24D00601"/>
    <w:rsid w:val="24D12D46"/>
    <w:rsid w:val="24D46CDA"/>
    <w:rsid w:val="24ED782C"/>
    <w:rsid w:val="24ED7990"/>
    <w:rsid w:val="24FB5E6F"/>
    <w:rsid w:val="24FC3F2A"/>
    <w:rsid w:val="24FD1D8D"/>
    <w:rsid w:val="24FE309D"/>
    <w:rsid w:val="2504136D"/>
    <w:rsid w:val="252E1698"/>
    <w:rsid w:val="25315EDA"/>
    <w:rsid w:val="25352E48"/>
    <w:rsid w:val="25432BB7"/>
    <w:rsid w:val="25506360"/>
    <w:rsid w:val="25513E86"/>
    <w:rsid w:val="25546786"/>
    <w:rsid w:val="25556987"/>
    <w:rsid w:val="255F7AD2"/>
    <w:rsid w:val="256D4FBD"/>
    <w:rsid w:val="257007B0"/>
    <w:rsid w:val="25725CDB"/>
    <w:rsid w:val="25785623"/>
    <w:rsid w:val="258425F6"/>
    <w:rsid w:val="25892C61"/>
    <w:rsid w:val="2590731F"/>
    <w:rsid w:val="25973F8F"/>
    <w:rsid w:val="25A16BBC"/>
    <w:rsid w:val="25AA58E4"/>
    <w:rsid w:val="25AA68DC"/>
    <w:rsid w:val="25AB1ECA"/>
    <w:rsid w:val="25BD4805"/>
    <w:rsid w:val="25C13997"/>
    <w:rsid w:val="25C21DC9"/>
    <w:rsid w:val="25C37995"/>
    <w:rsid w:val="25CB3600"/>
    <w:rsid w:val="25D0059E"/>
    <w:rsid w:val="25D5317F"/>
    <w:rsid w:val="25DF4E66"/>
    <w:rsid w:val="25E44CFA"/>
    <w:rsid w:val="25E46AA9"/>
    <w:rsid w:val="25EB6089"/>
    <w:rsid w:val="25F136F5"/>
    <w:rsid w:val="25F629B8"/>
    <w:rsid w:val="25F96D6C"/>
    <w:rsid w:val="25FE1583"/>
    <w:rsid w:val="25FE46E5"/>
    <w:rsid w:val="260333D3"/>
    <w:rsid w:val="26033A69"/>
    <w:rsid w:val="26063EAB"/>
    <w:rsid w:val="260809E9"/>
    <w:rsid w:val="26105AEF"/>
    <w:rsid w:val="261F222B"/>
    <w:rsid w:val="2627214A"/>
    <w:rsid w:val="2627224F"/>
    <w:rsid w:val="26284BE7"/>
    <w:rsid w:val="262D66A1"/>
    <w:rsid w:val="263314EF"/>
    <w:rsid w:val="26395046"/>
    <w:rsid w:val="2640501A"/>
    <w:rsid w:val="2647392D"/>
    <w:rsid w:val="265B0A5D"/>
    <w:rsid w:val="266360FF"/>
    <w:rsid w:val="26676B5D"/>
    <w:rsid w:val="266A585F"/>
    <w:rsid w:val="266A6BE2"/>
    <w:rsid w:val="266B0640"/>
    <w:rsid w:val="266B4E43"/>
    <w:rsid w:val="266E3E45"/>
    <w:rsid w:val="266F46D8"/>
    <w:rsid w:val="2679296D"/>
    <w:rsid w:val="2685748B"/>
    <w:rsid w:val="268F110A"/>
    <w:rsid w:val="268F4761"/>
    <w:rsid w:val="269041A7"/>
    <w:rsid w:val="269867F5"/>
    <w:rsid w:val="269D575B"/>
    <w:rsid w:val="269F0FBB"/>
    <w:rsid w:val="26A1499A"/>
    <w:rsid w:val="26AA0022"/>
    <w:rsid w:val="26AA72EA"/>
    <w:rsid w:val="26B26BA7"/>
    <w:rsid w:val="26B447B0"/>
    <w:rsid w:val="26C140E7"/>
    <w:rsid w:val="26D112E8"/>
    <w:rsid w:val="26E140BB"/>
    <w:rsid w:val="26E34FB2"/>
    <w:rsid w:val="26E72CF4"/>
    <w:rsid w:val="26E853FB"/>
    <w:rsid w:val="26EF72E5"/>
    <w:rsid w:val="26F758CB"/>
    <w:rsid w:val="26FD2518"/>
    <w:rsid w:val="26FE003E"/>
    <w:rsid w:val="27080204"/>
    <w:rsid w:val="27083CC6"/>
    <w:rsid w:val="270B0E4A"/>
    <w:rsid w:val="27180E6A"/>
    <w:rsid w:val="271921F4"/>
    <w:rsid w:val="271C7577"/>
    <w:rsid w:val="271D46F4"/>
    <w:rsid w:val="271E393C"/>
    <w:rsid w:val="27207D9E"/>
    <w:rsid w:val="272468C8"/>
    <w:rsid w:val="27257379"/>
    <w:rsid w:val="27260538"/>
    <w:rsid w:val="272A2FD9"/>
    <w:rsid w:val="272C447A"/>
    <w:rsid w:val="272E26D1"/>
    <w:rsid w:val="27306A51"/>
    <w:rsid w:val="2735423E"/>
    <w:rsid w:val="273600F2"/>
    <w:rsid w:val="273870AC"/>
    <w:rsid w:val="273936BD"/>
    <w:rsid w:val="273E50FE"/>
    <w:rsid w:val="274023D4"/>
    <w:rsid w:val="27453859"/>
    <w:rsid w:val="27455C6D"/>
    <w:rsid w:val="27472A8A"/>
    <w:rsid w:val="274A2F77"/>
    <w:rsid w:val="274F2647"/>
    <w:rsid w:val="27512132"/>
    <w:rsid w:val="275343C9"/>
    <w:rsid w:val="27574B0C"/>
    <w:rsid w:val="275A1718"/>
    <w:rsid w:val="275E1FD2"/>
    <w:rsid w:val="27663E92"/>
    <w:rsid w:val="276E51C4"/>
    <w:rsid w:val="27814EF7"/>
    <w:rsid w:val="27855A95"/>
    <w:rsid w:val="27856069"/>
    <w:rsid w:val="278A754A"/>
    <w:rsid w:val="279D33B3"/>
    <w:rsid w:val="279F712B"/>
    <w:rsid w:val="27AC099C"/>
    <w:rsid w:val="27AC613C"/>
    <w:rsid w:val="27AF08C0"/>
    <w:rsid w:val="27B859FB"/>
    <w:rsid w:val="27BC7FFB"/>
    <w:rsid w:val="27BD1CA7"/>
    <w:rsid w:val="27C44DE4"/>
    <w:rsid w:val="27CC5A46"/>
    <w:rsid w:val="27CE5C62"/>
    <w:rsid w:val="27D163B4"/>
    <w:rsid w:val="27D22072"/>
    <w:rsid w:val="27D30F6B"/>
    <w:rsid w:val="27DE1FDE"/>
    <w:rsid w:val="27DF1C1D"/>
    <w:rsid w:val="27ED550F"/>
    <w:rsid w:val="27F05BD9"/>
    <w:rsid w:val="27F07987"/>
    <w:rsid w:val="280771A3"/>
    <w:rsid w:val="280F0D82"/>
    <w:rsid w:val="28121937"/>
    <w:rsid w:val="28213FE4"/>
    <w:rsid w:val="282432AE"/>
    <w:rsid w:val="282B2E4E"/>
    <w:rsid w:val="282B36F9"/>
    <w:rsid w:val="2834442B"/>
    <w:rsid w:val="2839352C"/>
    <w:rsid w:val="283B4018"/>
    <w:rsid w:val="284603CF"/>
    <w:rsid w:val="285919D0"/>
    <w:rsid w:val="285F4B0C"/>
    <w:rsid w:val="28642123"/>
    <w:rsid w:val="286F41BF"/>
    <w:rsid w:val="28717481"/>
    <w:rsid w:val="287813D0"/>
    <w:rsid w:val="287A1946"/>
    <w:rsid w:val="28836A4D"/>
    <w:rsid w:val="28960D6E"/>
    <w:rsid w:val="28971912"/>
    <w:rsid w:val="28972614"/>
    <w:rsid w:val="28991DCC"/>
    <w:rsid w:val="289C7B0E"/>
    <w:rsid w:val="28A16ED3"/>
    <w:rsid w:val="28A42CA6"/>
    <w:rsid w:val="28A6098D"/>
    <w:rsid w:val="28AB6959"/>
    <w:rsid w:val="28B06464"/>
    <w:rsid w:val="28B92E20"/>
    <w:rsid w:val="28B93CEB"/>
    <w:rsid w:val="28BE1833"/>
    <w:rsid w:val="28C15D8C"/>
    <w:rsid w:val="28C93B9D"/>
    <w:rsid w:val="28CB4E9B"/>
    <w:rsid w:val="28CF57EE"/>
    <w:rsid w:val="28E1683E"/>
    <w:rsid w:val="28E308F1"/>
    <w:rsid w:val="28E6684D"/>
    <w:rsid w:val="28EF1DE2"/>
    <w:rsid w:val="28F13BD2"/>
    <w:rsid w:val="28F220C4"/>
    <w:rsid w:val="28FC05AD"/>
    <w:rsid w:val="290A2CCA"/>
    <w:rsid w:val="290C4C94"/>
    <w:rsid w:val="29115E06"/>
    <w:rsid w:val="29135962"/>
    <w:rsid w:val="291839B5"/>
    <w:rsid w:val="291E3C40"/>
    <w:rsid w:val="2927387C"/>
    <w:rsid w:val="292A336C"/>
    <w:rsid w:val="292C5CB7"/>
    <w:rsid w:val="292D0A46"/>
    <w:rsid w:val="29322830"/>
    <w:rsid w:val="2933105F"/>
    <w:rsid w:val="293E0BC6"/>
    <w:rsid w:val="2944442E"/>
    <w:rsid w:val="294C6E3F"/>
    <w:rsid w:val="295D409D"/>
    <w:rsid w:val="29623EC7"/>
    <w:rsid w:val="29651BB7"/>
    <w:rsid w:val="2969059D"/>
    <w:rsid w:val="296C74E1"/>
    <w:rsid w:val="298505A2"/>
    <w:rsid w:val="298B1C1A"/>
    <w:rsid w:val="29940E61"/>
    <w:rsid w:val="29952549"/>
    <w:rsid w:val="299A2F3B"/>
    <w:rsid w:val="299D08FE"/>
    <w:rsid w:val="29A25D23"/>
    <w:rsid w:val="29A739E3"/>
    <w:rsid w:val="29B82726"/>
    <w:rsid w:val="29C2117B"/>
    <w:rsid w:val="29C31CAE"/>
    <w:rsid w:val="29C535B3"/>
    <w:rsid w:val="29CC7F7F"/>
    <w:rsid w:val="29CF181E"/>
    <w:rsid w:val="29D10A88"/>
    <w:rsid w:val="29DA6B40"/>
    <w:rsid w:val="29DB01C2"/>
    <w:rsid w:val="29E259F5"/>
    <w:rsid w:val="29EA6657"/>
    <w:rsid w:val="29F768C5"/>
    <w:rsid w:val="29F80D74"/>
    <w:rsid w:val="29FB2613"/>
    <w:rsid w:val="2A017BB1"/>
    <w:rsid w:val="2A027E45"/>
    <w:rsid w:val="2A0B6CFA"/>
    <w:rsid w:val="2A12374C"/>
    <w:rsid w:val="2A217069"/>
    <w:rsid w:val="2A2635DB"/>
    <w:rsid w:val="2A2C6C70"/>
    <w:rsid w:val="2A3A313B"/>
    <w:rsid w:val="2A441BE1"/>
    <w:rsid w:val="2A495A74"/>
    <w:rsid w:val="2A4A0382"/>
    <w:rsid w:val="2A4B359A"/>
    <w:rsid w:val="2A556ED8"/>
    <w:rsid w:val="2A652A4B"/>
    <w:rsid w:val="2A6609ED"/>
    <w:rsid w:val="2A6661EC"/>
    <w:rsid w:val="2A6B0D61"/>
    <w:rsid w:val="2A6B0D96"/>
    <w:rsid w:val="2A6C52BE"/>
    <w:rsid w:val="2A731ED7"/>
    <w:rsid w:val="2A733622"/>
    <w:rsid w:val="2A79283B"/>
    <w:rsid w:val="2A882F23"/>
    <w:rsid w:val="2A8C02B9"/>
    <w:rsid w:val="2A8F792B"/>
    <w:rsid w:val="2A9006B7"/>
    <w:rsid w:val="2A905451"/>
    <w:rsid w:val="2A93015F"/>
    <w:rsid w:val="2A9A1C3A"/>
    <w:rsid w:val="2A9C5C4D"/>
    <w:rsid w:val="2AA02867"/>
    <w:rsid w:val="2AA817A1"/>
    <w:rsid w:val="2AAA4036"/>
    <w:rsid w:val="2AB357E7"/>
    <w:rsid w:val="2AB9769A"/>
    <w:rsid w:val="2AC9578D"/>
    <w:rsid w:val="2ACC524E"/>
    <w:rsid w:val="2AD82286"/>
    <w:rsid w:val="2AD879D3"/>
    <w:rsid w:val="2AE74CDE"/>
    <w:rsid w:val="2AE94914"/>
    <w:rsid w:val="2AEB2687"/>
    <w:rsid w:val="2B000827"/>
    <w:rsid w:val="2B053749"/>
    <w:rsid w:val="2B065780"/>
    <w:rsid w:val="2B0B17FB"/>
    <w:rsid w:val="2B0C4952"/>
    <w:rsid w:val="2B1716CE"/>
    <w:rsid w:val="2B246941"/>
    <w:rsid w:val="2B285689"/>
    <w:rsid w:val="2B2E5565"/>
    <w:rsid w:val="2B324CAE"/>
    <w:rsid w:val="2B363D48"/>
    <w:rsid w:val="2B4F0E68"/>
    <w:rsid w:val="2B51698E"/>
    <w:rsid w:val="2B593380"/>
    <w:rsid w:val="2B627D0F"/>
    <w:rsid w:val="2B6E34F9"/>
    <w:rsid w:val="2B6F7029"/>
    <w:rsid w:val="2B7A5984"/>
    <w:rsid w:val="2B7C71D0"/>
    <w:rsid w:val="2B870602"/>
    <w:rsid w:val="2B920201"/>
    <w:rsid w:val="2B955445"/>
    <w:rsid w:val="2B963E38"/>
    <w:rsid w:val="2BB23B01"/>
    <w:rsid w:val="2BB5046C"/>
    <w:rsid w:val="2BBD71E9"/>
    <w:rsid w:val="2BC069D0"/>
    <w:rsid w:val="2BC25ADE"/>
    <w:rsid w:val="2BC37160"/>
    <w:rsid w:val="2BD001FB"/>
    <w:rsid w:val="2BD146D3"/>
    <w:rsid w:val="2BD650E5"/>
    <w:rsid w:val="2BD66E93"/>
    <w:rsid w:val="2BE2331F"/>
    <w:rsid w:val="2BF33259"/>
    <w:rsid w:val="2BFA7CCD"/>
    <w:rsid w:val="2C066CFF"/>
    <w:rsid w:val="2C09185D"/>
    <w:rsid w:val="2C1520B2"/>
    <w:rsid w:val="2C1A1476"/>
    <w:rsid w:val="2C2046D9"/>
    <w:rsid w:val="2C210A56"/>
    <w:rsid w:val="2C221D7F"/>
    <w:rsid w:val="2C293467"/>
    <w:rsid w:val="2C2A6CCA"/>
    <w:rsid w:val="2C2C11A9"/>
    <w:rsid w:val="2C2E0A7D"/>
    <w:rsid w:val="2C2E58D0"/>
    <w:rsid w:val="2C2E7758"/>
    <w:rsid w:val="2C2F773F"/>
    <w:rsid w:val="2C321F86"/>
    <w:rsid w:val="2C364AFD"/>
    <w:rsid w:val="2C37654D"/>
    <w:rsid w:val="2C3A38C6"/>
    <w:rsid w:val="2C4B4518"/>
    <w:rsid w:val="2C567BB3"/>
    <w:rsid w:val="2C65241F"/>
    <w:rsid w:val="2C8E0AF7"/>
    <w:rsid w:val="2C8E40CC"/>
    <w:rsid w:val="2C926CFE"/>
    <w:rsid w:val="2C9446A0"/>
    <w:rsid w:val="2C9805ED"/>
    <w:rsid w:val="2C990123"/>
    <w:rsid w:val="2C9D0FCA"/>
    <w:rsid w:val="2C9E20A7"/>
    <w:rsid w:val="2C9F79B5"/>
    <w:rsid w:val="2CA43435"/>
    <w:rsid w:val="2CAA5BC4"/>
    <w:rsid w:val="2CC15D95"/>
    <w:rsid w:val="2CC71A6D"/>
    <w:rsid w:val="2CCA2E9C"/>
    <w:rsid w:val="2CD0610E"/>
    <w:rsid w:val="2CD146ED"/>
    <w:rsid w:val="2CD26059"/>
    <w:rsid w:val="2CD50EF0"/>
    <w:rsid w:val="2CD51C67"/>
    <w:rsid w:val="2CDA5934"/>
    <w:rsid w:val="2CE20B06"/>
    <w:rsid w:val="2CEF1E41"/>
    <w:rsid w:val="2CF32EDB"/>
    <w:rsid w:val="2CF617E0"/>
    <w:rsid w:val="2CF67B21"/>
    <w:rsid w:val="2CF717B7"/>
    <w:rsid w:val="2CFD5684"/>
    <w:rsid w:val="2CFF5BF3"/>
    <w:rsid w:val="2D087520"/>
    <w:rsid w:val="2D090166"/>
    <w:rsid w:val="2D0D2D89"/>
    <w:rsid w:val="2D16631A"/>
    <w:rsid w:val="2D1F577A"/>
    <w:rsid w:val="2D230D74"/>
    <w:rsid w:val="2D241DD6"/>
    <w:rsid w:val="2D2F2CFF"/>
    <w:rsid w:val="2D3C40F0"/>
    <w:rsid w:val="2D411EA5"/>
    <w:rsid w:val="2D450775"/>
    <w:rsid w:val="2D4C1489"/>
    <w:rsid w:val="2D4D7D4B"/>
    <w:rsid w:val="2D517D71"/>
    <w:rsid w:val="2D554697"/>
    <w:rsid w:val="2D5A4743"/>
    <w:rsid w:val="2D5E0569"/>
    <w:rsid w:val="2D613AC1"/>
    <w:rsid w:val="2D6D3DD8"/>
    <w:rsid w:val="2D744A3E"/>
    <w:rsid w:val="2D774D62"/>
    <w:rsid w:val="2D7921CC"/>
    <w:rsid w:val="2D7C5A4D"/>
    <w:rsid w:val="2D850B71"/>
    <w:rsid w:val="2D8621F8"/>
    <w:rsid w:val="2D871654"/>
    <w:rsid w:val="2D8D5C78"/>
    <w:rsid w:val="2D8D7A26"/>
    <w:rsid w:val="2D901481"/>
    <w:rsid w:val="2D934992"/>
    <w:rsid w:val="2D9406EF"/>
    <w:rsid w:val="2D9C5EBB"/>
    <w:rsid w:val="2DA25AC2"/>
    <w:rsid w:val="2DA47F1E"/>
    <w:rsid w:val="2DA97250"/>
    <w:rsid w:val="2DB41456"/>
    <w:rsid w:val="2DBB723B"/>
    <w:rsid w:val="2DBC620C"/>
    <w:rsid w:val="2DBD62BA"/>
    <w:rsid w:val="2DC15622"/>
    <w:rsid w:val="2DC37DF1"/>
    <w:rsid w:val="2DCC49F2"/>
    <w:rsid w:val="2DD60EB7"/>
    <w:rsid w:val="2DD903C7"/>
    <w:rsid w:val="2DDD5CA2"/>
    <w:rsid w:val="2DE2382F"/>
    <w:rsid w:val="2DE33AEA"/>
    <w:rsid w:val="2DE57B52"/>
    <w:rsid w:val="2DE75388"/>
    <w:rsid w:val="2DE76649"/>
    <w:rsid w:val="2DFB7085"/>
    <w:rsid w:val="2E075A2A"/>
    <w:rsid w:val="2E0D173F"/>
    <w:rsid w:val="2E1B3416"/>
    <w:rsid w:val="2E1E611B"/>
    <w:rsid w:val="2E270028"/>
    <w:rsid w:val="2E287A1E"/>
    <w:rsid w:val="2E2906D2"/>
    <w:rsid w:val="2E2A2207"/>
    <w:rsid w:val="2E3D71DE"/>
    <w:rsid w:val="2E3F6F72"/>
    <w:rsid w:val="2E400D89"/>
    <w:rsid w:val="2E4D27AF"/>
    <w:rsid w:val="2E4D7B8F"/>
    <w:rsid w:val="2E5377B9"/>
    <w:rsid w:val="2E556251"/>
    <w:rsid w:val="2E5F22BF"/>
    <w:rsid w:val="2E666904"/>
    <w:rsid w:val="2E6764C9"/>
    <w:rsid w:val="2E6A7D67"/>
    <w:rsid w:val="2E725599"/>
    <w:rsid w:val="2E7B1F74"/>
    <w:rsid w:val="2E7C1FAB"/>
    <w:rsid w:val="2E7D7A9A"/>
    <w:rsid w:val="2E802A78"/>
    <w:rsid w:val="2E89643F"/>
    <w:rsid w:val="2E92203B"/>
    <w:rsid w:val="2EA0654E"/>
    <w:rsid w:val="2EA66FF1"/>
    <w:rsid w:val="2EA748CD"/>
    <w:rsid w:val="2EA94D33"/>
    <w:rsid w:val="2EAB60B0"/>
    <w:rsid w:val="2EB2233F"/>
    <w:rsid w:val="2EBF6305"/>
    <w:rsid w:val="2EC5013A"/>
    <w:rsid w:val="2ECE1A5B"/>
    <w:rsid w:val="2ED7364E"/>
    <w:rsid w:val="2EE46886"/>
    <w:rsid w:val="2EE93382"/>
    <w:rsid w:val="2EF11198"/>
    <w:rsid w:val="2EF60F11"/>
    <w:rsid w:val="2EF666E8"/>
    <w:rsid w:val="2EF74EF8"/>
    <w:rsid w:val="2F04080C"/>
    <w:rsid w:val="2F050949"/>
    <w:rsid w:val="2F072349"/>
    <w:rsid w:val="2F0C1921"/>
    <w:rsid w:val="2F1D2C4E"/>
    <w:rsid w:val="2F204499"/>
    <w:rsid w:val="2F294E87"/>
    <w:rsid w:val="2F2A7C22"/>
    <w:rsid w:val="2F2E6FE6"/>
    <w:rsid w:val="2F2F5238"/>
    <w:rsid w:val="2F3A7014"/>
    <w:rsid w:val="2F4A2072"/>
    <w:rsid w:val="2F4D3B7A"/>
    <w:rsid w:val="2F522CD5"/>
    <w:rsid w:val="2F5A788A"/>
    <w:rsid w:val="2F603644"/>
    <w:rsid w:val="2F6D4731"/>
    <w:rsid w:val="2F6F131D"/>
    <w:rsid w:val="2F7964B4"/>
    <w:rsid w:val="2F7B31BC"/>
    <w:rsid w:val="2F963509"/>
    <w:rsid w:val="2F984ABB"/>
    <w:rsid w:val="2F994DA8"/>
    <w:rsid w:val="2F9E5F1A"/>
    <w:rsid w:val="2FA34D2D"/>
    <w:rsid w:val="2FA51841"/>
    <w:rsid w:val="2FB23B09"/>
    <w:rsid w:val="2FB3434C"/>
    <w:rsid w:val="2FBC1F77"/>
    <w:rsid w:val="2FBD1123"/>
    <w:rsid w:val="2FC5794B"/>
    <w:rsid w:val="2FD61B58"/>
    <w:rsid w:val="2FDA3087"/>
    <w:rsid w:val="2FE34275"/>
    <w:rsid w:val="2FF65D56"/>
    <w:rsid w:val="30045969"/>
    <w:rsid w:val="300761B5"/>
    <w:rsid w:val="302549DF"/>
    <w:rsid w:val="3027147E"/>
    <w:rsid w:val="302723B3"/>
    <w:rsid w:val="302D309B"/>
    <w:rsid w:val="302F4A4E"/>
    <w:rsid w:val="30333DB6"/>
    <w:rsid w:val="304176E2"/>
    <w:rsid w:val="30436479"/>
    <w:rsid w:val="304E5B92"/>
    <w:rsid w:val="305168AB"/>
    <w:rsid w:val="30561692"/>
    <w:rsid w:val="30576673"/>
    <w:rsid w:val="305C2BB0"/>
    <w:rsid w:val="306301D5"/>
    <w:rsid w:val="30635469"/>
    <w:rsid w:val="306B2D49"/>
    <w:rsid w:val="30705B08"/>
    <w:rsid w:val="30717AD3"/>
    <w:rsid w:val="307A24E3"/>
    <w:rsid w:val="308A708E"/>
    <w:rsid w:val="308B4B9A"/>
    <w:rsid w:val="30906CF1"/>
    <w:rsid w:val="3091494E"/>
    <w:rsid w:val="3095556F"/>
    <w:rsid w:val="30987977"/>
    <w:rsid w:val="309B06AC"/>
    <w:rsid w:val="309C3B64"/>
    <w:rsid w:val="309D2676"/>
    <w:rsid w:val="30AA13BF"/>
    <w:rsid w:val="30AA32FA"/>
    <w:rsid w:val="30AB4799"/>
    <w:rsid w:val="30AE2535"/>
    <w:rsid w:val="30B01389"/>
    <w:rsid w:val="30B366F1"/>
    <w:rsid w:val="30BA66BA"/>
    <w:rsid w:val="30C776F3"/>
    <w:rsid w:val="30CD2E6A"/>
    <w:rsid w:val="30D37E45"/>
    <w:rsid w:val="30DA7A7E"/>
    <w:rsid w:val="30DE05E8"/>
    <w:rsid w:val="30E9059F"/>
    <w:rsid w:val="30EF2137"/>
    <w:rsid w:val="30F07616"/>
    <w:rsid w:val="30F91FEF"/>
    <w:rsid w:val="30FF0C3A"/>
    <w:rsid w:val="310249E4"/>
    <w:rsid w:val="31083F93"/>
    <w:rsid w:val="310929CF"/>
    <w:rsid w:val="310E53EA"/>
    <w:rsid w:val="31115103"/>
    <w:rsid w:val="31130DD0"/>
    <w:rsid w:val="31141567"/>
    <w:rsid w:val="3114202C"/>
    <w:rsid w:val="31195802"/>
    <w:rsid w:val="311A5FDF"/>
    <w:rsid w:val="311C17EC"/>
    <w:rsid w:val="31270830"/>
    <w:rsid w:val="3129778E"/>
    <w:rsid w:val="31302DF3"/>
    <w:rsid w:val="313605D9"/>
    <w:rsid w:val="313E4759"/>
    <w:rsid w:val="313F4E07"/>
    <w:rsid w:val="3143321D"/>
    <w:rsid w:val="31456F95"/>
    <w:rsid w:val="315413C9"/>
    <w:rsid w:val="3156343D"/>
    <w:rsid w:val="316872A2"/>
    <w:rsid w:val="31715187"/>
    <w:rsid w:val="3172478D"/>
    <w:rsid w:val="317575F6"/>
    <w:rsid w:val="3176269B"/>
    <w:rsid w:val="31857973"/>
    <w:rsid w:val="319068F9"/>
    <w:rsid w:val="31921939"/>
    <w:rsid w:val="31926D16"/>
    <w:rsid w:val="31992F69"/>
    <w:rsid w:val="319B4E07"/>
    <w:rsid w:val="319B6BB5"/>
    <w:rsid w:val="31A970D8"/>
    <w:rsid w:val="31AA56E2"/>
    <w:rsid w:val="31B0525A"/>
    <w:rsid w:val="31B444D7"/>
    <w:rsid w:val="31C205E6"/>
    <w:rsid w:val="31C27677"/>
    <w:rsid w:val="31C51E84"/>
    <w:rsid w:val="31CB232A"/>
    <w:rsid w:val="31D0141E"/>
    <w:rsid w:val="31D36D38"/>
    <w:rsid w:val="31D71BB7"/>
    <w:rsid w:val="31D9592F"/>
    <w:rsid w:val="31E00A6C"/>
    <w:rsid w:val="31E51A80"/>
    <w:rsid w:val="31F91B2E"/>
    <w:rsid w:val="320C7843"/>
    <w:rsid w:val="32130E41"/>
    <w:rsid w:val="322C239F"/>
    <w:rsid w:val="322E6794"/>
    <w:rsid w:val="32340C0C"/>
    <w:rsid w:val="32342B66"/>
    <w:rsid w:val="3236068C"/>
    <w:rsid w:val="323854E0"/>
    <w:rsid w:val="32442C0A"/>
    <w:rsid w:val="32463E0A"/>
    <w:rsid w:val="32464449"/>
    <w:rsid w:val="324E226E"/>
    <w:rsid w:val="324F02A1"/>
    <w:rsid w:val="32513718"/>
    <w:rsid w:val="32525C32"/>
    <w:rsid w:val="325B4596"/>
    <w:rsid w:val="326F1DF0"/>
    <w:rsid w:val="327447B8"/>
    <w:rsid w:val="32801871"/>
    <w:rsid w:val="329351DA"/>
    <w:rsid w:val="32986B1E"/>
    <w:rsid w:val="32A203E8"/>
    <w:rsid w:val="32A873EF"/>
    <w:rsid w:val="32AA2E28"/>
    <w:rsid w:val="32B2664A"/>
    <w:rsid w:val="32B87D44"/>
    <w:rsid w:val="32BC12D1"/>
    <w:rsid w:val="32C4642C"/>
    <w:rsid w:val="32C52A38"/>
    <w:rsid w:val="32C8455E"/>
    <w:rsid w:val="32D16607"/>
    <w:rsid w:val="32D4454C"/>
    <w:rsid w:val="32D54349"/>
    <w:rsid w:val="32E12CEE"/>
    <w:rsid w:val="32E20814"/>
    <w:rsid w:val="32EA2F15"/>
    <w:rsid w:val="32F341BB"/>
    <w:rsid w:val="32F7165D"/>
    <w:rsid w:val="32FD1B00"/>
    <w:rsid w:val="32FD4752"/>
    <w:rsid w:val="32FE389F"/>
    <w:rsid w:val="330001A2"/>
    <w:rsid w:val="3304078A"/>
    <w:rsid w:val="33092244"/>
    <w:rsid w:val="3310264B"/>
    <w:rsid w:val="331F55C4"/>
    <w:rsid w:val="33242BDA"/>
    <w:rsid w:val="33245A56"/>
    <w:rsid w:val="333472C1"/>
    <w:rsid w:val="33353039"/>
    <w:rsid w:val="333628C2"/>
    <w:rsid w:val="33380434"/>
    <w:rsid w:val="333F7C1A"/>
    <w:rsid w:val="33434A04"/>
    <w:rsid w:val="33464DF9"/>
    <w:rsid w:val="334713E7"/>
    <w:rsid w:val="335C0F0C"/>
    <w:rsid w:val="3360315F"/>
    <w:rsid w:val="3361597D"/>
    <w:rsid w:val="336A1F2E"/>
    <w:rsid w:val="336D3876"/>
    <w:rsid w:val="33711C12"/>
    <w:rsid w:val="33734D90"/>
    <w:rsid w:val="338A6909"/>
    <w:rsid w:val="33920133"/>
    <w:rsid w:val="33954A3C"/>
    <w:rsid w:val="339B6FDC"/>
    <w:rsid w:val="33A424EC"/>
    <w:rsid w:val="33A67A93"/>
    <w:rsid w:val="33B52CFC"/>
    <w:rsid w:val="33BA52ED"/>
    <w:rsid w:val="33CC0263"/>
    <w:rsid w:val="33E125AF"/>
    <w:rsid w:val="33E83C08"/>
    <w:rsid w:val="33EA4F8B"/>
    <w:rsid w:val="33EB47AE"/>
    <w:rsid w:val="33ED121E"/>
    <w:rsid w:val="33F16F60"/>
    <w:rsid w:val="33FD3B57"/>
    <w:rsid w:val="34030732"/>
    <w:rsid w:val="340824FC"/>
    <w:rsid w:val="340B7010"/>
    <w:rsid w:val="340E399D"/>
    <w:rsid w:val="3415057E"/>
    <w:rsid w:val="341669C7"/>
    <w:rsid w:val="341B5F16"/>
    <w:rsid w:val="341D6F6C"/>
    <w:rsid w:val="342608ED"/>
    <w:rsid w:val="342D539D"/>
    <w:rsid w:val="34383614"/>
    <w:rsid w:val="34396DDF"/>
    <w:rsid w:val="343D0DDD"/>
    <w:rsid w:val="344057F2"/>
    <w:rsid w:val="344238A7"/>
    <w:rsid w:val="344828F8"/>
    <w:rsid w:val="344A5CAF"/>
    <w:rsid w:val="34565015"/>
    <w:rsid w:val="34627E84"/>
    <w:rsid w:val="347437FE"/>
    <w:rsid w:val="34761B3D"/>
    <w:rsid w:val="34767465"/>
    <w:rsid w:val="347E631A"/>
    <w:rsid w:val="34882392"/>
    <w:rsid w:val="349B511E"/>
    <w:rsid w:val="34A3527D"/>
    <w:rsid w:val="34BA2F60"/>
    <w:rsid w:val="34D37235"/>
    <w:rsid w:val="34DD3D16"/>
    <w:rsid w:val="34EC597A"/>
    <w:rsid w:val="34ED2EF3"/>
    <w:rsid w:val="34FB6280"/>
    <w:rsid w:val="350169F6"/>
    <w:rsid w:val="350727B3"/>
    <w:rsid w:val="3511182C"/>
    <w:rsid w:val="351F5D4F"/>
    <w:rsid w:val="352650CF"/>
    <w:rsid w:val="3530684B"/>
    <w:rsid w:val="35390373"/>
    <w:rsid w:val="353C21AD"/>
    <w:rsid w:val="353D1B92"/>
    <w:rsid w:val="354F4AA4"/>
    <w:rsid w:val="355A55FC"/>
    <w:rsid w:val="356409D4"/>
    <w:rsid w:val="35776F45"/>
    <w:rsid w:val="358838F4"/>
    <w:rsid w:val="35890939"/>
    <w:rsid w:val="358B1967"/>
    <w:rsid w:val="359027A9"/>
    <w:rsid w:val="359847B2"/>
    <w:rsid w:val="3599571B"/>
    <w:rsid w:val="35A41C98"/>
    <w:rsid w:val="35B75F88"/>
    <w:rsid w:val="35BE61A8"/>
    <w:rsid w:val="35C0308E"/>
    <w:rsid w:val="35C3529F"/>
    <w:rsid w:val="35C843C5"/>
    <w:rsid w:val="35D132A2"/>
    <w:rsid w:val="35EE0B72"/>
    <w:rsid w:val="35F036B8"/>
    <w:rsid w:val="3609005C"/>
    <w:rsid w:val="360E3D96"/>
    <w:rsid w:val="36121581"/>
    <w:rsid w:val="36162CAE"/>
    <w:rsid w:val="36181B53"/>
    <w:rsid w:val="361B22BC"/>
    <w:rsid w:val="36201D7F"/>
    <w:rsid w:val="36216728"/>
    <w:rsid w:val="362E3C87"/>
    <w:rsid w:val="362F1FC2"/>
    <w:rsid w:val="36315D3A"/>
    <w:rsid w:val="36334054"/>
    <w:rsid w:val="3638243C"/>
    <w:rsid w:val="364610BA"/>
    <w:rsid w:val="364716A0"/>
    <w:rsid w:val="365B1352"/>
    <w:rsid w:val="366118AB"/>
    <w:rsid w:val="36662992"/>
    <w:rsid w:val="366D41CF"/>
    <w:rsid w:val="36736A6D"/>
    <w:rsid w:val="367B34BB"/>
    <w:rsid w:val="367E0853"/>
    <w:rsid w:val="36820344"/>
    <w:rsid w:val="36897EB8"/>
    <w:rsid w:val="368A369C"/>
    <w:rsid w:val="36914A2B"/>
    <w:rsid w:val="36946A1C"/>
    <w:rsid w:val="369B4F9B"/>
    <w:rsid w:val="369F5F8F"/>
    <w:rsid w:val="36A1205A"/>
    <w:rsid w:val="36A33BD9"/>
    <w:rsid w:val="36A46172"/>
    <w:rsid w:val="36A571EF"/>
    <w:rsid w:val="36A93B22"/>
    <w:rsid w:val="36AB2B56"/>
    <w:rsid w:val="36B67FED"/>
    <w:rsid w:val="36B85B13"/>
    <w:rsid w:val="36B86DDB"/>
    <w:rsid w:val="36B9188B"/>
    <w:rsid w:val="36C344B8"/>
    <w:rsid w:val="36CA265A"/>
    <w:rsid w:val="36CD7058"/>
    <w:rsid w:val="36D30B9F"/>
    <w:rsid w:val="36DE434B"/>
    <w:rsid w:val="36E430C7"/>
    <w:rsid w:val="36E644C3"/>
    <w:rsid w:val="36E7464B"/>
    <w:rsid w:val="36E863B2"/>
    <w:rsid w:val="36EC1C72"/>
    <w:rsid w:val="36F31240"/>
    <w:rsid w:val="36F37CC1"/>
    <w:rsid w:val="36F91EEB"/>
    <w:rsid w:val="37040D59"/>
    <w:rsid w:val="370666E5"/>
    <w:rsid w:val="370B0CC0"/>
    <w:rsid w:val="370B7CC7"/>
    <w:rsid w:val="370C2303"/>
    <w:rsid w:val="370C5E5F"/>
    <w:rsid w:val="371B483F"/>
    <w:rsid w:val="371D65C9"/>
    <w:rsid w:val="37296A11"/>
    <w:rsid w:val="372C4753"/>
    <w:rsid w:val="37352EA6"/>
    <w:rsid w:val="3736112E"/>
    <w:rsid w:val="373808E2"/>
    <w:rsid w:val="373D070E"/>
    <w:rsid w:val="373E0304"/>
    <w:rsid w:val="3742623A"/>
    <w:rsid w:val="37466A9F"/>
    <w:rsid w:val="374C7D75"/>
    <w:rsid w:val="375111F8"/>
    <w:rsid w:val="37662E71"/>
    <w:rsid w:val="37732F95"/>
    <w:rsid w:val="37751C56"/>
    <w:rsid w:val="37785578"/>
    <w:rsid w:val="377F4883"/>
    <w:rsid w:val="378620B5"/>
    <w:rsid w:val="3790083E"/>
    <w:rsid w:val="37923F09"/>
    <w:rsid w:val="37934A2D"/>
    <w:rsid w:val="379501B2"/>
    <w:rsid w:val="37993A3D"/>
    <w:rsid w:val="379A790F"/>
    <w:rsid w:val="379E73FF"/>
    <w:rsid w:val="37A150EE"/>
    <w:rsid w:val="37A308A2"/>
    <w:rsid w:val="37AC319E"/>
    <w:rsid w:val="37B00EE0"/>
    <w:rsid w:val="37B3452D"/>
    <w:rsid w:val="37B409D1"/>
    <w:rsid w:val="37B54749"/>
    <w:rsid w:val="37CE5537"/>
    <w:rsid w:val="37D3697D"/>
    <w:rsid w:val="37D735C5"/>
    <w:rsid w:val="37DF4788"/>
    <w:rsid w:val="37E479E9"/>
    <w:rsid w:val="37EA06A4"/>
    <w:rsid w:val="37EB3CC7"/>
    <w:rsid w:val="37F25401"/>
    <w:rsid w:val="37F6298C"/>
    <w:rsid w:val="380B7F20"/>
    <w:rsid w:val="3818637F"/>
    <w:rsid w:val="38216E4B"/>
    <w:rsid w:val="382673F4"/>
    <w:rsid w:val="38374A1E"/>
    <w:rsid w:val="383C4522"/>
    <w:rsid w:val="38467AA7"/>
    <w:rsid w:val="38485ABF"/>
    <w:rsid w:val="38545D10"/>
    <w:rsid w:val="385E5DB3"/>
    <w:rsid w:val="385F1A9D"/>
    <w:rsid w:val="38602AA4"/>
    <w:rsid w:val="38606463"/>
    <w:rsid w:val="3883540B"/>
    <w:rsid w:val="3885236D"/>
    <w:rsid w:val="388E23BE"/>
    <w:rsid w:val="389712F2"/>
    <w:rsid w:val="389963EE"/>
    <w:rsid w:val="38A81BB8"/>
    <w:rsid w:val="38B62526"/>
    <w:rsid w:val="38BE76E1"/>
    <w:rsid w:val="38C06103"/>
    <w:rsid w:val="38CB65C7"/>
    <w:rsid w:val="38CE3EF3"/>
    <w:rsid w:val="38D427F3"/>
    <w:rsid w:val="38DD3307"/>
    <w:rsid w:val="38DE2A5F"/>
    <w:rsid w:val="38E209E8"/>
    <w:rsid w:val="38E946AA"/>
    <w:rsid w:val="38FC36C8"/>
    <w:rsid w:val="38FC42CC"/>
    <w:rsid w:val="390239BE"/>
    <w:rsid w:val="39083805"/>
    <w:rsid w:val="390845A0"/>
    <w:rsid w:val="391334D5"/>
    <w:rsid w:val="39212DA8"/>
    <w:rsid w:val="39293DB0"/>
    <w:rsid w:val="392C27E9"/>
    <w:rsid w:val="392F26D1"/>
    <w:rsid w:val="3932357B"/>
    <w:rsid w:val="3934169D"/>
    <w:rsid w:val="39372EBC"/>
    <w:rsid w:val="393950B5"/>
    <w:rsid w:val="393B5666"/>
    <w:rsid w:val="394C7AC1"/>
    <w:rsid w:val="39524DED"/>
    <w:rsid w:val="395A3766"/>
    <w:rsid w:val="39616936"/>
    <w:rsid w:val="3964562A"/>
    <w:rsid w:val="396543B9"/>
    <w:rsid w:val="396A032E"/>
    <w:rsid w:val="396C77A1"/>
    <w:rsid w:val="39757CFD"/>
    <w:rsid w:val="3976015D"/>
    <w:rsid w:val="39764F2B"/>
    <w:rsid w:val="398106C2"/>
    <w:rsid w:val="398443D3"/>
    <w:rsid w:val="398630C2"/>
    <w:rsid w:val="398C6DBF"/>
    <w:rsid w:val="398F75AB"/>
    <w:rsid w:val="39904B26"/>
    <w:rsid w:val="39915422"/>
    <w:rsid w:val="39920BD7"/>
    <w:rsid w:val="399762E2"/>
    <w:rsid w:val="39A03524"/>
    <w:rsid w:val="39A22AAB"/>
    <w:rsid w:val="39A607ED"/>
    <w:rsid w:val="39A64349"/>
    <w:rsid w:val="39A672E4"/>
    <w:rsid w:val="39AB7F90"/>
    <w:rsid w:val="39B12CEE"/>
    <w:rsid w:val="39B13AE1"/>
    <w:rsid w:val="39B16566"/>
    <w:rsid w:val="39B2465E"/>
    <w:rsid w:val="39B60304"/>
    <w:rsid w:val="39BA0EBE"/>
    <w:rsid w:val="39BC3B6C"/>
    <w:rsid w:val="39BF5F3F"/>
    <w:rsid w:val="39C24FE4"/>
    <w:rsid w:val="39C64ED6"/>
    <w:rsid w:val="39CB0253"/>
    <w:rsid w:val="39CF3A9F"/>
    <w:rsid w:val="39E613A0"/>
    <w:rsid w:val="39E901AB"/>
    <w:rsid w:val="39EB26A4"/>
    <w:rsid w:val="39ED6EA0"/>
    <w:rsid w:val="39F16DEF"/>
    <w:rsid w:val="39F63D01"/>
    <w:rsid w:val="39F8091D"/>
    <w:rsid w:val="3A00614F"/>
    <w:rsid w:val="3A0429E9"/>
    <w:rsid w:val="3A0472C2"/>
    <w:rsid w:val="3A054EF3"/>
    <w:rsid w:val="3A0D6176"/>
    <w:rsid w:val="3A1468BA"/>
    <w:rsid w:val="3A173499"/>
    <w:rsid w:val="3A1E7D1D"/>
    <w:rsid w:val="3A296F8A"/>
    <w:rsid w:val="3A2D5D3F"/>
    <w:rsid w:val="3A350C7C"/>
    <w:rsid w:val="3A3B35A8"/>
    <w:rsid w:val="3A4B06C4"/>
    <w:rsid w:val="3A5913BB"/>
    <w:rsid w:val="3A5A5133"/>
    <w:rsid w:val="3A621B47"/>
    <w:rsid w:val="3A6A3A66"/>
    <w:rsid w:val="3A6A51A1"/>
    <w:rsid w:val="3A760B3B"/>
    <w:rsid w:val="3A8328DC"/>
    <w:rsid w:val="3A8A27A0"/>
    <w:rsid w:val="3A8D3267"/>
    <w:rsid w:val="3A8D6F5C"/>
    <w:rsid w:val="3AA505E9"/>
    <w:rsid w:val="3AB201FD"/>
    <w:rsid w:val="3ABE6790"/>
    <w:rsid w:val="3AC24711"/>
    <w:rsid w:val="3AC458AB"/>
    <w:rsid w:val="3AC63734"/>
    <w:rsid w:val="3AC71DAE"/>
    <w:rsid w:val="3ACA1657"/>
    <w:rsid w:val="3AD30754"/>
    <w:rsid w:val="3AD31A4B"/>
    <w:rsid w:val="3AD74069"/>
    <w:rsid w:val="3AD973B0"/>
    <w:rsid w:val="3AF21FF7"/>
    <w:rsid w:val="3AF410E4"/>
    <w:rsid w:val="3AF86E26"/>
    <w:rsid w:val="3AFD61EB"/>
    <w:rsid w:val="3B07350D"/>
    <w:rsid w:val="3B0949EF"/>
    <w:rsid w:val="3B0D3357"/>
    <w:rsid w:val="3B0E664A"/>
    <w:rsid w:val="3B1616DB"/>
    <w:rsid w:val="3B1866F7"/>
    <w:rsid w:val="3B212EFD"/>
    <w:rsid w:val="3B2204F8"/>
    <w:rsid w:val="3B264A45"/>
    <w:rsid w:val="3B2F65C0"/>
    <w:rsid w:val="3B3230A5"/>
    <w:rsid w:val="3B351E28"/>
    <w:rsid w:val="3B376687"/>
    <w:rsid w:val="3B393AFD"/>
    <w:rsid w:val="3B3E6939"/>
    <w:rsid w:val="3B4873E0"/>
    <w:rsid w:val="3B4F12B2"/>
    <w:rsid w:val="3B656DAD"/>
    <w:rsid w:val="3B697D24"/>
    <w:rsid w:val="3B7010B2"/>
    <w:rsid w:val="3B730A2C"/>
    <w:rsid w:val="3B73373D"/>
    <w:rsid w:val="3B752987"/>
    <w:rsid w:val="3B7B35B3"/>
    <w:rsid w:val="3B8548A9"/>
    <w:rsid w:val="3B9248F5"/>
    <w:rsid w:val="3B951AFA"/>
    <w:rsid w:val="3B9D009B"/>
    <w:rsid w:val="3BA15C7C"/>
    <w:rsid w:val="3BB22B57"/>
    <w:rsid w:val="3BB47EB2"/>
    <w:rsid w:val="3BBB6159"/>
    <w:rsid w:val="3BBF0959"/>
    <w:rsid w:val="3BCB0097"/>
    <w:rsid w:val="3BDC6748"/>
    <w:rsid w:val="3BDE4717"/>
    <w:rsid w:val="3BFD046C"/>
    <w:rsid w:val="3C05198A"/>
    <w:rsid w:val="3C0771DF"/>
    <w:rsid w:val="3C0A04BB"/>
    <w:rsid w:val="3C0F179A"/>
    <w:rsid w:val="3C3360EC"/>
    <w:rsid w:val="3C3E2F5F"/>
    <w:rsid w:val="3C3F0A85"/>
    <w:rsid w:val="3C452831"/>
    <w:rsid w:val="3C476173"/>
    <w:rsid w:val="3C4C158D"/>
    <w:rsid w:val="3C552056"/>
    <w:rsid w:val="3C577B7C"/>
    <w:rsid w:val="3C5E2B94"/>
    <w:rsid w:val="3C6504EB"/>
    <w:rsid w:val="3C6C52B9"/>
    <w:rsid w:val="3C6E69D8"/>
    <w:rsid w:val="3C7057AE"/>
    <w:rsid w:val="3C710C88"/>
    <w:rsid w:val="3C7401AE"/>
    <w:rsid w:val="3C7526BD"/>
    <w:rsid w:val="3C8D2B6B"/>
    <w:rsid w:val="3C96723D"/>
    <w:rsid w:val="3C9E5D1B"/>
    <w:rsid w:val="3CA52FDE"/>
    <w:rsid w:val="3CA53C3A"/>
    <w:rsid w:val="3CA8662A"/>
    <w:rsid w:val="3CA97F92"/>
    <w:rsid w:val="3CAA25C4"/>
    <w:rsid w:val="3CB13731"/>
    <w:rsid w:val="3CB42132"/>
    <w:rsid w:val="3CBA7D19"/>
    <w:rsid w:val="3CBF41B7"/>
    <w:rsid w:val="3CC1259B"/>
    <w:rsid w:val="3CD17EF5"/>
    <w:rsid w:val="3CD76F0F"/>
    <w:rsid w:val="3CE67988"/>
    <w:rsid w:val="3CE70A21"/>
    <w:rsid w:val="3CE91B4F"/>
    <w:rsid w:val="3CEA1C78"/>
    <w:rsid w:val="3CEA6C43"/>
    <w:rsid w:val="3CEF24AB"/>
    <w:rsid w:val="3CEF3B5E"/>
    <w:rsid w:val="3CF92A3E"/>
    <w:rsid w:val="3D031AB2"/>
    <w:rsid w:val="3D09280A"/>
    <w:rsid w:val="3D0A0307"/>
    <w:rsid w:val="3D0E0905"/>
    <w:rsid w:val="3D2123DC"/>
    <w:rsid w:val="3D2E673C"/>
    <w:rsid w:val="3D314871"/>
    <w:rsid w:val="3D3279A2"/>
    <w:rsid w:val="3D3529EB"/>
    <w:rsid w:val="3D35641A"/>
    <w:rsid w:val="3D363C36"/>
    <w:rsid w:val="3D3879AE"/>
    <w:rsid w:val="3D3C12F5"/>
    <w:rsid w:val="3D3D73C1"/>
    <w:rsid w:val="3D4B442E"/>
    <w:rsid w:val="3D51281E"/>
    <w:rsid w:val="3D5368A9"/>
    <w:rsid w:val="3D57059C"/>
    <w:rsid w:val="3D5902DA"/>
    <w:rsid w:val="3D5C2CD7"/>
    <w:rsid w:val="3D63350E"/>
    <w:rsid w:val="3D6437F6"/>
    <w:rsid w:val="3D6B3554"/>
    <w:rsid w:val="3D6D69CE"/>
    <w:rsid w:val="3D6E702C"/>
    <w:rsid w:val="3D734E8A"/>
    <w:rsid w:val="3D793B23"/>
    <w:rsid w:val="3D7A7775"/>
    <w:rsid w:val="3D8F6766"/>
    <w:rsid w:val="3D962926"/>
    <w:rsid w:val="3D9F17DB"/>
    <w:rsid w:val="3DA203C1"/>
    <w:rsid w:val="3DA93E71"/>
    <w:rsid w:val="3DAB2C2B"/>
    <w:rsid w:val="3DAB599D"/>
    <w:rsid w:val="3DAF7D1C"/>
    <w:rsid w:val="3DB13B3B"/>
    <w:rsid w:val="3DB37602"/>
    <w:rsid w:val="3DB70748"/>
    <w:rsid w:val="3DBD6F4F"/>
    <w:rsid w:val="3DBF48D1"/>
    <w:rsid w:val="3DC41470"/>
    <w:rsid w:val="3DC70F93"/>
    <w:rsid w:val="3DC72D50"/>
    <w:rsid w:val="3DC86F3F"/>
    <w:rsid w:val="3DCD7030"/>
    <w:rsid w:val="3DD5344F"/>
    <w:rsid w:val="3DDA2813"/>
    <w:rsid w:val="3DE050FC"/>
    <w:rsid w:val="3DE52122"/>
    <w:rsid w:val="3DEE3486"/>
    <w:rsid w:val="3DEE4511"/>
    <w:rsid w:val="3DF02037"/>
    <w:rsid w:val="3DFC6F52"/>
    <w:rsid w:val="3DFC7BC4"/>
    <w:rsid w:val="3DFD6198"/>
    <w:rsid w:val="3E0169BD"/>
    <w:rsid w:val="3E0930F8"/>
    <w:rsid w:val="3E09754A"/>
    <w:rsid w:val="3E0E6CBD"/>
    <w:rsid w:val="3E104487"/>
    <w:rsid w:val="3E1A6AA3"/>
    <w:rsid w:val="3E1C72D0"/>
    <w:rsid w:val="3E226157"/>
    <w:rsid w:val="3E260217"/>
    <w:rsid w:val="3E2B697F"/>
    <w:rsid w:val="3E2C62B6"/>
    <w:rsid w:val="3E2C6DE7"/>
    <w:rsid w:val="3E432418"/>
    <w:rsid w:val="3E4B0F7B"/>
    <w:rsid w:val="3E4D56DB"/>
    <w:rsid w:val="3E5313C9"/>
    <w:rsid w:val="3E5700F6"/>
    <w:rsid w:val="3E570308"/>
    <w:rsid w:val="3E641F36"/>
    <w:rsid w:val="3E6A11AF"/>
    <w:rsid w:val="3E6B5B61"/>
    <w:rsid w:val="3E6D196A"/>
    <w:rsid w:val="3E774E7E"/>
    <w:rsid w:val="3E7E2CC0"/>
    <w:rsid w:val="3E802591"/>
    <w:rsid w:val="3E8A248B"/>
    <w:rsid w:val="3E8C5593"/>
    <w:rsid w:val="3E92012A"/>
    <w:rsid w:val="3E990920"/>
    <w:rsid w:val="3EA352FB"/>
    <w:rsid w:val="3EAD6743"/>
    <w:rsid w:val="3EB721C8"/>
    <w:rsid w:val="3EBC7FD1"/>
    <w:rsid w:val="3EBF40D4"/>
    <w:rsid w:val="3EC7628C"/>
    <w:rsid w:val="3ED3416D"/>
    <w:rsid w:val="3ED77593"/>
    <w:rsid w:val="3EDE7341"/>
    <w:rsid w:val="3EE42B23"/>
    <w:rsid w:val="3EE777A6"/>
    <w:rsid w:val="3EEA4E7D"/>
    <w:rsid w:val="3EEF0540"/>
    <w:rsid w:val="3EF142B8"/>
    <w:rsid w:val="3EF455D5"/>
    <w:rsid w:val="3EFE7BBA"/>
    <w:rsid w:val="3F063846"/>
    <w:rsid w:val="3F0B2EA0"/>
    <w:rsid w:val="3F124C15"/>
    <w:rsid w:val="3F1343EB"/>
    <w:rsid w:val="3F17599C"/>
    <w:rsid w:val="3F1E0483"/>
    <w:rsid w:val="3F1E7077"/>
    <w:rsid w:val="3F212162"/>
    <w:rsid w:val="3F214472"/>
    <w:rsid w:val="3F214990"/>
    <w:rsid w:val="3F450160"/>
    <w:rsid w:val="3F485EA2"/>
    <w:rsid w:val="3F4A54EE"/>
    <w:rsid w:val="3F4B09F1"/>
    <w:rsid w:val="3F4C7015"/>
    <w:rsid w:val="3F4F5483"/>
    <w:rsid w:val="3F516B05"/>
    <w:rsid w:val="3F544847"/>
    <w:rsid w:val="3F5A5702"/>
    <w:rsid w:val="3F5B4755"/>
    <w:rsid w:val="3F5D22FF"/>
    <w:rsid w:val="3F6861FC"/>
    <w:rsid w:val="3F6B006B"/>
    <w:rsid w:val="3F6B64DD"/>
    <w:rsid w:val="3F7F7457"/>
    <w:rsid w:val="3F8073EA"/>
    <w:rsid w:val="3F8A0269"/>
    <w:rsid w:val="3F8A64BB"/>
    <w:rsid w:val="3F9664B6"/>
    <w:rsid w:val="3F9A1DAD"/>
    <w:rsid w:val="3F9B3632"/>
    <w:rsid w:val="3FA0746C"/>
    <w:rsid w:val="3FA46EF8"/>
    <w:rsid w:val="3FAA0CAB"/>
    <w:rsid w:val="3FAB3BC3"/>
    <w:rsid w:val="3FB6105E"/>
    <w:rsid w:val="3FB6677A"/>
    <w:rsid w:val="3FC754F1"/>
    <w:rsid w:val="3FD371AA"/>
    <w:rsid w:val="3FE217D5"/>
    <w:rsid w:val="3FE43E1D"/>
    <w:rsid w:val="3FE549DC"/>
    <w:rsid w:val="3FE71217"/>
    <w:rsid w:val="3FEC708A"/>
    <w:rsid w:val="3FF30FE7"/>
    <w:rsid w:val="3FF43934"/>
    <w:rsid w:val="400242A3"/>
    <w:rsid w:val="40087DAE"/>
    <w:rsid w:val="400B1A16"/>
    <w:rsid w:val="400C3A1F"/>
    <w:rsid w:val="40163841"/>
    <w:rsid w:val="40173D62"/>
    <w:rsid w:val="401B2013"/>
    <w:rsid w:val="401D38D0"/>
    <w:rsid w:val="403C22FA"/>
    <w:rsid w:val="404434E5"/>
    <w:rsid w:val="404623E2"/>
    <w:rsid w:val="40464190"/>
    <w:rsid w:val="404C0C0F"/>
    <w:rsid w:val="40585922"/>
    <w:rsid w:val="405A7C3B"/>
    <w:rsid w:val="405C25C8"/>
    <w:rsid w:val="405D772B"/>
    <w:rsid w:val="40682F9E"/>
    <w:rsid w:val="406867FC"/>
    <w:rsid w:val="406A2927"/>
    <w:rsid w:val="406D0F97"/>
    <w:rsid w:val="40717B61"/>
    <w:rsid w:val="40750F19"/>
    <w:rsid w:val="40784565"/>
    <w:rsid w:val="408178BE"/>
    <w:rsid w:val="40837963"/>
    <w:rsid w:val="4086235B"/>
    <w:rsid w:val="408B162D"/>
    <w:rsid w:val="408C0F41"/>
    <w:rsid w:val="40A02D3B"/>
    <w:rsid w:val="40A260D4"/>
    <w:rsid w:val="40B35057"/>
    <w:rsid w:val="40B5430A"/>
    <w:rsid w:val="40B577B7"/>
    <w:rsid w:val="40B732E0"/>
    <w:rsid w:val="40BA20F7"/>
    <w:rsid w:val="40BC471D"/>
    <w:rsid w:val="40BD4DD1"/>
    <w:rsid w:val="40C3660D"/>
    <w:rsid w:val="40CF3775"/>
    <w:rsid w:val="40DE338E"/>
    <w:rsid w:val="40DE7708"/>
    <w:rsid w:val="40E16317"/>
    <w:rsid w:val="40E90411"/>
    <w:rsid w:val="40E93FEB"/>
    <w:rsid w:val="40F32186"/>
    <w:rsid w:val="40F36398"/>
    <w:rsid w:val="40F51D18"/>
    <w:rsid w:val="40FB7670"/>
    <w:rsid w:val="40FF039C"/>
    <w:rsid w:val="41003E00"/>
    <w:rsid w:val="41060AF7"/>
    <w:rsid w:val="41087697"/>
    <w:rsid w:val="411249BA"/>
    <w:rsid w:val="4113746A"/>
    <w:rsid w:val="41173D7E"/>
    <w:rsid w:val="411878E2"/>
    <w:rsid w:val="411A73CB"/>
    <w:rsid w:val="411E7D17"/>
    <w:rsid w:val="41227C0F"/>
    <w:rsid w:val="4123062F"/>
    <w:rsid w:val="41244833"/>
    <w:rsid w:val="41284945"/>
    <w:rsid w:val="412D4550"/>
    <w:rsid w:val="41303C39"/>
    <w:rsid w:val="41361637"/>
    <w:rsid w:val="413D30B5"/>
    <w:rsid w:val="41456B3D"/>
    <w:rsid w:val="414F74CB"/>
    <w:rsid w:val="415723CD"/>
    <w:rsid w:val="415B6654"/>
    <w:rsid w:val="415C4D9E"/>
    <w:rsid w:val="415F13B8"/>
    <w:rsid w:val="41601281"/>
    <w:rsid w:val="41662EBF"/>
    <w:rsid w:val="416745BC"/>
    <w:rsid w:val="416845DA"/>
    <w:rsid w:val="41744D2D"/>
    <w:rsid w:val="41760AA5"/>
    <w:rsid w:val="41773077"/>
    <w:rsid w:val="417C2EE6"/>
    <w:rsid w:val="417E7FC6"/>
    <w:rsid w:val="41801923"/>
    <w:rsid w:val="4181381F"/>
    <w:rsid w:val="418B0A2D"/>
    <w:rsid w:val="419B28B5"/>
    <w:rsid w:val="41A16B9D"/>
    <w:rsid w:val="41A84771"/>
    <w:rsid w:val="41AC4A2E"/>
    <w:rsid w:val="41BD209F"/>
    <w:rsid w:val="41BD66D4"/>
    <w:rsid w:val="41BD712D"/>
    <w:rsid w:val="41C05D15"/>
    <w:rsid w:val="41C10EF6"/>
    <w:rsid w:val="41C948D0"/>
    <w:rsid w:val="41CA2B9F"/>
    <w:rsid w:val="41CA7043"/>
    <w:rsid w:val="41CB0D86"/>
    <w:rsid w:val="41CE268F"/>
    <w:rsid w:val="41D12A32"/>
    <w:rsid w:val="41D301C3"/>
    <w:rsid w:val="41D362E5"/>
    <w:rsid w:val="41D623AF"/>
    <w:rsid w:val="41DE5F34"/>
    <w:rsid w:val="41DF752C"/>
    <w:rsid w:val="41EC2FF4"/>
    <w:rsid w:val="41F63994"/>
    <w:rsid w:val="420A1A22"/>
    <w:rsid w:val="420E6F2F"/>
    <w:rsid w:val="42154762"/>
    <w:rsid w:val="42186000"/>
    <w:rsid w:val="42187DAE"/>
    <w:rsid w:val="421D7172"/>
    <w:rsid w:val="422B6F7C"/>
    <w:rsid w:val="422D1756"/>
    <w:rsid w:val="422E6831"/>
    <w:rsid w:val="422F49B3"/>
    <w:rsid w:val="42317DC0"/>
    <w:rsid w:val="42332E3A"/>
    <w:rsid w:val="42366486"/>
    <w:rsid w:val="4237604F"/>
    <w:rsid w:val="4238615A"/>
    <w:rsid w:val="423B270E"/>
    <w:rsid w:val="423D107B"/>
    <w:rsid w:val="423E14C9"/>
    <w:rsid w:val="42462B6D"/>
    <w:rsid w:val="4250579A"/>
    <w:rsid w:val="42532D25"/>
    <w:rsid w:val="42576582"/>
    <w:rsid w:val="42590426"/>
    <w:rsid w:val="425A6618"/>
    <w:rsid w:val="425C0BA5"/>
    <w:rsid w:val="425C2B83"/>
    <w:rsid w:val="4266184F"/>
    <w:rsid w:val="42670D5D"/>
    <w:rsid w:val="4278040A"/>
    <w:rsid w:val="427C658F"/>
    <w:rsid w:val="427C68E6"/>
    <w:rsid w:val="42802614"/>
    <w:rsid w:val="42845684"/>
    <w:rsid w:val="42887F33"/>
    <w:rsid w:val="428B0580"/>
    <w:rsid w:val="428B3D82"/>
    <w:rsid w:val="428D1027"/>
    <w:rsid w:val="429310E0"/>
    <w:rsid w:val="42935635"/>
    <w:rsid w:val="429933F0"/>
    <w:rsid w:val="42A17C1D"/>
    <w:rsid w:val="42A24692"/>
    <w:rsid w:val="42A2695B"/>
    <w:rsid w:val="42AD7445"/>
    <w:rsid w:val="42B01704"/>
    <w:rsid w:val="42BF6593"/>
    <w:rsid w:val="42C6699B"/>
    <w:rsid w:val="42C82F1C"/>
    <w:rsid w:val="42CC4106"/>
    <w:rsid w:val="42D31E9E"/>
    <w:rsid w:val="42DF37DE"/>
    <w:rsid w:val="42E63891"/>
    <w:rsid w:val="42E876C3"/>
    <w:rsid w:val="42E93CD1"/>
    <w:rsid w:val="42F37FE8"/>
    <w:rsid w:val="42FB48AF"/>
    <w:rsid w:val="42FE0D52"/>
    <w:rsid w:val="42FE4D96"/>
    <w:rsid w:val="43022BA6"/>
    <w:rsid w:val="43067A75"/>
    <w:rsid w:val="43072A8C"/>
    <w:rsid w:val="430805E8"/>
    <w:rsid w:val="430B7913"/>
    <w:rsid w:val="43106CD7"/>
    <w:rsid w:val="431F1AE3"/>
    <w:rsid w:val="431F219E"/>
    <w:rsid w:val="432102D2"/>
    <w:rsid w:val="432B45C1"/>
    <w:rsid w:val="433858A5"/>
    <w:rsid w:val="433C2899"/>
    <w:rsid w:val="433E4FDE"/>
    <w:rsid w:val="43587DF9"/>
    <w:rsid w:val="435B2CBB"/>
    <w:rsid w:val="43635059"/>
    <w:rsid w:val="4365472B"/>
    <w:rsid w:val="436A4639"/>
    <w:rsid w:val="436F612A"/>
    <w:rsid w:val="437D1603"/>
    <w:rsid w:val="437D25BE"/>
    <w:rsid w:val="437D38AA"/>
    <w:rsid w:val="43837BE2"/>
    <w:rsid w:val="438753A5"/>
    <w:rsid w:val="43920E07"/>
    <w:rsid w:val="43951B04"/>
    <w:rsid w:val="439D4A0F"/>
    <w:rsid w:val="439E47D0"/>
    <w:rsid w:val="43AF1124"/>
    <w:rsid w:val="43B451AC"/>
    <w:rsid w:val="43BB1E41"/>
    <w:rsid w:val="43CB5553"/>
    <w:rsid w:val="43D60221"/>
    <w:rsid w:val="43D61CCF"/>
    <w:rsid w:val="43DB6E09"/>
    <w:rsid w:val="43E72A56"/>
    <w:rsid w:val="43F108B7"/>
    <w:rsid w:val="43F715ED"/>
    <w:rsid w:val="43F723C5"/>
    <w:rsid w:val="43FE2FD4"/>
    <w:rsid w:val="44071E88"/>
    <w:rsid w:val="440845E4"/>
    <w:rsid w:val="44092EDB"/>
    <w:rsid w:val="440A2BED"/>
    <w:rsid w:val="441B02D9"/>
    <w:rsid w:val="442A56DD"/>
    <w:rsid w:val="442E02A9"/>
    <w:rsid w:val="443A507A"/>
    <w:rsid w:val="443F5AC6"/>
    <w:rsid w:val="444C01E3"/>
    <w:rsid w:val="44576322"/>
    <w:rsid w:val="44625310"/>
    <w:rsid w:val="44655A6C"/>
    <w:rsid w:val="446C2633"/>
    <w:rsid w:val="446F3611"/>
    <w:rsid w:val="44701F88"/>
    <w:rsid w:val="447A1056"/>
    <w:rsid w:val="447B4624"/>
    <w:rsid w:val="448332EB"/>
    <w:rsid w:val="448A72B3"/>
    <w:rsid w:val="44964C32"/>
    <w:rsid w:val="44977F8B"/>
    <w:rsid w:val="44982BA3"/>
    <w:rsid w:val="44984355"/>
    <w:rsid w:val="44A52B7A"/>
    <w:rsid w:val="44A8226D"/>
    <w:rsid w:val="44A91191"/>
    <w:rsid w:val="44AA08C6"/>
    <w:rsid w:val="44B55FD8"/>
    <w:rsid w:val="44B604CD"/>
    <w:rsid w:val="44B60FE7"/>
    <w:rsid w:val="44C61D43"/>
    <w:rsid w:val="44CE24AA"/>
    <w:rsid w:val="44D06B35"/>
    <w:rsid w:val="44D13DDC"/>
    <w:rsid w:val="44D40BBA"/>
    <w:rsid w:val="44D46A23"/>
    <w:rsid w:val="44D97CC8"/>
    <w:rsid w:val="44DC2F48"/>
    <w:rsid w:val="44E10504"/>
    <w:rsid w:val="44E21AE2"/>
    <w:rsid w:val="44E346A3"/>
    <w:rsid w:val="44E97418"/>
    <w:rsid w:val="44EF4A70"/>
    <w:rsid w:val="44F22B38"/>
    <w:rsid w:val="44F40544"/>
    <w:rsid w:val="44F534FA"/>
    <w:rsid w:val="44F97D82"/>
    <w:rsid w:val="45010631"/>
    <w:rsid w:val="451C6129"/>
    <w:rsid w:val="451E6E63"/>
    <w:rsid w:val="4530540F"/>
    <w:rsid w:val="45342FB5"/>
    <w:rsid w:val="45344EFF"/>
    <w:rsid w:val="45373FDA"/>
    <w:rsid w:val="453766E7"/>
    <w:rsid w:val="45390767"/>
    <w:rsid w:val="453D6639"/>
    <w:rsid w:val="454154FB"/>
    <w:rsid w:val="4550153F"/>
    <w:rsid w:val="455455A1"/>
    <w:rsid w:val="4557180B"/>
    <w:rsid w:val="45591DA2"/>
    <w:rsid w:val="45660998"/>
    <w:rsid w:val="45665536"/>
    <w:rsid w:val="45670250"/>
    <w:rsid w:val="456B5291"/>
    <w:rsid w:val="45790B64"/>
    <w:rsid w:val="45817A56"/>
    <w:rsid w:val="458472AA"/>
    <w:rsid w:val="45852267"/>
    <w:rsid w:val="45863281"/>
    <w:rsid w:val="458B3F95"/>
    <w:rsid w:val="45961716"/>
    <w:rsid w:val="45962735"/>
    <w:rsid w:val="459B56C8"/>
    <w:rsid w:val="45AA2F38"/>
    <w:rsid w:val="45AF3554"/>
    <w:rsid w:val="45B577FB"/>
    <w:rsid w:val="45B76534"/>
    <w:rsid w:val="45C049E4"/>
    <w:rsid w:val="45C46501"/>
    <w:rsid w:val="45C63E21"/>
    <w:rsid w:val="45D17627"/>
    <w:rsid w:val="45E05087"/>
    <w:rsid w:val="45E5269D"/>
    <w:rsid w:val="45EC7C70"/>
    <w:rsid w:val="45EF69D3"/>
    <w:rsid w:val="45F13915"/>
    <w:rsid w:val="4601483F"/>
    <w:rsid w:val="46025A85"/>
    <w:rsid w:val="46075783"/>
    <w:rsid w:val="46082562"/>
    <w:rsid w:val="46095A15"/>
    <w:rsid w:val="460F09FC"/>
    <w:rsid w:val="4612236C"/>
    <w:rsid w:val="46165090"/>
    <w:rsid w:val="461B1D4C"/>
    <w:rsid w:val="461C1183"/>
    <w:rsid w:val="46222FA9"/>
    <w:rsid w:val="462463CA"/>
    <w:rsid w:val="4647147E"/>
    <w:rsid w:val="46496788"/>
    <w:rsid w:val="46545C46"/>
    <w:rsid w:val="465530CB"/>
    <w:rsid w:val="465810C1"/>
    <w:rsid w:val="465D39A3"/>
    <w:rsid w:val="46616425"/>
    <w:rsid w:val="4667617D"/>
    <w:rsid w:val="466A4950"/>
    <w:rsid w:val="466E4440"/>
    <w:rsid w:val="466F7AB5"/>
    <w:rsid w:val="46760020"/>
    <w:rsid w:val="467B2D2D"/>
    <w:rsid w:val="467B6E4D"/>
    <w:rsid w:val="46806AC4"/>
    <w:rsid w:val="468772B0"/>
    <w:rsid w:val="46977D3E"/>
    <w:rsid w:val="469D645B"/>
    <w:rsid w:val="46A2058E"/>
    <w:rsid w:val="46A240EA"/>
    <w:rsid w:val="46A7659A"/>
    <w:rsid w:val="46B32D53"/>
    <w:rsid w:val="46B50345"/>
    <w:rsid w:val="46BF6A4A"/>
    <w:rsid w:val="46C97CDF"/>
    <w:rsid w:val="46D06EA9"/>
    <w:rsid w:val="46D70238"/>
    <w:rsid w:val="46D93CB5"/>
    <w:rsid w:val="46EB3CE3"/>
    <w:rsid w:val="46F20FCA"/>
    <w:rsid w:val="46F25071"/>
    <w:rsid w:val="46FC6823"/>
    <w:rsid w:val="46FE1B09"/>
    <w:rsid w:val="46FE66F4"/>
    <w:rsid w:val="47004B77"/>
    <w:rsid w:val="47050452"/>
    <w:rsid w:val="47082CC0"/>
    <w:rsid w:val="47094169"/>
    <w:rsid w:val="470C0590"/>
    <w:rsid w:val="47125E2A"/>
    <w:rsid w:val="47132A21"/>
    <w:rsid w:val="47162ACD"/>
    <w:rsid w:val="472349C7"/>
    <w:rsid w:val="47281E8B"/>
    <w:rsid w:val="473D733B"/>
    <w:rsid w:val="4743767B"/>
    <w:rsid w:val="474A6C5C"/>
    <w:rsid w:val="4756678A"/>
    <w:rsid w:val="47593C5E"/>
    <w:rsid w:val="475A2115"/>
    <w:rsid w:val="47630D4C"/>
    <w:rsid w:val="476A5FE9"/>
    <w:rsid w:val="476D46F8"/>
    <w:rsid w:val="4779309D"/>
    <w:rsid w:val="477F61D9"/>
    <w:rsid w:val="478657BA"/>
    <w:rsid w:val="478D3666"/>
    <w:rsid w:val="47917A79"/>
    <w:rsid w:val="479F23EE"/>
    <w:rsid w:val="47A13E66"/>
    <w:rsid w:val="47A30A38"/>
    <w:rsid w:val="47A47F4A"/>
    <w:rsid w:val="47A93894"/>
    <w:rsid w:val="47AC1A84"/>
    <w:rsid w:val="47B82E2C"/>
    <w:rsid w:val="47C85DD2"/>
    <w:rsid w:val="47D15FD4"/>
    <w:rsid w:val="47D26C51"/>
    <w:rsid w:val="47DA1DF7"/>
    <w:rsid w:val="47DE73A4"/>
    <w:rsid w:val="47E26E94"/>
    <w:rsid w:val="47E50732"/>
    <w:rsid w:val="47EE58F1"/>
    <w:rsid w:val="47F60B91"/>
    <w:rsid w:val="480E5EDB"/>
    <w:rsid w:val="480F3E36"/>
    <w:rsid w:val="48142DC6"/>
    <w:rsid w:val="481A1163"/>
    <w:rsid w:val="48286871"/>
    <w:rsid w:val="482A2773"/>
    <w:rsid w:val="482F762F"/>
    <w:rsid w:val="483864B9"/>
    <w:rsid w:val="483A63F4"/>
    <w:rsid w:val="483B47F6"/>
    <w:rsid w:val="484070EB"/>
    <w:rsid w:val="484713ED"/>
    <w:rsid w:val="484A67E7"/>
    <w:rsid w:val="484C07B1"/>
    <w:rsid w:val="484C34E9"/>
    <w:rsid w:val="484D62D8"/>
    <w:rsid w:val="48517B76"/>
    <w:rsid w:val="485919D9"/>
    <w:rsid w:val="485A3B70"/>
    <w:rsid w:val="485D29BF"/>
    <w:rsid w:val="485D5A45"/>
    <w:rsid w:val="4860398D"/>
    <w:rsid w:val="486E2CCE"/>
    <w:rsid w:val="48701C86"/>
    <w:rsid w:val="487277FC"/>
    <w:rsid w:val="48755E23"/>
    <w:rsid w:val="48807D09"/>
    <w:rsid w:val="488345C4"/>
    <w:rsid w:val="488C6C15"/>
    <w:rsid w:val="488E7171"/>
    <w:rsid w:val="48912668"/>
    <w:rsid w:val="48930DA9"/>
    <w:rsid w:val="48946893"/>
    <w:rsid w:val="4899629C"/>
    <w:rsid w:val="489A6C6A"/>
    <w:rsid w:val="489B03E5"/>
    <w:rsid w:val="48A24875"/>
    <w:rsid w:val="48B81095"/>
    <w:rsid w:val="48BB20E0"/>
    <w:rsid w:val="48BB76E5"/>
    <w:rsid w:val="48C35895"/>
    <w:rsid w:val="48C8461B"/>
    <w:rsid w:val="48CE55FE"/>
    <w:rsid w:val="48DA5DBD"/>
    <w:rsid w:val="48E049CD"/>
    <w:rsid w:val="48E10B59"/>
    <w:rsid w:val="48E4219B"/>
    <w:rsid w:val="48E73C28"/>
    <w:rsid w:val="48EE3617"/>
    <w:rsid w:val="48F279C2"/>
    <w:rsid w:val="48FA645F"/>
    <w:rsid w:val="49001E86"/>
    <w:rsid w:val="490746D8"/>
    <w:rsid w:val="49081412"/>
    <w:rsid w:val="490E3A2E"/>
    <w:rsid w:val="490F522C"/>
    <w:rsid w:val="49114885"/>
    <w:rsid w:val="4920575D"/>
    <w:rsid w:val="49417983"/>
    <w:rsid w:val="49463453"/>
    <w:rsid w:val="4948541D"/>
    <w:rsid w:val="494871CB"/>
    <w:rsid w:val="49492F43"/>
    <w:rsid w:val="49507A41"/>
    <w:rsid w:val="49554FD3"/>
    <w:rsid w:val="4958656A"/>
    <w:rsid w:val="495B7446"/>
    <w:rsid w:val="495C2424"/>
    <w:rsid w:val="49607DB5"/>
    <w:rsid w:val="4961604F"/>
    <w:rsid w:val="49667651"/>
    <w:rsid w:val="496A6A03"/>
    <w:rsid w:val="496C26BE"/>
    <w:rsid w:val="496D50BB"/>
    <w:rsid w:val="49755AE6"/>
    <w:rsid w:val="497C50C6"/>
    <w:rsid w:val="497C543F"/>
    <w:rsid w:val="498222A3"/>
    <w:rsid w:val="49975A5C"/>
    <w:rsid w:val="49996AAA"/>
    <w:rsid w:val="499A554C"/>
    <w:rsid w:val="499D0564"/>
    <w:rsid w:val="499E503D"/>
    <w:rsid w:val="49A07007"/>
    <w:rsid w:val="49AE2F15"/>
    <w:rsid w:val="49BF7B93"/>
    <w:rsid w:val="49C22BC8"/>
    <w:rsid w:val="49C765A5"/>
    <w:rsid w:val="49CF169A"/>
    <w:rsid w:val="49D0284E"/>
    <w:rsid w:val="49D14C7B"/>
    <w:rsid w:val="49D45DE3"/>
    <w:rsid w:val="49E468B4"/>
    <w:rsid w:val="49EF5898"/>
    <w:rsid w:val="49F64E88"/>
    <w:rsid w:val="49F712AC"/>
    <w:rsid w:val="4A0B4355"/>
    <w:rsid w:val="4A2F2139"/>
    <w:rsid w:val="4A315EB1"/>
    <w:rsid w:val="4A3534CA"/>
    <w:rsid w:val="4A435DCC"/>
    <w:rsid w:val="4A4554B8"/>
    <w:rsid w:val="4A490B0C"/>
    <w:rsid w:val="4A4C3C76"/>
    <w:rsid w:val="4A582F08"/>
    <w:rsid w:val="4A776981"/>
    <w:rsid w:val="4A79514A"/>
    <w:rsid w:val="4A881849"/>
    <w:rsid w:val="4A8B0E2B"/>
    <w:rsid w:val="4A8F2BD7"/>
    <w:rsid w:val="4A9135FF"/>
    <w:rsid w:val="4A91694F"/>
    <w:rsid w:val="4A9621B8"/>
    <w:rsid w:val="4A9F0B63"/>
    <w:rsid w:val="4A9F32D1"/>
    <w:rsid w:val="4AB30EDE"/>
    <w:rsid w:val="4AB344AE"/>
    <w:rsid w:val="4AB54412"/>
    <w:rsid w:val="4ACC130F"/>
    <w:rsid w:val="4AD14E37"/>
    <w:rsid w:val="4ADD3D3A"/>
    <w:rsid w:val="4AE87797"/>
    <w:rsid w:val="4AF17A58"/>
    <w:rsid w:val="4AFD545B"/>
    <w:rsid w:val="4B013AD5"/>
    <w:rsid w:val="4B041477"/>
    <w:rsid w:val="4B05290C"/>
    <w:rsid w:val="4B055D7D"/>
    <w:rsid w:val="4B204964"/>
    <w:rsid w:val="4B255C51"/>
    <w:rsid w:val="4B296B88"/>
    <w:rsid w:val="4B2A1C26"/>
    <w:rsid w:val="4B321EE0"/>
    <w:rsid w:val="4B341F77"/>
    <w:rsid w:val="4B3814C1"/>
    <w:rsid w:val="4B3B48AC"/>
    <w:rsid w:val="4B3D0885"/>
    <w:rsid w:val="4B402A86"/>
    <w:rsid w:val="4B4B11F4"/>
    <w:rsid w:val="4B4C0FEF"/>
    <w:rsid w:val="4B5515CE"/>
    <w:rsid w:val="4B552B31"/>
    <w:rsid w:val="4B56300C"/>
    <w:rsid w:val="4B5E535D"/>
    <w:rsid w:val="4B5F6A4E"/>
    <w:rsid w:val="4B6B53F2"/>
    <w:rsid w:val="4B7D207A"/>
    <w:rsid w:val="4B7D2D66"/>
    <w:rsid w:val="4B7E64E5"/>
    <w:rsid w:val="4B83098E"/>
    <w:rsid w:val="4B875EB6"/>
    <w:rsid w:val="4B8D42B7"/>
    <w:rsid w:val="4B900046"/>
    <w:rsid w:val="4BA663CD"/>
    <w:rsid w:val="4BAD7D08"/>
    <w:rsid w:val="4BAE0C59"/>
    <w:rsid w:val="4BB26B7D"/>
    <w:rsid w:val="4BC13264"/>
    <w:rsid w:val="4BC4611C"/>
    <w:rsid w:val="4BD17AFD"/>
    <w:rsid w:val="4BDE26DD"/>
    <w:rsid w:val="4BDE2E72"/>
    <w:rsid w:val="4BE41D0F"/>
    <w:rsid w:val="4BE62E4E"/>
    <w:rsid w:val="4BF34406"/>
    <w:rsid w:val="4BF947AC"/>
    <w:rsid w:val="4BFE02D8"/>
    <w:rsid w:val="4C0A44EB"/>
    <w:rsid w:val="4C0B247B"/>
    <w:rsid w:val="4C0F3FD0"/>
    <w:rsid w:val="4C110781"/>
    <w:rsid w:val="4C190B4A"/>
    <w:rsid w:val="4C1C3FF5"/>
    <w:rsid w:val="4C2555A1"/>
    <w:rsid w:val="4C256FE7"/>
    <w:rsid w:val="4C2615DE"/>
    <w:rsid w:val="4C26756B"/>
    <w:rsid w:val="4C293DF9"/>
    <w:rsid w:val="4C2A2BB8"/>
    <w:rsid w:val="4C2C2DD4"/>
    <w:rsid w:val="4C2D08DD"/>
    <w:rsid w:val="4C2F6420"/>
    <w:rsid w:val="4C35274E"/>
    <w:rsid w:val="4C4611EE"/>
    <w:rsid w:val="4C4A11F1"/>
    <w:rsid w:val="4C50755F"/>
    <w:rsid w:val="4C516396"/>
    <w:rsid w:val="4C5459D5"/>
    <w:rsid w:val="4C547C35"/>
    <w:rsid w:val="4C551646"/>
    <w:rsid w:val="4C5B1C3B"/>
    <w:rsid w:val="4C636EBB"/>
    <w:rsid w:val="4C6739A5"/>
    <w:rsid w:val="4C7402D7"/>
    <w:rsid w:val="4C7658B0"/>
    <w:rsid w:val="4C787DC7"/>
    <w:rsid w:val="4C7D1FFD"/>
    <w:rsid w:val="4C8C1FA2"/>
    <w:rsid w:val="4C8C73CE"/>
    <w:rsid w:val="4C8F3BD2"/>
    <w:rsid w:val="4C963176"/>
    <w:rsid w:val="4C9E6E02"/>
    <w:rsid w:val="4CA32139"/>
    <w:rsid w:val="4CA87F80"/>
    <w:rsid w:val="4CAE11C9"/>
    <w:rsid w:val="4CB66B41"/>
    <w:rsid w:val="4CB86415"/>
    <w:rsid w:val="4CBE1552"/>
    <w:rsid w:val="4CC561AF"/>
    <w:rsid w:val="4CCE3E8B"/>
    <w:rsid w:val="4CDE39A2"/>
    <w:rsid w:val="4CEE0089"/>
    <w:rsid w:val="4CEE1E37"/>
    <w:rsid w:val="4CF40B5F"/>
    <w:rsid w:val="4CF41B58"/>
    <w:rsid w:val="4CF5763E"/>
    <w:rsid w:val="4CF94E69"/>
    <w:rsid w:val="4CFB71A3"/>
    <w:rsid w:val="4CFF2F8E"/>
    <w:rsid w:val="4D001B6A"/>
    <w:rsid w:val="4D090A1F"/>
    <w:rsid w:val="4D096C71"/>
    <w:rsid w:val="4D0A39C2"/>
    <w:rsid w:val="4D186EB4"/>
    <w:rsid w:val="4D1E7969"/>
    <w:rsid w:val="4D2479C4"/>
    <w:rsid w:val="4D2C6A70"/>
    <w:rsid w:val="4D322362"/>
    <w:rsid w:val="4D3F7CBF"/>
    <w:rsid w:val="4D4128AF"/>
    <w:rsid w:val="4D46030D"/>
    <w:rsid w:val="4D4A4ADC"/>
    <w:rsid w:val="4D61085B"/>
    <w:rsid w:val="4D677E3B"/>
    <w:rsid w:val="4D6927C9"/>
    <w:rsid w:val="4D695962"/>
    <w:rsid w:val="4D6D34A9"/>
    <w:rsid w:val="4D6E4D26"/>
    <w:rsid w:val="4D6F650B"/>
    <w:rsid w:val="4D796B28"/>
    <w:rsid w:val="4D7C5A87"/>
    <w:rsid w:val="4D7D11CC"/>
    <w:rsid w:val="4D7D421C"/>
    <w:rsid w:val="4D8879BE"/>
    <w:rsid w:val="4D8B58D8"/>
    <w:rsid w:val="4D8C4093"/>
    <w:rsid w:val="4D8F5346"/>
    <w:rsid w:val="4D907392"/>
    <w:rsid w:val="4D966B46"/>
    <w:rsid w:val="4D9C1893"/>
    <w:rsid w:val="4DA16EA9"/>
    <w:rsid w:val="4DAB5F7A"/>
    <w:rsid w:val="4DB50433"/>
    <w:rsid w:val="4DB74CFE"/>
    <w:rsid w:val="4DB92821"/>
    <w:rsid w:val="4DC14928"/>
    <w:rsid w:val="4DC46301"/>
    <w:rsid w:val="4DC94652"/>
    <w:rsid w:val="4DC96400"/>
    <w:rsid w:val="4DCE319C"/>
    <w:rsid w:val="4DD03FBC"/>
    <w:rsid w:val="4DD0474D"/>
    <w:rsid w:val="4DD74341"/>
    <w:rsid w:val="4DE4323A"/>
    <w:rsid w:val="4DF05892"/>
    <w:rsid w:val="4DF44590"/>
    <w:rsid w:val="4DF57D7D"/>
    <w:rsid w:val="4DF671A8"/>
    <w:rsid w:val="4DFC1A53"/>
    <w:rsid w:val="4DFD7648"/>
    <w:rsid w:val="4DFE3CC8"/>
    <w:rsid w:val="4E035DB6"/>
    <w:rsid w:val="4E0D0162"/>
    <w:rsid w:val="4E0D453F"/>
    <w:rsid w:val="4E1230AB"/>
    <w:rsid w:val="4E207F05"/>
    <w:rsid w:val="4E246953"/>
    <w:rsid w:val="4E261AA5"/>
    <w:rsid w:val="4E2A3343"/>
    <w:rsid w:val="4E2E3285"/>
    <w:rsid w:val="4E323FA5"/>
    <w:rsid w:val="4E3C6BD2"/>
    <w:rsid w:val="4E3E3D28"/>
    <w:rsid w:val="4E4E418E"/>
    <w:rsid w:val="4E5B79A0"/>
    <w:rsid w:val="4E5C660C"/>
    <w:rsid w:val="4E664543"/>
    <w:rsid w:val="4E7425CA"/>
    <w:rsid w:val="4E760089"/>
    <w:rsid w:val="4E8024EE"/>
    <w:rsid w:val="4E887901"/>
    <w:rsid w:val="4E927B13"/>
    <w:rsid w:val="4E964534"/>
    <w:rsid w:val="4EA12ED9"/>
    <w:rsid w:val="4EA34EA3"/>
    <w:rsid w:val="4EA45213"/>
    <w:rsid w:val="4EA902EC"/>
    <w:rsid w:val="4EBA6729"/>
    <w:rsid w:val="4EE23C1E"/>
    <w:rsid w:val="4EE51018"/>
    <w:rsid w:val="4EF0383D"/>
    <w:rsid w:val="4F0579D9"/>
    <w:rsid w:val="4F0A7123"/>
    <w:rsid w:val="4F1D0B27"/>
    <w:rsid w:val="4F2151FA"/>
    <w:rsid w:val="4F2A3762"/>
    <w:rsid w:val="4F2D1B37"/>
    <w:rsid w:val="4F2E0DB1"/>
    <w:rsid w:val="4F2F6F22"/>
    <w:rsid w:val="4F3D0E54"/>
    <w:rsid w:val="4F3F1F47"/>
    <w:rsid w:val="4F486739"/>
    <w:rsid w:val="4F5534E8"/>
    <w:rsid w:val="4F556652"/>
    <w:rsid w:val="4F5A286E"/>
    <w:rsid w:val="4F5A398A"/>
    <w:rsid w:val="4F5F3F83"/>
    <w:rsid w:val="4F693A89"/>
    <w:rsid w:val="4F710AFD"/>
    <w:rsid w:val="4F735774"/>
    <w:rsid w:val="4F793DE7"/>
    <w:rsid w:val="4F7E796F"/>
    <w:rsid w:val="4F7F76BE"/>
    <w:rsid w:val="4F7F7C63"/>
    <w:rsid w:val="4F8A77D0"/>
    <w:rsid w:val="4F8B42F3"/>
    <w:rsid w:val="4F912A96"/>
    <w:rsid w:val="4F980780"/>
    <w:rsid w:val="4FA533CE"/>
    <w:rsid w:val="4FA547A1"/>
    <w:rsid w:val="4FB20A4F"/>
    <w:rsid w:val="4FBD5A97"/>
    <w:rsid w:val="4FC5001A"/>
    <w:rsid w:val="4FC6769B"/>
    <w:rsid w:val="4FCC12A9"/>
    <w:rsid w:val="4FCC4EEF"/>
    <w:rsid w:val="4FCE7CFE"/>
    <w:rsid w:val="4FCF6B81"/>
    <w:rsid w:val="4FD23C92"/>
    <w:rsid w:val="4FD41C1D"/>
    <w:rsid w:val="4FD43BDF"/>
    <w:rsid w:val="4FE162C7"/>
    <w:rsid w:val="4FE71594"/>
    <w:rsid w:val="4FED2322"/>
    <w:rsid w:val="4FED287A"/>
    <w:rsid w:val="4FED4628"/>
    <w:rsid w:val="4FFA57DF"/>
    <w:rsid w:val="4FFD53C6"/>
    <w:rsid w:val="500B2D00"/>
    <w:rsid w:val="50131BB5"/>
    <w:rsid w:val="501544E4"/>
    <w:rsid w:val="50176041"/>
    <w:rsid w:val="501A2F43"/>
    <w:rsid w:val="501D23B5"/>
    <w:rsid w:val="5023004A"/>
    <w:rsid w:val="50274CF4"/>
    <w:rsid w:val="502D71E5"/>
    <w:rsid w:val="5032028D"/>
    <w:rsid w:val="503621B7"/>
    <w:rsid w:val="503C0967"/>
    <w:rsid w:val="503D1B16"/>
    <w:rsid w:val="50483F54"/>
    <w:rsid w:val="50485D02"/>
    <w:rsid w:val="504E7B7F"/>
    <w:rsid w:val="504F786F"/>
    <w:rsid w:val="50591CBD"/>
    <w:rsid w:val="505A09AE"/>
    <w:rsid w:val="50663F60"/>
    <w:rsid w:val="5069360C"/>
    <w:rsid w:val="5071148B"/>
    <w:rsid w:val="507B302A"/>
    <w:rsid w:val="507B6BB2"/>
    <w:rsid w:val="50812E67"/>
    <w:rsid w:val="50821B94"/>
    <w:rsid w:val="508E47DC"/>
    <w:rsid w:val="509947B0"/>
    <w:rsid w:val="509B59C7"/>
    <w:rsid w:val="509F2CB5"/>
    <w:rsid w:val="50A760E0"/>
    <w:rsid w:val="50AB003F"/>
    <w:rsid w:val="50AD3DB7"/>
    <w:rsid w:val="50AE3F83"/>
    <w:rsid w:val="50B04818"/>
    <w:rsid w:val="50B11AF9"/>
    <w:rsid w:val="50B263A5"/>
    <w:rsid w:val="50B415EA"/>
    <w:rsid w:val="50BB2978"/>
    <w:rsid w:val="50C354C0"/>
    <w:rsid w:val="50C80BF1"/>
    <w:rsid w:val="50C86E43"/>
    <w:rsid w:val="50CC06E1"/>
    <w:rsid w:val="50CF60A6"/>
    <w:rsid w:val="50CF69B2"/>
    <w:rsid w:val="50CF7A4B"/>
    <w:rsid w:val="50D44420"/>
    <w:rsid w:val="50DE4774"/>
    <w:rsid w:val="50E35A2B"/>
    <w:rsid w:val="50E37FBD"/>
    <w:rsid w:val="50EF617E"/>
    <w:rsid w:val="51145EEF"/>
    <w:rsid w:val="5119144D"/>
    <w:rsid w:val="511E0FEC"/>
    <w:rsid w:val="511F4DD6"/>
    <w:rsid w:val="51224E8D"/>
    <w:rsid w:val="5124051D"/>
    <w:rsid w:val="512856F8"/>
    <w:rsid w:val="5137564E"/>
    <w:rsid w:val="51421B0B"/>
    <w:rsid w:val="51441F98"/>
    <w:rsid w:val="51491D32"/>
    <w:rsid w:val="514E0A72"/>
    <w:rsid w:val="51576FE4"/>
    <w:rsid w:val="515E5C6A"/>
    <w:rsid w:val="516B2962"/>
    <w:rsid w:val="51870AAC"/>
    <w:rsid w:val="518E1E3B"/>
    <w:rsid w:val="518E3BE9"/>
    <w:rsid w:val="51976F41"/>
    <w:rsid w:val="519A258E"/>
    <w:rsid w:val="519F488C"/>
    <w:rsid w:val="51A41003"/>
    <w:rsid w:val="51A94F7A"/>
    <w:rsid w:val="51AE0492"/>
    <w:rsid w:val="51B01DB1"/>
    <w:rsid w:val="51B057A2"/>
    <w:rsid w:val="51BB74C1"/>
    <w:rsid w:val="51BE4A40"/>
    <w:rsid w:val="51C07B1A"/>
    <w:rsid w:val="51C21AE4"/>
    <w:rsid w:val="51C413B8"/>
    <w:rsid w:val="51C64D21"/>
    <w:rsid w:val="51CD407E"/>
    <w:rsid w:val="51D6733E"/>
    <w:rsid w:val="51D80066"/>
    <w:rsid w:val="51DD69E8"/>
    <w:rsid w:val="51E00356"/>
    <w:rsid w:val="51E8779D"/>
    <w:rsid w:val="51EF6367"/>
    <w:rsid w:val="51F77076"/>
    <w:rsid w:val="51FB0B52"/>
    <w:rsid w:val="520513A7"/>
    <w:rsid w:val="5205224B"/>
    <w:rsid w:val="520713EF"/>
    <w:rsid w:val="520923F4"/>
    <w:rsid w:val="520E388F"/>
    <w:rsid w:val="520E72E5"/>
    <w:rsid w:val="52120376"/>
    <w:rsid w:val="521618B3"/>
    <w:rsid w:val="521A36CE"/>
    <w:rsid w:val="521D4F6D"/>
    <w:rsid w:val="5222282D"/>
    <w:rsid w:val="522C14EF"/>
    <w:rsid w:val="52302A27"/>
    <w:rsid w:val="52335061"/>
    <w:rsid w:val="52383B54"/>
    <w:rsid w:val="523B2246"/>
    <w:rsid w:val="52477244"/>
    <w:rsid w:val="52547F54"/>
    <w:rsid w:val="525C548E"/>
    <w:rsid w:val="526B5D33"/>
    <w:rsid w:val="526D0318"/>
    <w:rsid w:val="526D6299"/>
    <w:rsid w:val="52714A3B"/>
    <w:rsid w:val="527F45C4"/>
    <w:rsid w:val="528B4D1C"/>
    <w:rsid w:val="52912B89"/>
    <w:rsid w:val="52956EEB"/>
    <w:rsid w:val="529E08FC"/>
    <w:rsid w:val="529E7DC9"/>
    <w:rsid w:val="52A1157D"/>
    <w:rsid w:val="52A40ECB"/>
    <w:rsid w:val="52A7582F"/>
    <w:rsid w:val="52AA0DEF"/>
    <w:rsid w:val="52B52B00"/>
    <w:rsid w:val="52B753C1"/>
    <w:rsid w:val="52C5188C"/>
    <w:rsid w:val="52C5512A"/>
    <w:rsid w:val="52CC3474"/>
    <w:rsid w:val="52D23FA9"/>
    <w:rsid w:val="52DD4E28"/>
    <w:rsid w:val="52E2424D"/>
    <w:rsid w:val="52F02A03"/>
    <w:rsid w:val="52F06651"/>
    <w:rsid w:val="52FA265B"/>
    <w:rsid w:val="52FC3289"/>
    <w:rsid w:val="5302488E"/>
    <w:rsid w:val="53035F10"/>
    <w:rsid w:val="53051DCC"/>
    <w:rsid w:val="530E0AD1"/>
    <w:rsid w:val="530E3233"/>
    <w:rsid w:val="531600C3"/>
    <w:rsid w:val="53177C0E"/>
    <w:rsid w:val="532452B2"/>
    <w:rsid w:val="5327465E"/>
    <w:rsid w:val="532C3DAC"/>
    <w:rsid w:val="532C5467"/>
    <w:rsid w:val="53305443"/>
    <w:rsid w:val="533467B6"/>
    <w:rsid w:val="5338639E"/>
    <w:rsid w:val="533F3F29"/>
    <w:rsid w:val="534B4C68"/>
    <w:rsid w:val="535A33C8"/>
    <w:rsid w:val="535A5342"/>
    <w:rsid w:val="535B4CF0"/>
    <w:rsid w:val="535B6C3D"/>
    <w:rsid w:val="53607B41"/>
    <w:rsid w:val="53661450"/>
    <w:rsid w:val="53672943"/>
    <w:rsid w:val="536E29E4"/>
    <w:rsid w:val="53756D31"/>
    <w:rsid w:val="53857BE4"/>
    <w:rsid w:val="53873746"/>
    <w:rsid w:val="538B6878"/>
    <w:rsid w:val="539A6875"/>
    <w:rsid w:val="53A019B1"/>
    <w:rsid w:val="53A12192"/>
    <w:rsid w:val="53B117CE"/>
    <w:rsid w:val="53BA08AE"/>
    <w:rsid w:val="53BA11FE"/>
    <w:rsid w:val="53BC278B"/>
    <w:rsid w:val="53BF658E"/>
    <w:rsid w:val="53C13E05"/>
    <w:rsid w:val="53C30FF9"/>
    <w:rsid w:val="53CE4770"/>
    <w:rsid w:val="53D004E8"/>
    <w:rsid w:val="53D02297"/>
    <w:rsid w:val="53DA713D"/>
    <w:rsid w:val="53EB6B3D"/>
    <w:rsid w:val="53EE758D"/>
    <w:rsid w:val="53F35AE4"/>
    <w:rsid w:val="53FB308C"/>
    <w:rsid w:val="53FD5056"/>
    <w:rsid w:val="5400093A"/>
    <w:rsid w:val="54016D0B"/>
    <w:rsid w:val="540675C0"/>
    <w:rsid w:val="540F33D1"/>
    <w:rsid w:val="541A765F"/>
    <w:rsid w:val="54205D5C"/>
    <w:rsid w:val="543E150A"/>
    <w:rsid w:val="54414F42"/>
    <w:rsid w:val="544475A5"/>
    <w:rsid w:val="54487E1E"/>
    <w:rsid w:val="544C4264"/>
    <w:rsid w:val="54534C76"/>
    <w:rsid w:val="54597A3C"/>
    <w:rsid w:val="54613836"/>
    <w:rsid w:val="5463135D"/>
    <w:rsid w:val="54696247"/>
    <w:rsid w:val="546B0211"/>
    <w:rsid w:val="546C151C"/>
    <w:rsid w:val="547747B8"/>
    <w:rsid w:val="5479214A"/>
    <w:rsid w:val="54792907"/>
    <w:rsid w:val="547F24EC"/>
    <w:rsid w:val="54827E29"/>
    <w:rsid w:val="54901540"/>
    <w:rsid w:val="549868C9"/>
    <w:rsid w:val="549E50B5"/>
    <w:rsid w:val="54A10FB6"/>
    <w:rsid w:val="54AA6123"/>
    <w:rsid w:val="54AE0451"/>
    <w:rsid w:val="54BE47E5"/>
    <w:rsid w:val="54BE75FD"/>
    <w:rsid w:val="54C73D61"/>
    <w:rsid w:val="54C811C0"/>
    <w:rsid w:val="54D429E1"/>
    <w:rsid w:val="54DC2EBD"/>
    <w:rsid w:val="54E164AC"/>
    <w:rsid w:val="54F57C40"/>
    <w:rsid w:val="54FA45B8"/>
    <w:rsid w:val="54FC3DE1"/>
    <w:rsid w:val="55003D5C"/>
    <w:rsid w:val="550D767C"/>
    <w:rsid w:val="55126889"/>
    <w:rsid w:val="55164621"/>
    <w:rsid w:val="5516690C"/>
    <w:rsid w:val="55197AE4"/>
    <w:rsid w:val="551F0800"/>
    <w:rsid w:val="55244D9F"/>
    <w:rsid w:val="552704DF"/>
    <w:rsid w:val="552823D2"/>
    <w:rsid w:val="552C5BF2"/>
    <w:rsid w:val="5531658E"/>
    <w:rsid w:val="55344AA7"/>
    <w:rsid w:val="553D591D"/>
    <w:rsid w:val="55406298"/>
    <w:rsid w:val="55411377"/>
    <w:rsid w:val="55496AED"/>
    <w:rsid w:val="554D00F1"/>
    <w:rsid w:val="55545C05"/>
    <w:rsid w:val="555B0286"/>
    <w:rsid w:val="5560183C"/>
    <w:rsid w:val="55761804"/>
    <w:rsid w:val="557D1DB1"/>
    <w:rsid w:val="558F6181"/>
    <w:rsid w:val="55915A56"/>
    <w:rsid w:val="55930F0E"/>
    <w:rsid w:val="55992746"/>
    <w:rsid w:val="55A06012"/>
    <w:rsid w:val="55BA31FE"/>
    <w:rsid w:val="55BB2AD2"/>
    <w:rsid w:val="55C63A1D"/>
    <w:rsid w:val="55CD31F9"/>
    <w:rsid w:val="55D06993"/>
    <w:rsid w:val="55D22CC3"/>
    <w:rsid w:val="55EE2F8A"/>
    <w:rsid w:val="55F13D03"/>
    <w:rsid w:val="55F438D3"/>
    <w:rsid w:val="55F67FAE"/>
    <w:rsid w:val="55F935FB"/>
    <w:rsid w:val="560D3E7C"/>
    <w:rsid w:val="560E52F8"/>
    <w:rsid w:val="561843C9"/>
    <w:rsid w:val="561F12B3"/>
    <w:rsid w:val="561F2F52"/>
    <w:rsid w:val="562B7C58"/>
    <w:rsid w:val="56301DB8"/>
    <w:rsid w:val="56344320"/>
    <w:rsid w:val="56372361"/>
    <w:rsid w:val="563D2AD2"/>
    <w:rsid w:val="56414F54"/>
    <w:rsid w:val="56423949"/>
    <w:rsid w:val="56466009"/>
    <w:rsid w:val="5650771E"/>
    <w:rsid w:val="56526648"/>
    <w:rsid w:val="565503DF"/>
    <w:rsid w:val="565B2641"/>
    <w:rsid w:val="56625644"/>
    <w:rsid w:val="56637ABC"/>
    <w:rsid w:val="566413BC"/>
    <w:rsid w:val="56690780"/>
    <w:rsid w:val="566D24AC"/>
    <w:rsid w:val="56701B0F"/>
    <w:rsid w:val="5670554D"/>
    <w:rsid w:val="567217C4"/>
    <w:rsid w:val="567A473C"/>
    <w:rsid w:val="568206B3"/>
    <w:rsid w:val="56871FA7"/>
    <w:rsid w:val="569B59A6"/>
    <w:rsid w:val="569C0B56"/>
    <w:rsid w:val="56AB7BAD"/>
    <w:rsid w:val="56AC27F3"/>
    <w:rsid w:val="56AD53F9"/>
    <w:rsid w:val="56B8399E"/>
    <w:rsid w:val="56BF5479"/>
    <w:rsid w:val="56C1236A"/>
    <w:rsid w:val="56C8300F"/>
    <w:rsid w:val="56CB4879"/>
    <w:rsid w:val="56D66813"/>
    <w:rsid w:val="56DD29CA"/>
    <w:rsid w:val="56DE2FA0"/>
    <w:rsid w:val="56E83D9B"/>
    <w:rsid w:val="56EA0FB8"/>
    <w:rsid w:val="56F62F1B"/>
    <w:rsid w:val="570578B8"/>
    <w:rsid w:val="57122BC6"/>
    <w:rsid w:val="57132F95"/>
    <w:rsid w:val="57170E68"/>
    <w:rsid w:val="57174A35"/>
    <w:rsid w:val="57261692"/>
    <w:rsid w:val="572D4E3F"/>
    <w:rsid w:val="572D56F6"/>
    <w:rsid w:val="573179AE"/>
    <w:rsid w:val="57362969"/>
    <w:rsid w:val="573D7127"/>
    <w:rsid w:val="573F1670"/>
    <w:rsid w:val="574A0D4C"/>
    <w:rsid w:val="574A2360"/>
    <w:rsid w:val="5753390A"/>
    <w:rsid w:val="57543F0D"/>
    <w:rsid w:val="57551AD9"/>
    <w:rsid w:val="575907F5"/>
    <w:rsid w:val="575D0040"/>
    <w:rsid w:val="57606393"/>
    <w:rsid w:val="576158FB"/>
    <w:rsid w:val="57616C6A"/>
    <w:rsid w:val="57680A38"/>
    <w:rsid w:val="576C5FC1"/>
    <w:rsid w:val="577E2431"/>
    <w:rsid w:val="577F5DB3"/>
    <w:rsid w:val="57804900"/>
    <w:rsid w:val="57824BAC"/>
    <w:rsid w:val="57863112"/>
    <w:rsid w:val="57892510"/>
    <w:rsid w:val="578F4217"/>
    <w:rsid w:val="57972338"/>
    <w:rsid w:val="579A6CE9"/>
    <w:rsid w:val="579C04E7"/>
    <w:rsid w:val="57A9725D"/>
    <w:rsid w:val="57AD602B"/>
    <w:rsid w:val="57B2263A"/>
    <w:rsid w:val="57B64948"/>
    <w:rsid w:val="57BB500C"/>
    <w:rsid w:val="57BB5090"/>
    <w:rsid w:val="57C63600"/>
    <w:rsid w:val="57C739B1"/>
    <w:rsid w:val="57CF0A12"/>
    <w:rsid w:val="57D367F9"/>
    <w:rsid w:val="57D4431F"/>
    <w:rsid w:val="57D52DEB"/>
    <w:rsid w:val="57DF47EB"/>
    <w:rsid w:val="57E8417C"/>
    <w:rsid w:val="57F038A5"/>
    <w:rsid w:val="5800681C"/>
    <w:rsid w:val="580469B3"/>
    <w:rsid w:val="580F7106"/>
    <w:rsid w:val="58167C83"/>
    <w:rsid w:val="581A0FCE"/>
    <w:rsid w:val="581E2AB4"/>
    <w:rsid w:val="58262DCD"/>
    <w:rsid w:val="582836F6"/>
    <w:rsid w:val="582D1E65"/>
    <w:rsid w:val="58360B36"/>
    <w:rsid w:val="583A23D4"/>
    <w:rsid w:val="58430210"/>
    <w:rsid w:val="58564D34"/>
    <w:rsid w:val="585838C1"/>
    <w:rsid w:val="5863214C"/>
    <w:rsid w:val="586715AF"/>
    <w:rsid w:val="58692CBA"/>
    <w:rsid w:val="586F402B"/>
    <w:rsid w:val="58702A34"/>
    <w:rsid w:val="58717162"/>
    <w:rsid w:val="5878577A"/>
    <w:rsid w:val="58816255"/>
    <w:rsid w:val="58871392"/>
    <w:rsid w:val="588B2C30"/>
    <w:rsid w:val="58915739"/>
    <w:rsid w:val="58A10CA1"/>
    <w:rsid w:val="58A156FA"/>
    <w:rsid w:val="58AD0DF8"/>
    <w:rsid w:val="58B33F35"/>
    <w:rsid w:val="58B71C77"/>
    <w:rsid w:val="58BC15E9"/>
    <w:rsid w:val="58C779E0"/>
    <w:rsid w:val="58DD6E52"/>
    <w:rsid w:val="58E037FA"/>
    <w:rsid w:val="58FC6D00"/>
    <w:rsid w:val="59017396"/>
    <w:rsid w:val="59037BD1"/>
    <w:rsid w:val="59044790"/>
    <w:rsid w:val="590F18C3"/>
    <w:rsid w:val="590F3DB6"/>
    <w:rsid w:val="5915699E"/>
    <w:rsid w:val="59185078"/>
    <w:rsid w:val="59240C23"/>
    <w:rsid w:val="59282B75"/>
    <w:rsid w:val="5931746A"/>
    <w:rsid w:val="59373972"/>
    <w:rsid w:val="593A5023"/>
    <w:rsid w:val="59400C8F"/>
    <w:rsid w:val="59532D05"/>
    <w:rsid w:val="595B0854"/>
    <w:rsid w:val="59613991"/>
    <w:rsid w:val="59620D20"/>
    <w:rsid w:val="59657925"/>
    <w:rsid w:val="59715C9E"/>
    <w:rsid w:val="59727E38"/>
    <w:rsid w:val="59825809"/>
    <w:rsid w:val="5986548D"/>
    <w:rsid w:val="59870987"/>
    <w:rsid w:val="59882DA5"/>
    <w:rsid w:val="599D4457"/>
    <w:rsid w:val="59A5176D"/>
    <w:rsid w:val="59A92D71"/>
    <w:rsid w:val="59B25DDC"/>
    <w:rsid w:val="59B51874"/>
    <w:rsid w:val="59B73AE7"/>
    <w:rsid w:val="59BC53C2"/>
    <w:rsid w:val="59C53112"/>
    <w:rsid w:val="59CA3C2C"/>
    <w:rsid w:val="59D5605D"/>
    <w:rsid w:val="59D73366"/>
    <w:rsid w:val="59D86B25"/>
    <w:rsid w:val="59D95C1D"/>
    <w:rsid w:val="59DC43D8"/>
    <w:rsid w:val="59E30120"/>
    <w:rsid w:val="59E70281"/>
    <w:rsid w:val="59FA21B2"/>
    <w:rsid w:val="59FD4351"/>
    <w:rsid w:val="59FD7E52"/>
    <w:rsid w:val="5A1B7FE4"/>
    <w:rsid w:val="5A1F6822"/>
    <w:rsid w:val="5A3950C8"/>
    <w:rsid w:val="5A3B7940"/>
    <w:rsid w:val="5A3E07A1"/>
    <w:rsid w:val="5A400973"/>
    <w:rsid w:val="5A412032"/>
    <w:rsid w:val="5A47702B"/>
    <w:rsid w:val="5A584D94"/>
    <w:rsid w:val="5A5C0D28"/>
    <w:rsid w:val="5A6221B9"/>
    <w:rsid w:val="5A6E2809"/>
    <w:rsid w:val="5A741D10"/>
    <w:rsid w:val="5A843DDB"/>
    <w:rsid w:val="5A886FB2"/>
    <w:rsid w:val="5A9102A6"/>
    <w:rsid w:val="5A95780F"/>
    <w:rsid w:val="5A9658BC"/>
    <w:rsid w:val="5AA1673B"/>
    <w:rsid w:val="5AA234D8"/>
    <w:rsid w:val="5AA549B2"/>
    <w:rsid w:val="5AB06A3E"/>
    <w:rsid w:val="5AB95FEF"/>
    <w:rsid w:val="5ABA525D"/>
    <w:rsid w:val="5ACB2F81"/>
    <w:rsid w:val="5ACB7C5C"/>
    <w:rsid w:val="5AD00974"/>
    <w:rsid w:val="5AD14B46"/>
    <w:rsid w:val="5AD747A0"/>
    <w:rsid w:val="5ADC7386"/>
    <w:rsid w:val="5ADD173D"/>
    <w:rsid w:val="5ADD2EEC"/>
    <w:rsid w:val="5AE9537A"/>
    <w:rsid w:val="5AF076C2"/>
    <w:rsid w:val="5B007D33"/>
    <w:rsid w:val="5B07270A"/>
    <w:rsid w:val="5B0B2FAE"/>
    <w:rsid w:val="5B244CFB"/>
    <w:rsid w:val="5B3909ED"/>
    <w:rsid w:val="5B3C4A91"/>
    <w:rsid w:val="5B4B66A7"/>
    <w:rsid w:val="5B5104F9"/>
    <w:rsid w:val="5B512775"/>
    <w:rsid w:val="5B594284"/>
    <w:rsid w:val="5B5C6B06"/>
    <w:rsid w:val="5B5D0855"/>
    <w:rsid w:val="5B663CD4"/>
    <w:rsid w:val="5B6A2FD1"/>
    <w:rsid w:val="5B7200D7"/>
    <w:rsid w:val="5B740725"/>
    <w:rsid w:val="5B793646"/>
    <w:rsid w:val="5B7E082A"/>
    <w:rsid w:val="5B7F1B04"/>
    <w:rsid w:val="5B835E40"/>
    <w:rsid w:val="5B852AAE"/>
    <w:rsid w:val="5B8B03E6"/>
    <w:rsid w:val="5B9B5880"/>
    <w:rsid w:val="5BAC4E3A"/>
    <w:rsid w:val="5BB42A56"/>
    <w:rsid w:val="5BB669AB"/>
    <w:rsid w:val="5BCB77E7"/>
    <w:rsid w:val="5BD3501A"/>
    <w:rsid w:val="5BD616FD"/>
    <w:rsid w:val="5BDA5B74"/>
    <w:rsid w:val="5BE358D0"/>
    <w:rsid w:val="5BE82147"/>
    <w:rsid w:val="5BE90375"/>
    <w:rsid w:val="5BEA68BD"/>
    <w:rsid w:val="5BEF1728"/>
    <w:rsid w:val="5BF215EF"/>
    <w:rsid w:val="5BFB6AEB"/>
    <w:rsid w:val="5C012B8C"/>
    <w:rsid w:val="5C09385A"/>
    <w:rsid w:val="5C0C052C"/>
    <w:rsid w:val="5C0C7616"/>
    <w:rsid w:val="5C0E0B0A"/>
    <w:rsid w:val="5C194A7E"/>
    <w:rsid w:val="5C1C53CB"/>
    <w:rsid w:val="5C2018E1"/>
    <w:rsid w:val="5C271B08"/>
    <w:rsid w:val="5C284C11"/>
    <w:rsid w:val="5C3218C6"/>
    <w:rsid w:val="5C347159"/>
    <w:rsid w:val="5C362AF4"/>
    <w:rsid w:val="5C3D06E5"/>
    <w:rsid w:val="5C3E4720"/>
    <w:rsid w:val="5C3F47AB"/>
    <w:rsid w:val="5C4A6502"/>
    <w:rsid w:val="5C515CF9"/>
    <w:rsid w:val="5C526BB4"/>
    <w:rsid w:val="5C5872E0"/>
    <w:rsid w:val="5C5A16DE"/>
    <w:rsid w:val="5C600F2A"/>
    <w:rsid w:val="5C675762"/>
    <w:rsid w:val="5C6B601C"/>
    <w:rsid w:val="5C6C154B"/>
    <w:rsid w:val="5C710051"/>
    <w:rsid w:val="5C763BF7"/>
    <w:rsid w:val="5C78301F"/>
    <w:rsid w:val="5C7834CB"/>
    <w:rsid w:val="5C784327"/>
    <w:rsid w:val="5C7E72CC"/>
    <w:rsid w:val="5C821B8D"/>
    <w:rsid w:val="5C82434A"/>
    <w:rsid w:val="5C85508B"/>
    <w:rsid w:val="5C8B76A2"/>
    <w:rsid w:val="5C936DB9"/>
    <w:rsid w:val="5C9B09C7"/>
    <w:rsid w:val="5C9C3DA1"/>
    <w:rsid w:val="5C9D2D1B"/>
    <w:rsid w:val="5CA2679A"/>
    <w:rsid w:val="5CBF50C4"/>
    <w:rsid w:val="5CC0373E"/>
    <w:rsid w:val="5CC85BD5"/>
    <w:rsid w:val="5CD5745B"/>
    <w:rsid w:val="5CDD77D2"/>
    <w:rsid w:val="5CE018DD"/>
    <w:rsid w:val="5CE32EA9"/>
    <w:rsid w:val="5CED2E2A"/>
    <w:rsid w:val="5CF06FA3"/>
    <w:rsid w:val="5D05429E"/>
    <w:rsid w:val="5D0736B0"/>
    <w:rsid w:val="5D0D7B4B"/>
    <w:rsid w:val="5D161766"/>
    <w:rsid w:val="5D1C3F2A"/>
    <w:rsid w:val="5D1D023F"/>
    <w:rsid w:val="5D2378DB"/>
    <w:rsid w:val="5D2D69AC"/>
    <w:rsid w:val="5D301FF8"/>
    <w:rsid w:val="5D3257EC"/>
    <w:rsid w:val="5D327B1E"/>
    <w:rsid w:val="5D406C34"/>
    <w:rsid w:val="5D4079DA"/>
    <w:rsid w:val="5D447F2D"/>
    <w:rsid w:val="5D470913"/>
    <w:rsid w:val="5D4B17CC"/>
    <w:rsid w:val="5D4D2BAA"/>
    <w:rsid w:val="5D531BE0"/>
    <w:rsid w:val="5D551E7C"/>
    <w:rsid w:val="5D5E4DB7"/>
    <w:rsid w:val="5D6121B1"/>
    <w:rsid w:val="5D731EE5"/>
    <w:rsid w:val="5D7E69EB"/>
    <w:rsid w:val="5D7F6ADB"/>
    <w:rsid w:val="5D90232E"/>
    <w:rsid w:val="5D902A97"/>
    <w:rsid w:val="5D9C0F59"/>
    <w:rsid w:val="5DA27CA3"/>
    <w:rsid w:val="5DA37D9C"/>
    <w:rsid w:val="5DB524FD"/>
    <w:rsid w:val="5DB701BA"/>
    <w:rsid w:val="5DB90D3C"/>
    <w:rsid w:val="5DBC108B"/>
    <w:rsid w:val="5DC31E6E"/>
    <w:rsid w:val="5DC531F2"/>
    <w:rsid w:val="5DD5494D"/>
    <w:rsid w:val="5DEF43EC"/>
    <w:rsid w:val="5DF30675"/>
    <w:rsid w:val="5DF75416"/>
    <w:rsid w:val="5DF84047"/>
    <w:rsid w:val="5DF9063C"/>
    <w:rsid w:val="5DFB43B4"/>
    <w:rsid w:val="5E0019CA"/>
    <w:rsid w:val="5E074110"/>
    <w:rsid w:val="5E075489"/>
    <w:rsid w:val="5E0A0A9B"/>
    <w:rsid w:val="5E0B036F"/>
    <w:rsid w:val="5E0D5AA9"/>
    <w:rsid w:val="5E2B3A18"/>
    <w:rsid w:val="5E2C66FB"/>
    <w:rsid w:val="5E2F22B0"/>
    <w:rsid w:val="5E31172B"/>
    <w:rsid w:val="5E3274D5"/>
    <w:rsid w:val="5E3478C6"/>
    <w:rsid w:val="5E385CC4"/>
    <w:rsid w:val="5E3908B3"/>
    <w:rsid w:val="5E3D05A1"/>
    <w:rsid w:val="5E413D91"/>
    <w:rsid w:val="5E4641D8"/>
    <w:rsid w:val="5E465D87"/>
    <w:rsid w:val="5E4915C3"/>
    <w:rsid w:val="5E4B3CC5"/>
    <w:rsid w:val="5E4D11E2"/>
    <w:rsid w:val="5E5A661E"/>
    <w:rsid w:val="5E5C7FAC"/>
    <w:rsid w:val="5E5D6E1D"/>
    <w:rsid w:val="5E617125"/>
    <w:rsid w:val="5E6261E1"/>
    <w:rsid w:val="5E7D05AE"/>
    <w:rsid w:val="5E8545C5"/>
    <w:rsid w:val="5E872C01"/>
    <w:rsid w:val="5E8903CC"/>
    <w:rsid w:val="5E8E1E7B"/>
    <w:rsid w:val="5E933865"/>
    <w:rsid w:val="5E947E10"/>
    <w:rsid w:val="5E965054"/>
    <w:rsid w:val="5E9774FD"/>
    <w:rsid w:val="5E983210"/>
    <w:rsid w:val="5E9A27FB"/>
    <w:rsid w:val="5E9B1E4B"/>
    <w:rsid w:val="5E9D2628"/>
    <w:rsid w:val="5E9D5D87"/>
    <w:rsid w:val="5EA4535A"/>
    <w:rsid w:val="5EAC1B52"/>
    <w:rsid w:val="5EB1181D"/>
    <w:rsid w:val="5EB86749"/>
    <w:rsid w:val="5EBA208D"/>
    <w:rsid w:val="5EBA426F"/>
    <w:rsid w:val="5EC0115A"/>
    <w:rsid w:val="5EC52109"/>
    <w:rsid w:val="5ECB022A"/>
    <w:rsid w:val="5ECE1AC8"/>
    <w:rsid w:val="5ECF0E36"/>
    <w:rsid w:val="5EDC6635"/>
    <w:rsid w:val="5EDF242A"/>
    <w:rsid w:val="5EE4067B"/>
    <w:rsid w:val="5EE74938"/>
    <w:rsid w:val="5EEA4A34"/>
    <w:rsid w:val="5EEC4CC9"/>
    <w:rsid w:val="5EF31084"/>
    <w:rsid w:val="5EF332DD"/>
    <w:rsid w:val="5EF62283"/>
    <w:rsid w:val="5EFA40F0"/>
    <w:rsid w:val="5EFC424F"/>
    <w:rsid w:val="5EFC6474"/>
    <w:rsid w:val="5F047298"/>
    <w:rsid w:val="5F0A6251"/>
    <w:rsid w:val="5F1254DC"/>
    <w:rsid w:val="5F1E782F"/>
    <w:rsid w:val="5F2636B2"/>
    <w:rsid w:val="5F2908EC"/>
    <w:rsid w:val="5F351B48"/>
    <w:rsid w:val="5F353F1D"/>
    <w:rsid w:val="5F3778E0"/>
    <w:rsid w:val="5F387DD8"/>
    <w:rsid w:val="5F443B39"/>
    <w:rsid w:val="5F480702"/>
    <w:rsid w:val="5F483477"/>
    <w:rsid w:val="5F4E3839"/>
    <w:rsid w:val="5F536AAB"/>
    <w:rsid w:val="5F574BF1"/>
    <w:rsid w:val="5F5B52DC"/>
    <w:rsid w:val="5F5D6311"/>
    <w:rsid w:val="5F610F9A"/>
    <w:rsid w:val="5F645F89"/>
    <w:rsid w:val="5F680147"/>
    <w:rsid w:val="5F722766"/>
    <w:rsid w:val="5F79151A"/>
    <w:rsid w:val="5F84377C"/>
    <w:rsid w:val="5F963402"/>
    <w:rsid w:val="5F977CD8"/>
    <w:rsid w:val="5FB05672"/>
    <w:rsid w:val="5FBF6783"/>
    <w:rsid w:val="5FC627A0"/>
    <w:rsid w:val="5FC72CEE"/>
    <w:rsid w:val="5FCE527A"/>
    <w:rsid w:val="5FD10DEA"/>
    <w:rsid w:val="5FD15188"/>
    <w:rsid w:val="5FE10F5C"/>
    <w:rsid w:val="5FE26382"/>
    <w:rsid w:val="5FEE4FDB"/>
    <w:rsid w:val="5FF24A12"/>
    <w:rsid w:val="5FFD3FFE"/>
    <w:rsid w:val="5FFF2581"/>
    <w:rsid w:val="6009767F"/>
    <w:rsid w:val="600C100B"/>
    <w:rsid w:val="601479AF"/>
    <w:rsid w:val="60284E3F"/>
    <w:rsid w:val="602C20DD"/>
    <w:rsid w:val="60391F21"/>
    <w:rsid w:val="603F3938"/>
    <w:rsid w:val="60442474"/>
    <w:rsid w:val="60550275"/>
    <w:rsid w:val="605E0C2A"/>
    <w:rsid w:val="60626C76"/>
    <w:rsid w:val="60695F4D"/>
    <w:rsid w:val="606C1599"/>
    <w:rsid w:val="606C77EB"/>
    <w:rsid w:val="606E1752"/>
    <w:rsid w:val="60701716"/>
    <w:rsid w:val="60760226"/>
    <w:rsid w:val="607C59F9"/>
    <w:rsid w:val="60805044"/>
    <w:rsid w:val="608A1A1F"/>
    <w:rsid w:val="608A66C7"/>
    <w:rsid w:val="609C4812"/>
    <w:rsid w:val="609C7295"/>
    <w:rsid w:val="60A337D7"/>
    <w:rsid w:val="60A549EC"/>
    <w:rsid w:val="60A8439D"/>
    <w:rsid w:val="60B12374"/>
    <w:rsid w:val="60B12B22"/>
    <w:rsid w:val="60B15A44"/>
    <w:rsid w:val="60B44CEE"/>
    <w:rsid w:val="60B92304"/>
    <w:rsid w:val="60BA3F67"/>
    <w:rsid w:val="60C2565D"/>
    <w:rsid w:val="60CB5CDD"/>
    <w:rsid w:val="60CC028A"/>
    <w:rsid w:val="60D86C2E"/>
    <w:rsid w:val="60DD7931"/>
    <w:rsid w:val="60DE5220"/>
    <w:rsid w:val="60E65185"/>
    <w:rsid w:val="6101730E"/>
    <w:rsid w:val="61021FC3"/>
    <w:rsid w:val="610417D1"/>
    <w:rsid w:val="610429C0"/>
    <w:rsid w:val="61060F71"/>
    <w:rsid w:val="610B736C"/>
    <w:rsid w:val="610E766C"/>
    <w:rsid w:val="6118702B"/>
    <w:rsid w:val="61202383"/>
    <w:rsid w:val="61204131"/>
    <w:rsid w:val="612250E0"/>
    <w:rsid w:val="61383D77"/>
    <w:rsid w:val="614C74D5"/>
    <w:rsid w:val="6164029E"/>
    <w:rsid w:val="61645E32"/>
    <w:rsid w:val="61681591"/>
    <w:rsid w:val="6173561C"/>
    <w:rsid w:val="617D3332"/>
    <w:rsid w:val="61927D9E"/>
    <w:rsid w:val="619B3761"/>
    <w:rsid w:val="61A30FEA"/>
    <w:rsid w:val="61A905CB"/>
    <w:rsid w:val="61AB65E2"/>
    <w:rsid w:val="61B2122D"/>
    <w:rsid w:val="61B42655"/>
    <w:rsid w:val="61C716AD"/>
    <w:rsid w:val="61CB0DDF"/>
    <w:rsid w:val="61D4389A"/>
    <w:rsid w:val="61D64503"/>
    <w:rsid w:val="61D814EC"/>
    <w:rsid w:val="61DC274E"/>
    <w:rsid w:val="61E13FF1"/>
    <w:rsid w:val="61E37AE3"/>
    <w:rsid w:val="61EB04E9"/>
    <w:rsid w:val="61EB473F"/>
    <w:rsid w:val="61EF6F37"/>
    <w:rsid w:val="61F40586"/>
    <w:rsid w:val="61FC4B9F"/>
    <w:rsid w:val="61FD28A3"/>
    <w:rsid w:val="62036431"/>
    <w:rsid w:val="620627E2"/>
    <w:rsid w:val="62127F1E"/>
    <w:rsid w:val="621A704D"/>
    <w:rsid w:val="6220088D"/>
    <w:rsid w:val="622D1EAE"/>
    <w:rsid w:val="622F4266"/>
    <w:rsid w:val="6230517A"/>
    <w:rsid w:val="623205C0"/>
    <w:rsid w:val="62391369"/>
    <w:rsid w:val="62397BA1"/>
    <w:rsid w:val="623E4541"/>
    <w:rsid w:val="623E6BDB"/>
    <w:rsid w:val="62462A72"/>
    <w:rsid w:val="62493DC1"/>
    <w:rsid w:val="624A76B8"/>
    <w:rsid w:val="624D71A8"/>
    <w:rsid w:val="62514EEA"/>
    <w:rsid w:val="62570027"/>
    <w:rsid w:val="62586279"/>
    <w:rsid w:val="625A207B"/>
    <w:rsid w:val="62764951"/>
    <w:rsid w:val="62777B94"/>
    <w:rsid w:val="6280765E"/>
    <w:rsid w:val="62814116"/>
    <w:rsid w:val="6283484C"/>
    <w:rsid w:val="628770F5"/>
    <w:rsid w:val="628F5A13"/>
    <w:rsid w:val="629B42BC"/>
    <w:rsid w:val="62A0552A"/>
    <w:rsid w:val="62A62D8E"/>
    <w:rsid w:val="62A866D0"/>
    <w:rsid w:val="62AB132C"/>
    <w:rsid w:val="62AF39BF"/>
    <w:rsid w:val="62B42159"/>
    <w:rsid w:val="62B47227"/>
    <w:rsid w:val="62B52422"/>
    <w:rsid w:val="62BE738E"/>
    <w:rsid w:val="62D04E7D"/>
    <w:rsid w:val="62D43425"/>
    <w:rsid w:val="62D97AC0"/>
    <w:rsid w:val="62DA5AA9"/>
    <w:rsid w:val="62EA6460"/>
    <w:rsid w:val="62EF47CF"/>
    <w:rsid w:val="62F13FD7"/>
    <w:rsid w:val="62FF66F4"/>
    <w:rsid w:val="63030F14"/>
    <w:rsid w:val="63107B68"/>
    <w:rsid w:val="6332093C"/>
    <w:rsid w:val="6333577A"/>
    <w:rsid w:val="63360C3B"/>
    <w:rsid w:val="6338634B"/>
    <w:rsid w:val="633A628A"/>
    <w:rsid w:val="633A772C"/>
    <w:rsid w:val="6344286C"/>
    <w:rsid w:val="634C4575"/>
    <w:rsid w:val="634C4857"/>
    <w:rsid w:val="636C0070"/>
    <w:rsid w:val="63707066"/>
    <w:rsid w:val="63761A8B"/>
    <w:rsid w:val="63806113"/>
    <w:rsid w:val="638B0660"/>
    <w:rsid w:val="63A50776"/>
    <w:rsid w:val="63B60024"/>
    <w:rsid w:val="63B67BD9"/>
    <w:rsid w:val="63B70D7D"/>
    <w:rsid w:val="63B8305E"/>
    <w:rsid w:val="63B9048B"/>
    <w:rsid w:val="63BB3E50"/>
    <w:rsid w:val="63BB5D1B"/>
    <w:rsid w:val="63C56A8D"/>
    <w:rsid w:val="63C97787"/>
    <w:rsid w:val="63DC3B35"/>
    <w:rsid w:val="63F32024"/>
    <w:rsid w:val="63F368C6"/>
    <w:rsid w:val="64064D02"/>
    <w:rsid w:val="640B731B"/>
    <w:rsid w:val="640B76D4"/>
    <w:rsid w:val="641067C2"/>
    <w:rsid w:val="641E7B03"/>
    <w:rsid w:val="642806D0"/>
    <w:rsid w:val="642D780B"/>
    <w:rsid w:val="64383B44"/>
    <w:rsid w:val="644F5459"/>
    <w:rsid w:val="6453132F"/>
    <w:rsid w:val="645760BC"/>
    <w:rsid w:val="64584618"/>
    <w:rsid w:val="645E04C8"/>
    <w:rsid w:val="64671F23"/>
    <w:rsid w:val="646C727B"/>
    <w:rsid w:val="647052BF"/>
    <w:rsid w:val="6477769A"/>
    <w:rsid w:val="647B62CD"/>
    <w:rsid w:val="647C64A8"/>
    <w:rsid w:val="647E3905"/>
    <w:rsid w:val="6488503C"/>
    <w:rsid w:val="648E2DA7"/>
    <w:rsid w:val="64940B9E"/>
    <w:rsid w:val="64970BAF"/>
    <w:rsid w:val="649B41FB"/>
    <w:rsid w:val="64A036C7"/>
    <w:rsid w:val="64A65967"/>
    <w:rsid w:val="64A73B08"/>
    <w:rsid w:val="64A7639A"/>
    <w:rsid w:val="64C22BED"/>
    <w:rsid w:val="64C80D68"/>
    <w:rsid w:val="64C837FF"/>
    <w:rsid w:val="64CC61C4"/>
    <w:rsid w:val="64D05783"/>
    <w:rsid w:val="64D21925"/>
    <w:rsid w:val="64D70FAB"/>
    <w:rsid w:val="64D91523"/>
    <w:rsid w:val="64DA2044"/>
    <w:rsid w:val="64DB2E27"/>
    <w:rsid w:val="64DF72DB"/>
    <w:rsid w:val="64EA6F30"/>
    <w:rsid w:val="64EC5F80"/>
    <w:rsid w:val="64F2292E"/>
    <w:rsid w:val="64F7798C"/>
    <w:rsid w:val="64FA2A94"/>
    <w:rsid w:val="65073683"/>
    <w:rsid w:val="650F6421"/>
    <w:rsid w:val="65102E3B"/>
    <w:rsid w:val="651264A6"/>
    <w:rsid w:val="651E4E2C"/>
    <w:rsid w:val="65200779"/>
    <w:rsid w:val="652201F2"/>
    <w:rsid w:val="65257F68"/>
    <w:rsid w:val="652C579B"/>
    <w:rsid w:val="653E326C"/>
    <w:rsid w:val="65401246"/>
    <w:rsid w:val="65426543"/>
    <w:rsid w:val="65442AE4"/>
    <w:rsid w:val="6545060B"/>
    <w:rsid w:val="654725D5"/>
    <w:rsid w:val="654B50FB"/>
    <w:rsid w:val="654C7BEB"/>
    <w:rsid w:val="654E74BF"/>
    <w:rsid w:val="655311B4"/>
    <w:rsid w:val="65532D27"/>
    <w:rsid w:val="65590675"/>
    <w:rsid w:val="655A40B6"/>
    <w:rsid w:val="65613696"/>
    <w:rsid w:val="656E56C1"/>
    <w:rsid w:val="657A2B3B"/>
    <w:rsid w:val="657B402C"/>
    <w:rsid w:val="657F1D6E"/>
    <w:rsid w:val="657F58CB"/>
    <w:rsid w:val="65804F20"/>
    <w:rsid w:val="658933C8"/>
    <w:rsid w:val="658E4B68"/>
    <w:rsid w:val="659339E5"/>
    <w:rsid w:val="659551C3"/>
    <w:rsid w:val="65A12770"/>
    <w:rsid w:val="65AD106A"/>
    <w:rsid w:val="65AF4F70"/>
    <w:rsid w:val="65AF6805"/>
    <w:rsid w:val="65B5753E"/>
    <w:rsid w:val="65BB78E4"/>
    <w:rsid w:val="65BC08CD"/>
    <w:rsid w:val="65C94D98"/>
    <w:rsid w:val="65D44422"/>
    <w:rsid w:val="65D44C6E"/>
    <w:rsid w:val="65D65610"/>
    <w:rsid w:val="65DF31BA"/>
    <w:rsid w:val="65E4721E"/>
    <w:rsid w:val="65E73470"/>
    <w:rsid w:val="65E806AF"/>
    <w:rsid w:val="65EB3FED"/>
    <w:rsid w:val="65F66E6F"/>
    <w:rsid w:val="65FA015C"/>
    <w:rsid w:val="65FF6711"/>
    <w:rsid w:val="66035B03"/>
    <w:rsid w:val="661462F7"/>
    <w:rsid w:val="66150AEC"/>
    <w:rsid w:val="6615622F"/>
    <w:rsid w:val="663E7534"/>
    <w:rsid w:val="66423A30"/>
    <w:rsid w:val="66602A3C"/>
    <w:rsid w:val="66621C79"/>
    <w:rsid w:val="66680A54"/>
    <w:rsid w:val="666C1489"/>
    <w:rsid w:val="666E1EA6"/>
    <w:rsid w:val="666F593F"/>
    <w:rsid w:val="667632E5"/>
    <w:rsid w:val="667E20AD"/>
    <w:rsid w:val="6687048E"/>
    <w:rsid w:val="668B5CC3"/>
    <w:rsid w:val="668D2269"/>
    <w:rsid w:val="66903B07"/>
    <w:rsid w:val="66987020"/>
    <w:rsid w:val="66A13B6A"/>
    <w:rsid w:val="66A17AC3"/>
    <w:rsid w:val="66A242C6"/>
    <w:rsid w:val="66AC6B93"/>
    <w:rsid w:val="66B210CB"/>
    <w:rsid w:val="66B94801"/>
    <w:rsid w:val="66BA437D"/>
    <w:rsid w:val="66BB0B84"/>
    <w:rsid w:val="66BC7E18"/>
    <w:rsid w:val="66C7240D"/>
    <w:rsid w:val="66C919F0"/>
    <w:rsid w:val="66CF4630"/>
    <w:rsid w:val="66D021B9"/>
    <w:rsid w:val="66D06C75"/>
    <w:rsid w:val="66D13DA9"/>
    <w:rsid w:val="66D85757"/>
    <w:rsid w:val="66E17246"/>
    <w:rsid w:val="66E30E48"/>
    <w:rsid w:val="66E71DA3"/>
    <w:rsid w:val="66EE2BC9"/>
    <w:rsid w:val="6700734A"/>
    <w:rsid w:val="67010AE3"/>
    <w:rsid w:val="670268D2"/>
    <w:rsid w:val="670D0F06"/>
    <w:rsid w:val="6710473A"/>
    <w:rsid w:val="67112E9A"/>
    <w:rsid w:val="67114C48"/>
    <w:rsid w:val="67136376"/>
    <w:rsid w:val="67146B4F"/>
    <w:rsid w:val="672008A7"/>
    <w:rsid w:val="67211A50"/>
    <w:rsid w:val="67251571"/>
    <w:rsid w:val="67322B5A"/>
    <w:rsid w:val="673B44A9"/>
    <w:rsid w:val="67424E02"/>
    <w:rsid w:val="6742643A"/>
    <w:rsid w:val="67542D87"/>
    <w:rsid w:val="67576A72"/>
    <w:rsid w:val="675C443B"/>
    <w:rsid w:val="67670D0C"/>
    <w:rsid w:val="67695D7E"/>
    <w:rsid w:val="676B7D24"/>
    <w:rsid w:val="677A4B93"/>
    <w:rsid w:val="678D1CA7"/>
    <w:rsid w:val="6794124F"/>
    <w:rsid w:val="679C0BC5"/>
    <w:rsid w:val="67A41618"/>
    <w:rsid w:val="67A61C60"/>
    <w:rsid w:val="67AA2F7E"/>
    <w:rsid w:val="67BC5283"/>
    <w:rsid w:val="67C12BBB"/>
    <w:rsid w:val="67C223E6"/>
    <w:rsid w:val="67C334D1"/>
    <w:rsid w:val="67C373D8"/>
    <w:rsid w:val="67C86FCA"/>
    <w:rsid w:val="67CE2B39"/>
    <w:rsid w:val="67E1286C"/>
    <w:rsid w:val="67E16680"/>
    <w:rsid w:val="67E72C52"/>
    <w:rsid w:val="67E759A9"/>
    <w:rsid w:val="67E97973"/>
    <w:rsid w:val="67EA4FC8"/>
    <w:rsid w:val="67F3434E"/>
    <w:rsid w:val="67FA56DC"/>
    <w:rsid w:val="68002120"/>
    <w:rsid w:val="68024279"/>
    <w:rsid w:val="68127303"/>
    <w:rsid w:val="6817787B"/>
    <w:rsid w:val="681A39B2"/>
    <w:rsid w:val="68291EDB"/>
    <w:rsid w:val="6839250D"/>
    <w:rsid w:val="683926A8"/>
    <w:rsid w:val="683948E7"/>
    <w:rsid w:val="683E1A6D"/>
    <w:rsid w:val="68481C4E"/>
    <w:rsid w:val="68654C36"/>
    <w:rsid w:val="686E5E96"/>
    <w:rsid w:val="68762CDF"/>
    <w:rsid w:val="687C3287"/>
    <w:rsid w:val="68817BAC"/>
    <w:rsid w:val="68853EBD"/>
    <w:rsid w:val="688D7DD5"/>
    <w:rsid w:val="688E301D"/>
    <w:rsid w:val="689F47D3"/>
    <w:rsid w:val="68A613C0"/>
    <w:rsid w:val="68AA0EB0"/>
    <w:rsid w:val="68AA71BD"/>
    <w:rsid w:val="68B67FDA"/>
    <w:rsid w:val="68CD1043"/>
    <w:rsid w:val="68CD12BF"/>
    <w:rsid w:val="68CE612B"/>
    <w:rsid w:val="68D2013F"/>
    <w:rsid w:val="68D75A1D"/>
    <w:rsid w:val="68E5013A"/>
    <w:rsid w:val="68E814B4"/>
    <w:rsid w:val="68E819D9"/>
    <w:rsid w:val="68F91EAB"/>
    <w:rsid w:val="68FA27D2"/>
    <w:rsid w:val="6907425C"/>
    <w:rsid w:val="690D6969"/>
    <w:rsid w:val="69121E3A"/>
    <w:rsid w:val="69154D60"/>
    <w:rsid w:val="691B43A2"/>
    <w:rsid w:val="691F4D9F"/>
    <w:rsid w:val="69214C78"/>
    <w:rsid w:val="693825A6"/>
    <w:rsid w:val="693C54E4"/>
    <w:rsid w:val="69480E54"/>
    <w:rsid w:val="694A6DBA"/>
    <w:rsid w:val="694B2A0F"/>
    <w:rsid w:val="695D7D0E"/>
    <w:rsid w:val="69601908"/>
    <w:rsid w:val="696A2051"/>
    <w:rsid w:val="696D496F"/>
    <w:rsid w:val="69715E72"/>
    <w:rsid w:val="69747710"/>
    <w:rsid w:val="697510D0"/>
    <w:rsid w:val="69767E6B"/>
    <w:rsid w:val="697D19A0"/>
    <w:rsid w:val="697E66F5"/>
    <w:rsid w:val="697F190D"/>
    <w:rsid w:val="698E2580"/>
    <w:rsid w:val="69912070"/>
    <w:rsid w:val="69961435"/>
    <w:rsid w:val="699954C4"/>
    <w:rsid w:val="699958D1"/>
    <w:rsid w:val="699D36D6"/>
    <w:rsid w:val="69A00D26"/>
    <w:rsid w:val="69A45919"/>
    <w:rsid w:val="69A51678"/>
    <w:rsid w:val="69B779BF"/>
    <w:rsid w:val="69B96EB6"/>
    <w:rsid w:val="69B97B4F"/>
    <w:rsid w:val="69BE5A03"/>
    <w:rsid w:val="69C158CF"/>
    <w:rsid w:val="69C855EA"/>
    <w:rsid w:val="69C9180A"/>
    <w:rsid w:val="69CD7FDE"/>
    <w:rsid w:val="69CF08EE"/>
    <w:rsid w:val="69D70F29"/>
    <w:rsid w:val="69E14DA6"/>
    <w:rsid w:val="69EF5BB4"/>
    <w:rsid w:val="69F52DA7"/>
    <w:rsid w:val="69FB201D"/>
    <w:rsid w:val="6A07214F"/>
    <w:rsid w:val="6A1C0801"/>
    <w:rsid w:val="6A1E150A"/>
    <w:rsid w:val="6A1F25CE"/>
    <w:rsid w:val="6A3246BA"/>
    <w:rsid w:val="6A4C40BD"/>
    <w:rsid w:val="6A55309E"/>
    <w:rsid w:val="6A560907"/>
    <w:rsid w:val="6A564EDD"/>
    <w:rsid w:val="6A5C3E7D"/>
    <w:rsid w:val="6A5D3EC1"/>
    <w:rsid w:val="6A5D41D8"/>
    <w:rsid w:val="6A5E67BF"/>
    <w:rsid w:val="6A624287"/>
    <w:rsid w:val="6A641533"/>
    <w:rsid w:val="6A7B4CEF"/>
    <w:rsid w:val="6A7D43A3"/>
    <w:rsid w:val="6A885221"/>
    <w:rsid w:val="6A8B2637"/>
    <w:rsid w:val="6A8D493E"/>
    <w:rsid w:val="6A945CAB"/>
    <w:rsid w:val="6A9C0CCD"/>
    <w:rsid w:val="6A9C7E3D"/>
    <w:rsid w:val="6AAB53B4"/>
    <w:rsid w:val="6AAC5152"/>
    <w:rsid w:val="6AAD7101"/>
    <w:rsid w:val="6AB13C32"/>
    <w:rsid w:val="6ABE4147"/>
    <w:rsid w:val="6AC20112"/>
    <w:rsid w:val="6AC23A28"/>
    <w:rsid w:val="6AC730A0"/>
    <w:rsid w:val="6AC964B8"/>
    <w:rsid w:val="6ACB6EAB"/>
    <w:rsid w:val="6AD10080"/>
    <w:rsid w:val="6AD22940"/>
    <w:rsid w:val="6AD44289"/>
    <w:rsid w:val="6ADB7A47"/>
    <w:rsid w:val="6ADC37BF"/>
    <w:rsid w:val="6ADE785B"/>
    <w:rsid w:val="6AE2354A"/>
    <w:rsid w:val="6AE923A5"/>
    <w:rsid w:val="6AF03F81"/>
    <w:rsid w:val="6AF5498E"/>
    <w:rsid w:val="6AF8649D"/>
    <w:rsid w:val="6AFA34D2"/>
    <w:rsid w:val="6AFA3FDD"/>
    <w:rsid w:val="6AFA4BE8"/>
    <w:rsid w:val="6AFF300A"/>
    <w:rsid w:val="6AFF71B1"/>
    <w:rsid w:val="6B052B6C"/>
    <w:rsid w:val="6B0D5727"/>
    <w:rsid w:val="6B1124CE"/>
    <w:rsid w:val="6B1573A1"/>
    <w:rsid w:val="6B1832A7"/>
    <w:rsid w:val="6B1F10AD"/>
    <w:rsid w:val="6B22477C"/>
    <w:rsid w:val="6B286163"/>
    <w:rsid w:val="6B2C264E"/>
    <w:rsid w:val="6B320A31"/>
    <w:rsid w:val="6B39651C"/>
    <w:rsid w:val="6B491DA4"/>
    <w:rsid w:val="6B4A7F71"/>
    <w:rsid w:val="6B4F2206"/>
    <w:rsid w:val="6B594672"/>
    <w:rsid w:val="6B5A447D"/>
    <w:rsid w:val="6B5A6C2D"/>
    <w:rsid w:val="6B5D28FD"/>
    <w:rsid w:val="6B5E4D2E"/>
    <w:rsid w:val="6B680BAF"/>
    <w:rsid w:val="6B6F4633"/>
    <w:rsid w:val="6B775DEA"/>
    <w:rsid w:val="6B784CB8"/>
    <w:rsid w:val="6B8451A7"/>
    <w:rsid w:val="6B897513"/>
    <w:rsid w:val="6B8B73AC"/>
    <w:rsid w:val="6B8F0301"/>
    <w:rsid w:val="6B96511F"/>
    <w:rsid w:val="6BA40BEB"/>
    <w:rsid w:val="6BA47F2E"/>
    <w:rsid w:val="6BAE2E01"/>
    <w:rsid w:val="6BAF2C82"/>
    <w:rsid w:val="6BB838E4"/>
    <w:rsid w:val="6BC43CA8"/>
    <w:rsid w:val="6BC503D5"/>
    <w:rsid w:val="6BC63A7A"/>
    <w:rsid w:val="6BCA186A"/>
    <w:rsid w:val="6BD50823"/>
    <w:rsid w:val="6BD629F2"/>
    <w:rsid w:val="6BD91B10"/>
    <w:rsid w:val="6BDD6398"/>
    <w:rsid w:val="6BE116D3"/>
    <w:rsid w:val="6BEB7EDA"/>
    <w:rsid w:val="6BF055A6"/>
    <w:rsid w:val="6C005E3C"/>
    <w:rsid w:val="6C021003"/>
    <w:rsid w:val="6C0479EF"/>
    <w:rsid w:val="6C150D37"/>
    <w:rsid w:val="6C153D23"/>
    <w:rsid w:val="6C1D77FD"/>
    <w:rsid w:val="6C221AF9"/>
    <w:rsid w:val="6C262D9A"/>
    <w:rsid w:val="6C2A7865"/>
    <w:rsid w:val="6C2C72FC"/>
    <w:rsid w:val="6C2E518D"/>
    <w:rsid w:val="6C3D6067"/>
    <w:rsid w:val="6C3E655F"/>
    <w:rsid w:val="6C44161C"/>
    <w:rsid w:val="6C4A5FF6"/>
    <w:rsid w:val="6C59217D"/>
    <w:rsid w:val="6C5C4BB7"/>
    <w:rsid w:val="6C620EF9"/>
    <w:rsid w:val="6C6A54FD"/>
    <w:rsid w:val="6C7173DB"/>
    <w:rsid w:val="6C781BC4"/>
    <w:rsid w:val="6C794F6E"/>
    <w:rsid w:val="6C801317"/>
    <w:rsid w:val="6C830396"/>
    <w:rsid w:val="6C835CA5"/>
    <w:rsid w:val="6C87741E"/>
    <w:rsid w:val="6C8B7026"/>
    <w:rsid w:val="6C9D402A"/>
    <w:rsid w:val="6CA715E8"/>
    <w:rsid w:val="6CAA3EA4"/>
    <w:rsid w:val="6CBA151E"/>
    <w:rsid w:val="6CCA035C"/>
    <w:rsid w:val="6CD30F5D"/>
    <w:rsid w:val="6CD81D64"/>
    <w:rsid w:val="6CDE381E"/>
    <w:rsid w:val="6CE34991"/>
    <w:rsid w:val="6CE35561"/>
    <w:rsid w:val="6CE62229"/>
    <w:rsid w:val="6CE80FF6"/>
    <w:rsid w:val="6CF04B43"/>
    <w:rsid w:val="6CF43E40"/>
    <w:rsid w:val="6CF546C4"/>
    <w:rsid w:val="6CF6746A"/>
    <w:rsid w:val="6D0019E7"/>
    <w:rsid w:val="6D022818"/>
    <w:rsid w:val="6D026FD1"/>
    <w:rsid w:val="6D093549"/>
    <w:rsid w:val="6D0B3EE8"/>
    <w:rsid w:val="6D0E0AA8"/>
    <w:rsid w:val="6D0F4CEB"/>
    <w:rsid w:val="6D19235B"/>
    <w:rsid w:val="6D1D61A0"/>
    <w:rsid w:val="6D1E1E6D"/>
    <w:rsid w:val="6D204F23"/>
    <w:rsid w:val="6D2345CE"/>
    <w:rsid w:val="6D2A0C0F"/>
    <w:rsid w:val="6D2C593B"/>
    <w:rsid w:val="6D2D03F9"/>
    <w:rsid w:val="6D3625E6"/>
    <w:rsid w:val="6D407351"/>
    <w:rsid w:val="6D486011"/>
    <w:rsid w:val="6D487138"/>
    <w:rsid w:val="6D4A09AC"/>
    <w:rsid w:val="6D4F0278"/>
    <w:rsid w:val="6D57712D"/>
    <w:rsid w:val="6D5835D1"/>
    <w:rsid w:val="6D5E6A6F"/>
    <w:rsid w:val="6D6A70A8"/>
    <w:rsid w:val="6D751BED"/>
    <w:rsid w:val="6D8B304C"/>
    <w:rsid w:val="6D8C04D0"/>
    <w:rsid w:val="6D902C62"/>
    <w:rsid w:val="6D90419A"/>
    <w:rsid w:val="6D916A0C"/>
    <w:rsid w:val="6D9640F9"/>
    <w:rsid w:val="6D973ED7"/>
    <w:rsid w:val="6D9E588E"/>
    <w:rsid w:val="6DA12A70"/>
    <w:rsid w:val="6DA50100"/>
    <w:rsid w:val="6DA73C10"/>
    <w:rsid w:val="6DA94262"/>
    <w:rsid w:val="6DAC61BE"/>
    <w:rsid w:val="6DAE2A69"/>
    <w:rsid w:val="6DAF0D17"/>
    <w:rsid w:val="6DB5181B"/>
    <w:rsid w:val="6DB70CB4"/>
    <w:rsid w:val="6DDB401B"/>
    <w:rsid w:val="6DDB4C8B"/>
    <w:rsid w:val="6DDD4A85"/>
    <w:rsid w:val="6DE21ADB"/>
    <w:rsid w:val="6DE36788"/>
    <w:rsid w:val="6DEB2E96"/>
    <w:rsid w:val="6DFF1C9E"/>
    <w:rsid w:val="6E0077C5"/>
    <w:rsid w:val="6E094352"/>
    <w:rsid w:val="6E0A2C2C"/>
    <w:rsid w:val="6E2711F5"/>
    <w:rsid w:val="6E2748FA"/>
    <w:rsid w:val="6E292877"/>
    <w:rsid w:val="6E3631E6"/>
    <w:rsid w:val="6E49116B"/>
    <w:rsid w:val="6E510020"/>
    <w:rsid w:val="6E62182A"/>
    <w:rsid w:val="6E652417"/>
    <w:rsid w:val="6E6B2E90"/>
    <w:rsid w:val="6E6C3A5B"/>
    <w:rsid w:val="6E7553D8"/>
    <w:rsid w:val="6E7A7577"/>
    <w:rsid w:val="6E827CC9"/>
    <w:rsid w:val="6E894460"/>
    <w:rsid w:val="6E92195E"/>
    <w:rsid w:val="6E992E30"/>
    <w:rsid w:val="6EA857B7"/>
    <w:rsid w:val="6EA87067"/>
    <w:rsid w:val="6EB74BA1"/>
    <w:rsid w:val="6EBC7B8F"/>
    <w:rsid w:val="6EC07C3D"/>
    <w:rsid w:val="6EC20982"/>
    <w:rsid w:val="6EE832AE"/>
    <w:rsid w:val="6EE90259"/>
    <w:rsid w:val="6EF036D5"/>
    <w:rsid w:val="6EF22432"/>
    <w:rsid w:val="6EFA64F1"/>
    <w:rsid w:val="6F031BB8"/>
    <w:rsid w:val="6F1057E5"/>
    <w:rsid w:val="6F127055"/>
    <w:rsid w:val="6F23108A"/>
    <w:rsid w:val="6F25039A"/>
    <w:rsid w:val="6F281EC3"/>
    <w:rsid w:val="6F2B61B7"/>
    <w:rsid w:val="6F301EE8"/>
    <w:rsid w:val="6F3029D7"/>
    <w:rsid w:val="6F3626B6"/>
    <w:rsid w:val="6F3D6021"/>
    <w:rsid w:val="6F3F40AE"/>
    <w:rsid w:val="6F484F7F"/>
    <w:rsid w:val="6F4C1E94"/>
    <w:rsid w:val="6F4D2AE6"/>
    <w:rsid w:val="6F502086"/>
    <w:rsid w:val="6F507239"/>
    <w:rsid w:val="6F584027"/>
    <w:rsid w:val="6F59718C"/>
    <w:rsid w:val="6F666AEE"/>
    <w:rsid w:val="6F674130"/>
    <w:rsid w:val="6F6E723B"/>
    <w:rsid w:val="6F711B9F"/>
    <w:rsid w:val="6F783F85"/>
    <w:rsid w:val="6F7978B7"/>
    <w:rsid w:val="6F815117"/>
    <w:rsid w:val="6F83245B"/>
    <w:rsid w:val="6F8731F0"/>
    <w:rsid w:val="6F946416"/>
    <w:rsid w:val="6FA40B61"/>
    <w:rsid w:val="6FB70357"/>
    <w:rsid w:val="6FB72BF1"/>
    <w:rsid w:val="6FBE7937"/>
    <w:rsid w:val="6FC010C7"/>
    <w:rsid w:val="6FC565D0"/>
    <w:rsid w:val="6FDB2297"/>
    <w:rsid w:val="6FE0386A"/>
    <w:rsid w:val="6FE4739E"/>
    <w:rsid w:val="6FEB5FFA"/>
    <w:rsid w:val="70074E3A"/>
    <w:rsid w:val="700A134E"/>
    <w:rsid w:val="700A1E44"/>
    <w:rsid w:val="700C41FF"/>
    <w:rsid w:val="700D5F0B"/>
    <w:rsid w:val="70276816"/>
    <w:rsid w:val="702A2DF0"/>
    <w:rsid w:val="702E2331"/>
    <w:rsid w:val="70375AA1"/>
    <w:rsid w:val="70384FF4"/>
    <w:rsid w:val="703A6FBE"/>
    <w:rsid w:val="70461744"/>
    <w:rsid w:val="704E2C9B"/>
    <w:rsid w:val="705166A6"/>
    <w:rsid w:val="7059234C"/>
    <w:rsid w:val="70627CA5"/>
    <w:rsid w:val="70673092"/>
    <w:rsid w:val="706A52E7"/>
    <w:rsid w:val="707934AC"/>
    <w:rsid w:val="708979FF"/>
    <w:rsid w:val="708B0407"/>
    <w:rsid w:val="708F3F4F"/>
    <w:rsid w:val="709A4599"/>
    <w:rsid w:val="70A079E1"/>
    <w:rsid w:val="70A22DB5"/>
    <w:rsid w:val="70A340F5"/>
    <w:rsid w:val="70A66401"/>
    <w:rsid w:val="70A7119A"/>
    <w:rsid w:val="70A84A98"/>
    <w:rsid w:val="70A96BD6"/>
    <w:rsid w:val="70AB5A06"/>
    <w:rsid w:val="70AE52B6"/>
    <w:rsid w:val="70B278DA"/>
    <w:rsid w:val="70B30B1E"/>
    <w:rsid w:val="70C632A9"/>
    <w:rsid w:val="70CC5EF9"/>
    <w:rsid w:val="70CE3BAA"/>
    <w:rsid w:val="70CF0C0E"/>
    <w:rsid w:val="70D07922"/>
    <w:rsid w:val="70D15D5E"/>
    <w:rsid w:val="70DC5670"/>
    <w:rsid w:val="70DD1D73"/>
    <w:rsid w:val="70E82687"/>
    <w:rsid w:val="70F80C27"/>
    <w:rsid w:val="70FE590F"/>
    <w:rsid w:val="71092E34"/>
    <w:rsid w:val="710B095A"/>
    <w:rsid w:val="71143D27"/>
    <w:rsid w:val="711A0DDC"/>
    <w:rsid w:val="711F4406"/>
    <w:rsid w:val="712346B8"/>
    <w:rsid w:val="71235208"/>
    <w:rsid w:val="712B2DAA"/>
    <w:rsid w:val="712C4775"/>
    <w:rsid w:val="71302D3F"/>
    <w:rsid w:val="713364D2"/>
    <w:rsid w:val="713914AE"/>
    <w:rsid w:val="713952F0"/>
    <w:rsid w:val="713E47CD"/>
    <w:rsid w:val="71406350"/>
    <w:rsid w:val="7141437C"/>
    <w:rsid w:val="7141612A"/>
    <w:rsid w:val="71445D40"/>
    <w:rsid w:val="714A4E5F"/>
    <w:rsid w:val="715B6ECF"/>
    <w:rsid w:val="71626E77"/>
    <w:rsid w:val="7163134F"/>
    <w:rsid w:val="7163442E"/>
    <w:rsid w:val="7170308B"/>
    <w:rsid w:val="71736338"/>
    <w:rsid w:val="71796C2C"/>
    <w:rsid w:val="717E112C"/>
    <w:rsid w:val="718926B9"/>
    <w:rsid w:val="718A5D23"/>
    <w:rsid w:val="718D6D31"/>
    <w:rsid w:val="7198319C"/>
    <w:rsid w:val="719E503F"/>
    <w:rsid w:val="71A1306D"/>
    <w:rsid w:val="71A22FE8"/>
    <w:rsid w:val="71AC3D91"/>
    <w:rsid w:val="71AE486B"/>
    <w:rsid w:val="71B70688"/>
    <w:rsid w:val="71B82E17"/>
    <w:rsid w:val="71BE3C1E"/>
    <w:rsid w:val="71CA7BFD"/>
    <w:rsid w:val="71D62D16"/>
    <w:rsid w:val="71D945B4"/>
    <w:rsid w:val="71E01A49"/>
    <w:rsid w:val="71E65261"/>
    <w:rsid w:val="71EC42E8"/>
    <w:rsid w:val="71F56695"/>
    <w:rsid w:val="71F56CCA"/>
    <w:rsid w:val="71FF0740"/>
    <w:rsid w:val="71FF0BB1"/>
    <w:rsid w:val="720535FB"/>
    <w:rsid w:val="72181D2B"/>
    <w:rsid w:val="721A6A7C"/>
    <w:rsid w:val="721D26F3"/>
    <w:rsid w:val="72284932"/>
    <w:rsid w:val="722D66AE"/>
    <w:rsid w:val="722F0678"/>
    <w:rsid w:val="722F7397"/>
    <w:rsid w:val="72364E53"/>
    <w:rsid w:val="724C00C8"/>
    <w:rsid w:val="72556331"/>
    <w:rsid w:val="726372B2"/>
    <w:rsid w:val="72677E12"/>
    <w:rsid w:val="7280319A"/>
    <w:rsid w:val="72896FE0"/>
    <w:rsid w:val="728E5F19"/>
    <w:rsid w:val="729442BA"/>
    <w:rsid w:val="729D55E2"/>
    <w:rsid w:val="72A23670"/>
    <w:rsid w:val="72A44DFE"/>
    <w:rsid w:val="72C4464D"/>
    <w:rsid w:val="72D073C0"/>
    <w:rsid w:val="72D74F98"/>
    <w:rsid w:val="72E078D4"/>
    <w:rsid w:val="72EC7783"/>
    <w:rsid w:val="72F35B4A"/>
    <w:rsid w:val="73013FCC"/>
    <w:rsid w:val="73132BE4"/>
    <w:rsid w:val="731D723E"/>
    <w:rsid w:val="731F249B"/>
    <w:rsid w:val="731F693F"/>
    <w:rsid w:val="73245D0B"/>
    <w:rsid w:val="732B5CBF"/>
    <w:rsid w:val="733046A8"/>
    <w:rsid w:val="733900A0"/>
    <w:rsid w:val="73394AC0"/>
    <w:rsid w:val="733F2B3D"/>
    <w:rsid w:val="73416A7E"/>
    <w:rsid w:val="73473BB1"/>
    <w:rsid w:val="734E22B4"/>
    <w:rsid w:val="73547991"/>
    <w:rsid w:val="736420AD"/>
    <w:rsid w:val="736576B9"/>
    <w:rsid w:val="736938A6"/>
    <w:rsid w:val="73740A39"/>
    <w:rsid w:val="73800EB2"/>
    <w:rsid w:val="73865A33"/>
    <w:rsid w:val="738E6C88"/>
    <w:rsid w:val="739169F9"/>
    <w:rsid w:val="739A46DA"/>
    <w:rsid w:val="739E5AB6"/>
    <w:rsid w:val="73AA136D"/>
    <w:rsid w:val="73AE07FC"/>
    <w:rsid w:val="73AF1A71"/>
    <w:rsid w:val="73B057E9"/>
    <w:rsid w:val="73BC2D19"/>
    <w:rsid w:val="73C04AE9"/>
    <w:rsid w:val="73D47531"/>
    <w:rsid w:val="73EB05CF"/>
    <w:rsid w:val="73EF4563"/>
    <w:rsid w:val="7400407A"/>
    <w:rsid w:val="740058CE"/>
    <w:rsid w:val="74031DA5"/>
    <w:rsid w:val="740A4EF9"/>
    <w:rsid w:val="740A7083"/>
    <w:rsid w:val="74200969"/>
    <w:rsid w:val="74277859"/>
    <w:rsid w:val="742C78A8"/>
    <w:rsid w:val="742D4234"/>
    <w:rsid w:val="74321EA4"/>
    <w:rsid w:val="74324450"/>
    <w:rsid w:val="74367A9C"/>
    <w:rsid w:val="74387CB8"/>
    <w:rsid w:val="743F4CBA"/>
    <w:rsid w:val="7440091B"/>
    <w:rsid w:val="74421D60"/>
    <w:rsid w:val="745766D2"/>
    <w:rsid w:val="745B39A7"/>
    <w:rsid w:val="74615144"/>
    <w:rsid w:val="746774A9"/>
    <w:rsid w:val="74822CE1"/>
    <w:rsid w:val="748A000B"/>
    <w:rsid w:val="748A505A"/>
    <w:rsid w:val="74905874"/>
    <w:rsid w:val="749113F6"/>
    <w:rsid w:val="74942EB6"/>
    <w:rsid w:val="749D5D6D"/>
    <w:rsid w:val="749E119A"/>
    <w:rsid w:val="74A356E3"/>
    <w:rsid w:val="74AF5AA0"/>
    <w:rsid w:val="74B63003"/>
    <w:rsid w:val="74BB61F3"/>
    <w:rsid w:val="74C0380A"/>
    <w:rsid w:val="74C65CA5"/>
    <w:rsid w:val="74D11010"/>
    <w:rsid w:val="74D33EF6"/>
    <w:rsid w:val="74D53759"/>
    <w:rsid w:val="74D63631"/>
    <w:rsid w:val="74D81279"/>
    <w:rsid w:val="74F4166E"/>
    <w:rsid w:val="74FB652E"/>
    <w:rsid w:val="75056FB9"/>
    <w:rsid w:val="751029E3"/>
    <w:rsid w:val="751122B7"/>
    <w:rsid w:val="75130CE3"/>
    <w:rsid w:val="75164DF8"/>
    <w:rsid w:val="75183646"/>
    <w:rsid w:val="751F49D4"/>
    <w:rsid w:val="7523307C"/>
    <w:rsid w:val="7533210D"/>
    <w:rsid w:val="753D30AC"/>
    <w:rsid w:val="75414A2C"/>
    <w:rsid w:val="75462C27"/>
    <w:rsid w:val="754D1541"/>
    <w:rsid w:val="754D724B"/>
    <w:rsid w:val="7554658C"/>
    <w:rsid w:val="75570564"/>
    <w:rsid w:val="756005FE"/>
    <w:rsid w:val="7579243F"/>
    <w:rsid w:val="757966EA"/>
    <w:rsid w:val="75894543"/>
    <w:rsid w:val="758E3A1A"/>
    <w:rsid w:val="75A17723"/>
    <w:rsid w:val="75A17F18"/>
    <w:rsid w:val="75AC3A76"/>
    <w:rsid w:val="75AF4B9B"/>
    <w:rsid w:val="75B456A9"/>
    <w:rsid w:val="75BA77F7"/>
    <w:rsid w:val="75BC0475"/>
    <w:rsid w:val="75BC377B"/>
    <w:rsid w:val="75BD6E87"/>
    <w:rsid w:val="75BE41ED"/>
    <w:rsid w:val="75C50AA6"/>
    <w:rsid w:val="75C612F4"/>
    <w:rsid w:val="75D94171"/>
    <w:rsid w:val="75EA51DF"/>
    <w:rsid w:val="75EE63CA"/>
    <w:rsid w:val="75F93BCE"/>
    <w:rsid w:val="75FE6CDF"/>
    <w:rsid w:val="760A7432"/>
    <w:rsid w:val="762A7AD4"/>
    <w:rsid w:val="762C5B76"/>
    <w:rsid w:val="76303FFD"/>
    <w:rsid w:val="763E70DC"/>
    <w:rsid w:val="763F6BA9"/>
    <w:rsid w:val="76410185"/>
    <w:rsid w:val="76492E42"/>
    <w:rsid w:val="764A79E8"/>
    <w:rsid w:val="764C0D99"/>
    <w:rsid w:val="764C6275"/>
    <w:rsid w:val="764D37C3"/>
    <w:rsid w:val="765222A5"/>
    <w:rsid w:val="76572AD2"/>
    <w:rsid w:val="76593F16"/>
    <w:rsid w:val="765A4F52"/>
    <w:rsid w:val="765B1A3C"/>
    <w:rsid w:val="766570A7"/>
    <w:rsid w:val="76684159"/>
    <w:rsid w:val="767174B1"/>
    <w:rsid w:val="76766876"/>
    <w:rsid w:val="76832D41"/>
    <w:rsid w:val="768D0CAC"/>
    <w:rsid w:val="769D4442"/>
    <w:rsid w:val="769E7B7B"/>
    <w:rsid w:val="76A372BD"/>
    <w:rsid w:val="76A51BA6"/>
    <w:rsid w:val="76AD7DBE"/>
    <w:rsid w:val="76AF515A"/>
    <w:rsid w:val="76B433E0"/>
    <w:rsid w:val="76B61F68"/>
    <w:rsid w:val="76C021E7"/>
    <w:rsid w:val="76C50A0A"/>
    <w:rsid w:val="76C57364"/>
    <w:rsid w:val="76C57E80"/>
    <w:rsid w:val="76CC1292"/>
    <w:rsid w:val="76CF6212"/>
    <w:rsid w:val="76D465B7"/>
    <w:rsid w:val="76D571F4"/>
    <w:rsid w:val="76D96401"/>
    <w:rsid w:val="76E539FB"/>
    <w:rsid w:val="76E77C47"/>
    <w:rsid w:val="76EC4D8A"/>
    <w:rsid w:val="76ED2AE4"/>
    <w:rsid w:val="77057BFA"/>
    <w:rsid w:val="77072277"/>
    <w:rsid w:val="770B500D"/>
    <w:rsid w:val="770C0F88"/>
    <w:rsid w:val="770D16E1"/>
    <w:rsid w:val="770F2826"/>
    <w:rsid w:val="7713490E"/>
    <w:rsid w:val="77140107"/>
    <w:rsid w:val="77210231"/>
    <w:rsid w:val="77253DF8"/>
    <w:rsid w:val="772B58B2"/>
    <w:rsid w:val="7738425E"/>
    <w:rsid w:val="773B637B"/>
    <w:rsid w:val="773C014B"/>
    <w:rsid w:val="773D64AD"/>
    <w:rsid w:val="774249AA"/>
    <w:rsid w:val="774C5F2D"/>
    <w:rsid w:val="774F3900"/>
    <w:rsid w:val="77533270"/>
    <w:rsid w:val="775579F7"/>
    <w:rsid w:val="77585F7B"/>
    <w:rsid w:val="776112D4"/>
    <w:rsid w:val="776418CE"/>
    <w:rsid w:val="776B63E4"/>
    <w:rsid w:val="776D6D43"/>
    <w:rsid w:val="777703EE"/>
    <w:rsid w:val="777B137F"/>
    <w:rsid w:val="7788584B"/>
    <w:rsid w:val="77935205"/>
    <w:rsid w:val="779A2A38"/>
    <w:rsid w:val="779D63B6"/>
    <w:rsid w:val="77A31E3D"/>
    <w:rsid w:val="77A45509"/>
    <w:rsid w:val="77AD7E13"/>
    <w:rsid w:val="77BF7760"/>
    <w:rsid w:val="77C12889"/>
    <w:rsid w:val="77C81353"/>
    <w:rsid w:val="77CD0717"/>
    <w:rsid w:val="77CF47AE"/>
    <w:rsid w:val="77D04C0E"/>
    <w:rsid w:val="77D14534"/>
    <w:rsid w:val="77DB2827"/>
    <w:rsid w:val="77E2543A"/>
    <w:rsid w:val="77F566FE"/>
    <w:rsid w:val="77FC09B3"/>
    <w:rsid w:val="78022AB4"/>
    <w:rsid w:val="780320AC"/>
    <w:rsid w:val="7803238B"/>
    <w:rsid w:val="78085BF3"/>
    <w:rsid w:val="780902CA"/>
    <w:rsid w:val="781225CE"/>
    <w:rsid w:val="781722D1"/>
    <w:rsid w:val="78175E36"/>
    <w:rsid w:val="78203AD8"/>
    <w:rsid w:val="78241F1F"/>
    <w:rsid w:val="78394FEB"/>
    <w:rsid w:val="784F230A"/>
    <w:rsid w:val="78615D56"/>
    <w:rsid w:val="786404F8"/>
    <w:rsid w:val="78697706"/>
    <w:rsid w:val="786B1CDE"/>
    <w:rsid w:val="786D5A56"/>
    <w:rsid w:val="787D0E06"/>
    <w:rsid w:val="78827E52"/>
    <w:rsid w:val="78991719"/>
    <w:rsid w:val="789B25C4"/>
    <w:rsid w:val="78A15077"/>
    <w:rsid w:val="78A551F0"/>
    <w:rsid w:val="78A91184"/>
    <w:rsid w:val="78A976F6"/>
    <w:rsid w:val="78AC0C16"/>
    <w:rsid w:val="78B638A1"/>
    <w:rsid w:val="78B6564F"/>
    <w:rsid w:val="78B8315F"/>
    <w:rsid w:val="78C34708"/>
    <w:rsid w:val="78C73499"/>
    <w:rsid w:val="78C7785D"/>
    <w:rsid w:val="78C83AD2"/>
    <w:rsid w:val="78DB6E64"/>
    <w:rsid w:val="78DD4E10"/>
    <w:rsid w:val="78DD7CAE"/>
    <w:rsid w:val="78E026CC"/>
    <w:rsid w:val="78E35D19"/>
    <w:rsid w:val="78F246DF"/>
    <w:rsid w:val="78F41CD4"/>
    <w:rsid w:val="78F5235E"/>
    <w:rsid w:val="78FE674C"/>
    <w:rsid w:val="790B621C"/>
    <w:rsid w:val="790C4639"/>
    <w:rsid w:val="79116D2A"/>
    <w:rsid w:val="79121892"/>
    <w:rsid w:val="79164340"/>
    <w:rsid w:val="79167E9C"/>
    <w:rsid w:val="791F31F5"/>
    <w:rsid w:val="7924080B"/>
    <w:rsid w:val="79256C69"/>
    <w:rsid w:val="7925799D"/>
    <w:rsid w:val="79267AF5"/>
    <w:rsid w:val="79382508"/>
    <w:rsid w:val="79392B18"/>
    <w:rsid w:val="79440956"/>
    <w:rsid w:val="795135CA"/>
    <w:rsid w:val="79516F63"/>
    <w:rsid w:val="79565544"/>
    <w:rsid w:val="795977AB"/>
    <w:rsid w:val="796A1C4D"/>
    <w:rsid w:val="796E1666"/>
    <w:rsid w:val="79707027"/>
    <w:rsid w:val="7972610A"/>
    <w:rsid w:val="79786DA9"/>
    <w:rsid w:val="797911D5"/>
    <w:rsid w:val="797A39C8"/>
    <w:rsid w:val="798A5C60"/>
    <w:rsid w:val="799A287B"/>
    <w:rsid w:val="79A07515"/>
    <w:rsid w:val="79A3664E"/>
    <w:rsid w:val="79A47B9E"/>
    <w:rsid w:val="79A64182"/>
    <w:rsid w:val="79A9103A"/>
    <w:rsid w:val="79A9150E"/>
    <w:rsid w:val="79A951B4"/>
    <w:rsid w:val="79AB36F9"/>
    <w:rsid w:val="79B17BC5"/>
    <w:rsid w:val="79C00A58"/>
    <w:rsid w:val="79D27333"/>
    <w:rsid w:val="79D84646"/>
    <w:rsid w:val="79DC7338"/>
    <w:rsid w:val="79DD1D32"/>
    <w:rsid w:val="79DF2049"/>
    <w:rsid w:val="79E20483"/>
    <w:rsid w:val="79EF06E6"/>
    <w:rsid w:val="7A001B51"/>
    <w:rsid w:val="7A00729F"/>
    <w:rsid w:val="7A065A05"/>
    <w:rsid w:val="7A08012D"/>
    <w:rsid w:val="7A116EC0"/>
    <w:rsid w:val="7A140880"/>
    <w:rsid w:val="7A146AD1"/>
    <w:rsid w:val="7A187C44"/>
    <w:rsid w:val="7A1A39BC"/>
    <w:rsid w:val="7A250D4A"/>
    <w:rsid w:val="7A302411"/>
    <w:rsid w:val="7A402138"/>
    <w:rsid w:val="7A512119"/>
    <w:rsid w:val="7A523156"/>
    <w:rsid w:val="7A5F28BC"/>
    <w:rsid w:val="7A6034EC"/>
    <w:rsid w:val="7A64724F"/>
    <w:rsid w:val="7A72364E"/>
    <w:rsid w:val="7A726F30"/>
    <w:rsid w:val="7A784499"/>
    <w:rsid w:val="7A7C4F56"/>
    <w:rsid w:val="7A864519"/>
    <w:rsid w:val="7A8758CD"/>
    <w:rsid w:val="7A8C2B0C"/>
    <w:rsid w:val="7A8E5B83"/>
    <w:rsid w:val="7A9102F8"/>
    <w:rsid w:val="7A9B2D4F"/>
    <w:rsid w:val="7A9E1180"/>
    <w:rsid w:val="7A9E3682"/>
    <w:rsid w:val="7AA37E55"/>
    <w:rsid w:val="7AA608CD"/>
    <w:rsid w:val="7AAC4F5C"/>
    <w:rsid w:val="7AB44797"/>
    <w:rsid w:val="7AB50B66"/>
    <w:rsid w:val="7AB65327"/>
    <w:rsid w:val="7AB97D65"/>
    <w:rsid w:val="7ABA0095"/>
    <w:rsid w:val="7ABB6F4D"/>
    <w:rsid w:val="7AC15EB2"/>
    <w:rsid w:val="7ACA5466"/>
    <w:rsid w:val="7ACC115A"/>
    <w:rsid w:val="7AD42138"/>
    <w:rsid w:val="7AD45C10"/>
    <w:rsid w:val="7AD47ACF"/>
    <w:rsid w:val="7AD7089F"/>
    <w:rsid w:val="7AD93877"/>
    <w:rsid w:val="7ADB4FCA"/>
    <w:rsid w:val="7AE229B5"/>
    <w:rsid w:val="7AEB79EC"/>
    <w:rsid w:val="7AF94C45"/>
    <w:rsid w:val="7AFC3B5F"/>
    <w:rsid w:val="7B0919CD"/>
    <w:rsid w:val="7B0A6A9B"/>
    <w:rsid w:val="7B0D2818"/>
    <w:rsid w:val="7B123D44"/>
    <w:rsid w:val="7B1D7C08"/>
    <w:rsid w:val="7B223885"/>
    <w:rsid w:val="7B2F76A8"/>
    <w:rsid w:val="7B364826"/>
    <w:rsid w:val="7B3C3C15"/>
    <w:rsid w:val="7B3F069E"/>
    <w:rsid w:val="7B3F6316"/>
    <w:rsid w:val="7B444776"/>
    <w:rsid w:val="7B474C85"/>
    <w:rsid w:val="7B52366F"/>
    <w:rsid w:val="7B531250"/>
    <w:rsid w:val="7B56292C"/>
    <w:rsid w:val="7B5B492D"/>
    <w:rsid w:val="7B5B7325"/>
    <w:rsid w:val="7B6306B1"/>
    <w:rsid w:val="7B66643B"/>
    <w:rsid w:val="7B6C344B"/>
    <w:rsid w:val="7B7315D6"/>
    <w:rsid w:val="7B7C47A9"/>
    <w:rsid w:val="7B94175A"/>
    <w:rsid w:val="7B947AED"/>
    <w:rsid w:val="7B994E29"/>
    <w:rsid w:val="7B9C5739"/>
    <w:rsid w:val="7BA30736"/>
    <w:rsid w:val="7BA43E56"/>
    <w:rsid w:val="7BA46C4D"/>
    <w:rsid w:val="7BA55136"/>
    <w:rsid w:val="7BAA39C4"/>
    <w:rsid w:val="7BB21BCE"/>
    <w:rsid w:val="7BB87930"/>
    <w:rsid w:val="7BBF3362"/>
    <w:rsid w:val="7BC10FD1"/>
    <w:rsid w:val="7BC57958"/>
    <w:rsid w:val="7BD5403F"/>
    <w:rsid w:val="7BE40725"/>
    <w:rsid w:val="7BE97AEA"/>
    <w:rsid w:val="7BEB4C25"/>
    <w:rsid w:val="7C05076A"/>
    <w:rsid w:val="7C06069C"/>
    <w:rsid w:val="7C180715"/>
    <w:rsid w:val="7C224DAA"/>
    <w:rsid w:val="7C232FFC"/>
    <w:rsid w:val="7C2823C0"/>
    <w:rsid w:val="7C292470"/>
    <w:rsid w:val="7C293B31"/>
    <w:rsid w:val="7C2E374F"/>
    <w:rsid w:val="7C322541"/>
    <w:rsid w:val="7C365871"/>
    <w:rsid w:val="7C552BD0"/>
    <w:rsid w:val="7C55469F"/>
    <w:rsid w:val="7C5E5BA0"/>
    <w:rsid w:val="7C605FFE"/>
    <w:rsid w:val="7C60651C"/>
    <w:rsid w:val="7C654C07"/>
    <w:rsid w:val="7C68464B"/>
    <w:rsid w:val="7C6855B6"/>
    <w:rsid w:val="7C714D3F"/>
    <w:rsid w:val="7C7B56C3"/>
    <w:rsid w:val="7C866DDF"/>
    <w:rsid w:val="7C8A57FB"/>
    <w:rsid w:val="7C947A56"/>
    <w:rsid w:val="7CA33B0F"/>
    <w:rsid w:val="7CA81753"/>
    <w:rsid w:val="7CA83FAA"/>
    <w:rsid w:val="7CB71996"/>
    <w:rsid w:val="7CB82DCD"/>
    <w:rsid w:val="7CB90024"/>
    <w:rsid w:val="7CC3658D"/>
    <w:rsid w:val="7CD45C1A"/>
    <w:rsid w:val="7CDD1E20"/>
    <w:rsid w:val="7CE57657"/>
    <w:rsid w:val="7CEE4091"/>
    <w:rsid w:val="7CF8678F"/>
    <w:rsid w:val="7CF9762A"/>
    <w:rsid w:val="7D0249CF"/>
    <w:rsid w:val="7D0270B5"/>
    <w:rsid w:val="7D0A5F6A"/>
    <w:rsid w:val="7D0C1CE2"/>
    <w:rsid w:val="7D161E46"/>
    <w:rsid w:val="7D190045"/>
    <w:rsid w:val="7D2012E9"/>
    <w:rsid w:val="7D2B758F"/>
    <w:rsid w:val="7D2D3A06"/>
    <w:rsid w:val="7D311748"/>
    <w:rsid w:val="7D3134F6"/>
    <w:rsid w:val="7D392611"/>
    <w:rsid w:val="7D3B0E6C"/>
    <w:rsid w:val="7D3E0BCE"/>
    <w:rsid w:val="7D423956"/>
    <w:rsid w:val="7D430709"/>
    <w:rsid w:val="7D463506"/>
    <w:rsid w:val="7D480D1A"/>
    <w:rsid w:val="7D5770CD"/>
    <w:rsid w:val="7D7210A2"/>
    <w:rsid w:val="7D7653AD"/>
    <w:rsid w:val="7D7B6E68"/>
    <w:rsid w:val="7D7E0D2E"/>
    <w:rsid w:val="7D87235A"/>
    <w:rsid w:val="7D9A2209"/>
    <w:rsid w:val="7D9C0D36"/>
    <w:rsid w:val="7D9F4904"/>
    <w:rsid w:val="7DA56900"/>
    <w:rsid w:val="7DA9460F"/>
    <w:rsid w:val="7DB33051"/>
    <w:rsid w:val="7DBD3851"/>
    <w:rsid w:val="7DC058DA"/>
    <w:rsid w:val="7DC63829"/>
    <w:rsid w:val="7DC80B9A"/>
    <w:rsid w:val="7DC82ED2"/>
    <w:rsid w:val="7DD76549"/>
    <w:rsid w:val="7DD81BC4"/>
    <w:rsid w:val="7DE03DE0"/>
    <w:rsid w:val="7DE65FBE"/>
    <w:rsid w:val="7DF06F0E"/>
    <w:rsid w:val="7DF34C50"/>
    <w:rsid w:val="7DFF6F70"/>
    <w:rsid w:val="7E0329DD"/>
    <w:rsid w:val="7E0429B9"/>
    <w:rsid w:val="7E0635ED"/>
    <w:rsid w:val="7E0B1F99"/>
    <w:rsid w:val="7E0B244A"/>
    <w:rsid w:val="7E0F0CFE"/>
    <w:rsid w:val="7E152E18"/>
    <w:rsid w:val="7E165F9B"/>
    <w:rsid w:val="7E1C2371"/>
    <w:rsid w:val="7E2461C2"/>
    <w:rsid w:val="7E3747C3"/>
    <w:rsid w:val="7E3A00AA"/>
    <w:rsid w:val="7E3B2283"/>
    <w:rsid w:val="7E3F1417"/>
    <w:rsid w:val="7E4053E9"/>
    <w:rsid w:val="7E5C0A47"/>
    <w:rsid w:val="7E5C114D"/>
    <w:rsid w:val="7E5C27F5"/>
    <w:rsid w:val="7E6227E9"/>
    <w:rsid w:val="7E691753"/>
    <w:rsid w:val="7E7044F2"/>
    <w:rsid w:val="7E7D604E"/>
    <w:rsid w:val="7E7E3374"/>
    <w:rsid w:val="7E7F6F38"/>
    <w:rsid w:val="7E80747E"/>
    <w:rsid w:val="7E826950"/>
    <w:rsid w:val="7E8B4B40"/>
    <w:rsid w:val="7E904003"/>
    <w:rsid w:val="7E9064E4"/>
    <w:rsid w:val="7E9B72A0"/>
    <w:rsid w:val="7E9E1215"/>
    <w:rsid w:val="7EA146AC"/>
    <w:rsid w:val="7EA72204"/>
    <w:rsid w:val="7EB0347A"/>
    <w:rsid w:val="7EB503A7"/>
    <w:rsid w:val="7EB73ECF"/>
    <w:rsid w:val="7EB76F44"/>
    <w:rsid w:val="7EB87DE4"/>
    <w:rsid w:val="7ED4627F"/>
    <w:rsid w:val="7EDE320A"/>
    <w:rsid w:val="7EE4759A"/>
    <w:rsid w:val="7EEA6053"/>
    <w:rsid w:val="7EF65558"/>
    <w:rsid w:val="7EF73EBA"/>
    <w:rsid w:val="7EFA4422"/>
    <w:rsid w:val="7EFF5CB3"/>
    <w:rsid w:val="7F042813"/>
    <w:rsid w:val="7F121106"/>
    <w:rsid w:val="7F143E29"/>
    <w:rsid w:val="7F1C60C1"/>
    <w:rsid w:val="7F207CC7"/>
    <w:rsid w:val="7F330654"/>
    <w:rsid w:val="7F380338"/>
    <w:rsid w:val="7F3D67B8"/>
    <w:rsid w:val="7F3E639F"/>
    <w:rsid w:val="7F457622"/>
    <w:rsid w:val="7F460DAF"/>
    <w:rsid w:val="7F5565BE"/>
    <w:rsid w:val="7F587460"/>
    <w:rsid w:val="7F5C3116"/>
    <w:rsid w:val="7F6168C1"/>
    <w:rsid w:val="7F625BE9"/>
    <w:rsid w:val="7F6310A6"/>
    <w:rsid w:val="7F675D28"/>
    <w:rsid w:val="7F71060A"/>
    <w:rsid w:val="7F721BA4"/>
    <w:rsid w:val="7F736048"/>
    <w:rsid w:val="7F7405C7"/>
    <w:rsid w:val="7F791185"/>
    <w:rsid w:val="7F7F75D9"/>
    <w:rsid w:val="7F86163C"/>
    <w:rsid w:val="7F9327C9"/>
    <w:rsid w:val="7F9541FE"/>
    <w:rsid w:val="7F9650A7"/>
    <w:rsid w:val="7F9B7217"/>
    <w:rsid w:val="7F9F508F"/>
    <w:rsid w:val="7FA03539"/>
    <w:rsid w:val="7FA709E5"/>
    <w:rsid w:val="7FAD2DB0"/>
    <w:rsid w:val="7FC20D7E"/>
    <w:rsid w:val="7FDC2F56"/>
    <w:rsid w:val="7FE7295A"/>
    <w:rsid w:val="7FEE321F"/>
    <w:rsid w:val="7FF01447"/>
    <w:rsid w:val="7FF36D51"/>
    <w:rsid w:val="7FF856DE"/>
    <w:rsid w:val="7FFD7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nhideWhenUsed="0" w:uiPriority="99" w:semiHidden="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39" w:semiHidden="0" w:name="toc 4" w:locked="1"/>
    <w:lsdException w:qFormat="1" w:unhideWhenUsed="0"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0"/>
    <w:autoRedefine/>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58"/>
    <w:autoRedefine/>
    <w:qFormat/>
    <w:uiPriority w:val="99"/>
    <w:pPr>
      <w:keepNext/>
      <w:keepLines/>
      <w:spacing w:line="413" w:lineRule="auto"/>
      <w:jc w:val="center"/>
      <w:outlineLvl w:val="1"/>
    </w:pPr>
    <w:rPr>
      <w:rFonts w:ascii="Arial" w:hAnsi="Arial"/>
      <w:b/>
      <w:sz w:val="28"/>
    </w:rPr>
  </w:style>
  <w:style w:type="paragraph" w:styleId="4">
    <w:name w:val="heading 3"/>
    <w:basedOn w:val="1"/>
    <w:next w:val="1"/>
    <w:link w:val="59"/>
    <w:autoRedefine/>
    <w:qFormat/>
    <w:uiPriority w:val="99"/>
    <w:pPr>
      <w:keepNext/>
      <w:keepLines/>
      <w:spacing w:line="413" w:lineRule="auto"/>
      <w:outlineLvl w:val="2"/>
    </w:pPr>
    <w:rPr>
      <w:b/>
      <w:sz w:val="28"/>
    </w:rPr>
  </w:style>
  <w:style w:type="paragraph" w:styleId="5">
    <w:name w:val="heading 4"/>
    <w:basedOn w:val="1"/>
    <w:next w:val="1"/>
    <w:autoRedefine/>
    <w:unhideWhenUsed/>
    <w:qFormat/>
    <w:locked/>
    <w:uiPriority w:val="0"/>
    <w:pPr>
      <w:keepNext/>
      <w:keepLines/>
      <w:jc w:val="left"/>
      <w:outlineLvl w:val="3"/>
    </w:pPr>
    <w:rPr>
      <w:rFonts w:hint="eastAsia" w:ascii="Arial" w:hAnsi="Arial"/>
      <w:b/>
      <w:sz w:val="32"/>
    </w:rPr>
  </w:style>
  <w:style w:type="paragraph" w:styleId="6">
    <w:name w:val="heading 5"/>
    <w:basedOn w:val="1"/>
    <w:next w:val="1"/>
    <w:autoRedefine/>
    <w:qFormat/>
    <w:locked/>
    <w:uiPriority w:val="0"/>
    <w:pPr>
      <w:keepNext/>
      <w:keepLines/>
      <w:spacing w:before="280" w:beforeLines="0" w:after="290" w:afterLines="0" w:line="372" w:lineRule="auto"/>
      <w:outlineLvl w:val="4"/>
    </w:pPr>
    <w:rPr>
      <w:b/>
      <w:bCs/>
      <w:kern w:val="2"/>
      <w:sz w:val="28"/>
      <w:szCs w:val="28"/>
    </w:rPr>
  </w:style>
  <w:style w:type="paragraph" w:styleId="7">
    <w:name w:val="heading 6"/>
    <w:basedOn w:val="1"/>
    <w:next w:val="1"/>
    <w:autoRedefine/>
    <w:qFormat/>
    <w:locked/>
    <w:uiPriority w:val="99"/>
    <w:pPr>
      <w:keepNext/>
      <w:keepLines/>
      <w:spacing w:before="240" w:after="64" w:line="320" w:lineRule="auto"/>
      <w:outlineLvl w:val="5"/>
    </w:pPr>
    <w:rPr>
      <w:rFonts w:ascii="Calibri Light" w:hAnsi="Calibri Light" w:eastAsia="宋体"/>
      <w:b/>
      <w:bCs/>
      <w:sz w:val="24"/>
    </w:rPr>
  </w:style>
  <w:style w:type="paragraph" w:styleId="8">
    <w:name w:val="heading 8"/>
    <w:basedOn w:val="1"/>
    <w:next w:val="1"/>
    <w:autoRedefine/>
    <w:qFormat/>
    <w:locked/>
    <w:uiPriority w:val="1"/>
    <w:pPr>
      <w:spacing w:before="1"/>
      <w:ind w:left="223"/>
      <w:outlineLvl w:val="8"/>
    </w:pPr>
    <w:rPr>
      <w:rFonts w:ascii="宋体" w:hAnsi="宋体" w:eastAsia="宋体" w:cs="宋体"/>
      <w:b/>
      <w:bCs/>
      <w:sz w:val="24"/>
      <w:szCs w:val="24"/>
      <w:lang w:val="zh-CN" w:eastAsia="zh-CN" w:bidi="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99"/>
    <w:pPr>
      <w:ind w:firstLine="420"/>
    </w:pPr>
    <w:rPr>
      <w:szCs w:val="20"/>
    </w:rPr>
  </w:style>
  <w:style w:type="paragraph" w:styleId="10">
    <w:name w:val="Document Map"/>
    <w:basedOn w:val="1"/>
    <w:next w:val="1"/>
    <w:qFormat/>
    <w:uiPriority w:val="0"/>
    <w:rPr>
      <w:rFonts w:ascii="宋体"/>
      <w:sz w:val="18"/>
      <w:szCs w:val="18"/>
    </w:rPr>
  </w:style>
  <w:style w:type="paragraph" w:styleId="11">
    <w:name w:val="annotation text"/>
    <w:basedOn w:val="1"/>
    <w:link w:val="60"/>
    <w:autoRedefine/>
    <w:qFormat/>
    <w:uiPriority w:val="99"/>
    <w:pPr>
      <w:jc w:val="left"/>
    </w:pPr>
    <w:rPr>
      <w:rFonts w:ascii="宋体"/>
      <w:kern w:val="0"/>
      <w:sz w:val="34"/>
    </w:rPr>
  </w:style>
  <w:style w:type="paragraph" w:styleId="12">
    <w:name w:val="Body Text"/>
    <w:basedOn w:val="1"/>
    <w:next w:val="1"/>
    <w:link w:val="61"/>
    <w:autoRedefine/>
    <w:qFormat/>
    <w:uiPriority w:val="99"/>
  </w:style>
  <w:style w:type="paragraph" w:styleId="13">
    <w:name w:val="Body Text Indent"/>
    <w:basedOn w:val="1"/>
    <w:autoRedefine/>
    <w:unhideWhenUsed/>
    <w:qFormat/>
    <w:uiPriority w:val="99"/>
    <w:pPr>
      <w:ind w:left="420" w:leftChars="200"/>
    </w:pPr>
  </w:style>
  <w:style w:type="paragraph" w:styleId="14">
    <w:name w:val="toc 5"/>
    <w:basedOn w:val="1"/>
    <w:next w:val="1"/>
    <w:autoRedefine/>
    <w:qFormat/>
    <w:locked/>
    <w:uiPriority w:val="39"/>
    <w:pPr>
      <w:tabs>
        <w:tab w:val="right" w:leader="dot" w:pos="8296"/>
      </w:tabs>
      <w:ind w:left="1050" w:leftChars="500"/>
    </w:pPr>
  </w:style>
  <w:style w:type="paragraph" w:styleId="15">
    <w:name w:val="toc 3"/>
    <w:basedOn w:val="1"/>
    <w:next w:val="1"/>
    <w:autoRedefine/>
    <w:qFormat/>
    <w:uiPriority w:val="99"/>
    <w:pPr>
      <w:ind w:left="840" w:leftChars="400"/>
    </w:pPr>
  </w:style>
  <w:style w:type="paragraph" w:styleId="16">
    <w:name w:val="Plain Text"/>
    <w:basedOn w:val="1"/>
    <w:link w:val="62"/>
    <w:autoRedefine/>
    <w:qFormat/>
    <w:uiPriority w:val="99"/>
    <w:pPr>
      <w:spacing w:line="324" w:lineRule="auto"/>
    </w:pPr>
    <w:rPr>
      <w:rFonts w:ascii="宋体" w:hAnsi="Courier New" w:cs="Courier New"/>
      <w:szCs w:val="21"/>
    </w:rPr>
  </w:style>
  <w:style w:type="paragraph" w:styleId="17">
    <w:name w:val="Date"/>
    <w:basedOn w:val="1"/>
    <w:next w:val="1"/>
    <w:autoRedefine/>
    <w:semiHidden/>
    <w:unhideWhenUsed/>
    <w:qFormat/>
    <w:uiPriority w:val="99"/>
    <w:rPr>
      <w:rFonts w:ascii="Copperplate Gothic Bold" w:hAnsi="Copperplate Gothic Bold"/>
      <w:sz w:val="32"/>
      <w:szCs w:val="20"/>
    </w:rPr>
  </w:style>
  <w:style w:type="paragraph" w:styleId="18">
    <w:name w:val="Body Text Indent 2"/>
    <w:basedOn w:val="1"/>
    <w:link w:val="63"/>
    <w:autoRedefine/>
    <w:qFormat/>
    <w:uiPriority w:val="99"/>
    <w:pPr>
      <w:spacing w:after="120" w:line="480" w:lineRule="auto"/>
      <w:ind w:left="420" w:leftChars="200"/>
    </w:pPr>
  </w:style>
  <w:style w:type="paragraph" w:styleId="19">
    <w:name w:val="Balloon Text"/>
    <w:basedOn w:val="1"/>
    <w:link w:val="64"/>
    <w:autoRedefine/>
    <w:qFormat/>
    <w:uiPriority w:val="99"/>
    <w:rPr>
      <w:sz w:val="18"/>
      <w:szCs w:val="18"/>
    </w:rPr>
  </w:style>
  <w:style w:type="paragraph" w:styleId="20">
    <w:name w:val="footer"/>
    <w:basedOn w:val="1"/>
    <w:link w:val="65"/>
    <w:autoRedefine/>
    <w:qFormat/>
    <w:uiPriority w:val="99"/>
    <w:pPr>
      <w:tabs>
        <w:tab w:val="center" w:pos="4153"/>
        <w:tab w:val="right" w:pos="8306"/>
      </w:tabs>
      <w:snapToGrid w:val="0"/>
      <w:jc w:val="left"/>
    </w:pPr>
    <w:rPr>
      <w:sz w:val="18"/>
      <w:szCs w:val="18"/>
    </w:rPr>
  </w:style>
  <w:style w:type="paragraph" w:styleId="21">
    <w:name w:val="header"/>
    <w:basedOn w:val="1"/>
    <w:link w:val="66"/>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locked/>
    <w:uiPriority w:val="39"/>
    <w:pPr>
      <w:tabs>
        <w:tab w:val="left" w:pos="1890"/>
        <w:tab w:val="right" w:leader="dot" w:pos="8296"/>
      </w:tabs>
      <w:ind w:left="630" w:leftChars="300"/>
    </w:pPr>
  </w:style>
  <w:style w:type="paragraph" w:styleId="24">
    <w:name w:val="footnote text"/>
    <w:basedOn w:val="1"/>
    <w:next w:val="21"/>
    <w:autoRedefine/>
    <w:qFormat/>
    <w:uiPriority w:val="0"/>
    <w:pPr>
      <w:snapToGrid w:val="0"/>
      <w:jc w:val="left"/>
    </w:pPr>
  </w:style>
  <w:style w:type="paragraph" w:styleId="25">
    <w:name w:val="toc 2"/>
    <w:basedOn w:val="1"/>
    <w:next w:val="1"/>
    <w:autoRedefine/>
    <w:qFormat/>
    <w:uiPriority w:val="39"/>
    <w:pPr>
      <w:ind w:left="420" w:leftChars="200"/>
    </w:pPr>
  </w:style>
  <w:style w:type="paragraph" w:styleId="26">
    <w:name w:val="Body Text 2"/>
    <w:basedOn w:val="1"/>
    <w:link w:val="67"/>
    <w:autoRedefine/>
    <w:qFormat/>
    <w:uiPriority w:val="99"/>
    <w:pPr>
      <w:jc w:val="center"/>
    </w:pPr>
    <w:rPr>
      <w:b/>
      <w:spacing w:val="-20"/>
      <w:w w:val="130"/>
      <w:sz w:val="48"/>
      <w:szCs w:val="20"/>
    </w:rPr>
  </w:style>
  <w:style w:type="paragraph" w:styleId="2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1"/>
    <w:next w:val="11"/>
    <w:link w:val="86"/>
    <w:autoRedefine/>
    <w:semiHidden/>
    <w:unhideWhenUsed/>
    <w:qFormat/>
    <w:uiPriority w:val="99"/>
    <w:rPr>
      <w:rFonts w:ascii="Calibri"/>
      <w:b/>
      <w:bCs/>
      <w:kern w:val="2"/>
      <w:sz w:val="21"/>
    </w:rPr>
  </w:style>
  <w:style w:type="paragraph" w:styleId="30">
    <w:name w:val="Body Text First Indent"/>
    <w:basedOn w:val="12"/>
    <w:next w:val="31"/>
    <w:autoRedefine/>
    <w:unhideWhenUsed/>
    <w:qFormat/>
    <w:uiPriority w:val="99"/>
    <w:pPr>
      <w:ind w:firstLine="420" w:firstLineChars="100"/>
    </w:pPr>
  </w:style>
  <w:style w:type="paragraph" w:styleId="31">
    <w:name w:val="Body Text First Indent 2"/>
    <w:basedOn w:val="13"/>
    <w:next w:val="1"/>
    <w:autoRedefine/>
    <w:qFormat/>
    <w:uiPriority w:val="0"/>
    <w:pPr>
      <w:ind w:firstLine="420" w:firstLineChars="200"/>
    </w:pPr>
  </w:style>
  <w:style w:type="table" w:styleId="33">
    <w:name w:val="Table Grid"/>
    <w:basedOn w:val="3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99"/>
    <w:rPr>
      <w:rFonts w:cs="Times New Roman"/>
      <w:b/>
      <w:sz w:val="24"/>
      <w:szCs w:val="24"/>
    </w:rPr>
  </w:style>
  <w:style w:type="character" w:styleId="36">
    <w:name w:val="page number"/>
    <w:basedOn w:val="34"/>
    <w:autoRedefine/>
    <w:qFormat/>
    <w:uiPriority w:val="99"/>
    <w:rPr>
      <w:rFonts w:cs="Times New Roman"/>
    </w:rPr>
  </w:style>
  <w:style w:type="character" w:styleId="37">
    <w:name w:val="FollowedHyperlink"/>
    <w:basedOn w:val="34"/>
    <w:autoRedefine/>
    <w:semiHidden/>
    <w:unhideWhenUsed/>
    <w:qFormat/>
    <w:uiPriority w:val="99"/>
    <w:rPr>
      <w:rFonts w:hint="eastAsia" w:ascii="宋体" w:hAnsi="宋体" w:eastAsia="宋体" w:cs="宋体"/>
      <w:color w:val="000000"/>
      <w:sz w:val="18"/>
      <w:szCs w:val="18"/>
      <w:u w:val="none"/>
    </w:rPr>
  </w:style>
  <w:style w:type="character" w:styleId="38">
    <w:name w:val="Emphasis"/>
    <w:basedOn w:val="34"/>
    <w:autoRedefine/>
    <w:qFormat/>
    <w:uiPriority w:val="99"/>
    <w:rPr>
      <w:rFonts w:cs="Times New Roman"/>
      <w:i/>
      <w:iCs/>
    </w:rPr>
  </w:style>
  <w:style w:type="character" w:styleId="39">
    <w:name w:val="HTML Definition"/>
    <w:basedOn w:val="34"/>
    <w:autoRedefine/>
    <w:semiHidden/>
    <w:unhideWhenUsed/>
    <w:qFormat/>
    <w:uiPriority w:val="99"/>
  </w:style>
  <w:style w:type="character" w:styleId="40">
    <w:name w:val="HTML Variable"/>
    <w:basedOn w:val="34"/>
    <w:autoRedefine/>
    <w:semiHidden/>
    <w:unhideWhenUsed/>
    <w:qFormat/>
    <w:uiPriority w:val="99"/>
  </w:style>
  <w:style w:type="character" w:styleId="41">
    <w:name w:val="Hyperlink"/>
    <w:basedOn w:val="34"/>
    <w:autoRedefine/>
    <w:qFormat/>
    <w:uiPriority w:val="99"/>
    <w:rPr>
      <w:rFonts w:cs="Times New Roman"/>
      <w:color w:val="0000FF"/>
      <w:u w:val="single"/>
    </w:rPr>
  </w:style>
  <w:style w:type="character" w:styleId="42">
    <w:name w:val="HTML Code"/>
    <w:basedOn w:val="34"/>
    <w:autoRedefine/>
    <w:semiHidden/>
    <w:unhideWhenUsed/>
    <w:qFormat/>
    <w:uiPriority w:val="99"/>
    <w:rPr>
      <w:rFonts w:hint="default" w:ascii="Consolas" w:hAnsi="Consolas" w:eastAsia="Consolas" w:cs="Consolas"/>
      <w:color w:val="C7254E"/>
      <w:sz w:val="21"/>
      <w:szCs w:val="21"/>
      <w:shd w:val="clear" w:color="auto" w:fill="F9F2F4"/>
    </w:rPr>
  </w:style>
  <w:style w:type="character" w:styleId="43">
    <w:name w:val="annotation reference"/>
    <w:basedOn w:val="34"/>
    <w:autoRedefine/>
    <w:qFormat/>
    <w:uiPriority w:val="99"/>
    <w:rPr>
      <w:rFonts w:cs="Times New Roman"/>
      <w:sz w:val="21"/>
    </w:rPr>
  </w:style>
  <w:style w:type="character" w:styleId="44">
    <w:name w:val="HTML Cite"/>
    <w:basedOn w:val="34"/>
    <w:autoRedefine/>
    <w:qFormat/>
    <w:uiPriority w:val="99"/>
    <w:rPr>
      <w:rFonts w:cs="Times New Roman"/>
      <w:sz w:val="24"/>
      <w:szCs w:val="24"/>
    </w:rPr>
  </w:style>
  <w:style w:type="character" w:styleId="45">
    <w:name w:val="HTML Keyboard"/>
    <w:basedOn w:val="34"/>
    <w:autoRedefine/>
    <w:semiHidden/>
    <w:unhideWhenUsed/>
    <w:qFormat/>
    <w:uiPriority w:val="99"/>
    <w:rPr>
      <w:rFonts w:ascii="Consolas" w:hAnsi="Consolas" w:eastAsia="Consolas" w:cs="Consolas"/>
      <w:color w:val="FFFFFF"/>
      <w:sz w:val="21"/>
      <w:szCs w:val="21"/>
      <w:shd w:val="clear" w:color="auto" w:fill="333333"/>
    </w:rPr>
  </w:style>
  <w:style w:type="character" w:styleId="46">
    <w:name w:val="HTML Sample"/>
    <w:basedOn w:val="34"/>
    <w:autoRedefine/>
    <w:semiHidden/>
    <w:unhideWhenUsed/>
    <w:qFormat/>
    <w:uiPriority w:val="99"/>
    <w:rPr>
      <w:rFonts w:hint="default" w:ascii="Consolas" w:hAnsi="Consolas" w:eastAsia="Consolas" w:cs="Consolas"/>
      <w:sz w:val="21"/>
      <w:szCs w:val="21"/>
    </w:rPr>
  </w:style>
  <w:style w:type="paragraph" w:customStyle="1" w:styleId="47">
    <w:name w:val="正文缩进1"/>
    <w:basedOn w:val="1"/>
    <w:next w:val="10"/>
    <w:autoRedefine/>
    <w:qFormat/>
    <w:uiPriority w:val="0"/>
    <w:pPr>
      <w:ind w:firstLine="420" w:firstLineChars="200"/>
    </w:pPr>
  </w:style>
  <w:style w:type="paragraph" w:customStyle="1" w:styleId="48">
    <w:name w:val="样式 首行缩进:  2 字符"/>
    <w:basedOn w:val="1"/>
    <w:autoRedefine/>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9">
    <w:name w:val="首行缩进"/>
    <w:basedOn w:val="1"/>
    <w:autoRedefine/>
    <w:qFormat/>
    <w:uiPriority w:val="99"/>
    <w:pPr>
      <w:ind w:firstLine="480" w:firstLineChars="200"/>
    </w:pPr>
    <w:rPr>
      <w:szCs w:val="22"/>
      <w:lang w:val="zh-CN"/>
    </w:rPr>
  </w:style>
  <w:style w:type="paragraph" w:customStyle="1" w:styleId="50">
    <w:name w:val="页脚1"/>
    <w:basedOn w:val="1"/>
    <w:autoRedefine/>
    <w:qFormat/>
    <w:uiPriority w:val="0"/>
    <w:pPr>
      <w:tabs>
        <w:tab w:val="center" w:pos="4153"/>
        <w:tab w:val="right" w:pos="8306"/>
      </w:tabs>
      <w:snapToGrid w:val="0"/>
      <w:jc w:val="left"/>
    </w:pPr>
    <w:rPr>
      <w:sz w:val="18"/>
      <w:szCs w:val="18"/>
    </w:rPr>
  </w:style>
  <w:style w:type="paragraph" w:customStyle="1" w:styleId="51">
    <w:name w:val="Footer"/>
    <w:basedOn w:val="1"/>
    <w:autoRedefine/>
    <w:qFormat/>
    <w:uiPriority w:val="0"/>
    <w:pPr>
      <w:tabs>
        <w:tab w:val="center" w:pos="4153"/>
        <w:tab w:val="right" w:pos="8306"/>
      </w:tabs>
      <w:snapToGrid w:val="0"/>
      <w:jc w:val="left"/>
    </w:pPr>
    <w:rPr>
      <w:sz w:val="18"/>
      <w:szCs w:val="18"/>
    </w:rPr>
  </w:style>
  <w:style w:type="paragraph" w:customStyle="1" w:styleId="52">
    <w:name w:val="列出段落1"/>
    <w:basedOn w:val="1"/>
    <w:autoRedefine/>
    <w:qFormat/>
    <w:uiPriority w:val="99"/>
    <w:pPr>
      <w:ind w:firstLine="420" w:firstLineChars="200"/>
    </w:pPr>
  </w:style>
  <w:style w:type="paragraph" w:customStyle="1" w:styleId="53">
    <w:name w:val="Default"/>
    <w:basedOn w:val="12"/>
    <w:next w:val="54"/>
    <w:autoRedefine/>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paragraph" w:customStyle="1" w:styleId="54">
    <w:name w:val="标准正文"/>
    <w:basedOn w:val="1"/>
    <w:autoRedefine/>
    <w:qFormat/>
    <w:uiPriority w:val="0"/>
    <w:pPr>
      <w:spacing w:before="156" w:after="156" w:line="360" w:lineRule="auto"/>
      <w:ind w:firstLine="480" w:firstLineChars="200"/>
    </w:pPr>
    <w:rPr>
      <w:kern w:val="0"/>
    </w:rPr>
  </w:style>
  <w:style w:type="paragraph" w:customStyle="1" w:styleId="55">
    <w:name w:val="TOC 标题1"/>
    <w:basedOn w:val="2"/>
    <w:next w:val="1"/>
    <w:autoRedefine/>
    <w:qFormat/>
    <w:uiPriority w:val="0"/>
    <w:pPr>
      <w:spacing w:before="480" w:line="276" w:lineRule="auto"/>
      <w:outlineLvl w:val="9"/>
    </w:pPr>
    <w:rPr>
      <w:rFonts w:ascii="仿宋" w:hAnsi="仿宋" w:eastAsia="仿宋" w:cs="Times New Roman"/>
      <w:color w:val="000000"/>
      <w:kern w:val="0"/>
      <w:szCs w:val="32"/>
    </w:rPr>
  </w:style>
  <w:style w:type="paragraph" w:customStyle="1" w:styleId="56">
    <w:name w:val="无间隔1"/>
    <w:autoRedefine/>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57">
    <w:name w:val="标题 1 Char"/>
    <w:basedOn w:val="34"/>
    <w:link w:val="2"/>
    <w:autoRedefine/>
    <w:qFormat/>
    <w:locked/>
    <w:uiPriority w:val="99"/>
    <w:rPr>
      <w:rFonts w:ascii="Calibri" w:hAnsi="Calibri" w:cs="Times New Roman"/>
      <w:b/>
      <w:bCs/>
      <w:kern w:val="44"/>
      <w:sz w:val="44"/>
      <w:szCs w:val="44"/>
    </w:rPr>
  </w:style>
  <w:style w:type="character" w:customStyle="1" w:styleId="58">
    <w:name w:val="标题 2 Char"/>
    <w:basedOn w:val="34"/>
    <w:link w:val="3"/>
    <w:autoRedefine/>
    <w:semiHidden/>
    <w:qFormat/>
    <w:locked/>
    <w:uiPriority w:val="99"/>
    <w:rPr>
      <w:rFonts w:ascii="Cambria" w:hAnsi="Cambria" w:eastAsia="宋体" w:cs="Times New Roman"/>
      <w:b/>
      <w:bCs/>
      <w:sz w:val="32"/>
      <w:szCs w:val="32"/>
    </w:rPr>
  </w:style>
  <w:style w:type="character" w:customStyle="1" w:styleId="59">
    <w:name w:val="标题 3 Char"/>
    <w:basedOn w:val="34"/>
    <w:link w:val="4"/>
    <w:autoRedefine/>
    <w:semiHidden/>
    <w:qFormat/>
    <w:locked/>
    <w:uiPriority w:val="99"/>
    <w:rPr>
      <w:rFonts w:ascii="Calibri" w:hAnsi="Calibri" w:eastAsia="宋体" w:cs="Times New Roman"/>
      <w:b/>
      <w:bCs/>
      <w:sz w:val="28"/>
      <w:szCs w:val="32"/>
    </w:rPr>
  </w:style>
  <w:style w:type="character" w:customStyle="1" w:styleId="60">
    <w:name w:val="批注文字 Char"/>
    <w:basedOn w:val="34"/>
    <w:link w:val="11"/>
    <w:autoRedefine/>
    <w:qFormat/>
    <w:locked/>
    <w:uiPriority w:val="99"/>
    <w:rPr>
      <w:rFonts w:ascii="宋体" w:hAnsi="Calibri" w:eastAsia="宋体" w:cs="Times New Roman"/>
      <w:sz w:val="22"/>
      <w:szCs w:val="22"/>
    </w:rPr>
  </w:style>
  <w:style w:type="character" w:customStyle="1" w:styleId="61">
    <w:name w:val="正文文本 Char"/>
    <w:basedOn w:val="34"/>
    <w:link w:val="12"/>
    <w:autoRedefine/>
    <w:semiHidden/>
    <w:qFormat/>
    <w:locked/>
    <w:uiPriority w:val="99"/>
    <w:rPr>
      <w:rFonts w:ascii="Calibri" w:hAnsi="Calibri" w:cs="Times New Roman"/>
    </w:rPr>
  </w:style>
  <w:style w:type="character" w:customStyle="1" w:styleId="62">
    <w:name w:val="纯文本 Char"/>
    <w:basedOn w:val="34"/>
    <w:link w:val="16"/>
    <w:autoRedefine/>
    <w:semiHidden/>
    <w:qFormat/>
    <w:locked/>
    <w:uiPriority w:val="99"/>
    <w:rPr>
      <w:rFonts w:ascii="宋体" w:hAnsi="Courier New" w:cs="Courier New"/>
      <w:sz w:val="21"/>
      <w:szCs w:val="21"/>
    </w:rPr>
  </w:style>
  <w:style w:type="character" w:customStyle="1" w:styleId="63">
    <w:name w:val="正文文本缩进 2 Char"/>
    <w:basedOn w:val="34"/>
    <w:link w:val="18"/>
    <w:autoRedefine/>
    <w:semiHidden/>
    <w:qFormat/>
    <w:locked/>
    <w:uiPriority w:val="99"/>
    <w:rPr>
      <w:rFonts w:ascii="Calibri" w:hAnsi="Calibri" w:cs="Times New Roman"/>
    </w:rPr>
  </w:style>
  <w:style w:type="character" w:customStyle="1" w:styleId="64">
    <w:name w:val="批注框文本 Char"/>
    <w:basedOn w:val="34"/>
    <w:link w:val="19"/>
    <w:autoRedefine/>
    <w:qFormat/>
    <w:locked/>
    <w:uiPriority w:val="99"/>
    <w:rPr>
      <w:rFonts w:ascii="Calibri" w:hAnsi="Calibri" w:eastAsia="宋体" w:cs="Times New Roman"/>
      <w:kern w:val="2"/>
      <w:sz w:val="18"/>
      <w:szCs w:val="18"/>
    </w:rPr>
  </w:style>
  <w:style w:type="character" w:customStyle="1" w:styleId="65">
    <w:name w:val="页脚 Char"/>
    <w:basedOn w:val="34"/>
    <w:link w:val="20"/>
    <w:autoRedefine/>
    <w:semiHidden/>
    <w:qFormat/>
    <w:locked/>
    <w:uiPriority w:val="99"/>
    <w:rPr>
      <w:rFonts w:ascii="Calibri" w:hAnsi="Calibri" w:cs="Times New Roman"/>
      <w:sz w:val="18"/>
      <w:szCs w:val="18"/>
    </w:rPr>
  </w:style>
  <w:style w:type="character" w:customStyle="1" w:styleId="66">
    <w:name w:val="页眉 Char"/>
    <w:basedOn w:val="34"/>
    <w:link w:val="21"/>
    <w:autoRedefine/>
    <w:semiHidden/>
    <w:qFormat/>
    <w:locked/>
    <w:uiPriority w:val="99"/>
    <w:rPr>
      <w:rFonts w:ascii="Calibri" w:hAnsi="Calibri" w:cs="Times New Roman"/>
      <w:sz w:val="18"/>
      <w:szCs w:val="18"/>
    </w:rPr>
  </w:style>
  <w:style w:type="character" w:customStyle="1" w:styleId="67">
    <w:name w:val="正文文本 2 Char"/>
    <w:basedOn w:val="34"/>
    <w:link w:val="26"/>
    <w:autoRedefine/>
    <w:semiHidden/>
    <w:qFormat/>
    <w:locked/>
    <w:uiPriority w:val="99"/>
    <w:rPr>
      <w:rFonts w:ascii="Calibri" w:hAnsi="Calibri" w:cs="Times New Roman"/>
    </w:rPr>
  </w:style>
  <w:style w:type="paragraph" w:customStyle="1" w:styleId="68">
    <w:name w:val="Char2 Char Char Char"/>
    <w:basedOn w:val="1"/>
    <w:autoRedefine/>
    <w:qFormat/>
    <w:uiPriority w:val="99"/>
    <w:rPr>
      <w:rFonts w:ascii="Tahoma" w:hAnsi="Tahoma"/>
      <w:sz w:val="24"/>
      <w:szCs w:val="20"/>
    </w:rPr>
  </w:style>
  <w:style w:type="character" w:customStyle="1" w:styleId="69">
    <w:name w:val="10"/>
    <w:basedOn w:val="34"/>
    <w:autoRedefine/>
    <w:qFormat/>
    <w:uiPriority w:val="99"/>
    <w:rPr>
      <w:rFonts w:ascii="Calibri" w:hAnsi="Calibri" w:cs="Times New Roman"/>
    </w:rPr>
  </w:style>
  <w:style w:type="character" w:customStyle="1" w:styleId="70">
    <w:name w:val="15"/>
    <w:basedOn w:val="34"/>
    <w:autoRedefine/>
    <w:qFormat/>
    <w:uiPriority w:val="99"/>
    <w:rPr>
      <w:rFonts w:ascii="Calibri" w:hAnsi="Calibri" w:cs="Times New Roman"/>
      <w:i/>
      <w:iCs/>
    </w:rPr>
  </w:style>
  <w:style w:type="paragraph" w:customStyle="1" w:styleId="71">
    <w:name w:val="_Style 2"/>
    <w:basedOn w:val="1"/>
    <w:autoRedefine/>
    <w:qFormat/>
    <w:uiPriority w:val="99"/>
    <w:pPr>
      <w:ind w:firstLine="420" w:firstLineChars="200"/>
    </w:pPr>
  </w:style>
  <w:style w:type="character" w:customStyle="1" w:styleId="72">
    <w:name w:val="apple-style-span"/>
    <w:autoRedefine/>
    <w:qFormat/>
    <w:uiPriority w:val="99"/>
  </w:style>
  <w:style w:type="character" w:customStyle="1" w:styleId="73">
    <w:name w:val="del"/>
    <w:basedOn w:val="34"/>
    <w:autoRedefine/>
    <w:qFormat/>
    <w:uiPriority w:val="99"/>
    <w:rPr>
      <w:rFonts w:cs="Times New Roman"/>
    </w:rPr>
  </w:style>
  <w:style w:type="character" w:customStyle="1" w:styleId="74">
    <w:name w:val="del1"/>
    <w:basedOn w:val="34"/>
    <w:autoRedefine/>
    <w:qFormat/>
    <w:uiPriority w:val="99"/>
    <w:rPr>
      <w:rFonts w:cs="Times New Roman"/>
      <w:vanish/>
      <w:color w:val="666666"/>
      <w:sz w:val="18"/>
      <w:szCs w:val="18"/>
      <w:u w:val="single"/>
    </w:rPr>
  </w:style>
  <w:style w:type="character" w:customStyle="1" w:styleId="75">
    <w:name w:val="del2"/>
    <w:basedOn w:val="34"/>
    <w:autoRedefine/>
    <w:qFormat/>
    <w:uiPriority w:val="99"/>
    <w:rPr>
      <w:rFonts w:cs="Times New Roman"/>
      <w:vanish/>
    </w:rPr>
  </w:style>
  <w:style w:type="character" w:customStyle="1" w:styleId="76">
    <w:name w:val="del3"/>
    <w:basedOn w:val="34"/>
    <w:autoRedefine/>
    <w:qFormat/>
    <w:uiPriority w:val="99"/>
    <w:rPr>
      <w:rFonts w:cs="Times New Roman"/>
      <w:vanish/>
    </w:rPr>
  </w:style>
  <w:style w:type="paragraph" w:customStyle="1" w:styleId="77">
    <w:name w:val="_Style 4"/>
    <w:basedOn w:val="1"/>
    <w:autoRedefine/>
    <w:qFormat/>
    <w:uiPriority w:val="99"/>
    <w:pPr>
      <w:ind w:firstLine="420" w:firstLineChars="200"/>
    </w:pPr>
  </w:style>
  <w:style w:type="paragraph" w:customStyle="1" w:styleId="78">
    <w:name w:val="pa-1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button"/>
    <w:basedOn w:val="34"/>
    <w:autoRedefine/>
    <w:qFormat/>
    <w:uiPriority w:val="0"/>
  </w:style>
  <w:style w:type="character" w:customStyle="1" w:styleId="80">
    <w:name w:val="tmpztreemove_arrow"/>
    <w:basedOn w:val="34"/>
    <w:autoRedefine/>
    <w:qFormat/>
    <w:uiPriority w:val="0"/>
    <w:rPr>
      <w:shd w:val="clear" w:color="auto" w:fill="FFFFFF"/>
    </w:rPr>
  </w:style>
  <w:style w:type="character" w:customStyle="1" w:styleId="81">
    <w:name w:val="old"/>
    <w:basedOn w:val="34"/>
    <w:autoRedefine/>
    <w:qFormat/>
    <w:uiPriority w:val="0"/>
    <w:rPr>
      <w:color w:val="999999"/>
    </w:rPr>
  </w:style>
  <w:style w:type="character" w:customStyle="1" w:styleId="82">
    <w:name w:val="hover3"/>
    <w:basedOn w:val="34"/>
    <w:autoRedefine/>
    <w:qFormat/>
    <w:uiPriority w:val="0"/>
    <w:rPr>
      <w:shd w:val="clear" w:color="auto" w:fill="EEEEEE"/>
    </w:rPr>
  </w:style>
  <w:style w:type="character" w:customStyle="1" w:styleId="83">
    <w:name w:val="hour_am"/>
    <w:basedOn w:val="34"/>
    <w:autoRedefine/>
    <w:qFormat/>
    <w:uiPriority w:val="0"/>
  </w:style>
  <w:style w:type="character" w:customStyle="1" w:styleId="84">
    <w:name w:val="hour_pm"/>
    <w:basedOn w:val="34"/>
    <w:autoRedefine/>
    <w:qFormat/>
    <w:uiPriority w:val="0"/>
  </w:style>
  <w:style w:type="character" w:customStyle="1" w:styleId="85">
    <w:name w:val="glyphicon4"/>
    <w:basedOn w:val="34"/>
    <w:autoRedefine/>
    <w:qFormat/>
    <w:uiPriority w:val="0"/>
  </w:style>
  <w:style w:type="character" w:customStyle="1" w:styleId="86">
    <w:name w:val="批注主题 Char"/>
    <w:basedOn w:val="60"/>
    <w:link w:val="29"/>
    <w:autoRedefine/>
    <w:semiHidden/>
    <w:qFormat/>
    <w:uiPriority w:val="99"/>
    <w:rPr>
      <w:rFonts w:ascii="Calibri" w:hAnsi="Calibri" w:eastAsia="宋体" w:cs="Times New Roman"/>
      <w:b/>
      <w:bCs/>
      <w:kern w:val="2"/>
      <w:sz w:val="21"/>
      <w:szCs w:val="22"/>
    </w:rPr>
  </w:style>
  <w:style w:type="paragraph" w:styleId="87">
    <w:name w:val="List Paragraph"/>
    <w:basedOn w:val="1"/>
    <w:autoRedefine/>
    <w:unhideWhenUsed/>
    <w:qFormat/>
    <w:uiPriority w:val="99"/>
    <w:pPr>
      <w:ind w:firstLine="420" w:firstLineChars="200"/>
    </w:pPr>
  </w:style>
  <w:style w:type="paragraph" w:customStyle="1" w:styleId="88">
    <w:name w:val="列出段落2"/>
    <w:basedOn w:val="1"/>
    <w:autoRedefine/>
    <w:qFormat/>
    <w:uiPriority w:val="99"/>
    <w:pPr>
      <w:ind w:firstLine="420" w:firstLineChars="200"/>
    </w:pPr>
  </w:style>
  <w:style w:type="paragraph" w:customStyle="1" w:styleId="89">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90">
    <w:name w:val="标题 1 Char1"/>
    <w:basedOn w:val="34"/>
    <w:link w:val="2"/>
    <w:autoRedefine/>
    <w:qFormat/>
    <w:locked/>
    <w:uiPriority w:val="99"/>
    <w:rPr>
      <w:rFonts w:ascii="Times New Roman" w:hAnsi="Times New Roman" w:eastAsia="宋体" w:cs="Times New Roman"/>
      <w:b/>
      <w:kern w:val="44"/>
      <w:sz w:val="32"/>
    </w:rPr>
  </w:style>
  <w:style w:type="table" w:customStyle="1" w:styleId="91">
    <w:name w:val="网格型1"/>
    <w:basedOn w:val="3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hilite6"/>
    <w:basedOn w:val="34"/>
    <w:autoRedefine/>
    <w:qFormat/>
    <w:uiPriority w:val="0"/>
    <w:rPr>
      <w:color w:val="FFFFFF"/>
      <w:shd w:val="clear" w:color="auto" w:fill="666666"/>
    </w:rPr>
  </w:style>
  <w:style w:type="character" w:customStyle="1" w:styleId="93">
    <w:name w:val="xdrichtextbox"/>
    <w:basedOn w:val="34"/>
    <w:autoRedefine/>
    <w:qFormat/>
    <w:uiPriority w:val="0"/>
    <w:rPr>
      <w:color w:val="auto"/>
      <w:sz w:val="18"/>
      <w:szCs w:val="18"/>
      <w:u w:val="none"/>
      <w:bdr w:val="single" w:color="DCDCDC" w:sz="8" w:space="0"/>
      <w:shd w:val="clear" w:color="auto" w:fill="auto"/>
    </w:rPr>
  </w:style>
  <w:style w:type="character" w:customStyle="1" w:styleId="94">
    <w:name w:val="cdropright"/>
    <w:basedOn w:val="34"/>
    <w:autoRedefine/>
    <w:qFormat/>
    <w:uiPriority w:val="0"/>
  </w:style>
  <w:style w:type="character" w:customStyle="1" w:styleId="95">
    <w:name w:val="ico16"/>
    <w:basedOn w:val="34"/>
    <w:autoRedefine/>
    <w:qFormat/>
    <w:uiPriority w:val="0"/>
  </w:style>
  <w:style w:type="character" w:customStyle="1" w:styleId="96">
    <w:name w:val="ico161"/>
    <w:basedOn w:val="34"/>
    <w:autoRedefine/>
    <w:qFormat/>
    <w:uiPriority w:val="0"/>
  </w:style>
  <w:style w:type="character" w:customStyle="1" w:styleId="97">
    <w:name w:val="ico162"/>
    <w:basedOn w:val="34"/>
    <w:autoRedefine/>
    <w:qFormat/>
    <w:uiPriority w:val="0"/>
  </w:style>
  <w:style w:type="character" w:customStyle="1" w:styleId="98">
    <w:name w:val="drapbtn"/>
    <w:basedOn w:val="34"/>
    <w:autoRedefine/>
    <w:qFormat/>
    <w:uiPriority w:val="0"/>
  </w:style>
  <w:style w:type="character" w:customStyle="1" w:styleId="99">
    <w:name w:val="cdropleft"/>
    <w:basedOn w:val="34"/>
    <w:autoRedefine/>
    <w:qFormat/>
    <w:uiPriority w:val="0"/>
  </w:style>
  <w:style w:type="character" w:customStyle="1" w:styleId="100">
    <w:name w:val="active7"/>
    <w:basedOn w:val="34"/>
    <w:autoRedefine/>
    <w:qFormat/>
    <w:uiPriority w:val="0"/>
    <w:rPr>
      <w:color w:val="00FF00"/>
      <w:shd w:val="clear" w:color="auto" w:fill="111111"/>
    </w:rPr>
  </w:style>
  <w:style w:type="character" w:customStyle="1" w:styleId="101">
    <w:name w:val="biggerthanmax"/>
    <w:basedOn w:val="34"/>
    <w:autoRedefine/>
    <w:qFormat/>
    <w:uiPriority w:val="0"/>
    <w:rPr>
      <w:shd w:val="clear" w:color="auto" w:fill="FFFF00"/>
    </w:rPr>
  </w:style>
  <w:style w:type="character" w:customStyle="1" w:styleId="102">
    <w:name w:val="browse_class&gt;span"/>
    <w:basedOn w:val="34"/>
    <w:autoRedefine/>
    <w:qFormat/>
    <w:uiPriority w:val="0"/>
  </w:style>
  <w:style w:type="character" w:customStyle="1" w:styleId="103">
    <w:name w:val="button4"/>
    <w:basedOn w:val="34"/>
    <w:autoRedefine/>
    <w:qFormat/>
    <w:uiPriority w:val="0"/>
  </w:style>
  <w:style w:type="character" w:customStyle="1" w:styleId="104">
    <w:name w:val="w32"/>
    <w:basedOn w:val="34"/>
    <w:autoRedefine/>
    <w:qFormat/>
    <w:uiPriority w:val="0"/>
  </w:style>
  <w:style w:type="character" w:customStyle="1" w:styleId="105">
    <w:name w:val="hover44"/>
    <w:basedOn w:val="34"/>
    <w:autoRedefine/>
    <w:qFormat/>
    <w:uiPriority w:val="0"/>
    <w:rPr>
      <w:color w:val="FFFFFF"/>
    </w:rPr>
  </w:style>
  <w:style w:type="character" w:customStyle="1" w:styleId="106">
    <w:name w:val="estimate_gray"/>
    <w:basedOn w:val="34"/>
    <w:autoRedefine/>
    <w:qFormat/>
    <w:uiPriority w:val="0"/>
    <w:rPr>
      <w:color w:val="FFFFFF"/>
    </w:rPr>
  </w:style>
  <w:style w:type="character" w:customStyle="1" w:styleId="107">
    <w:name w:val="edit_class"/>
    <w:basedOn w:val="34"/>
    <w:autoRedefine/>
    <w:qFormat/>
    <w:uiPriority w:val="0"/>
  </w:style>
  <w:style w:type="character" w:customStyle="1" w:styleId="108">
    <w:name w:val="pagechatarealistclose_box"/>
    <w:basedOn w:val="34"/>
    <w:autoRedefine/>
    <w:qFormat/>
    <w:uiPriority w:val="0"/>
  </w:style>
  <w:style w:type="character" w:customStyle="1" w:styleId="109">
    <w:name w:val="pagechatarealistclose_box1"/>
    <w:basedOn w:val="34"/>
    <w:autoRedefine/>
    <w:qFormat/>
    <w:uiPriority w:val="0"/>
  </w:style>
  <w:style w:type="character" w:customStyle="1" w:styleId="110">
    <w:name w:val="moreaction32"/>
    <w:basedOn w:val="34"/>
    <w:autoRedefine/>
    <w:qFormat/>
    <w:uiPriority w:val="0"/>
  </w:style>
  <w:style w:type="character" w:customStyle="1" w:styleId="111">
    <w:name w:val="liked_gray"/>
    <w:basedOn w:val="34"/>
    <w:autoRedefine/>
    <w:qFormat/>
    <w:uiPriority w:val="0"/>
    <w:rPr>
      <w:color w:val="FFFFFF"/>
    </w:rPr>
  </w:style>
  <w:style w:type="character" w:customStyle="1" w:styleId="112">
    <w:name w:val="cy"/>
    <w:basedOn w:val="34"/>
    <w:autoRedefine/>
    <w:qFormat/>
    <w:uiPriority w:val="0"/>
  </w:style>
  <w:style w:type="character" w:customStyle="1" w:styleId="113">
    <w:name w:val="after"/>
    <w:basedOn w:val="34"/>
    <w:autoRedefine/>
    <w:qFormat/>
    <w:uiPriority w:val="0"/>
    <w:rPr>
      <w:sz w:val="0"/>
      <w:szCs w:val="0"/>
    </w:rPr>
  </w:style>
  <w:style w:type="character" w:customStyle="1" w:styleId="114">
    <w:name w:val="design_class"/>
    <w:basedOn w:val="34"/>
    <w:autoRedefine/>
    <w:qFormat/>
    <w:uiPriority w:val="0"/>
  </w:style>
  <w:style w:type="character" w:customStyle="1" w:styleId="115">
    <w:name w:val="ico1654"/>
    <w:basedOn w:val="34"/>
    <w:autoRedefine/>
    <w:qFormat/>
    <w:uiPriority w:val="0"/>
  </w:style>
  <w:style w:type="character" w:customStyle="1" w:styleId="116">
    <w:name w:val="ico1655"/>
    <w:basedOn w:val="34"/>
    <w:autoRedefine/>
    <w:qFormat/>
    <w:uiPriority w:val="0"/>
  </w:style>
  <w:style w:type="character" w:customStyle="1" w:styleId="117">
    <w:name w:val="ico1656"/>
    <w:basedOn w:val="34"/>
    <w:autoRedefine/>
    <w:qFormat/>
    <w:uiPriority w:val="0"/>
  </w:style>
  <w:style w:type="character" w:customStyle="1" w:styleId="118">
    <w:name w:val="active2"/>
    <w:basedOn w:val="34"/>
    <w:autoRedefine/>
    <w:qFormat/>
    <w:uiPriority w:val="0"/>
    <w:rPr>
      <w:color w:val="00FF00"/>
      <w:shd w:val="clear" w:color="auto" w:fill="111111"/>
    </w:rPr>
  </w:style>
  <w:style w:type="paragraph" w:customStyle="1" w:styleId="119">
    <w:name w:val="xl31"/>
    <w:basedOn w:val="1"/>
    <w:autoRedefine/>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20">
    <w:name w:val="09正文_wh"/>
    <w:autoRedefine/>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21">
    <w:name w:val="样式 标题 1 + 宋体 小二 居中 段前: 15.6 磅 段后: 23.4 磅 行距: 单倍行距"/>
    <w:basedOn w:val="2"/>
    <w:autoRedefine/>
    <w:qFormat/>
    <w:uiPriority w:val="0"/>
    <w:pPr>
      <w:spacing w:before="0" w:after="0" w:line="240" w:lineRule="auto"/>
      <w:jc w:val="center"/>
    </w:pPr>
    <w:rPr>
      <w:rFonts w:ascii="宋体" w:hAnsi="宋体" w:cs="宋体"/>
      <w:sz w:val="36"/>
      <w:szCs w:val="20"/>
    </w:rPr>
  </w:style>
  <w:style w:type="paragraph" w:customStyle="1" w:styleId="122">
    <w:name w:val="Body text|1"/>
    <w:basedOn w:val="1"/>
    <w:autoRedefine/>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paragraph" w:customStyle="1" w:styleId="123">
    <w:name w:val="title1"/>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124">
    <w:name w:val="title1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25">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6">
    <w:name w:val="目录"/>
    <w:basedOn w:val="1"/>
    <w:autoRedefine/>
    <w:qFormat/>
    <w:uiPriority w:val="0"/>
    <w:pPr>
      <w:widowControl/>
      <w:jc w:val="center"/>
    </w:pPr>
    <w:rPr>
      <w:rFonts w:ascii="宋体"/>
      <w:b/>
      <w:kern w:val="0"/>
      <w:sz w:val="36"/>
      <w:szCs w:val="20"/>
    </w:rPr>
  </w:style>
  <w:style w:type="paragraph" w:customStyle="1" w:styleId="127">
    <w:name w:val="title13"/>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28">
    <w:name w:val="Char1"/>
    <w:basedOn w:val="1"/>
    <w:autoRedefine/>
    <w:qFormat/>
    <w:uiPriority w:val="0"/>
    <w:rPr>
      <w:szCs w:val="21"/>
    </w:rPr>
  </w:style>
  <w:style w:type="paragraph" w:customStyle="1" w:styleId="129">
    <w:name w:val="TOC 标题"/>
    <w:basedOn w:val="2"/>
    <w:next w:val="1"/>
    <w:autoRedefine/>
    <w:qFormat/>
    <w:uiPriority w:val="0"/>
    <w:pPr>
      <w:outlineLvl w:val="9"/>
    </w:pPr>
  </w:style>
  <w:style w:type="paragraph" w:styleId="130">
    <w:name w:val="No Spacing"/>
    <w:autoRedefine/>
    <w:qFormat/>
    <w:uiPriority w:val="1"/>
    <w:rPr>
      <w:rFonts w:ascii="Times New Roman" w:hAnsi="Times New Roman" w:eastAsia="宋体" w:cs="Times New Roman"/>
      <w:sz w:val="22"/>
      <w:szCs w:val="22"/>
      <w:lang w:val="en-US" w:eastAsia="zh-CN" w:bidi="ar-SA"/>
    </w:rPr>
  </w:style>
  <w:style w:type="character" w:customStyle="1" w:styleId="131">
    <w:name w:val="NormalCharacter"/>
    <w:link w:val="1"/>
    <w:autoRedefine/>
    <w:qFormat/>
    <w:uiPriority w:val="0"/>
    <w:rPr>
      <w:rFonts w:ascii="Calibri" w:hAnsi="Calibri" w:eastAsia="宋体" w:cs="Times New Roman"/>
      <w:kern w:val="2"/>
      <w:sz w:val="21"/>
      <w:szCs w:val="22"/>
      <w:lang w:val="en-US" w:eastAsia="zh-CN" w:bidi="ar-SA"/>
    </w:rPr>
  </w:style>
  <w:style w:type="paragraph" w:customStyle="1" w:styleId="132">
    <w:name w:val="NormalIndent"/>
    <w:basedOn w:val="1"/>
    <w:autoRedefine/>
    <w:qFormat/>
    <w:uiPriority w:val="0"/>
    <w:pPr>
      <w:ind w:firstLine="420"/>
      <w:jc w:val="both"/>
      <w:textAlignment w:val="baseline"/>
    </w:pPr>
    <w:rPr>
      <w:kern w:val="2"/>
      <w:sz w:val="21"/>
      <w:szCs w:val="21"/>
      <w:lang w:val="en-US" w:eastAsia="zh-CN" w:bidi="ar-SA"/>
    </w:rPr>
  </w:style>
  <w:style w:type="paragraph" w:customStyle="1" w:styleId="133">
    <w:name w:val="Heading4"/>
    <w:basedOn w:val="1"/>
    <w:next w:val="1"/>
    <w:autoRedefine/>
    <w:qFormat/>
    <w:uiPriority w:val="0"/>
    <w:pPr>
      <w:keepNext/>
      <w:spacing w:line="600" w:lineRule="exact"/>
      <w:jc w:val="center"/>
      <w:textAlignment w:val="baseline"/>
    </w:pPr>
    <w:rPr>
      <w:rFonts w:ascii="楷体_GB2312" w:eastAsia="楷体_GB2312"/>
      <w:kern w:val="2"/>
      <w:sz w:val="32"/>
      <w:lang w:val="en-US" w:eastAsia="zh-CN" w:bidi="ar-SA"/>
    </w:rPr>
  </w:style>
  <w:style w:type="paragraph" w:customStyle="1" w:styleId="13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5">
    <w:name w:val="Char"/>
    <w:basedOn w:val="1"/>
    <w:autoRedefine/>
    <w:qFormat/>
    <w:uiPriority w:val="0"/>
    <w:pPr>
      <w:adjustRightInd/>
      <w:snapToGrid/>
      <w:ind w:firstLine="0" w:firstLineChars="0"/>
    </w:pPr>
    <w:rPr>
      <w:sz w:val="21"/>
      <w:szCs w:val="24"/>
    </w:rPr>
  </w:style>
  <w:style w:type="table" w:customStyle="1" w:styleId="136">
    <w:name w:val="Table Normal"/>
    <w:autoRedefine/>
    <w:semiHidden/>
    <w:unhideWhenUsed/>
    <w:qFormat/>
    <w:uiPriority w:val="0"/>
    <w:tblPr>
      <w:tblCellMar>
        <w:top w:w="0" w:type="dxa"/>
        <w:left w:w="0" w:type="dxa"/>
        <w:bottom w:w="0" w:type="dxa"/>
        <w:right w:w="0" w:type="dxa"/>
      </w:tblCellMar>
    </w:tblPr>
  </w:style>
  <w:style w:type="paragraph" w:customStyle="1" w:styleId="13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B5D24-68F6-4D0F-B108-2E0C39EC97F2}">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15345</Words>
  <Characters>16167</Characters>
  <Lines>220</Lines>
  <Paragraphs>61</Paragraphs>
  <TotalTime>19</TotalTime>
  <ScaleCrop>false</ScaleCrop>
  <LinksUpToDate>false</LinksUpToDate>
  <CharactersWithSpaces>16404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cp:lastPrinted>2025-04-23T01:42:00Z</cp:lastPrinted>
  <dcterms:modified xsi:type="dcterms:W3CDTF">2025-04-25T08:25:03Z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AC97BDD31E464906B21C8743B80EF895_13</vt:lpwstr>
  </property>
  <property fmtid="{D5CDD505-2E9C-101B-9397-08002B2CF9AE}" pid="4" name="KSOTemplateDocerSaveRecord">
    <vt:lpwstr>eyJoZGlkIjoiNDdkY2QwNzZiMDQwNmNhYjg5ZGM0MjFjNTE2Yjk5ZTgifQ==</vt:lpwstr>
  </property>
</Properties>
</file>