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C7042">
      <w:pPr>
        <w:pStyle w:val="4"/>
        <w:bidi w:val="0"/>
        <w:rPr>
          <w:rFonts w:hint="eastAsia"/>
          <w:highlight w:val="none"/>
          <w:lang w:val="en-US" w:eastAsia="zh-CN"/>
        </w:rPr>
      </w:pPr>
      <w:r>
        <w:rPr>
          <w:rFonts w:hint="eastAsia"/>
          <w:highlight w:val="none"/>
          <w:lang w:val="en-US" w:eastAsia="zh-CN"/>
        </w:rPr>
        <w:t>采购需求</w:t>
      </w:r>
    </w:p>
    <w:p w14:paraId="2E23FA24">
      <w:pPr>
        <w:pStyle w:val="4"/>
        <w:bidi w:val="0"/>
        <w:jc w:val="left"/>
        <w:rPr>
          <w:rFonts w:hint="eastAsia"/>
          <w:sz w:val="28"/>
          <w:szCs w:val="24"/>
          <w:highlight w:val="none"/>
          <w:lang w:val="en-US" w:eastAsia="zh-CN"/>
        </w:rPr>
      </w:pPr>
      <w:r>
        <w:rPr>
          <w:rFonts w:hint="eastAsia"/>
          <w:sz w:val="28"/>
          <w:szCs w:val="24"/>
          <w:highlight w:val="none"/>
          <w:lang w:val="en-US" w:eastAsia="zh-CN"/>
        </w:rPr>
        <w:t>采购包1：</w:t>
      </w:r>
    </w:p>
    <w:p w14:paraId="06025B9F">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当前，突发水环境污染事件仍处于高发态势，“十三五”以来，由生态环境部直接调度和处置的突发水环境污染事件占全国突发环境事件的比例超过60%。随着我国经济社会不断发展和环境质量逐渐改善，公众对于健康和生态环境安全的需求正在快速提升。突发水污染事件影响范围广、危害程度大、处置难度高，是环境应急工作的重点和难点。在这种形势下，如何及时、科学、有效地处置突发水环境污染事件，努力减轻影响和损失，保障公众健康与水环境安全，已成为我国环境应急管理亟待解决的问题。</w:t>
      </w:r>
    </w:p>
    <w:p w14:paraId="3418BAD1">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汉江是长江中游最大支流，发源于宁强县蟠塚山，干流全长1577km，流经陕西、湖北两省，支流延展至甘肃、四川、重庆、河南四省（市），总流域面积约15.9万km²。陕西省位于汉江上游段，境内干流河长652km，流域面积5.48万km²。干流勉县武侯镇以上为源头段，河长58km，流域面积3092km²；武侯镇至洋县小峡口入峡谷为汉中平川段，小峡口以上干流河长119.5km，流域面积1.42万km²；安康市城区以上干流河长509km，流域面积4.14万km²，石泉至安康河段长188km，安康至旬阳、白河河段分别为45km和145km。陕西省汉江流域水系发育，河网密度大，水系呈放射状分布，北岸支流主要有褒河、湑水河等16条，南岸支流主要有牧马河、任河等16条。编制汉江流域环境应急水利调度方案，旨在科学应对防范汉江流域可能突发环境事件，最大限度降低区域突发环境事件损失。</w:t>
      </w:r>
    </w:p>
    <w:p w14:paraId="26B90917">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（一）工作内容：</w:t>
      </w:r>
    </w:p>
    <w:p w14:paraId="057FF8BF">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1.流域水文特性；</w:t>
      </w:r>
    </w:p>
    <w:p w14:paraId="2932D536">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2.环境应急设施及工程：水库工程：汉江干流蔺河口、石门、黄金峡、石泉、喜河、安康、旬阳、蜀河和白河等情况；防洪水闸：大桥门、水西门、朝阳门、兴安门、金川门、永安门、西坝防洪交通闸门、东堤头防洪交通闸门、东坝枣园路防洪交通闸门；跨河桥梁：跨河桥梁89座，其中，汉中境内46座，安康境内43座。其他工程：汉江干流取水工程2处，为勉县城区上游汉惠渠渠首和县城下游无坝堰取水枢纽。拦河闸坝3处，为勉县城区水力翻板闸坝、汉中中心城区水力自控翻板闸和汉中城区段桥闸工程。</w:t>
      </w:r>
    </w:p>
    <w:p w14:paraId="18A38CB4">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3.流域内水库调度运用计划情况。</w:t>
      </w:r>
    </w:p>
    <w:p w14:paraId="16B5D045">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4.环境应急及应急处置措施。</w:t>
      </w:r>
    </w:p>
    <w:p w14:paraId="5DCA31CB">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5</w:t>
      </w:r>
      <w:r>
        <w:rPr>
          <w:rFonts w:hint="default" w:ascii="宋体" w:hAnsi="宋体" w:eastAsia="宋体" w:cs="宋体"/>
          <w:bCs/>
          <w:szCs w:val="21"/>
          <w:highlight w:val="none"/>
          <w:lang w:val="en-US" w:eastAsia="zh-CN"/>
        </w:rPr>
        <w:t>.环境应急水利调度模拟和智慧化应用。</w:t>
      </w:r>
    </w:p>
    <w:p w14:paraId="58B51B69">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（二）工作成果：陕西省汉江流域环境应急水利调度方案及图件、附表</w:t>
      </w:r>
    </w:p>
    <w:p w14:paraId="3121D333">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（三）工作要求：</w:t>
      </w:r>
    </w:p>
    <w:p w14:paraId="1BD889C7">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1</w:t>
      </w:r>
      <w:r>
        <w:rPr>
          <w:rFonts w:hint="eastAsia" w:ascii="宋体" w:hAnsi="宋体" w:cs="宋体"/>
          <w:bCs/>
          <w:szCs w:val="21"/>
          <w:highlight w:val="none"/>
          <w:lang w:val="en-US" w:eastAsia="zh-CN"/>
        </w:rPr>
        <w:t>.</w:t>
      </w:r>
      <w:r>
        <w:rPr>
          <w:rFonts w:hint="default" w:ascii="宋体" w:hAnsi="宋体" w:eastAsia="宋体" w:cs="宋体"/>
          <w:bCs/>
          <w:szCs w:val="21"/>
          <w:highlight w:val="none"/>
          <w:lang w:val="en-US" w:eastAsia="zh-CN"/>
        </w:rPr>
        <w:t>按照“以人为本，预防为主”原则，在合理保障人民群众身体健康和环境安全前提下，充分利用现有汉江流域水工程，颗粒进行水量调度，提高应对突发环境事件能力。</w:t>
      </w:r>
    </w:p>
    <w:p w14:paraId="56086AE3">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2.收集陕西省汉江流域河流、湖库水文数据，编制环境应急水利调度方案，为汉江环境应急提供技术支撑。</w:t>
      </w:r>
    </w:p>
    <w:p w14:paraId="41440974">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t>3.汉江流域环境应急水利调度方案内容包括至少一个水文年数据资料，提出在不同条件下切实可行的环境应急水利调度方案</w:t>
      </w:r>
      <w:r>
        <w:rPr>
          <w:rFonts w:hint="eastAsia" w:ascii="宋体" w:hAnsi="宋体" w:cs="宋体"/>
          <w:bCs/>
          <w:szCs w:val="21"/>
          <w:highlight w:val="none"/>
          <w:lang w:val="en-US" w:eastAsia="zh-CN"/>
        </w:rPr>
        <w:t>。</w:t>
      </w:r>
    </w:p>
    <w:p w14:paraId="0CE79648">
      <w:pPr>
        <w:rPr>
          <w:rFonts w:hint="default" w:ascii="宋体" w:hAnsi="宋体" w:eastAsia="宋体" w:cs="宋体"/>
          <w:bCs/>
          <w:szCs w:val="21"/>
          <w:highlight w:val="none"/>
          <w:lang w:val="en-US" w:eastAsia="zh-CN"/>
        </w:rPr>
      </w:pPr>
      <w:r>
        <w:rPr>
          <w:rFonts w:hint="default" w:ascii="宋体" w:hAnsi="宋体" w:eastAsia="宋体" w:cs="宋体"/>
          <w:bCs/>
          <w:szCs w:val="21"/>
          <w:highlight w:val="none"/>
          <w:lang w:val="en-US" w:eastAsia="zh-CN"/>
        </w:rPr>
        <w:br w:type="page"/>
      </w:r>
    </w:p>
    <w:p w14:paraId="6C296A68">
      <w:pPr>
        <w:pStyle w:val="4"/>
        <w:bidi w:val="0"/>
        <w:jc w:val="left"/>
        <w:rPr>
          <w:rFonts w:hint="eastAsia"/>
          <w:sz w:val="28"/>
          <w:szCs w:val="24"/>
          <w:highlight w:val="none"/>
          <w:lang w:val="en-US" w:eastAsia="zh-CN"/>
        </w:rPr>
      </w:pPr>
      <w:r>
        <w:rPr>
          <w:rFonts w:hint="eastAsia"/>
          <w:sz w:val="28"/>
          <w:szCs w:val="24"/>
          <w:highlight w:val="none"/>
          <w:lang w:val="en-US" w:eastAsia="zh-CN"/>
        </w:rPr>
        <w:t>采购包2：</w:t>
      </w:r>
    </w:p>
    <w:p w14:paraId="52E7FA42">
      <w:pPr>
        <w:pStyle w:val="8"/>
        <w:rPr>
          <w:rFonts w:hint="default"/>
          <w:highlight w:val="none"/>
          <w:lang w:val="en-US" w:eastAsia="zh-CN"/>
        </w:rPr>
      </w:pPr>
    </w:p>
    <w:p w14:paraId="51046CBD">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为提高全省危险化学品运输通道水环境污染事件的应急响应能力，开展全省主要危险化学品运输通道的水环境污染风险调查评估研究，并结合环境安全目标提出合理化建议。</w:t>
      </w:r>
      <w:r>
        <w:rPr>
          <w:rFonts w:hint="eastAsia" w:ascii="宋体" w:hAnsi="宋体" w:eastAsia="宋体" w:cs="宋体"/>
          <w:color w:val="000000"/>
          <w:sz w:val="21"/>
          <w:szCs w:val="21"/>
          <w:highlight w:val="none"/>
        </w:rPr>
        <w:t>收集分析近5年全省重点危化品运输道路车辆通行信息及常运货物信息，研判重点高风险路段，为环境应急管理部门提供决策依据。</w:t>
      </w:r>
      <w:bookmarkStart w:id="0" w:name="_GoBack"/>
      <w:bookmarkEnd w:id="0"/>
    </w:p>
    <w:p w14:paraId="31EB0786">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（一）主要技术指标：</w:t>
      </w:r>
    </w:p>
    <w:p w14:paraId="5445AE2E">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1.结合电子运单等数据，分析全省重点危险化学品运输通道的车辆通行信息，包括车辆类型、通行量、车均装载量及主要承运介质；</w:t>
      </w:r>
    </w:p>
    <w:p w14:paraId="5734F1D4">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2.分析近5年危险货物道路运输事故概况，以及主要事故类型和泄漏特征；</w:t>
      </w:r>
    </w:p>
    <w:p w14:paraId="69F246F2">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3.构建危险化学品道路运输环境污染风险评价模型；</w:t>
      </w:r>
    </w:p>
    <w:p w14:paraId="6C3BF21F">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4.对全省重点危险化学品运输通道车辆运行环境污染风险进行评估，研判重点高风险路段，为环境应急管理部门提供决策依据。</w:t>
      </w:r>
    </w:p>
    <w:p w14:paraId="3C70C17F">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（二）工作成果：陕西省重点危险化学品运输通道风险评估方案及环境风险评估子方案，包括图件（矢量信息图）、附表等。</w:t>
      </w:r>
    </w:p>
    <w:p w14:paraId="706754EF">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（三）工作内容：</w:t>
      </w:r>
    </w:p>
    <w:p w14:paraId="36DD815D">
      <w:pPr>
        <w:tabs>
          <w:tab w:val="left" w:pos="330"/>
        </w:tabs>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1.完成陕西省G108、G210、G244、G310、G316和S219等重点危化品运输通道风险评估。</w:t>
      </w:r>
    </w:p>
    <w:p w14:paraId="60239A59">
      <w:pPr>
        <w:tabs>
          <w:tab w:val="left" w:pos="330"/>
        </w:tabs>
        <w:spacing w:line="360" w:lineRule="auto"/>
        <w:ind w:firstLine="420" w:firstLineChars="200"/>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2.根据近10年因交通运输次生突发环境事件的路段进行风险评估。</w:t>
      </w:r>
    </w:p>
    <w:p w14:paraId="35E52798">
      <w:r>
        <w:rPr>
          <w:rFonts w:hint="eastAsia" w:ascii="宋体" w:hAnsi="宋体" w:eastAsia="宋体" w:cs="宋体"/>
          <w:bCs/>
          <w:szCs w:val="21"/>
          <w:highlight w:val="none"/>
          <w:lang w:val="en-US" w:eastAsia="zh-CN"/>
        </w:rPr>
        <w:t>3.对黄河干流、渭河干流、无定河、延河、清涧河、北洛河、泾河、汉江、丹江、嘉陵江等紧邻或穿越路段进行风险评估。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3CFC9"/>
    <w:multiLevelType w:val="multilevel"/>
    <w:tmpl w:val="BC03CFC9"/>
    <w:lvl w:ilvl="0" w:tentative="0">
      <w:start w:val="1"/>
      <w:numFmt w:val="chineseCountingThousand"/>
      <w:suff w:val="nothing"/>
      <w:lvlText w:val="%1、"/>
      <w:lvlJc w:val="left"/>
      <w:pPr>
        <w:ind w:left="0" w:firstLine="0"/>
      </w:pPr>
      <w:rPr>
        <w:rFonts w:hint="eastAsia" w:ascii="Times New Roman" w:hAnsi="Times New Roman" w:eastAsia="宋体"/>
        <w:b/>
        <w:i w:val="0"/>
        <w:sz w:val="32"/>
      </w:rPr>
    </w:lvl>
    <w:lvl w:ilvl="1" w:tentative="0">
      <w:start w:val="1"/>
      <w:numFmt w:val="decimal"/>
      <w:isLgl/>
      <w:suff w:val="nothing"/>
      <w:lvlText w:val="%1.%2、"/>
      <w:lvlJc w:val="left"/>
      <w:pPr>
        <w:ind w:left="3828" w:firstLine="0"/>
      </w:pPr>
      <w:rPr>
        <w:rFonts w:hint="eastAsia" w:ascii="Times New Roman" w:hAnsi="Times New Roman" w:eastAsia="宋体" w:cs="Times New Roman"/>
        <w:b/>
        <w:i w:val="0"/>
        <w:iCs w:val="0"/>
        <w:caps w:val="0"/>
        <w:smallCaps w:val="0"/>
        <w:strike w:val="0"/>
        <w:dstrike w:val="0"/>
        <w:outline w:val="0"/>
        <w:shadow w:val="0"/>
        <w:emboss w:val="0"/>
        <w:imprint w:val="0"/>
        <w:vanish w:val="0"/>
        <w:color w:val="000000"/>
        <w:spacing w:val="0"/>
        <w:position w:val="0"/>
        <w:sz w:val="30"/>
        <w:u w:val="none"/>
        <w:vertAlign w:val="baseline"/>
      </w:rPr>
    </w:lvl>
    <w:lvl w:ilvl="2" w:tentative="0">
      <w:start w:val="1"/>
      <w:numFmt w:val="decimal"/>
      <w:pStyle w:val="5"/>
      <w:isLgl/>
      <w:suff w:val="nothing"/>
      <w:lvlText w:val="%1.%2.%3、"/>
      <w:lvlJc w:val="left"/>
      <w:pPr>
        <w:ind w:left="-2" w:firstLine="0"/>
      </w:pPr>
      <w:rPr>
        <w:rFonts w:hint="eastAsia" w:ascii="Times New Roman" w:hAnsi="Times New Roman" w:eastAsia="宋体"/>
        <w:b/>
        <w:i w:val="0"/>
        <w:sz w:val="28"/>
      </w:rPr>
    </w:lvl>
    <w:lvl w:ilvl="3" w:tentative="0">
      <w:start w:val="1"/>
      <w:numFmt w:val="decimal"/>
      <w:isLgl/>
      <w:suff w:val="nothing"/>
      <w:lvlText w:val="%1.%2.%3.%4、"/>
      <w:lvlJc w:val="left"/>
      <w:pPr>
        <w:ind w:left="0" w:firstLine="0"/>
      </w:pPr>
      <w:rPr>
        <w:rFonts w:hint="eastAsia" w:ascii="Times New Roman" w:hAnsi="Times New Roman" w:eastAsia="宋体"/>
        <w:b/>
        <w:i w:val="0"/>
        <w:sz w:val="24"/>
      </w:rPr>
    </w:lvl>
    <w:lvl w:ilvl="4" w:tentative="0">
      <w:start w:val="1"/>
      <w:numFmt w:val="decimal"/>
      <w:isLgl/>
      <w:suff w:val="nothing"/>
      <w:lvlText w:val="%1.%2.%3.%4.%5、"/>
      <w:lvlJc w:val="left"/>
      <w:pPr>
        <w:ind w:left="0" w:firstLine="0"/>
      </w:pPr>
      <w:rPr>
        <w:rFonts w:hint="eastAsia" w:ascii="Times New Roman" w:hAnsi="Times New Roman" w:eastAsia="宋体"/>
        <w:b/>
        <w:i w:val="0"/>
        <w:sz w:val="21"/>
      </w:rPr>
    </w:lvl>
    <w:lvl w:ilvl="5" w:tentative="0">
      <w:start w:val="1"/>
      <w:numFmt w:val="decimal"/>
      <w:isLgl/>
      <w:suff w:val="nothing"/>
      <w:lvlText w:val="%1.%2.%3.%4.%5.%6、"/>
      <w:lvlJc w:val="left"/>
      <w:pPr>
        <w:ind w:left="0" w:firstLine="0"/>
      </w:pPr>
      <w:rPr>
        <w:rFonts w:hint="eastAsia" w:ascii="Times New Roman" w:hAnsi="Times New Roman" w:eastAsia="宋体"/>
        <w:b/>
        <w:i w:val="0"/>
        <w:sz w:val="21"/>
      </w:rPr>
    </w:lvl>
    <w:lvl w:ilvl="6" w:tentative="0">
      <w:start w:val="1"/>
      <w:numFmt w:val="decimal"/>
      <w:isLgl/>
      <w:suff w:val="nothing"/>
      <w:lvlText w:val="%1.%2.%3.%4.%5.%6.%7、"/>
      <w:lvlJc w:val="left"/>
      <w:pPr>
        <w:ind w:left="0" w:firstLine="0"/>
      </w:pPr>
      <w:rPr>
        <w:rFonts w:hint="eastAsia" w:ascii="Times New Roman" w:hAnsi="Times New Roman" w:eastAsia="宋体"/>
        <w:b/>
        <w:i w:val="0"/>
        <w:sz w:val="21"/>
      </w:rPr>
    </w:lvl>
    <w:lvl w:ilvl="7" w:tentative="0">
      <w:start w:val="1"/>
      <w:numFmt w:val="decimal"/>
      <w:isLgl/>
      <w:suff w:val="nothing"/>
      <w:lvlText w:val="%1.%2.%3.%4.%5.%6.%7.%8、"/>
      <w:lvlJc w:val="left"/>
      <w:pPr>
        <w:ind w:left="0" w:firstLine="0"/>
      </w:pPr>
      <w:rPr>
        <w:rFonts w:hint="eastAsia" w:ascii="Times New Roman" w:hAnsi="Times New Roman" w:eastAsia="宋体"/>
        <w:b/>
        <w:i w:val="0"/>
        <w:sz w:val="21"/>
      </w:rPr>
    </w:lvl>
    <w:lvl w:ilvl="8" w:tentative="0">
      <w:start w:val="1"/>
      <w:numFmt w:val="decimal"/>
      <w:isLgl/>
      <w:suff w:val="nothing"/>
      <w:lvlText w:val="%1.%2.%3.%4.%5.%6.%7.%8.%9、"/>
      <w:lvlJc w:val="left"/>
      <w:pPr>
        <w:ind w:left="0" w:firstLine="0"/>
      </w:pPr>
      <w:rPr>
        <w:rFonts w:hint="eastAsia" w:ascii="Times New Roman" w:hAnsi="Times New Roman" w:eastAsia="宋体"/>
        <w:b/>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94A42"/>
    <w:rsid w:val="026A4E26"/>
    <w:rsid w:val="04492F15"/>
    <w:rsid w:val="08493DEA"/>
    <w:rsid w:val="08807182"/>
    <w:rsid w:val="19E673A7"/>
    <w:rsid w:val="1F821237"/>
    <w:rsid w:val="20B20AFA"/>
    <w:rsid w:val="24BF64D4"/>
    <w:rsid w:val="29EF12DC"/>
    <w:rsid w:val="2D090B71"/>
    <w:rsid w:val="2E3F6D9C"/>
    <w:rsid w:val="2FA10186"/>
    <w:rsid w:val="322272D6"/>
    <w:rsid w:val="35333328"/>
    <w:rsid w:val="391D4117"/>
    <w:rsid w:val="3A5926C8"/>
    <w:rsid w:val="3B691CD9"/>
    <w:rsid w:val="3D2E3538"/>
    <w:rsid w:val="40A271FE"/>
    <w:rsid w:val="41F15FDE"/>
    <w:rsid w:val="42BE16B8"/>
    <w:rsid w:val="42DF2122"/>
    <w:rsid w:val="43651D24"/>
    <w:rsid w:val="43C348B8"/>
    <w:rsid w:val="45455877"/>
    <w:rsid w:val="462A425F"/>
    <w:rsid w:val="50AC11E4"/>
    <w:rsid w:val="541F267B"/>
    <w:rsid w:val="54D31394"/>
    <w:rsid w:val="599479B1"/>
    <w:rsid w:val="604A517F"/>
    <w:rsid w:val="63531946"/>
    <w:rsid w:val="6DC906C8"/>
    <w:rsid w:val="6DE56769"/>
    <w:rsid w:val="6F367CCD"/>
    <w:rsid w:val="70A75130"/>
    <w:rsid w:val="7BA8691B"/>
    <w:rsid w:val="7CF4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1"/>
    <w:qFormat/>
    <w:uiPriority w:val="0"/>
    <w:pPr>
      <w:spacing w:before="0" w:beforeAutospacing="1" w:after="0" w:afterAutospacing="1"/>
      <w:jc w:val="center"/>
      <w:outlineLvl w:val="0"/>
    </w:pPr>
    <w:rPr>
      <w:rFonts w:hint="eastAsia" w:ascii="宋体" w:hAnsi="宋体" w:eastAsia="宋体" w:cs="宋体"/>
      <w:b/>
      <w:bCs/>
      <w:sz w:val="44"/>
      <w:szCs w:val="48"/>
      <w:lang w:bidi="ar"/>
    </w:rPr>
  </w:style>
  <w:style w:type="paragraph" w:styleId="4">
    <w:name w:val="heading 2"/>
    <w:basedOn w:val="1"/>
    <w:next w:val="1"/>
    <w:link w:val="13"/>
    <w:semiHidden/>
    <w:unhideWhenUsed/>
    <w:qFormat/>
    <w:uiPriority w:val="0"/>
    <w:pPr>
      <w:keepNext/>
      <w:keepLines/>
      <w:spacing w:before="80" w:after="80" w:line="360" w:lineRule="auto"/>
      <w:jc w:val="center"/>
      <w:outlineLvl w:val="1"/>
    </w:pPr>
    <w:rPr>
      <w:rFonts w:ascii="Arial" w:hAnsi="Arial" w:eastAsia="宋体" w:cs="Times New Roman"/>
      <w:b/>
      <w:bCs/>
      <w:sz w:val="36"/>
      <w:szCs w:val="32"/>
    </w:rPr>
  </w:style>
  <w:style w:type="paragraph" w:styleId="5">
    <w:name w:val="heading 3"/>
    <w:basedOn w:val="1"/>
    <w:next w:val="1"/>
    <w:link w:val="12"/>
    <w:semiHidden/>
    <w:unhideWhenUsed/>
    <w:qFormat/>
    <w:uiPriority w:val="0"/>
    <w:pPr>
      <w:keepNext/>
      <w:keepLines/>
      <w:numPr>
        <w:ilvl w:val="2"/>
        <w:numId w:val="1"/>
      </w:numPr>
      <w:spacing w:before="120" w:after="120" w:line="360" w:lineRule="auto"/>
      <w:jc w:val="center"/>
      <w:outlineLvl w:val="2"/>
    </w:pPr>
    <w:rPr>
      <w:rFonts w:ascii="Times New Roman" w:hAnsi="Times New Roman" w:eastAsia="宋体"/>
      <w:b/>
      <w:bCs/>
      <w:sz w:val="28"/>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7">
    <w:name w:val="Normal Indent"/>
    <w:basedOn w:val="1"/>
    <w:qFormat/>
    <w:uiPriority w:val="0"/>
    <w:pPr>
      <w:ind w:firstLine="420" w:firstLineChars="200"/>
    </w:pPr>
  </w:style>
  <w:style w:type="paragraph" w:styleId="8">
    <w:name w:val="table of figures"/>
    <w:basedOn w:val="1"/>
    <w:next w:val="1"/>
    <w:unhideWhenUsed/>
    <w:qFormat/>
    <w:uiPriority w:val="99"/>
    <w:pPr>
      <w:ind w:left="200" w:leftChars="200" w:hanging="200" w:hangingChars="200"/>
    </w:pPr>
  </w:style>
  <w:style w:type="character" w:customStyle="1" w:styleId="11">
    <w:name w:val="标题 1 Char"/>
    <w:link w:val="3"/>
    <w:qFormat/>
    <w:uiPriority w:val="0"/>
    <w:rPr>
      <w:rFonts w:ascii="宋体" w:hAnsi="宋体" w:eastAsia="宋体" w:cs="宋体"/>
      <w:b/>
      <w:kern w:val="2"/>
      <w:sz w:val="44"/>
    </w:rPr>
  </w:style>
  <w:style w:type="character" w:customStyle="1" w:styleId="12">
    <w:name w:val="标题 3 Char"/>
    <w:link w:val="5"/>
    <w:semiHidden/>
    <w:qFormat/>
    <w:uiPriority w:val="9"/>
    <w:rPr>
      <w:rFonts w:ascii="Times New Roman" w:hAnsi="Times New Roman" w:eastAsia="宋体" w:cs="Times New Roman"/>
      <w:b/>
      <w:kern w:val="2"/>
      <w:sz w:val="32"/>
      <w:szCs w:val="44"/>
      <w:lang w:val="en-US" w:eastAsia="zh-CN" w:bidi="ar-SA"/>
    </w:rPr>
  </w:style>
  <w:style w:type="character" w:customStyle="1" w:styleId="13">
    <w:name w:val="标题 2 字符"/>
    <w:basedOn w:val="10"/>
    <w:link w:val="4"/>
    <w:qFormat/>
    <w:uiPriority w:val="0"/>
    <w:rPr>
      <w:rFonts w:ascii="Arial" w:hAnsi="Arial" w:eastAsia="宋体" w:cs="Times New Roman"/>
      <w:b/>
      <w:bCs/>
      <w:kern w:val="2"/>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2024-11-13T03:20:00Z</dcterms:created>
  <dc:creator>yu</dc:creator>
  <cp:lastModifiedBy>雨</cp:lastModifiedBy>
  <dcterms:modified xsi:type="dcterms:W3CDTF">2025-05-09T08:30:08Z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0708219B8A4F4A39A44CFC55C1E2C2B7_12</vt:lpwstr>
  </property>
  <property fmtid="{D5CDD505-2E9C-101B-9397-08002B2CF9AE}" pid="4" name="KSOTemplateDocerSaveRecord">
    <vt:lpwstr>eyJoZGlkIjoiMDZiY2M1MGEzMmY3OTNhYThmYzI3NTRmOWY4MjVhZjQiLCJ1c2VySWQiOiIxMzg1NjY0MTcxIn0=</vt:lpwstr>
  </property>
</Properties>
</file>