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74D5D">
      <w:pPr>
        <w:tabs>
          <w:tab w:val="left" w:pos="1663"/>
        </w:tabs>
        <w:bidi w:val="0"/>
        <w:jc w:val="center"/>
        <w:rPr>
          <w:rFonts w:hint="default" w:ascii="仿宋_GB2312" w:hAnsi="仿宋_GB2312" w:eastAsia="仿宋_GB2312" w:cs="仿宋_GB2312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 w:val="44"/>
          <w:szCs w:val="44"/>
          <w:lang w:val="en-US" w:eastAsia="zh-CN"/>
        </w:rPr>
        <w:t>一标段</w:t>
      </w: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采购需求</w:t>
      </w:r>
    </w:p>
    <w:p w14:paraId="7AFB00CB">
      <w:pPr>
        <w:tabs>
          <w:tab w:val="left" w:pos="1663"/>
        </w:tabs>
        <w:bidi w:val="0"/>
        <w:jc w:val="center"/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</w:pPr>
    </w:p>
    <w:p w14:paraId="16BCD4AE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一级大苗：苗木采用3年生以上，品种和砧木纯度98%以上（一级苗高度1.8米以上、分枝5个及以上、茎粗1.5CM以上）。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17805"/>
    <w:rsid w:val="2C14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126</Characters>
  <Lines>0</Lines>
  <Paragraphs>0</Paragraphs>
  <TotalTime>1</TotalTime>
  <ScaleCrop>false</ScaleCrop>
  <LinksUpToDate>false</LinksUpToDate>
  <CharactersWithSpaces>126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2025-05-15T02:15:00Z</dcterms:created>
  <dc:creator>Administrator</dc:creator>
  <cp:lastModifiedBy>Sun兵</cp:lastModifiedBy>
  <dcterms:modified xsi:type="dcterms:W3CDTF">2025-05-15T02:20:21Z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eyJoZGlkIjoiNjAwZGQxOGJmODNhNzYzYjJmODMwNDlhODEyYmEyNjMiLCJ1c2VySWQiOiIyMzQzNzgyODUifQ==</vt:lpwstr>
  </property>
  <property fmtid="{D5CDD505-2E9C-101B-9397-08002B2CF9AE}" pid="4" name="ICV">
    <vt:lpwstr>9DA6DFCA497C4A64BE910D82702E654E_12</vt:lpwstr>
  </property>
</Properties>
</file>