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E3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采购需求</w:t>
      </w:r>
    </w:p>
    <w:p w14:paraId="66C4332E">
      <w:pPr>
        <w:spacing w:line="460" w:lineRule="exact"/>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hAnsi="宋体" w:cs="宋体"/>
          <w:sz w:val="24"/>
          <w:szCs w:val="24"/>
          <w:lang w:val="en-US" w:eastAsia="zh-CN"/>
        </w:rPr>
        <w:t>项目名称</w:t>
      </w:r>
    </w:p>
    <w:p w14:paraId="5C0EF4F4">
      <w:pPr>
        <w:spacing w:line="460" w:lineRule="exact"/>
        <w:ind w:firstLine="616" w:firstLineChars="257"/>
        <w:rPr>
          <w:rFonts w:hint="eastAsia" w:ascii="宋体" w:hAnsi="宋体" w:eastAsia="宋体" w:cs="宋体"/>
          <w:sz w:val="24"/>
          <w:szCs w:val="24"/>
        </w:rPr>
      </w:pPr>
      <w:r>
        <w:rPr>
          <w:rFonts w:hint="eastAsia" w:hAnsi="宋体" w:cs="宋体"/>
          <w:sz w:val="24"/>
          <w:szCs w:val="24"/>
          <w:lang w:eastAsia="zh-CN"/>
        </w:rPr>
        <w:t>2025年全省农村公路初步设计文件审查项目</w:t>
      </w:r>
      <w:r>
        <w:rPr>
          <w:rFonts w:hint="eastAsia" w:ascii="宋体" w:hAnsi="宋体" w:eastAsia="宋体" w:cs="宋体"/>
          <w:sz w:val="24"/>
          <w:szCs w:val="24"/>
        </w:rPr>
        <w:t>。</w:t>
      </w:r>
    </w:p>
    <w:p w14:paraId="0385C0B9">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hAnsi="宋体" w:cs="宋体"/>
          <w:sz w:val="24"/>
          <w:szCs w:val="24"/>
          <w:lang w:val="en-US" w:eastAsia="zh-CN"/>
        </w:rPr>
        <w:t>服务内容</w:t>
      </w:r>
    </w:p>
    <w:p w14:paraId="739D888D">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（一）总则</w:t>
      </w:r>
    </w:p>
    <w:p w14:paraId="02854D14">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1.初步设计</w:t>
      </w:r>
      <w:bookmarkStart w:id="0" w:name="_GoBack"/>
      <w:bookmarkEnd w:id="0"/>
      <w:r>
        <w:rPr>
          <w:rFonts w:hint="eastAsia" w:hAnsi="宋体" w:cs="宋体"/>
          <w:sz w:val="24"/>
          <w:szCs w:val="24"/>
          <w:lang w:val="en-US" w:eastAsia="zh-CN"/>
        </w:rPr>
        <w:t>审查工作应按照供应商对各拟建项目初步设计文件进行符合性审查、文件审查，组织现场审查，供应商提交技术咨询报告的程序进行。</w:t>
      </w:r>
    </w:p>
    <w:p w14:paraId="6FC23BD4">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2.技术咨询过程中的文件交接、重大问题沟通实行痕迹管理，关键环节的文件提交、意见交流等，应通过签字、传真或邮件等方式加以确认。</w:t>
      </w:r>
    </w:p>
    <w:p w14:paraId="278BC6F8">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3.供应商应严格执行国家有关规定，不得转嫁技术咨询工作成本。</w:t>
      </w:r>
    </w:p>
    <w:p w14:paraId="0956C6EF">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（二）对供应商的总体要求</w:t>
      </w:r>
    </w:p>
    <w:p w14:paraId="709E2211">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承担技术咨询任务的供应商，应结合本单位管理模式和发包人技术咨询任务的要求，在企业内部明确相应的技术咨询部门，建立明确的发包人技术咨询任务内部管理模式，理顺工作关系，建立健全质量保证体系，保证审查工作质量和进度。</w:t>
      </w:r>
    </w:p>
    <w:p w14:paraId="269324F7">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供应商应明确足够的、相对固定的技术人员，作为完成发包人技术咨询任务的基本力量。技术人员基本情况及变动情况在采购后发生变化时，应及时报发包人备案。供应商应加强对参与发包人技术咨询任务技术人员（以下简称“审查人员”）的廉政、职业道德、法律知识和业务培训。</w:t>
      </w:r>
    </w:p>
    <w:p w14:paraId="3F9EC853">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审查人员应当遵守国家法律法规，坚持原则，恪守职业道德，客观公正，责任心强，专业素质高，掌握公路工程技术标准、规范和有关技术政策，积极学习和了解国外先进的公路工程设计、施工和管理技术，能够熟练运用成熟技术和现代工程管理理念。</w:t>
      </w:r>
    </w:p>
    <w:p w14:paraId="4B78E77F">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4.供应商不得参与其承担技术咨询服务项目的其他任何采购活动。</w:t>
      </w:r>
    </w:p>
    <w:p w14:paraId="11CAC1A1">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（三）符合性审查</w:t>
      </w:r>
    </w:p>
    <w:p w14:paraId="20FEDEDC">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1.符合性审查的内容主要包括：</w:t>
      </w:r>
    </w:p>
    <w:p w14:paraId="71E1C0A2">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（1）项目政策执行情况，土地、环评等项目前置审批是否已完成。</w:t>
      </w:r>
    </w:p>
    <w:p w14:paraId="436FDD92">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（2）设计文件完整性是否满足相关要求。</w:t>
      </w:r>
    </w:p>
    <w:p w14:paraId="2C0E09A8">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（3）建设规模、技术标准、概算等是否符合方案设计要求和《公路工程技术标准》的规定。</w:t>
      </w:r>
    </w:p>
    <w:p w14:paraId="3FADABFB">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（4）设计文件是否按照国家现行有关方针政策、法律、法规、标准及规范要求编制，是否满足先进、适用、安全、节能、消防、环境、美观、经济的原则。</w:t>
      </w:r>
    </w:p>
    <w:p w14:paraId="45DEC994">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（四）设计文件审查</w:t>
      </w:r>
    </w:p>
    <w:p w14:paraId="160B3543">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方案设计文件审查应按照“安全、耐久、节约、和谐”的原则，围绕保证项目建设、运营安全，合理使用资金和资源，最大限度的保护公众利益，使公路基础设施能够更好的为经济社会发展和出行需求服务这一目标，对方案合理性、运行安全性、结构可靠性和投资控制情况进行审查。审查工作主要应包括但不限于以下内容：</w:t>
      </w:r>
    </w:p>
    <w:p w14:paraId="3BBB6F3E">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（1）总体设计原则和思路的合理性，与建设环境和公路功能的适应性。</w:t>
      </w:r>
    </w:p>
    <w:p w14:paraId="6F04946F">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（2）设计依据的基本资料是否完整、准确、可靠。</w:t>
      </w:r>
    </w:p>
    <w:p w14:paraId="41032BD4">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（3）方案比选的合理性和全面性，技术指标运用的合理性。</w:t>
      </w:r>
    </w:p>
    <w:p w14:paraId="35577273">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（4）设计文件编制深度和格式，附件、协议等资料的齐全、完备情况。专业间设计的协调性，设计界面衔接情况，设计与外业勘察成果的衔接情况。</w:t>
      </w:r>
    </w:p>
    <w:p w14:paraId="1FE38E26">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（5）结构安全、耐久性。</w:t>
      </w:r>
    </w:p>
    <w:p w14:paraId="1CD6F554">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（6）概算定额套用、人工和材料单价以及费率取值的合理性，征地拆迁等工程建设其他费用取费依据的完备性和取费的合理性。</w:t>
      </w:r>
    </w:p>
    <w:p w14:paraId="410272F7">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审查过程中发现设计文件存在以下问题的，应及时与设计单位沟通核实。问题确认后，应及时报发包人，并提出处理建议。发包人将根据具体情况，要求设计单位补充完善，或退回要求重新修改后再次预审、报送。</w:t>
      </w:r>
    </w:p>
    <w:p w14:paraId="1E8F6549">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（1）总体设计不合理，与建设条件适应性差，或不能满足项目的功能要求；</w:t>
      </w:r>
    </w:p>
    <w:p w14:paraId="36B16D50">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（2）方案比选不充分，遗漏重大有价值的技术方案；</w:t>
      </w:r>
    </w:p>
    <w:p w14:paraId="4EDA1BCC">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（3）设计工作与实际路况出现严重脱节；</w:t>
      </w:r>
    </w:p>
    <w:p w14:paraId="76E4105C">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（4）设计文件编制质量差，错漏多。</w:t>
      </w:r>
    </w:p>
    <w:p w14:paraId="6C145429">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（五）现场审查</w:t>
      </w:r>
    </w:p>
    <w:p w14:paraId="11F5F02D">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现场审查工作在设计文件审查完成后进行，由发包人主持。现场审查应听取设计单位的设计情况汇报，对重要工点和有争议的工点进行现场踏查，现场完成审查意见。</w:t>
      </w:r>
    </w:p>
    <w:p w14:paraId="5E4D3092">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（六）提交咨询报告</w:t>
      </w:r>
    </w:p>
    <w:p w14:paraId="7FCCD02E">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咨询报告应结构清晰，内容精干，符合国家有关政策导向。能够清晰描述工程全貌，准确定性设计存在的问题，明确提出对相关技术问题的意见。提出的建议应科学合理、论证清晰。报告格式符合发包人要求。</w:t>
      </w:r>
    </w:p>
    <w:p w14:paraId="0E7E02EB">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（七）报告核查</w:t>
      </w:r>
    </w:p>
    <w:p w14:paraId="3D12904D">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1.收到正式咨询报告后，发包人相关承办人应对咨询报告内容进行核查，对存在问题和不足的，应要求供应商予以补充和完善。</w:t>
      </w:r>
    </w:p>
    <w:p w14:paraId="21447F09">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2.发包人可以组织专家或通过后评价，对技术咨询报告的质量进行评价，对技术咨询的过程进行检查。</w:t>
      </w:r>
    </w:p>
    <w:p w14:paraId="0F3D6835">
      <w:pPr>
        <w:spacing w:line="460" w:lineRule="exact"/>
        <w:ind w:firstLine="616" w:firstLineChars="257"/>
        <w:rPr>
          <w:rFonts w:hint="eastAsia" w:hAnsi="宋体" w:cs="宋体"/>
          <w:sz w:val="24"/>
          <w:szCs w:val="24"/>
          <w:lang w:val="en-US" w:eastAsia="zh-CN"/>
        </w:rPr>
      </w:pPr>
      <w:r>
        <w:rPr>
          <w:rFonts w:hint="eastAsia" w:hAnsi="宋体" w:cs="宋体"/>
          <w:sz w:val="24"/>
          <w:szCs w:val="24"/>
          <w:lang w:val="en-US" w:eastAsia="zh-CN"/>
        </w:rPr>
        <w:t>3.咨询单位应从设计单位人员投入、设计质量、政策技术标准执行等方面，按优秀、良好、一般各占约30%比例，对设计单位进行评价排名，并提供书面意见。</w:t>
      </w:r>
    </w:p>
    <w:p w14:paraId="6A4481B4">
      <w:pPr>
        <w:spacing w:line="460" w:lineRule="exact"/>
        <w:ind w:firstLine="616" w:firstLineChars="257"/>
        <w:rPr>
          <w:rFonts w:hint="eastAsia" w:hAnsi="宋体" w:cs="宋体"/>
          <w:color w:val="auto"/>
          <w:sz w:val="24"/>
          <w:szCs w:val="24"/>
          <w:lang w:val="en-US" w:eastAsia="zh-CN"/>
        </w:rPr>
      </w:pPr>
      <w:r>
        <w:rPr>
          <w:rFonts w:hint="eastAsia" w:hAnsi="宋体" w:cs="宋体"/>
          <w:color w:val="auto"/>
          <w:sz w:val="24"/>
          <w:szCs w:val="24"/>
          <w:lang w:val="en-US" w:eastAsia="zh-CN"/>
        </w:rPr>
        <w:t>（八）人员配置要求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05A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618EB342">
            <w:pPr>
              <w:spacing w:line="460" w:lineRule="exact"/>
              <w:ind w:left="0" w:leftChars="0" w:firstLine="0" w:firstLineChars="0"/>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人员</w:t>
            </w:r>
          </w:p>
        </w:tc>
        <w:tc>
          <w:tcPr>
            <w:tcW w:w="3058" w:type="dxa"/>
            <w:vAlign w:val="center"/>
          </w:tcPr>
          <w:p w14:paraId="099E2302">
            <w:pPr>
              <w:spacing w:line="460" w:lineRule="exact"/>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数量</w:t>
            </w:r>
          </w:p>
        </w:tc>
        <w:tc>
          <w:tcPr>
            <w:tcW w:w="3059" w:type="dxa"/>
            <w:vAlign w:val="center"/>
          </w:tcPr>
          <w:p w14:paraId="4FE22226">
            <w:pPr>
              <w:spacing w:line="460" w:lineRule="exact"/>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资历标准</w:t>
            </w:r>
          </w:p>
        </w:tc>
      </w:tr>
      <w:tr w14:paraId="012E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58" w:type="dxa"/>
            <w:vAlign w:val="center"/>
          </w:tcPr>
          <w:p w14:paraId="63841A2B">
            <w:pPr>
              <w:keepNext w:val="0"/>
              <w:keepLines w:val="0"/>
              <w:widowControl/>
              <w:suppressLineNumbers w:val="0"/>
              <w:jc w:val="center"/>
              <w:rPr>
                <w:rFonts w:hint="eastAsia" w:hAnsi="宋体" w:cs="宋体"/>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项目负责人</w:t>
            </w:r>
          </w:p>
        </w:tc>
        <w:tc>
          <w:tcPr>
            <w:tcW w:w="3058" w:type="dxa"/>
            <w:vAlign w:val="center"/>
          </w:tcPr>
          <w:p w14:paraId="5C8E0B0B">
            <w:pPr>
              <w:spacing w:line="460" w:lineRule="exact"/>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1</w:t>
            </w:r>
          </w:p>
        </w:tc>
        <w:tc>
          <w:tcPr>
            <w:tcW w:w="3059" w:type="dxa"/>
            <w:vAlign w:val="center"/>
          </w:tcPr>
          <w:p w14:paraId="27E81D78">
            <w:pPr>
              <w:keepNext w:val="0"/>
              <w:keepLines w:val="0"/>
              <w:widowControl/>
              <w:suppressLineNumbers w:val="0"/>
              <w:jc w:val="left"/>
              <w:rPr>
                <w:rFonts w:hint="eastAsia" w:hAnsi="宋体" w:cs="宋体"/>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公路工程专业中级职称及以上，近3年担任过</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条农村公路工程及以上设计项目负责人咨询审查项目负责人，且为本单位在职人员。</w:t>
            </w:r>
          </w:p>
        </w:tc>
      </w:tr>
      <w:tr w14:paraId="4BE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1A27AF47">
            <w:pPr>
              <w:keepNext w:val="0"/>
              <w:keepLines w:val="0"/>
              <w:widowControl/>
              <w:suppressLineNumbers w:val="0"/>
              <w:jc w:val="center"/>
              <w:rPr>
                <w:rFonts w:hint="eastAsia" w:hAnsi="宋体" w:cs="宋体"/>
                <w:color w:val="auto"/>
                <w:sz w:val="24"/>
                <w:szCs w:val="24"/>
                <w:vertAlign w:val="baseline"/>
                <w:lang w:val="en-US" w:eastAsia="zh-CN" w:bidi="ar"/>
              </w:rPr>
            </w:pPr>
            <w:r>
              <w:rPr>
                <w:rFonts w:hint="eastAsia" w:ascii="宋体" w:hAnsi="宋体" w:eastAsia="宋体" w:cs="宋体"/>
                <w:color w:val="auto"/>
                <w:kern w:val="0"/>
                <w:sz w:val="24"/>
                <w:szCs w:val="24"/>
                <w:lang w:val="en-US" w:eastAsia="zh-CN" w:bidi="ar"/>
              </w:rPr>
              <w:t>技术负责人</w:t>
            </w:r>
          </w:p>
        </w:tc>
        <w:tc>
          <w:tcPr>
            <w:tcW w:w="3058" w:type="dxa"/>
            <w:vAlign w:val="center"/>
          </w:tcPr>
          <w:p w14:paraId="365E6FFC">
            <w:pPr>
              <w:widowControl/>
              <w:spacing w:line="240" w:lineRule="auto"/>
              <w:jc w:val="center"/>
              <w:rPr>
                <w:rFonts w:hint="default" w:hAnsi="宋体" w:cs="宋体"/>
                <w:color w:val="auto"/>
                <w:sz w:val="24"/>
                <w:szCs w:val="24"/>
                <w:vertAlign w:val="baseline"/>
                <w:lang w:val="en-US" w:eastAsia="zh-CN" w:bidi="ar"/>
              </w:rPr>
            </w:pPr>
            <w:r>
              <w:rPr>
                <w:rFonts w:hint="eastAsia" w:hAnsi="宋体" w:cs="宋体"/>
                <w:color w:val="auto"/>
                <w:sz w:val="24"/>
                <w:szCs w:val="24"/>
                <w:vertAlign w:val="baseline"/>
                <w:lang w:val="en-US" w:eastAsia="zh-CN" w:bidi="ar"/>
              </w:rPr>
              <w:t>1</w:t>
            </w:r>
          </w:p>
        </w:tc>
        <w:tc>
          <w:tcPr>
            <w:tcW w:w="3059" w:type="dxa"/>
            <w:vAlign w:val="center"/>
          </w:tcPr>
          <w:p w14:paraId="05780267">
            <w:pPr>
              <w:keepNext w:val="0"/>
              <w:keepLines w:val="0"/>
              <w:widowControl/>
              <w:suppressLineNumbers w:val="0"/>
              <w:jc w:val="left"/>
              <w:rPr>
                <w:rFonts w:hint="eastAsia" w:hAnsi="宋体" w:cs="宋体"/>
                <w:color w:val="auto"/>
                <w:sz w:val="24"/>
                <w:szCs w:val="24"/>
                <w:vertAlign w:val="baseline"/>
                <w:lang w:val="en-US" w:eastAsia="zh-CN" w:bidi="ar"/>
              </w:rPr>
            </w:pPr>
            <w:r>
              <w:rPr>
                <w:rFonts w:hint="eastAsia" w:ascii="宋体" w:hAnsi="宋体" w:eastAsia="宋体" w:cs="宋体"/>
                <w:color w:val="auto"/>
                <w:kern w:val="0"/>
                <w:sz w:val="24"/>
                <w:szCs w:val="24"/>
                <w:lang w:val="en-US" w:eastAsia="zh-CN" w:bidi="ar"/>
              </w:rPr>
              <w:t>公路工程专业</w:t>
            </w:r>
            <w:r>
              <w:rPr>
                <w:rFonts w:hint="default" w:ascii="宋体" w:hAnsi="宋体" w:eastAsia="宋体" w:cs="宋体"/>
                <w:color w:val="auto"/>
                <w:kern w:val="0"/>
                <w:sz w:val="24"/>
                <w:szCs w:val="24"/>
                <w:lang w:val="en-US" w:eastAsia="zh-CN" w:bidi="ar"/>
              </w:rPr>
              <w:t>高</w:t>
            </w:r>
            <w:r>
              <w:rPr>
                <w:rFonts w:hint="eastAsia" w:ascii="宋体" w:hAnsi="宋体" w:eastAsia="宋体" w:cs="宋体"/>
                <w:color w:val="auto"/>
                <w:kern w:val="0"/>
                <w:sz w:val="24"/>
                <w:szCs w:val="24"/>
                <w:lang w:val="en-US" w:eastAsia="zh-CN" w:bidi="ar"/>
              </w:rPr>
              <w:t>级工程师及以上，近3年担任过</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条农村公路及以上公路工程设计项目负责人、咨询审查项目负责人，且为本单位在职人员。</w:t>
            </w:r>
          </w:p>
        </w:tc>
      </w:tr>
      <w:tr w14:paraId="074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175" w:type="dxa"/>
            <w:gridSpan w:val="3"/>
          </w:tcPr>
          <w:p w14:paraId="4D378238">
            <w:pPr>
              <w:widowControl/>
              <w:spacing w:line="240" w:lineRule="auto"/>
              <w:jc w:val="left"/>
              <w:rPr>
                <w:rFonts w:hint="eastAsia" w:hAnsi="宋体" w:cs="宋体"/>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备注:1.本表中近3年均指2022年1月1日至今；证明材料包括但不限于有效的社保证明（指2024年-2025年任意三个月的社保证明）及职称证书、业绩证明材料（合同、报告等）。</w:t>
            </w:r>
          </w:p>
        </w:tc>
      </w:tr>
    </w:tbl>
    <w:p w14:paraId="1B0E9A00">
      <w:pPr>
        <w:numPr>
          <w:ilvl w:val="0"/>
          <w:numId w:val="0"/>
        </w:numPr>
        <w:spacing w:line="460" w:lineRule="exact"/>
        <w:ind w:firstLine="616" w:firstLineChars="257"/>
        <w:rPr>
          <w:rFonts w:hint="eastAsia" w:hAnsi="宋体" w:cs="宋体"/>
          <w:color w:val="auto"/>
          <w:sz w:val="24"/>
          <w:szCs w:val="24"/>
          <w:lang w:val="en-US" w:eastAsia="zh-CN"/>
        </w:rPr>
      </w:pPr>
      <w:r>
        <w:rPr>
          <w:rFonts w:hint="eastAsia" w:hAnsi="宋体" w:cs="宋体"/>
          <w:color w:val="auto"/>
          <w:sz w:val="24"/>
          <w:szCs w:val="24"/>
          <w:lang w:val="en-US" w:eastAsia="zh-CN" w:bidi="ar-SA"/>
        </w:rPr>
        <w:t>（九）</w:t>
      </w:r>
      <w:r>
        <w:rPr>
          <w:rFonts w:hint="eastAsia" w:hAnsi="宋体" w:cs="宋体"/>
          <w:color w:val="auto"/>
          <w:sz w:val="24"/>
          <w:szCs w:val="24"/>
          <w:lang w:val="en-US" w:eastAsia="zh-CN"/>
        </w:rPr>
        <w:t>支付方式</w:t>
      </w:r>
    </w:p>
    <w:p w14:paraId="04CB6C1E">
      <w:r>
        <w:rPr>
          <w:rFonts w:hint="eastAsia" w:ascii="宋体" w:hAnsi="宋体" w:eastAsia="宋体" w:cs="宋体"/>
          <w:strike w:val="0"/>
          <w:color w:val="auto"/>
          <w:sz w:val="24"/>
          <w:szCs w:val="24"/>
          <w:lang w:val="en-US" w:eastAsia="zh-CN" w:bidi="ar-SA"/>
        </w:rPr>
        <w:t>本项目合同最终支付总额为咨询人完成工作量项目投资估算总额对应档报价进行支付。各档位最高限价（元）</w:t>
      </w:r>
      <w:r>
        <w:rPr>
          <w:rFonts w:hint="eastAsia" w:ascii="宋体" w:hAnsi="宋体" w:cs="宋体"/>
          <w:strike w:val="0"/>
          <w:color w:val="auto"/>
          <w:sz w:val="24"/>
          <w:szCs w:val="24"/>
          <w:lang w:val="en-US" w:eastAsia="zh-CN" w:bidi="ar-SA"/>
        </w:rPr>
        <w:t>：</w:t>
      </w:r>
      <w:r>
        <w:rPr>
          <w:rFonts w:hint="eastAsia" w:ascii="宋体" w:hAnsi="宋体" w:eastAsia="宋体" w:cs="宋体"/>
          <w:strike w:val="0"/>
          <w:color w:val="auto"/>
          <w:sz w:val="24"/>
          <w:szCs w:val="24"/>
          <w:lang w:val="en-US" w:eastAsia="zh-CN" w:bidi="ar-SA"/>
        </w:rPr>
        <w:t>项目总投资合计在</w:t>
      </w:r>
      <w:r>
        <w:rPr>
          <w:rFonts w:hint="eastAsia" w:hAnsi="宋体" w:cs="宋体"/>
          <w:strike w:val="0"/>
          <w:color w:val="auto"/>
          <w:sz w:val="24"/>
          <w:szCs w:val="24"/>
          <w:lang w:val="en-US" w:eastAsia="zh-CN" w:bidi="ar-SA"/>
        </w:rPr>
        <w:t>3</w:t>
      </w:r>
      <w:r>
        <w:rPr>
          <w:rFonts w:hint="eastAsia" w:ascii="宋体" w:hAnsi="宋体" w:eastAsia="宋体" w:cs="宋体"/>
          <w:strike w:val="0"/>
          <w:color w:val="auto"/>
          <w:sz w:val="24"/>
          <w:szCs w:val="24"/>
          <w:lang w:val="en-US" w:eastAsia="zh-CN" w:bidi="ar-SA"/>
        </w:rPr>
        <w:t>亿元及以下为</w:t>
      </w:r>
      <w:r>
        <w:rPr>
          <w:rFonts w:hint="eastAsia" w:hAnsi="宋体" w:cs="宋体"/>
          <w:strike w:val="0"/>
          <w:color w:val="auto"/>
          <w:sz w:val="24"/>
          <w:szCs w:val="24"/>
          <w:lang w:val="en-US" w:eastAsia="zh-CN" w:bidi="ar-SA"/>
        </w:rPr>
        <w:t>20</w:t>
      </w:r>
      <w:r>
        <w:rPr>
          <w:rFonts w:hint="eastAsia" w:ascii="宋体" w:hAnsi="宋体" w:eastAsia="宋体" w:cs="宋体"/>
          <w:strike w:val="0"/>
          <w:color w:val="auto"/>
          <w:sz w:val="24"/>
          <w:szCs w:val="24"/>
          <w:lang w:val="en-US" w:eastAsia="zh-CN" w:bidi="ar-SA"/>
        </w:rPr>
        <w:t>万元；</w:t>
      </w:r>
      <w:r>
        <w:rPr>
          <w:rFonts w:hint="eastAsia" w:hAnsi="宋体" w:cs="宋体"/>
          <w:strike w:val="0"/>
          <w:color w:val="auto"/>
          <w:sz w:val="24"/>
          <w:szCs w:val="24"/>
          <w:lang w:val="en-US" w:eastAsia="zh-CN" w:bidi="ar-SA"/>
        </w:rPr>
        <w:t>3</w:t>
      </w:r>
      <w:r>
        <w:rPr>
          <w:rFonts w:hint="eastAsia" w:ascii="宋体" w:hAnsi="宋体" w:eastAsia="宋体" w:cs="宋体"/>
          <w:strike w:val="0"/>
          <w:color w:val="auto"/>
          <w:sz w:val="24"/>
          <w:szCs w:val="24"/>
          <w:lang w:val="en-US" w:eastAsia="zh-CN" w:bidi="ar-SA"/>
        </w:rPr>
        <w:t>亿元-</w:t>
      </w:r>
      <w:r>
        <w:rPr>
          <w:rFonts w:hint="eastAsia" w:hAnsi="宋体" w:cs="宋体"/>
          <w:strike w:val="0"/>
          <w:color w:val="auto"/>
          <w:sz w:val="24"/>
          <w:szCs w:val="24"/>
          <w:lang w:val="en-US" w:eastAsia="zh-CN" w:bidi="ar-SA"/>
        </w:rPr>
        <w:t>4</w:t>
      </w:r>
      <w:r>
        <w:rPr>
          <w:rFonts w:hint="eastAsia" w:ascii="宋体" w:hAnsi="宋体" w:eastAsia="宋体" w:cs="宋体"/>
          <w:strike w:val="0"/>
          <w:color w:val="auto"/>
          <w:sz w:val="24"/>
          <w:szCs w:val="24"/>
          <w:lang w:val="en-US" w:eastAsia="zh-CN" w:bidi="ar-SA"/>
        </w:rPr>
        <w:t>亿元（含</w:t>
      </w:r>
      <w:r>
        <w:rPr>
          <w:rFonts w:hint="eastAsia" w:hAnsi="宋体" w:cs="宋体"/>
          <w:strike w:val="0"/>
          <w:color w:val="auto"/>
          <w:sz w:val="24"/>
          <w:szCs w:val="24"/>
          <w:lang w:val="en-US" w:eastAsia="zh-CN" w:bidi="ar-SA"/>
        </w:rPr>
        <w:t>4</w:t>
      </w:r>
      <w:r>
        <w:rPr>
          <w:rFonts w:hint="eastAsia" w:ascii="宋体" w:hAnsi="宋体" w:eastAsia="宋体" w:cs="宋体"/>
          <w:strike w:val="0"/>
          <w:color w:val="auto"/>
          <w:sz w:val="24"/>
          <w:szCs w:val="24"/>
          <w:lang w:val="en-US" w:eastAsia="zh-CN" w:bidi="ar-SA"/>
        </w:rPr>
        <w:t>亿元）最高限价为</w:t>
      </w:r>
      <w:r>
        <w:rPr>
          <w:rFonts w:hint="eastAsia" w:hAnsi="宋体" w:cs="宋体"/>
          <w:strike w:val="0"/>
          <w:color w:val="auto"/>
          <w:sz w:val="24"/>
          <w:szCs w:val="24"/>
          <w:lang w:val="en-US" w:eastAsia="zh-CN" w:bidi="ar-SA"/>
        </w:rPr>
        <w:t>25</w:t>
      </w:r>
      <w:r>
        <w:rPr>
          <w:rFonts w:hint="eastAsia" w:ascii="宋体" w:hAnsi="宋体" w:eastAsia="宋体" w:cs="宋体"/>
          <w:strike w:val="0"/>
          <w:color w:val="auto"/>
          <w:sz w:val="24"/>
          <w:szCs w:val="24"/>
          <w:lang w:val="en-US" w:eastAsia="zh-CN" w:bidi="ar-SA"/>
        </w:rPr>
        <w:t>万元；</w:t>
      </w:r>
      <w:r>
        <w:rPr>
          <w:rFonts w:hint="eastAsia" w:hAnsi="宋体" w:cs="宋体"/>
          <w:strike w:val="0"/>
          <w:color w:val="auto"/>
          <w:sz w:val="24"/>
          <w:szCs w:val="24"/>
          <w:lang w:val="en-US" w:eastAsia="zh-CN" w:bidi="ar-SA"/>
        </w:rPr>
        <w:t>4</w:t>
      </w:r>
      <w:r>
        <w:rPr>
          <w:rFonts w:hint="eastAsia" w:ascii="宋体" w:hAnsi="宋体" w:eastAsia="宋体" w:cs="宋体"/>
          <w:strike w:val="0"/>
          <w:color w:val="auto"/>
          <w:sz w:val="24"/>
          <w:szCs w:val="24"/>
          <w:lang w:val="en-US" w:eastAsia="zh-CN" w:bidi="ar-SA"/>
        </w:rPr>
        <w:t>亿元</w:t>
      </w:r>
      <w:r>
        <w:rPr>
          <w:rFonts w:hint="eastAsia" w:hAnsi="宋体" w:cs="宋体"/>
          <w:strike w:val="0"/>
          <w:color w:val="auto"/>
          <w:sz w:val="24"/>
          <w:szCs w:val="24"/>
          <w:lang w:val="en-US" w:eastAsia="zh-CN" w:bidi="ar-SA"/>
        </w:rPr>
        <w:t>以上</w:t>
      </w:r>
      <w:r>
        <w:rPr>
          <w:rFonts w:hint="eastAsia" w:ascii="宋体" w:hAnsi="宋体" w:eastAsia="宋体" w:cs="宋体"/>
          <w:strike w:val="0"/>
          <w:color w:val="auto"/>
          <w:sz w:val="24"/>
          <w:szCs w:val="24"/>
          <w:lang w:val="en-US" w:eastAsia="zh-CN" w:bidi="ar-SA"/>
        </w:rPr>
        <w:t>最高限价为</w:t>
      </w:r>
      <w:r>
        <w:rPr>
          <w:rFonts w:hint="eastAsia" w:hAnsi="宋体" w:cs="宋体"/>
          <w:strike w:val="0"/>
          <w:color w:val="auto"/>
          <w:sz w:val="24"/>
          <w:szCs w:val="24"/>
          <w:lang w:val="en-US" w:eastAsia="zh-CN" w:bidi="ar-SA"/>
        </w:rPr>
        <w:t>30</w:t>
      </w:r>
      <w:r>
        <w:rPr>
          <w:rFonts w:hint="eastAsia" w:ascii="宋体" w:hAnsi="宋体" w:eastAsia="宋体" w:cs="宋体"/>
          <w:strike w:val="0"/>
          <w:color w:val="auto"/>
          <w:sz w:val="24"/>
          <w:szCs w:val="24"/>
          <w:lang w:val="en-US" w:eastAsia="zh-CN" w:bidi="ar-SA"/>
        </w:rPr>
        <w:t>万元</w:t>
      </w:r>
      <w:r>
        <w:rPr>
          <w:rFonts w:hint="eastAsia" w:hAnsi="宋体" w:cs="宋体"/>
          <w:strike w:val="0"/>
          <w:color w:val="auto"/>
          <w:sz w:val="24"/>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35484"/>
    <w:rsid w:val="18D349A7"/>
    <w:rsid w:val="1D13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2025-05-15T07:05:00Z</dcterms:created>
  <dc:creator>古井</dc:creator>
  <cp:lastModifiedBy>古井</cp:lastModifiedBy>
  <dcterms:modified xsi:type="dcterms:W3CDTF">2025-05-15T07:07:04Z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63592CFF5B154074B60B2EA512FAC54B_11</vt:lpwstr>
  </property>
  <property fmtid="{D5CDD505-2E9C-101B-9397-08002B2CF9AE}" pid="4" name="KSOTemplateDocerSaveRecord">
    <vt:lpwstr>eyJoZGlkIjoiZGZiM2FmYWJmOTdkZTNjMzgyZjU3ZWE1M2NiYjcxMTIiLCJ1c2VySWQiOiI2NzI3NDg5MTMifQ==</vt:lpwstr>
  </property>
</Properties>
</file>