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1EA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4152E55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rPr>
      </w:pPr>
      <w:r>
        <w:rPr>
          <w:rFonts w:hint="eastAsia" w:ascii="宋体" w:hAnsi="宋体" w:eastAsia="宋体" w:cs="宋体"/>
          <w:i w:val="0"/>
          <w:iCs w:val="0"/>
          <w:caps w:val="0"/>
          <w:color w:val="333333"/>
          <w:spacing w:val="0"/>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5D56C3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4FAA46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根据《陕西省住房和城乡建设厅关于全面开展城市体检工作的通知》（陕建发〔2024〕36号）、《西安市2024年城市体检评估工作实施方案》，从“住房、小区（社区）、街区、城区（城市）”四个维度开展未央区建成区城市体检工作，主要包含完善体检指标体系、数据采集和上报、编制城市体检报告、形成问题清单和整治建议清单等工作；综合评价城市生命体征状况和建设发展质量，重点查找影响城市竞争力、承载力和可持续发展的短板弱项，提出相应“城市病”治理的对策建议，配合并促进采购人完成城市管理目标；各项服务标准符合国家、省、市（行业）强制性标准及采购人要求。</w:t>
      </w:r>
    </w:p>
    <w:p w14:paraId="47BB59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310605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0071873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694E166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采购包预算金额（元）: 400,000.00</w:t>
      </w:r>
    </w:p>
    <w:p w14:paraId="6FEB81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采购包最高限价（元）: 400,000.00</w:t>
      </w:r>
    </w:p>
    <w:p w14:paraId="046752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供应商报价不允许超过标的金额</w:t>
      </w:r>
    </w:p>
    <w:p w14:paraId="250170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2641"/>
        <w:gridCol w:w="500"/>
        <w:gridCol w:w="1051"/>
        <w:gridCol w:w="539"/>
        <w:gridCol w:w="597"/>
        <w:gridCol w:w="578"/>
        <w:gridCol w:w="617"/>
        <w:gridCol w:w="617"/>
        <w:gridCol w:w="656"/>
      </w:tblGrid>
      <w:tr w14:paraId="0F3226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A96B1B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003BE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003E8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C8F49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F88CB9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B467E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AE2845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C99433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599FC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06AB2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0695FB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EC8A6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6B49B0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西安市未央区城市体检</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E8AFB4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0B97B6B">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400,000.00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B331F4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2B168A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9E955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A76061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AE71E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7D0818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03B3F6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3F7290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7F0FED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标的名称：西安市未央区城市体检</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7F72C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23DFA7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C69B8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A30508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302AF1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F433B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1B49992">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A9897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一、服务内容与要求</w:t>
            </w:r>
          </w:p>
          <w:p w14:paraId="7A9D392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1.1服务内容：根据区域划分责任范围，落实服务目标，开展未央区建成区城市体检工作，从“住房、小区（社区）、街区、城区（城市）”四个维度开展未央区建成区城市体检工作，主要包含完善体检指标体系、数据采集和上报、编制城市体检报告、形成问题清单和整治建议清单等工作；综合评价城市生命体征状况和建设发展质量，重点查找影响城市竞争力、承载力和可持续发展的短板弱项，提出相应“城市病”治理的对策建议，配合并促进采购人完成城市管理目标，具体服务内容（包括但不限于）如下：</w:t>
            </w:r>
          </w:p>
          <w:p w14:paraId="67821D3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（1）完善体检指标体系</w:t>
            </w:r>
          </w:p>
          <w:p w14:paraId="1EFE4C1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根据《陕西省住房和城乡建设厅关于全面开展城市体检工作的通知》（陕建发〔2024〕36号）、《西安市2024年城市体检评估工作实施方案》，在“住房、小区（社区）、街区、城区（城市）”四个维度81项基础指标。结合未央区现实特征、发展重点、亮点特色等实际情况，增加体现未央区特点的差异化特色指标，形成完善的体检指标体系。</w:t>
            </w:r>
          </w:p>
          <w:p w14:paraId="1E99B8D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（2）数据采集和上报</w:t>
            </w:r>
          </w:p>
          <w:p w14:paraId="2A12CBA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针对住房、小区（社区）、街区、城区（城市）四个维度的数据进行体检采集，城区维度采用未央区各部门分工负责的工作方式对数据进行采集；街区维度联合街道工作人员组成联合工作组，开展数据填报及汇总工作；住房、小区（社区）维度数据联合社区居委会、社区网格员、物业人员组成联合工作组，开展现场调研与数据填报工作。</w:t>
            </w:r>
          </w:p>
          <w:p w14:paraId="4B6690C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（3）编制城市体检报告</w:t>
            </w:r>
          </w:p>
          <w:p w14:paraId="10CDA09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结合住房、小区（社区）、街区、城区（城市）四个维度指标及居民抽样问卷调查结果，对照未央区规划建设管理现状，完成《未央区2024年城市体检报告》。体检报告要通过对城市体检指标数据进行全面、客观地分析评价，综合评价城市生命体征状况和建设发展质量，重点查找影响城市竞争力、承载力和可持续发展的短板弱项，找准阻碍城市发展的“症结”，客观分析评价城市人居环境质量及存在问题，提出相应“城市病”治理的对策建议。</w:t>
            </w:r>
          </w:p>
          <w:p w14:paraId="30E114B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（4）形成问题清单、整治建议清单</w:t>
            </w:r>
          </w:p>
          <w:p w14:paraId="428D1C0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通过城市体检识别不同板块问题短板，剖析问题短板产生的根源，形成问题清单；结合未央区城市建设重点内容、行动计划，在问题清单基础上，形成整治建议清单、城市更新项目库，支撑开展区域行动计划、相关专项资金申请。</w:t>
            </w:r>
          </w:p>
          <w:p w14:paraId="479F51E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1.2技术要求：具备完成城市体检项目报告编制的技术力量，在报告编制和城市问题整治方面有较好的工作基础，具有独立开展体检和组织开展研究的能力。</w:t>
            </w:r>
          </w:p>
          <w:p w14:paraId="48BF4EF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1.3进度要求：通过采取科学、合理、可行的组织、技术、管理等相关控制措施将项目实施进度控制在采购人所要求的合理时间节点内。</w:t>
            </w:r>
          </w:p>
          <w:p w14:paraId="7FF1FBD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1.4服务要求：（1）服务方须指派专属人员与采购人联系服务事宜，服务响应时间应根据采购人实际安排随时调整。</w:t>
            </w:r>
          </w:p>
          <w:p w14:paraId="7514500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（2）服务方需根据服务实际情况编制服务方案，服务计划、服务进度安排等方案措施。</w:t>
            </w:r>
          </w:p>
          <w:p w14:paraId="73ADD6B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3）服务方在本项目人员要求技术水平高、组织能力强、有丰富的实践经验，懂管理、善于协调。服务人员中的组织人员、技术人员、监管人员、辅助人员等要求有服务经验或持证上岗；服务队伍稳定，保证整个项目顺利完成，服务方未经采购人同意，不得擅自更换本项目在响应文件中指定的服务队伍。</w:t>
            </w:r>
          </w:p>
          <w:p w14:paraId="21CE6D2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（4）服务过程中，严格按照国家及地方相关标准规范收集数据，确保数据全面性、准确性、时效性。</w:t>
            </w:r>
          </w:p>
          <w:p w14:paraId="1A27EC0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（5）严格按照国家、陕西省、西安市有关规定及采购人要求进行服务，不得随意更改或者变换服务内容，每项服务内容实施前应事先取得采购人的落实后方可实施。</w:t>
            </w:r>
          </w:p>
          <w:p w14:paraId="060B879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（6）服务方派遣的服务人员对于在工作中获悉的一切政府工作的信息应严格保守秘密，不得泄露；对于违反者，给采购人单位造成不良社会影响的，或给采购人单位造成损失的，由服务方承担赔偿责任。</w:t>
            </w:r>
          </w:p>
          <w:p w14:paraId="4A6D5EA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（7）服务结束，提供本项目相关所有服务的成果报告及归档资料。</w:t>
            </w:r>
          </w:p>
          <w:p w14:paraId="4D68534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1.5成果要求：成果内容应完整真实、科学严谨、思路清晰、具有代表性，符合未央区在新形势、新变化、新发展下的城市现状；成果质量符合住房和城乡建设部建筑节能与科技司印发的《城市体检评估技术指南》的相关要求，并通过采购人组织的论证或评审会。</w:t>
            </w:r>
          </w:p>
          <w:p w14:paraId="41D00A4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2"/>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1.6质量标准及要求：（1）各项服务符合国家、省、市（行业）强制性标准及采购人要求的合格标准。</w:t>
            </w:r>
          </w:p>
          <w:p w14:paraId="478B6DF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p w14:paraId="44DA31B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left"/>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二、其他要求或说明</w:t>
            </w:r>
          </w:p>
          <w:p w14:paraId="00E4797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rPr>
            </w:pPr>
            <w:r>
              <w:rPr>
                <w:rFonts w:hint="eastAsia" w:ascii="宋体" w:hAnsi="宋体" w:eastAsia="宋体" w:cs="宋体"/>
                <w:color w:val="000000"/>
                <w:kern w:val="0"/>
                <w:sz w:val="21"/>
                <w:szCs w:val="21"/>
                <w:bdr w:val="none" w:color="auto" w:sz="0" w:space="0"/>
                <w:lang w:val="en-US" w:eastAsia="zh-CN" w:bidi="ar"/>
              </w:rPr>
              <w:t>本项目所属行业为:</w:t>
            </w:r>
            <w:r>
              <w:rPr>
                <w:rFonts w:hint="eastAsia" w:ascii="宋体" w:hAnsi="宋体" w:eastAsia="宋体" w:cs="宋体"/>
                <w:color w:val="000000"/>
                <w:kern w:val="0"/>
                <w:sz w:val="21"/>
                <w:szCs w:val="21"/>
                <w:u w:val="single"/>
                <w:bdr w:val="none" w:color="auto" w:sz="0" w:space="0"/>
                <w:lang w:val="en-US" w:eastAsia="zh-CN" w:bidi="ar"/>
              </w:rPr>
              <w:t> 其他未列明行业</w:t>
            </w:r>
            <w:r>
              <w:rPr>
                <w:rFonts w:hint="eastAsia" w:ascii="宋体" w:hAnsi="宋体" w:eastAsia="宋体" w:cs="宋体"/>
                <w:color w:val="000000"/>
                <w:kern w:val="0"/>
                <w:sz w:val="21"/>
                <w:szCs w:val="21"/>
                <w:bdr w:val="none" w:color="auto" w:sz="0" w:space="0"/>
                <w:lang w:val="en-US" w:eastAsia="zh-CN" w:bidi="ar"/>
              </w:rPr>
              <w:t>（从业人员300人以下的为中小微型企业。其中，从业人员100人及以上的为中型企业；从业人员10人及以上的为小型企业；从业人员10人以下的为微型企业）。</w:t>
            </w:r>
          </w:p>
        </w:tc>
      </w:tr>
    </w:tbl>
    <w:p w14:paraId="4E7176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1F8D10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049B9C2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服务方按项目服务要求及特性，自行组织实施与管理，建立以负责人为核心的履行合同所必需人员团队，相关人员经过严格培训，有相关工作经验，能够胜任项目工作，保证项目顺利实施。</w:t>
      </w:r>
    </w:p>
    <w:p w14:paraId="769D6E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5E35D8E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33D02C5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服务方根据项目采购项目特性及要求，自行配置投入履行合同所必需的各类设施设备（不限于专业设备、辅助设备、工具、软件等）及场所，保证项目顺利实施。</w:t>
      </w:r>
    </w:p>
    <w:p w14:paraId="67F697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2B657C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215C30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（1）依照规范标准提交相应成果报告资料，包括纸质成果与电子成果； （2）所有提供资料包括：①纸质成果采用 A4 幅面双面印刷装订，一式 8 份，加盖公章；②电子成果为与纸质成果相对应的电子文档（pdf 格式）、城市体检数据库及相关附件，以 U 盘形式提供 2 份。</w:t>
      </w:r>
    </w:p>
    <w:p w14:paraId="7082FB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2F33BBC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0CC06AF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3B89B3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自签订合同之日起一年内</w:t>
      </w:r>
    </w:p>
    <w:p w14:paraId="301F819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3FED2C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0D6E542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按采购人指定地点</w:t>
      </w:r>
    </w:p>
    <w:p w14:paraId="0AEAE26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0FF820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7C0CDC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现行的国家标准或国家行政部门颁布的法律法规、规章制度等，是项目验收的重要依据，采购人单位根据有关规范、规定及项目要求对服务进行检查或考核，服务方须接受采购人的各类考核或检查；若验收不通过或服务质量不符合采购要求，服务方应在一定期限以采购人要求的标准进行整改或进一步完善，并再次进行考核或检查，若服务方在接受检查整改后最终仍未按要求提供符合要求和服务，采购人有权按违约予以撤项，由此产生的一切责任和费用均由服务方承担。</w:t>
      </w:r>
    </w:p>
    <w:p w14:paraId="00B079D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73A8BCC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696B27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分期付款</w:t>
      </w:r>
    </w:p>
    <w:p w14:paraId="15F7CD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0F1279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 付款条件说明： 合同签订生效 ，达到付款条件起 30 日内，支付合同总金额的 40.00%。</w:t>
      </w:r>
    </w:p>
    <w:p w14:paraId="03640DA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 付款条件说明： 成果通过采购人验收 ，达到付款条件起 30 日内，支付合同总金额的 60.00%。</w:t>
      </w:r>
    </w:p>
    <w:p w14:paraId="12D461D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25D16F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采购包1：</w:t>
      </w:r>
    </w:p>
    <w:p w14:paraId="514EE9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详见合同条款</w:t>
      </w:r>
    </w:p>
    <w:p w14:paraId="422F69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072234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0A82E5"/>
          <w:spacing w:val="0"/>
          <w:sz w:val="21"/>
          <w:szCs w:val="21"/>
          <w:bdr w:val="none" w:color="auto" w:sz="0" w:space="0"/>
          <w:shd w:val="clear" w:fill="FFFFFF"/>
        </w:rPr>
        <w:t>一、供应商的磋商报价是供应商响应磋商项目要求的全部工作内容的价格体现，包括供应商完成本项目所需的直接费、间接费、利润、税金及其它相关的一切费用；包括但不限于：服务费、人工费、设备使用费、编制费、资料费、后期服务费、管理费、验收费、利润和税金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单独参与磋商时，除总公司所投产品为分公司生产的产品外，不能使用分公司的资质或业绩。总公司授权分公司或分支机构参与磋商，可以使用总公司的资质或业绩。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03E4EFF7">
      <w:pPr>
        <w:keepNext w:val="0"/>
        <w:keepLines w:val="0"/>
        <w:pageBreakBefore w:val="0"/>
        <w:kinsoku/>
        <w:overflowPunct/>
        <w:topLinePunct w:val="0"/>
        <w:autoSpaceDE/>
        <w:autoSpaceDN/>
        <w:bidi w:val="0"/>
        <w:adjustRightInd/>
        <w:snapToGrid/>
        <w:spacing w:line="300" w:lineRule="auto"/>
        <w:textAlignment w:val="auto"/>
        <w:rPr>
          <w:rFonts w:hint="eastAsia" w:ascii="宋体" w:hAnsi="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color w:val="FF0000"/>
          <w:szCs w:val="21"/>
        </w:rPr>
        <w:t>注：此附件采购需求仅作为潜在供应商知晓项目基本情况，采购文件具体内容请供应商用户登录“陕西省政府采购综合管理平台（以下简称“政府采购平台”），进入项目电子化交易系统”内下载的电子采购文件为准。</w:t>
      </w:r>
      <w:bookmarkStart w:id="0" w:name="_GoBack"/>
      <w:bookmarkEnd w:id="0"/>
    </w:p>
    <w:p w14:paraId="2189BC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C5A60"/>
    <w:rsid w:val="033E2F83"/>
    <w:rsid w:val="0EBA37A2"/>
    <w:rsid w:val="475C5A60"/>
    <w:rsid w:val="64AE2EB1"/>
    <w:rsid w:val="787E3F86"/>
    <w:rsid w:val="7C0B4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pPr>
    <w:rPr>
      <w:szCs w:val="22"/>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font21"/>
    <w:basedOn w:val="10"/>
    <w:qFormat/>
    <w:uiPriority w:val="0"/>
    <w:rPr>
      <w:rFonts w:hint="eastAsia" w:ascii="宋体" w:hAnsi="宋体" w:eastAsia="宋体" w:cs="宋体"/>
      <w:color w:val="000000"/>
      <w:sz w:val="20"/>
      <w:szCs w:val="20"/>
      <w:u w:val="none"/>
    </w:rPr>
  </w:style>
  <w:style w:type="character" w:customStyle="1" w:styleId="13">
    <w:name w:val="font31"/>
    <w:basedOn w:val="10"/>
    <w:qFormat/>
    <w:uiPriority w:val="0"/>
    <w:rPr>
      <w:rFonts w:hint="eastAsia" w:ascii="宋体" w:hAnsi="宋体" w:eastAsia="宋体" w:cs="宋体"/>
      <w:color w:val="000000"/>
      <w:sz w:val="20"/>
      <w:szCs w:val="20"/>
      <w:u w:val="none"/>
    </w:rPr>
  </w:style>
  <w:style w:type="character" w:customStyle="1" w:styleId="14">
    <w:name w:val="font11"/>
    <w:basedOn w:val="10"/>
    <w:qFormat/>
    <w:uiPriority w:val="0"/>
    <w:rPr>
      <w:rFonts w:hint="eastAsia" w:ascii="宋体" w:hAnsi="宋体" w:eastAsia="宋体" w:cs="宋体"/>
      <w:color w:val="000000"/>
      <w:sz w:val="20"/>
      <w:szCs w:val="20"/>
      <w:u w:val="none"/>
    </w:rPr>
  </w:style>
  <w:style w:type="paragraph" w:styleId="15">
    <w:name w:val="List Paragraph"/>
    <w:basedOn w:val="1"/>
    <w:autoRedefine/>
    <w:qFormat/>
    <w:uiPriority w:val="34"/>
    <w:pPr>
      <w:ind w:firstLine="420" w:firstLineChars="200"/>
    </w:p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19934</Words>
  <Characters>23138</Characters>
  <Lines>0</Lines>
  <Paragraphs>0</Paragraphs>
  <TotalTime>0</TotalTime>
  <ScaleCrop>false</ScaleCrop>
  <LinksUpToDate>false</LinksUpToDate>
  <CharactersWithSpaces>23302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2025-04-01T10:55:00Z</dcterms:created>
  <dc:creator>mo·xuan</dc:creator>
  <cp:lastModifiedBy>mo·xuan</cp:lastModifiedBy>
  <dcterms:modified xsi:type="dcterms:W3CDTF">2025-05-16T12:49:44Z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D0DF83C2293B41EC829ECE2FD3A888BB_11</vt:lpwstr>
  </property>
  <property fmtid="{D5CDD505-2E9C-101B-9397-08002B2CF9AE}" pid="4" name="KSOTemplateDocerSaveRecord">
    <vt:lpwstr>eyJoZGlkIjoiYTYwNWE2MmNhNzRiMDNhMjMzYTJhNjIzZjY2YmY0MGMiLCJ1c2VySWQiOiI3OTY2NTg3ODQifQ==</vt:lpwstr>
  </property>
</Properties>
</file>