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BA03">
      <w:pPr>
        <w:pStyle w:val="2"/>
        <w:pageBreakBefore w:val="0"/>
        <w:kinsoku/>
        <w:wordWrap w:val="0"/>
        <w:overflowPunct/>
        <w:topLinePunct w:val="0"/>
        <w:bidi w:val="0"/>
        <w:spacing w:before="333" w:beforeLines="100" w:after="333" w:afterLines="100" w:line="360" w:lineRule="auto"/>
        <w:jc w:val="center"/>
        <w:rPr>
          <w:rFonts w:hint="eastAsia" w:ascii="宋体" w:hAnsi="宋体" w:eastAsia="宋体" w:cs="宋体"/>
          <w:i w:val="0"/>
          <w:iCs w:val="0"/>
          <w:highlight w:val="none"/>
        </w:rPr>
      </w:pPr>
      <w:bookmarkStart w:id="1" w:name="_GoBack"/>
      <w:r>
        <w:rPr>
          <w:rFonts w:hint="eastAsia" w:ascii="宋体" w:eastAsia="宋体" w:cs="宋体"/>
          <w:bCs/>
          <w:i w:val="0"/>
          <w:iCs w:val="0"/>
          <w:color w:val="000000"/>
          <w:sz w:val="36"/>
          <w:szCs w:val="36"/>
          <w:highlight w:val="none"/>
          <w:lang w:eastAsia="zh-CN"/>
        </w:rPr>
        <w:t>招标服务</w:t>
      </w:r>
      <w:r>
        <w:rPr>
          <w:rFonts w:hint="eastAsia" w:ascii="宋体" w:hAnsi="宋体" w:eastAsia="宋体" w:cs="宋体"/>
          <w:bCs/>
          <w:i w:val="0"/>
          <w:iCs w:val="0"/>
          <w:color w:val="000000"/>
          <w:sz w:val="36"/>
          <w:szCs w:val="36"/>
          <w:highlight w:val="none"/>
        </w:rPr>
        <w:t>内容及</w:t>
      </w:r>
      <w:r>
        <w:rPr>
          <w:rFonts w:hint="eastAsia" w:ascii="宋体" w:eastAsia="宋体" w:cs="宋体"/>
          <w:bCs/>
          <w:i w:val="0"/>
          <w:iCs w:val="0"/>
          <w:color w:val="000000"/>
          <w:sz w:val="36"/>
          <w:szCs w:val="36"/>
          <w:highlight w:val="none"/>
          <w:lang w:eastAsia="zh-CN"/>
        </w:rPr>
        <w:t>服务</w:t>
      </w:r>
      <w:r>
        <w:rPr>
          <w:rFonts w:hint="eastAsia" w:ascii="宋体" w:hAnsi="宋体" w:eastAsia="宋体" w:cs="宋体"/>
          <w:bCs/>
          <w:i w:val="0"/>
          <w:iCs w:val="0"/>
          <w:color w:val="000000"/>
          <w:sz w:val="36"/>
          <w:szCs w:val="36"/>
          <w:highlight w:val="none"/>
        </w:rPr>
        <w:t>要求</w:t>
      </w:r>
      <w:bookmarkEnd w:id="1"/>
      <w:bookmarkStart w:id="0" w:name="_Toc317530110"/>
    </w:p>
    <w:bookmarkEnd w:id="0"/>
    <w:p w14:paraId="57874C72">
      <w:pPr>
        <w:pageBreakBefore w:val="0"/>
        <w:kinsoku/>
        <w:overflowPunct/>
        <w:bidi w:val="0"/>
        <w:spacing w:line="360" w:lineRule="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一、项目概况</w:t>
      </w:r>
    </w:p>
    <w:p w14:paraId="1771D611">
      <w:pPr>
        <w:pageBreakBefore w:val="0"/>
        <w:kinsoku/>
        <w:overflowPunct/>
        <w:bidi w:val="0"/>
        <w:spacing w:line="360" w:lineRule="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（一）工作事项：</w:t>
      </w:r>
      <w:r>
        <w:rPr>
          <w:rFonts w:hint="eastAsia" w:ascii="宋体" w:hAnsi="宋体" w:eastAsia="宋体" w:cs="宋体"/>
          <w:spacing w:val="-4"/>
          <w:sz w:val="24"/>
          <w:szCs w:val="24"/>
          <w:highlight w:val="none"/>
          <w:lang w:eastAsia="zh-CN"/>
        </w:rPr>
        <w:t>三桥区域内拆迁项目放线、丈量及垃圾测量项目</w:t>
      </w:r>
      <w:r>
        <w:rPr>
          <w:rFonts w:hint="eastAsia" w:ascii="宋体" w:hAnsi="宋体" w:eastAsia="宋体" w:cs="宋体"/>
          <w:spacing w:val="-4"/>
          <w:sz w:val="24"/>
          <w:szCs w:val="24"/>
          <w:highlight w:val="none"/>
        </w:rPr>
        <w:t>测绘工作。</w:t>
      </w:r>
    </w:p>
    <w:p w14:paraId="18718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二</w:t>
      </w:r>
      <w:r>
        <w:rPr>
          <w:rFonts w:hint="eastAsia" w:ascii="宋体" w:hAnsi="宋体" w:eastAsia="宋体" w:cs="宋体"/>
          <w:spacing w:val="-4"/>
          <w:sz w:val="24"/>
          <w:szCs w:val="24"/>
          <w:highlight w:val="none"/>
        </w:rPr>
        <w:t>）工作期限：</w:t>
      </w:r>
      <w:r>
        <w:rPr>
          <w:rFonts w:hint="eastAsia" w:ascii="宋体" w:hAnsi="宋体" w:eastAsia="宋体" w:cs="宋体"/>
          <w:i w:val="0"/>
          <w:iCs w:val="0"/>
          <w:caps w:val="0"/>
          <w:color w:val="auto"/>
          <w:spacing w:val="0"/>
          <w:sz w:val="24"/>
          <w:szCs w:val="24"/>
          <w:highlight w:val="none"/>
          <w:shd w:val="clear" w:color="auto" w:fill="FFFFFF"/>
          <w:vertAlign w:val="baseline"/>
        </w:rPr>
        <w:t>自合同签订之日起一年</w:t>
      </w:r>
      <w:r>
        <w:rPr>
          <w:rFonts w:hint="eastAsia" w:ascii="宋体" w:hAnsi="宋体" w:eastAsia="宋体" w:cs="宋体"/>
          <w:color w:val="000000"/>
          <w:sz w:val="24"/>
          <w:szCs w:val="24"/>
          <w:highlight w:val="none"/>
          <w:lang w:val="en-US" w:eastAsia="zh-CN" w:bidi="zh-TW"/>
        </w:rPr>
        <w:t>（具体服务起止日期可随合同签订时间相应顺延）</w:t>
      </w:r>
      <w:r>
        <w:rPr>
          <w:rFonts w:hint="eastAsia" w:ascii="宋体" w:hAnsi="宋体" w:eastAsia="宋体" w:cs="宋体"/>
          <w:spacing w:val="-4"/>
          <w:sz w:val="24"/>
          <w:szCs w:val="24"/>
          <w:highlight w:val="none"/>
        </w:rPr>
        <w:t>。</w:t>
      </w:r>
    </w:p>
    <w:p w14:paraId="1965AD10">
      <w:pPr>
        <w:pageBreakBefore w:val="0"/>
        <w:kinsoku/>
        <w:overflowPunct/>
        <w:bidi w:val="0"/>
        <w:spacing w:line="360" w:lineRule="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二、技术标准</w:t>
      </w:r>
    </w:p>
    <w:tbl>
      <w:tblPr>
        <w:tblStyle w:val="4"/>
        <w:tblpPr w:leftFromText="180" w:rightFromText="180" w:vertAnchor="text" w:horzAnchor="page" w:tblpX="1725" w:tblpY="17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5515"/>
        <w:gridCol w:w="2369"/>
      </w:tblGrid>
      <w:tr w14:paraId="49DF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49D1F2F2">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5515" w:type="dxa"/>
            <w:noWrap w:val="0"/>
            <w:vAlign w:val="center"/>
          </w:tcPr>
          <w:p w14:paraId="12877692">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标准名称</w:t>
            </w:r>
          </w:p>
        </w:tc>
        <w:tc>
          <w:tcPr>
            <w:tcW w:w="2369" w:type="dxa"/>
            <w:noWrap w:val="0"/>
            <w:vAlign w:val="center"/>
          </w:tcPr>
          <w:p w14:paraId="4F6DAEDC">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标准代号</w:t>
            </w:r>
          </w:p>
        </w:tc>
      </w:tr>
      <w:tr w14:paraId="2AD6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29B07C24">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tc>
        <w:tc>
          <w:tcPr>
            <w:tcW w:w="5515" w:type="dxa"/>
            <w:noWrap w:val="0"/>
            <w:vAlign w:val="center"/>
          </w:tcPr>
          <w:p w14:paraId="56FF9D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《全球导航卫星系统（GNSS）测量规范》</w:t>
            </w:r>
          </w:p>
        </w:tc>
        <w:tc>
          <w:tcPr>
            <w:tcW w:w="2369" w:type="dxa"/>
            <w:noWrap w:val="0"/>
            <w:vAlign w:val="center"/>
          </w:tcPr>
          <w:p w14:paraId="01D569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GB/T18314-2024</w:t>
            </w:r>
          </w:p>
        </w:tc>
      </w:tr>
      <w:tr w14:paraId="055A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73F104B6">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p>
        </w:tc>
        <w:tc>
          <w:tcPr>
            <w:tcW w:w="5515" w:type="dxa"/>
            <w:noWrap w:val="0"/>
            <w:vAlign w:val="center"/>
          </w:tcPr>
          <w:p w14:paraId="7D8AA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《工程测量规范》</w:t>
            </w:r>
          </w:p>
        </w:tc>
        <w:tc>
          <w:tcPr>
            <w:tcW w:w="2369" w:type="dxa"/>
            <w:noWrap w:val="0"/>
            <w:vAlign w:val="center"/>
          </w:tcPr>
          <w:p w14:paraId="4E876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rPr>
              <w:t>GB50026-20</w:t>
            </w:r>
            <w:r>
              <w:rPr>
                <w:rFonts w:hint="eastAsia" w:ascii="宋体" w:hAnsi="宋体" w:eastAsia="宋体" w:cs="宋体"/>
                <w:color w:val="auto"/>
                <w:sz w:val="24"/>
                <w:szCs w:val="24"/>
                <w:highlight w:val="none"/>
                <w:lang w:val="en-US" w:eastAsia="zh-CN"/>
              </w:rPr>
              <w:t>20</w:t>
            </w:r>
          </w:p>
        </w:tc>
      </w:tr>
      <w:tr w14:paraId="5379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2A8EC8DE">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w:t>
            </w:r>
          </w:p>
        </w:tc>
        <w:tc>
          <w:tcPr>
            <w:tcW w:w="5515" w:type="dxa"/>
            <w:noWrap w:val="0"/>
            <w:vAlign w:val="center"/>
          </w:tcPr>
          <w:p w14:paraId="44997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《城市测量规范》</w:t>
            </w:r>
          </w:p>
        </w:tc>
        <w:tc>
          <w:tcPr>
            <w:tcW w:w="2369" w:type="dxa"/>
            <w:noWrap w:val="0"/>
            <w:vAlign w:val="center"/>
          </w:tcPr>
          <w:p w14:paraId="7ACA7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CJJ/T8-2011</w:t>
            </w:r>
          </w:p>
        </w:tc>
      </w:tr>
      <w:tr w14:paraId="1D77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1DF25F76">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p>
        </w:tc>
        <w:tc>
          <w:tcPr>
            <w:tcW w:w="5515" w:type="dxa"/>
            <w:noWrap w:val="0"/>
            <w:vAlign w:val="center"/>
          </w:tcPr>
          <w:p w14:paraId="754AE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《全球定位系统城市测量技术规程》</w:t>
            </w:r>
          </w:p>
        </w:tc>
        <w:tc>
          <w:tcPr>
            <w:tcW w:w="2369" w:type="dxa"/>
            <w:noWrap w:val="0"/>
            <w:vAlign w:val="center"/>
          </w:tcPr>
          <w:p w14:paraId="0B4DDA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CJJ/T73-2010</w:t>
            </w:r>
          </w:p>
        </w:tc>
      </w:tr>
      <w:tr w14:paraId="41FC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5AD59AA3">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w:t>
            </w:r>
          </w:p>
        </w:tc>
        <w:tc>
          <w:tcPr>
            <w:tcW w:w="5515" w:type="dxa"/>
            <w:noWrap w:val="0"/>
            <w:vAlign w:val="center"/>
          </w:tcPr>
          <w:p w14:paraId="495CB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《地籍测绘规范》</w:t>
            </w:r>
          </w:p>
        </w:tc>
        <w:tc>
          <w:tcPr>
            <w:tcW w:w="2369" w:type="dxa"/>
            <w:noWrap w:val="0"/>
            <w:vAlign w:val="center"/>
          </w:tcPr>
          <w:p w14:paraId="530994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CH5002-94</w:t>
            </w:r>
          </w:p>
        </w:tc>
      </w:tr>
      <w:tr w14:paraId="3905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51A0DC1C">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w:t>
            </w:r>
          </w:p>
        </w:tc>
        <w:tc>
          <w:tcPr>
            <w:tcW w:w="5515" w:type="dxa"/>
            <w:noWrap w:val="0"/>
            <w:vAlign w:val="center"/>
          </w:tcPr>
          <w:p w14:paraId="24A6E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《土地勘测定界规程》</w:t>
            </w:r>
          </w:p>
        </w:tc>
        <w:tc>
          <w:tcPr>
            <w:tcW w:w="2369" w:type="dxa"/>
            <w:noWrap w:val="0"/>
            <w:vAlign w:val="center"/>
          </w:tcPr>
          <w:p w14:paraId="25585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TD/T1008-2007</w:t>
            </w:r>
          </w:p>
        </w:tc>
      </w:tr>
      <w:tr w14:paraId="5144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2" w:type="dxa"/>
            <w:noWrap w:val="0"/>
            <w:vAlign w:val="center"/>
          </w:tcPr>
          <w:p w14:paraId="12137ACD">
            <w:pPr>
              <w:pageBreakBefore w:val="0"/>
              <w:kinsoku/>
              <w:overflowPunct/>
              <w:bidi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w:t>
            </w:r>
          </w:p>
        </w:tc>
        <w:tc>
          <w:tcPr>
            <w:tcW w:w="5515" w:type="dxa"/>
            <w:noWrap w:val="0"/>
            <w:vAlign w:val="center"/>
          </w:tcPr>
          <w:p w14:paraId="19B74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《地籍调查规程》</w:t>
            </w:r>
          </w:p>
        </w:tc>
        <w:tc>
          <w:tcPr>
            <w:tcW w:w="2369" w:type="dxa"/>
            <w:noWrap w:val="0"/>
            <w:vAlign w:val="center"/>
          </w:tcPr>
          <w:p w14:paraId="770E5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GB/T42547-2023</w:t>
            </w:r>
          </w:p>
        </w:tc>
      </w:tr>
    </w:tbl>
    <w:p w14:paraId="6B202D7C">
      <w:pPr>
        <w:pageBreakBefore w:val="0"/>
        <w:kinsoku/>
        <w:overflowPunct/>
        <w:bidi w:val="0"/>
        <w:spacing w:line="360" w:lineRule="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三、工作要求</w:t>
      </w:r>
    </w:p>
    <w:p w14:paraId="6BC7E8EE">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自收到</w:t>
      </w:r>
      <w:r>
        <w:rPr>
          <w:rFonts w:hint="eastAsia" w:ascii="宋体" w:hAnsi="宋体" w:eastAsia="宋体" w:cs="宋体"/>
          <w:spacing w:val="-4"/>
          <w:sz w:val="24"/>
          <w:szCs w:val="24"/>
          <w:highlight w:val="none"/>
          <w:lang w:eastAsia="zh-CN"/>
        </w:rPr>
        <w:t>采购人</w:t>
      </w:r>
      <w:r>
        <w:rPr>
          <w:rFonts w:hint="eastAsia" w:ascii="宋体" w:hAnsi="宋体" w:eastAsia="宋体" w:cs="宋体"/>
          <w:spacing w:val="-4"/>
          <w:sz w:val="24"/>
          <w:szCs w:val="24"/>
          <w:highlight w:val="none"/>
        </w:rPr>
        <w:t>工作任务通知起，</w:t>
      </w:r>
      <w:r>
        <w:rPr>
          <w:rFonts w:hint="eastAsia" w:ascii="宋体" w:hAnsi="宋体" w:eastAsia="宋体" w:cs="宋体"/>
          <w:spacing w:val="-4"/>
          <w:sz w:val="24"/>
          <w:szCs w:val="24"/>
          <w:highlight w:val="none"/>
          <w:lang w:eastAsia="zh-CN"/>
        </w:rPr>
        <w:t>成交供应商</w:t>
      </w:r>
      <w:r>
        <w:rPr>
          <w:rFonts w:hint="eastAsia" w:ascii="宋体" w:hAnsi="宋体" w:eastAsia="宋体" w:cs="宋体"/>
          <w:spacing w:val="-4"/>
          <w:sz w:val="24"/>
          <w:szCs w:val="24"/>
          <w:highlight w:val="none"/>
        </w:rPr>
        <w:t>于</w:t>
      </w:r>
      <w:r>
        <w:rPr>
          <w:rFonts w:hint="eastAsia" w:ascii="宋体" w:hAnsi="宋体" w:eastAsia="宋体" w:cs="宋体"/>
          <w:spacing w:val="-4"/>
          <w:sz w:val="24"/>
          <w:szCs w:val="24"/>
          <w:highlight w:val="none"/>
          <w:u w:val="single"/>
          <w:lang w:val="en-US" w:eastAsia="zh-CN"/>
        </w:rPr>
        <w:t xml:space="preserve"> 3 </w:t>
      </w:r>
      <w:r>
        <w:rPr>
          <w:rFonts w:hint="eastAsia" w:ascii="宋体" w:hAnsi="宋体" w:eastAsia="宋体" w:cs="宋体"/>
          <w:spacing w:val="-4"/>
          <w:sz w:val="24"/>
          <w:szCs w:val="24"/>
          <w:highlight w:val="none"/>
        </w:rPr>
        <w:t>日内组织测绘队伍进场作业，在</w:t>
      </w:r>
      <w:r>
        <w:rPr>
          <w:rFonts w:hint="eastAsia" w:ascii="宋体" w:hAnsi="宋体" w:eastAsia="宋体" w:cs="宋体"/>
          <w:spacing w:val="-4"/>
          <w:sz w:val="24"/>
          <w:szCs w:val="24"/>
          <w:highlight w:val="none"/>
          <w:lang w:eastAsia="zh-CN"/>
        </w:rPr>
        <w:t>采购人</w:t>
      </w:r>
      <w:r>
        <w:rPr>
          <w:rFonts w:hint="eastAsia" w:ascii="宋体" w:hAnsi="宋体" w:eastAsia="宋体" w:cs="宋体"/>
          <w:spacing w:val="-4"/>
          <w:sz w:val="24"/>
          <w:szCs w:val="24"/>
          <w:highlight w:val="none"/>
        </w:rPr>
        <w:t>规定时间内完成指定范围内的测绘任务，待现场作业完成后</w:t>
      </w:r>
      <w:r>
        <w:rPr>
          <w:rFonts w:hint="eastAsia" w:ascii="宋体" w:hAnsi="宋体" w:eastAsia="宋体" w:cs="宋体"/>
          <w:spacing w:val="-4"/>
          <w:sz w:val="24"/>
          <w:szCs w:val="24"/>
          <w:highlight w:val="none"/>
          <w:u w:val="single"/>
          <w:lang w:val="en-US" w:eastAsia="zh-CN"/>
        </w:rPr>
        <w:t xml:space="preserve"> 7 </w:t>
      </w:r>
      <w:r>
        <w:rPr>
          <w:rFonts w:hint="eastAsia" w:ascii="宋体" w:hAnsi="宋体" w:eastAsia="宋体" w:cs="宋体"/>
          <w:spacing w:val="-4"/>
          <w:sz w:val="24"/>
          <w:szCs w:val="24"/>
          <w:highlight w:val="none"/>
        </w:rPr>
        <w:t>日内向</w:t>
      </w:r>
      <w:r>
        <w:rPr>
          <w:rFonts w:hint="eastAsia" w:ascii="宋体" w:hAnsi="宋体" w:eastAsia="宋体" w:cs="宋体"/>
          <w:spacing w:val="-4"/>
          <w:sz w:val="24"/>
          <w:szCs w:val="24"/>
          <w:highlight w:val="none"/>
          <w:lang w:eastAsia="zh-CN"/>
        </w:rPr>
        <w:t>采购人</w:t>
      </w:r>
      <w:r>
        <w:rPr>
          <w:rFonts w:hint="eastAsia" w:ascii="宋体" w:hAnsi="宋体" w:eastAsia="宋体" w:cs="宋体"/>
          <w:spacing w:val="-4"/>
          <w:sz w:val="24"/>
          <w:szCs w:val="24"/>
          <w:highlight w:val="none"/>
        </w:rPr>
        <w:t>提交测绘成果，具体提交时间以</w:t>
      </w:r>
      <w:r>
        <w:rPr>
          <w:rFonts w:hint="eastAsia" w:ascii="宋体" w:hAnsi="宋体" w:eastAsia="宋体" w:cs="宋体"/>
          <w:spacing w:val="-4"/>
          <w:sz w:val="24"/>
          <w:szCs w:val="24"/>
          <w:highlight w:val="none"/>
          <w:lang w:eastAsia="zh-CN"/>
        </w:rPr>
        <w:t>采购人</w:t>
      </w:r>
      <w:r>
        <w:rPr>
          <w:rFonts w:hint="eastAsia" w:ascii="宋体" w:hAnsi="宋体" w:eastAsia="宋体" w:cs="宋体"/>
          <w:spacing w:val="-4"/>
          <w:sz w:val="24"/>
          <w:szCs w:val="24"/>
          <w:highlight w:val="none"/>
        </w:rPr>
        <w:t>通知为准。</w:t>
      </w:r>
      <w:r>
        <w:rPr>
          <w:rFonts w:hint="eastAsia" w:ascii="宋体" w:hAnsi="宋体" w:eastAsia="宋体" w:cs="宋体"/>
          <w:spacing w:val="-4"/>
          <w:sz w:val="24"/>
          <w:szCs w:val="24"/>
          <w:highlight w:val="none"/>
          <w:lang w:eastAsia="zh-CN"/>
        </w:rPr>
        <w:t>成交供应商</w:t>
      </w:r>
      <w:r>
        <w:rPr>
          <w:rFonts w:hint="eastAsia" w:ascii="宋体" w:hAnsi="宋体" w:eastAsia="宋体" w:cs="宋体"/>
          <w:spacing w:val="-4"/>
          <w:sz w:val="24"/>
          <w:szCs w:val="24"/>
          <w:highlight w:val="none"/>
        </w:rPr>
        <w:t>向</w:t>
      </w:r>
      <w:r>
        <w:rPr>
          <w:rFonts w:hint="eastAsia" w:ascii="宋体" w:hAnsi="宋体" w:eastAsia="宋体" w:cs="宋体"/>
          <w:spacing w:val="-4"/>
          <w:sz w:val="24"/>
          <w:szCs w:val="24"/>
          <w:highlight w:val="none"/>
          <w:lang w:eastAsia="zh-CN"/>
        </w:rPr>
        <w:t>采购人</w:t>
      </w:r>
      <w:r>
        <w:rPr>
          <w:rFonts w:hint="eastAsia" w:ascii="宋体" w:hAnsi="宋体" w:eastAsia="宋体" w:cs="宋体"/>
          <w:spacing w:val="-4"/>
          <w:sz w:val="24"/>
          <w:szCs w:val="24"/>
          <w:highlight w:val="none"/>
        </w:rPr>
        <w:t>交付测绘成果（详见下表），并提交电子数据一份。</w:t>
      </w:r>
    </w:p>
    <w:tbl>
      <w:tblPr>
        <w:tblStyle w:val="4"/>
        <w:tblW w:w="85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35"/>
        <w:gridCol w:w="2259"/>
        <w:gridCol w:w="1566"/>
      </w:tblGrid>
      <w:tr w14:paraId="7CBF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11265289">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序号</w:t>
            </w:r>
          </w:p>
        </w:tc>
        <w:tc>
          <w:tcPr>
            <w:tcW w:w="3735" w:type="dxa"/>
            <w:noWrap w:val="0"/>
            <w:vAlign w:val="center"/>
          </w:tcPr>
          <w:p w14:paraId="2C8D93E0">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测绘内容</w:t>
            </w:r>
          </w:p>
        </w:tc>
        <w:tc>
          <w:tcPr>
            <w:tcW w:w="2259" w:type="dxa"/>
            <w:noWrap w:val="0"/>
            <w:vAlign w:val="center"/>
          </w:tcPr>
          <w:p w14:paraId="4CD13C61">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提交成果</w:t>
            </w:r>
          </w:p>
        </w:tc>
        <w:tc>
          <w:tcPr>
            <w:tcW w:w="1566" w:type="dxa"/>
            <w:noWrap w:val="0"/>
            <w:vAlign w:val="center"/>
          </w:tcPr>
          <w:p w14:paraId="6529F4ED">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数量</w:t>
            </w:r>
          </w:p>
        </w:tc>
      </w:tr>
      <w:tr w14:paraId="7455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192E6931">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w:t>
            </w:r>
          </w:p>
        </w:tc>
        <w:tc>
          <w:tcPr>
            <w:tcW w:w="3735" w:type="dxa"/>
            <w:noWrap w:val="0"/>
            <w:vAlign w:val="center"/>
          </w:tcPr>
          <w:p w14:paraId="57653DC2">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垃圾测量</w:t>
            </w:r>
          </w:p>
        </w:tc>
        <w:tc>
          <w:tcPr>
            <w:tcW w:w="2259" w:type="dxa"/>
            <w:noWrap w:val="0"/>
            <w:vAlign w:val="center"/>
          </w:tcPr>
          <w:p w14:paraId="296C6CA9">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土方测量报告</w:t>
            </w:r>
          </w:p>
        </w:tc>
        <w:tc>
          <w:tcPr>
            <w:tcW w:w="1566" w:type="dxa"/>
            <w:noWrap w:val="0"/>
            <w:vAlign w:val="center"/>
          </w:tcPr>
          <w:p w14:paraId="1989E4AF">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14:paraId="13EB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1DBBA7B4">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w:t>
            </w:r>
          </w:p>
        </w:tc>
        <w:tc>
          <w:tcPr>
            <w:tcW w:w="3735" w:type="dxa"/>
            <w:noWrap w:val="0"/>
            <w:vAlign w:val="center"/>
          </w:tcPr>
          <w:p w14:paraId="4C25EF22">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权属界址点外业测绘</w:t>
            </w:r>
          </w:p>
        </w:tc>
        <w:tc>
          <w:tcPr>
            <w:tcW w:w="2259" w:type="dxa"/>
            <w:noWrap w:val="0"/>
            <w:vAlign w:val="center"/>
          </w:tcPr>
          <w:p w14:paraId="02445FCD">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宗地成果图</w:t>
            </w:r>
          </w:p>
        </w:tc>
        <w:tc>
          <w:tcPr>
            <w:tcW w:w="1566" w:type="dxa"/>
            <w:noWrap w:val="0"/>
            <w:vAlign w:val="center"/>
          </w:tcPr>
          <w:p w14:paraId="4D93FC33">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14:paraId="67C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6226AB7C">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w:t>
            </w:r>
          </w:p>
        </w:tc>
        <w:tc>
          <w:tcPr>
            <w:tcW w:w="3735" w:type="dxa"/>
            <w:noWrap w:val="0"/>
            <w:vAlign w:val="center"/>
          </w:tcPr>
          <w:p w14:paraId="37821420">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地物、地类界线拐点外业测绘</w:t>
            </w:r>
          </w:p>
        </w:tc>
        <w:tc>
          <w:tcPr>
            <w:tcW w:w="2259" w:type="dxa"/>
            <w:noWrap w:val="0"/>
            <w:vAlign w:val="center"/>
          </w:tcPr>
          <w:p w14:paraId="2F3E6DC9">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宗地成果图</w:t>
            </w:r>
          </w:p>
        </w:tc>
        <w:tc>
          <w:tcPr>
            <w:tcW w:w="1566" w:type="dxa"/>
            <w:noWrap w:val="0"/>
            <w:vAlign w:val="center"/>
          </w:tcPr>
          <w:p w14:paraId="07A862EE">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份</w:t>
            </w:r>
          </w:p>
        </w:tc>
      </w:tr>
      <w:tr w14:paraId="369B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5EFE1E89">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w:t>
            </w:r>
          </w:p>
        </w:tc>
        <w:tc>
          <w:tcPr>
            <w:tcW w:w="3735" w:type="dxa"/>
            <w:noWrap w:val="0"/>
            <w:vAlign w:val="center"/>
          </w:tcPr>
          <w:p w14:paraId="67A37B2D">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权属界址点内业成果修改</w:t>
            </w:r>
          </w:p>
        </w:tc>
        <w:tc>
          <w:tcPr>
            <w:tcW w:w="2259" w:type="dxa"/>
            <w:noWrap w:val="0"/>
            <w:vAlign w:val="center"/>
          </w:tcPr>
          <w:p w14:paraId="64D9DD4D">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宗地成果图</w:t>
            </w:r>
          </w:p>
        </w:tc>
        <w:tc>
          <w:tcPr>
            <w:tcW w:w="1566" w:type="dxa"/>
            <w:noWrap w:val="0"/>
            <w:vAlign w:val="center"/>
          </w:tcPr>
          <w:p w14:paraId="3510B36D">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r w14:paraId="0FB8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1A617D52">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w:t>
            </w:r>
          </w:p>
        </w:tc>
        <w:tc>
          <w:tcPr>
            <w:tcW w:w="3735" w:type="dxa"/>
            <w:noWrap w:val="0"/>
            <w:vAlign w:val="center"/>
          </w:tcPr>
          <w:p w14:paraId="6C49656A">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地物、地类界线拐点内业成果修改</w:t>
            </w:r>
          </w:p>
        </w:tc>
        <w:tc>
          <w:tcPr>
            <w:tcW w:w="2259" w:type="dxa"/>
            <w:noWrap w:val="0"/>
            <w:vAlign w:val="center"/>
          </w:tcPr>
          <w:p w14:paraId="168A12D8">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宗地成果图</w:t>
            </w:r>
          </w:p>
        </w:tc>
        <w:tc>
          <w:tcPr>
            <w:tcW w:w="1566" w:type="dxa"/>
            <w:noWrap w:val="0"/>
            <w:vAlign w:val="center"/>
          </w:tcPr>
          <w:p w14:paraId="3DFB96BF">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份</w:t>
            </w:r>
          </w:p>
        </w:tc>
      </w:tr>
      <w:tr w14:paraId="5E3E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3" w:type="dxa"/>
            <w:noWrap w:val="0"/>
            <w:vAlign w:val="center"/>
          </w:tcPr>
          <w:p w14:paraId="48593413">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w:t>
            </w:r>
          </w:p>
        </w:tc>
        <w:tc>
          <w:tcPr>
            <w:tcW w:w="3735" w:type="dxa"/>
            <w:noWrap w:val="0"/>
            <w:vAlign w:val="center"/>
          </w:tcPr>
          <w:p w14:paraId="0707184E">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图件成果面积</w:t>
            </w:r>
          </w:p>
        </w:tc>
        <w:tc>
          <w:tcPr>
            <w:tcW w:w="2259" w:type="dxa"/>
            <w:noWrap w:val="0"/>
            <w:vAlign w:val="center"/>
          </w:tcPr>
          <w:p w14:paraId="3FE6EA33">
            <w:pPr>
              <w:pageBreakBefore w:val="0"/>
              <w:kinsoku/>
              <w:overflowPunct/>
              <w:bidi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宗地成果图</w:t>
            </w:r>
          </w:p>
        </w:tc>
        <w:tc>
          <w:tcPr>
            <w:tcW w:w="1566" w:type="dxa"/>
            <w:noWrap w:val="0"/>
            <w:vAlign w:val="center"/>
          </w:tcPr>
          <w:p w14:paraId="1B669665">
            <w:pPr>
              <w:pageBreakBefore w:val="0"/>
              <w:kinsoku/>
              <w:overflowPunct/>
              <w:bidi w:val="0"/>
              <w:adjustRightInd w:val="0"/>
              <w:spacing w:line="360" w:lineRule="auto"/>
              <w:jc w:val="center"/>
              <w:rPr>
                <w:rFonts w:hint="eastAsia" w:ascii="宋体" w:hAnsi="宋体" w:eastAsia="宋体" w:cs="宋体"/>
                <w:spacing w:val="-4"/>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c>
      </w:tr>
    </w:tbl>
    <w:p w14:paraId="2253E6C3">
      <w:pPr>
        <w:pageBreakBefore w:val="0"/>
        <w:kinsoku/>
        <w:overflowPunct/>
        <w:bidi w:val="0"/>
        <w:spacing w:line="360" w:lineRule="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四、</w:t>
      </w:r>
      <w:r>
        <w:rPr>
          <w:rFonts w:hint="eastAsia" w:ascii="宋体" w:hAnsi="宋体" w:eastAsia="宋体" w:cs="宋体"/>
          <w:spacing w:val="-4"/>
          <w:sz w:val="24"/>
          <w:szCs w:val="24"/>
          <w:highlight w:val="none"/>
          <w:lang w:eastAsia="zh-CN"/>
        </w:rPr>
        <w:t>最高限价</w:t>
      </w:r>
    </w:p>
    <w:p w14:paraId="28C1C821">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（一）垃圾测量费：土石方测量为5m×5m的方格网测量，</w:t>
      </w:r>
      <w:r>
        <w:rPr>
          <w:rFonts w:hint="eastAsia" w:ascii="宋体" w:hAnsi="宋体" w:eastAsia="宋体" w:cs="宋体"/>
          <w:spacing w:val="-4"/>
          <w:sz w:val="24"/>
          <w:szCs w:val="24"/>
          <w:highlight w:val="none"/>
          <w:lang w:eastAsia="zh-CN"/>
        </w:rPr>
        <w:t>单价不高于</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元/点（含沙坑回填、垃圾清运、房屋拆除等工程初量、</w:t>
      </w:r>
      <w:r>
        <w:rPr>
          <w:rFonts w:hint="eastAsia" w:ascii="宋体" w:hAnsi="宋体" w:eastAsia="宋体" w:cs="宋体"/>
          <w:spacing w:val="-4"/>
          <w:sz w:val="24"/>
          <w:szCs w:val="24"/>
          <w:highlight w:val="none"/>
          <w:lang w:eastAsia="zh-CN"/>
        </w:rPr>
        <w:t>复核工作，</w:t>
      </w:r>
      <w:r>
        <w:rPr>
          <w:rFonts w:hint="eastAsia" w:ascii="宋体" w:hAnsi="宋体" w:eastAsia="宋体" w:cs="宋体"/>
          <w:spacing w:val="-4"/>
          <w:sz w:val="24"/>
          <w:szCs w:val="24"/>
          <w:highlight w:val="none"/>
        </w:rPr>
        <w:t>竣工测量，单价含土方计算）。</w:t>
      </w:r>
    </w:p>
    <w:p w14:paraId="32F9AAE3">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（二）权属界址点外业测绘费（含内业成图）： </w:t>
      </w:r>
      <w:r>
        <w:rPr>
          <w:rFonts w:hint="eastAsia" w:ascii="宋体" w:hAnsi="宋体" w:eastAsia="宋体" w:cs="宋体"/>
          <w:spacing w:val="-4"/>
          <w:sz w:val="24"/>
          <w:szCs w:val="24"/>
          <w:highlight w:val="none"/>
          <w:lang w:val="en-US" w:eastAsia="zh-CN"/>
        </w:rPr>
        <w:t>不高于300</w:t>
      </w:r>
      <w:r>
        <w:rPr>
          <w:rFonts w:hint="eastAsia" w:ascii="宋体" w:hAnsi="宋体" w:eastAsia="宋体" w:cs="宋体"/>
          <w:spacing w:val="-4"/>
          <w:sz w:val="24"/>
          <w:szCs w:val="24"/>
          <w:highlight w:val="none"/>
        </w:rPr>
        <w:t>元/点（点数以图件成果中每一个单独的不连片的封闭地块外围权属界址点中实际测绘点个数计算）。</w:t>
      </w:r>
    </w:p>
    <w:p w14:paraId="75FB88E8">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（三）地物、地类界线拐点外业测绘费（含内业成图）：</w:t>
      </w:r>
      <w:r>
        <w:rPr>
          <w:rFonts w:hint="eastAsia" w:ascii="宋体" w:hAnsi="宋体" w:eastAsia="宋体" w:cs="宋体"/>
          <w:spacing w:val="-4"/>
          <w:sz w:val="24"/>
          <w:szCs w:val="24"/>
          <w:highlight w:val="none"/>
          <w:lang w:eastAsia="zh-CN"/>
        </w:rPr>
        <w:t>不高于</w:t>
      </w:r>
      <w:r>
        <w:rPr>
          <w:rFonts w:hint="eastAsia" w:ascii="宋体" w:hAnsi="宋体" w:eastAsia="宋体" w:cs="宋体"/>
          <w:spacing w:val="-4"/>
          <w:sz w:val="24"/>
          <w:szCs w:val="24"/>
          <w:highlight w:val="none"/>
          <w:lang w:val="en-US" w:eastAsia="zh-CN"/>
        </w:rPr>
        <w:t>20</w:t>
      </w:r>
      <w:r>
        <w:rPr>
          <w:rFonts w:hint="eastAsia" w:ascii="宋体" w:hAnsi="宋体" w:eastAsia="宋体" w:cs="宋体"/>
          <w:spacing w:val="-4"/>
          <w:sz w:val="24"/>
          <w:szCs w:val="24"/>
          <w:highlight w:val="none"/>
        </w:rPr>
        <w:t>元/点（地物、地类界线拐点个数为图件成果中除去外业测绘权属界址点的其他实际测绘点个数）。</w:t>
      </w:r>
    </w:p>
    <w:p w14:paraId="2D93FA1F">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（四）权属界址点内业成果修改费：</w:t>
      </w:r>
      <w:r>
        <w:rPr>
          <w:rFonts w:hint="eastAsia" w:ascii="宋体" w:hAnsi="宋体" w:eastAsia="宋体" w:cs="宋体"/>
          <w:spacing w:val="-4"/>
          <w:sz w:val="24"/>
          <w:szCs w:val="24"/>
          <w:highlight w:val="none"/>
          <w:lang w:val="en-US" w:eastAsia="zh-CN"/>
        </w:rPr>
        <w:t>不高于170</w:t>
      </w:r>
      <w:r>
        <w:rPr>
          <w:rFonts w:hint="eastAsia" w:ascii="宋体" w:hAnsi="宋体" w:eastAsia="宋体" w:cs="宋体"/>
          <w:spacing w:val="-4"/>
          <w:sz w:val="24"/>
          <w:szCs w:val="24"/>
          <w:highlight w:val="none"/>
        </w:rPr>
        <w:t>元/点（权属界址点个数以成果中每一个单独不连片的封闭地块外围权属界址点实际修改个数计算）。</w:t>
      </w:r>
    </w:p>
    <w:p w14:paraId="158F9BF9">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（五）地物、地类界线拐点内业成果修改费：</w:t>
      </w:r>
      <w:r>
        <w:rPr>
          <w:rFonts w:hint="eastAsia" w:ascii="宋体" w:hAnsi="宋体" w:eastAsia="宋体" w:cs="宋体"/>
          <w:spacing w:val="-4"/>
          <w:sz w:val="24"/>
          <w:szCs w:val="24"/>
          <w:highlight w:val="none"/>
          <w:lang w:eastAsia="zh-CN"/>
        </w:rPr>
        <w:t>不高于</w:t>
      </w:r>
      <w:r>
        <w:rPr>
          <w:rFonts w:hint="eastAsia" w:ascii="宋体" w:hAnsi="宋体" w:eastAsia="宋体" w:cs="宋体"/>
          <w:spacing w:val="-4"/>
          <w:sz w:val="24"/>
          <w:szCs w:val="24"/>
          <w:highlight w:val="none"/>
          <w:lang w:val="en-US" w:eastAsia="zh-CN"/>
        </w:rPr>
        <w:t>5</w:t>
      </w:r>
      <w:r>
        <w:rPr>
          <w:rFonts w:hint="eastAsia" w:ascii="宋体" w:hAnsi="宋体" w:eastAsia="宋体" w:cs="宋体"/>
          <w:spacing w:val="-4"/>
          <w:sz w:val="24"/>
          <w:szCs w:val="24"/>
          <w:highlight w:val="none"/>
        </w:rPr>
        <w:t>元/点（地物、地类界线拐点个数为成果中除去外业测绘权属界址点的其他实际测绘点个数）。</w:t>
      </w:r>
    </w:p>
    <w:p w14:paraId="7E407CD4">
      <w:pPr>
        <w:pageBreakBefore w:val="0"/>
        <w:kinsoku/>
        <w:overflowPunct/>
        <w:bidi w:val="0"/>
        <w:spacing w:line="360" w:lineRule="auto"/>
        <w:ind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（六）图件成果面积费：</w:t>
      </w:r>
      <w:r>
        <w:rPr>
          <w:rFonts w:hint="eastAsia" w:ascii="宋体" w:hAnsi="宋体" w:eastAsia="宋体" w:cs="宋体"/>
          <w:spacing w:val="-4"/>
          <w:sz w:val="24"/>
          <w:szCs w:val="24"/>
          <w:highlight w:val="none"/>
          <w:lang w:eastAsia="zh-CN"/>
        </w:rPr>
        <w:t>不高于</w:t>
      </w:r>
      <w:r>
        <w:rPr>
          <w:rFonts w:hint="eastAsia" w:ascii="宋体" w:hAnsi="宋体" w:eastAsia="宋体" w:cs="宋体"/>
          <w:spacing w:val="-4"/>
          <w:sz w:val="24"/>
          <w:szCs w:val="24"/>
          <w:highlight w:val="none"/>
          <w:lang w:val="en-US" w:eastAsia="zh-CN"/>
        </w:rPr>
        <w:t>0.13</w:t>
      </w:r>
      <w:r>
        <w:rPr>
          <w:rFonts w:hint="eastAsia" w:ascii="宋体" w:hAnsi="宋体" w:eastAsia="宋体" w:cs="宋体"/>
          <w:spacing w:val="-4"/>
          <w:sz w:val="24"/>
          <w:szCs w:val="24"/>
          <w:highlight w:val="none"/>
        </w:rPr>
        <w:t>元/平方米（图件成果面积以成果报告或图件中的汇总土地面积计算）。</w:t>
      </w:r>
    </w:p>
    <w:p w14:paraId="1AF06EFA">
      <w:pPr>
        <w:keepNext w:val="0"/>
        <w:keepLines w:val="0"/>
        <w:pageBreakBefore w:val="0"/>
        <w:widowControl w:val="0"/>
        <w:kinsoku/>
        <w:wordWrap/>
        <w:overflowPunct/>
        <w:topLinePunct/>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五、商务要求：</w:t>
      </w:r>
    </w:p>
    <w:p w14:paraId="16B413D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负责</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指定场所的测量工作并做好现场其他设施维护工作；</w:t>
      </w:r>
    </w:p>
    <w:p w14:paraId="7D8FB6C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1.2、安全责任:所有测量工具均</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自备，现场维护等费用由</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自行承担；测量期间发生一切事故由</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自负；</w:t>
      </w:r>
    </w:p>
    <w:p w14:paraId="563460D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须服从管理，依规合理利用场地及设施，不能从事有损于招标人利益和违反安全生产管理活动的行为。</w:t>
      </w:r>
    </w:p>
    <w:p w14:paraId="4B8FF9C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1.4、合同款的支付：</w:t>
      </w:r>
    </w:p>
    <w:p w14:paraId="7A56EF50">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测绘成果经</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组织验收后，</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按月向</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提交实际工作台账，</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及时审核并结算测绘费用。</w:t>
      </w:r>
    </w:p>
    <w:p w14:paraId="5EDCBD8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支付测绘工程费前，</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应提供符合</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要求的合法税务发票及相关工作成果，否则</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有权暂停支付相应款项。</w:t>
      </w:r>
    </w:p>
    <w:p w14:paraId="436C6204">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（3）在城改事务中心向</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支付测绘工程费前，</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需提供行政事业单位资金往来结算票据。</w:t>
      </w:r>
    </w:p>
    <w:p w14:paraId="027C848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2.付款要求</w:t>
      </w:r>
    </w:p>
    <w:p w14:paraId="22DF6C00">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2.1自收到</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有关资料和工作要求之日起，须提前列出工作计划，保证测绘成果的质量及各项工作在要求的期限内完成,须根据项目特点有针对性的安排专业技术能力强、综合素质高、恪守职业道德的人员组织作业，确保工作的连续性、可追溯性和主要作业人员的稳定性。</w:t>
      </w:r>
    </w:p>
    <w:p w14:paraId="574D73A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2.2应保证测绘成果的客观、公正、真实、合法。</w:t>
      </w:r>
    </w:p>
    <w:p w14:paraId="4413CEE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3.违约责任</w:t>
      </w:r>
    </w:p>
    <w:p w14:paraId="3C98054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提供的测绘成果质量不合格，成交供应商应负责无偿给予重测或采取补救措施，以达到质量要求。因测绘成果质量不符合合同约定的要求（而又非</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提供的图纸资料原因所致）造成的后果，成交供应商对因此造成的直接损失应负赔偿责任，并承担相应的法律责任（由于</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提供的图纸资料原因产生的责任由</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自己负责）。</w:t>
      </w:r>
    </w:p>
    <w:p w14:paraId="1452855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3.2对于</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提供的图纸和技术资料以及属于</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的测绘成果，成交供应商有义务保密，不得向第三方转让。否则，</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有权对造成的损失追究责任。</w:t>
      </w:r>
    </w:p>
    <w:p w14:paraId="54029CF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3.3成交供应商逾期交付测绘成果，每日按照测绘工程费的万分之五承担违约责任。</w:t>
      </w:r>
    </w:p>
    <w:p w14:paraId="6B3C6AF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3.4未经</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书面同意，成交供应商不得全部或部分转让合同项下的权利和义务。否则</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有权单方面解除合同。</w:t>
      </w:r>
    </w:p>
    <w:p w14:paraId="3EECE0C0">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4.成交供应商提交的成果有下列情形之一的，采购人将报上级主管部门处理：</w:t>
      </w:r>
    </w:p>
    <w:p w14:paraId="51032ABC">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(1)提交的成果不符合本项目规定，成果内容严重偏离采购人下达的任务要求的。</w:t>
      </w:r>
    </w:p>
    <w:p w14:paraId="1BBCF40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(2)提交的成果辨认不清，内容不全或粗制滥造的。</w:t>
      </w:r>
    </w:p>
    <w:p w14:paraId="0854178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(3)未经采购人同意，逾期提交编制成果的。</w:t>
      </w:r>
    </w:p>
    <w:p w14:paraId="13E3DF6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(4)编制成果不能通过法定程序审批的。</w:t>
      </w:r>
    </w:p>
    <w:p w14:paraId="1BF6A75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(5)成交供应商未经采购人同意，擅自修改测绘成果。</w:t>
      </w:r>
    </w:p>
    <w:p w14:paraId="1E3581F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(6)成交供应商未经采购人同意，随意调整本项目组的主要成员和项目负责人。</w:t>
      </w:r>
    </w:p>
    <w:p w14:paraId="79DB289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(7)成交供应商未经采购人同意，擅自邀请协编单位，或将项目分包或转包的。</w:t>
      </w:r>
    </w:p>
    <w:p w14:paraId="6CC1018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5.成果归属</w:t>
      </w:r>
    </w:p>
    <w:p w14:paraId="7D784354">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5.1、本项目的所有成果著作权等知识产权和所有权益归采购人所有。成交供应商不得引用、发表和向第三者提供。成交供应商必须向采购人无偿提供本项目所有相关的技术文档。</w:t>
      </w:r>
    </w:p>
    <w:p w14:paraId="6A288A9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5.2、采购人引用成交供应商的工作成果所完成的新的规划研究成果，属于采购人所有，采购人可依法享有就该项规划研究成果取得的精神权利、经济权利和其他权利。</w:t>
      </w:r>
    </w:p>
    <w:p w14:paraId="2EA6A68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无论发生何种情形（包括但不限于合同提前终止或解除），采购人均有权利用成交供应商的阶段性工作成果，并且采购人引用成交供应商的阶段性工作成果所完成的新的规划研究成果，属于采购人所有，采购人可依法享有就该项规划研究成果取得的精神权利、经济权利和其他权利。</w:t>
      </w:r>
    </w:p>
    <w:p w14:paraId="628F03A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6.成果提交</w:t>
      </w:r>
    </w:p>
    <w:p w14:paraId="31D6B664">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6.1、最终提交成果：项目成果必须符合国家、省、市有关要求，最终成果形成文本和电子版份数按采购人需求提供。</w:t>
      </w:r>
    </w:p>
    <w:p w14:paraId="13276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51CA1"/>
    <w:rsid w:val="5C15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2025-05-19T07:47:00Z</dcterms:created>
  <dc:creator>宋璟雯</dc:creator>
  <cp:lastModifiedBy>宋璟雯</cp:lastModifiedBy>
  <dcterms:modified xsi:type="dcterms:W3CDTF">2025-05-19T07:48:25Z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A1CD117D1A8C4B408CF02AC9E557072F_11</vt:lpwstr>
  </property>
  <property fmtid="{D5CDD505-2E9C-101B-9397-08002B2CF9AE}" pid="4" name="KSOTemplateDocerSaveRecord">
    <vt:lpwstr>eyJoZGlkIjoiYjA5MDIyNjdmNTI0MTU3OWI3N2I2NTczMTFmZjA1YzciLCJ1c2VySWQiOiIxNDU1MjAyNDM0In0=</vt:lpwstr>
  </property>
</Properties>
</file>