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507F2">
      <w:pPr>
        <w:pStyle w:val="2"/>
        <w:jc w:val="both"/>
        <w:rPr>
          <w:rFonts w:hint="eastAsia" w:ascii="宋体" w:hAnsi="宋体" w:eastAsia="宋体" w:cs="宋体"/>
          <w:b/>
          <w:bCs/>
          <w:color w:val="auto"/>
          <w:sz w:val="52"/>
          <w:szCs w:val="52"/>
          <w:highlight w:val="none"/>
        </w:rPr>
      </w:pPr>
      <w:bookmarkStart w:id="0" w:name="_Toc519156735"/>
      <w:bookmarkStart w:id="1" w:name="_Toc495908398"/>
      <w:bookmarkStart w:id="2" w:name="_Toc268"/>
      <w:bookmarkStart w:id="3" w:name="_Toc21955"/>
    </w:p>
    <w:p w14:paraId="118993A3">
      <w:pPr>
        <w:jc w:val="center"/>
        <w:rPr>
          <w:rFonts w:hint="eastAsia" w:ascii="宋体" w:hAnsi="宋体" w:eastAsia="宋体" w:cs="宋体"/>
          <w:color w:val="auto"/>
          <w:sz w:val="22"/>
          <w:szCs w:val="28"/>
          <w:highlight w:val="none"/>
          <w:lang w:eastAsia="zh-CN"/>
        </w:rPr>
      </w:pPr>
      <w:r>
        <w:rPr>
          <w:rFonts w:hint="eastAsia" w:ascii="宋体" w:hAnsi="宋体" w:cs="宋体"/>
          <w:b/>
          <w:bCs/>
          <w:color w:val="auto"/>
          <w:sz w:val="52"/>
          <w:szCs w:val="52"/>
          <w:highlight w:val="none"/>
          <w:lang w:eastAsia="zh-CN"/>
        </w:rPr>
        <w:t>西安市信访局2025年度机关餐饮服务项目(二次)</w:t>
      </w:r>
    </w:p>
    <w:p w14:paraId="39B916F4">
      <w:pPr>
        <w:pStyle w:val="4"/>
        <w:jc w:val="both"/>
        <w:rPr>
          <w:rFonts w:hint="eastAsia" w:ascii="宋体" w:hAnsi="宋体" w:eastAsia="宋体" w:cs="宋体"/>
          <w:color w:val="auto"/>
          <w:sz w:val="32"/>
          <w:szCs w:val="36"/>
          <w:highlight w:val="none"/>
        </w:rPr>
      </w:pPr>
    </w:p>
    <w:p w14:paraId="25B89437">
      <w:pPr>
        <w:tabs>
          <w:tab w:val="left" w:pos="5145"/>
        </w:tabs>
        <w:spacing w:line="360" w:lineRule="auto"/>
        <w:jc w:val="center"/>
        <w:rPr>
          <w:rFonts w:hint="eastAsia" w:ascii="宋体" w:hAnsi="宋体" w:eastAsia="宋体" w:cs="宋体"/>
          <w:b/>
          <w:bCs/>
          <w:color w:val="auto"/>
          <w:sz w:val="72"/>
          <w:szCs w:val="72"/>
          <w:highlight w:val="none"/>
        </w:rPr>
      </w:pPr>
    </w:p>
    <w:p w14:paraId="5A627B9C">
      <w:pPr>
        <w:tabs>
          <w:tab w:val="left" w:pos="5145"/>
        </w:tabs>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1E571CDE">
      <w:pPr>
        <w:pStyle w:val="2"/>
        <w:rPr>
          <w:rFonts w:hint="eastAsia" w:ascii="宋体" w:hAnsi="宋体" w:eastAsia="宋体" w:cs="宋体"/>
          <w:color w:val="auto"/>
          <w:sz w:val="28"/>
          <w:szCs w:val="28"/>
          <w:highlight w:val="none"/>
        </w:rPr>
      </w:pPr>
    </w:p>
    <w:p w14:paraId="35154E51">
      <w:pPr>
        <w:pStyle w:val="24"/>
        <w:rPr>
          <w:rFonts w:hint="eastAsia" w:ascii="宋体" w:hAnsi="宋体" w:eastAsia="宋体" w:cs="宋体"/>
          <w:color w:val="auto"/>
          <w:highlight w:val="none"/>
        </w:rPr>
      </w:pPr>
    </w:p>
    <w:p w14:paraId="4F35D28B">
      <w:pPr>
        <w:pStyle w:val="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宋体" w:hAnsi="宋体" w:eastAsia="宋体" w:cs="宋体"/>
          <w:b/>
          <w:bCs/>
          <w:i w:val="0"/>
          <w:iCs w:val="0"/>
          <w:snapToGrid w:val="0"/>
          <w:color w:val="auto"/>
          <w:spacing w:val="6"/>
          <w:kern w:val="0"/>
          <w:position w:val="32"/>
          <w:sz w:val="35"/>
          <w:szCs w:val="35"/>
          <w:highlight w:val="none"/>
          <w:u w:val="single"/>
          <w:lang w:val="en-US" w:eastAsia="zh-CN"/>
        </w:rPr>
      </w:pPr>
      <w:r>
        <w:rPr>
          <w:rFonts w:hint="eastAsia" w:ascii="宋体" w:hAnsi="宋体" w:eastAsia="宋体" w:cs="宋体"/>
          <w:b/>
          <w:bCs/>
          <w:i w:val="0"/>
          <w:iCs w:val="0"/>
          <w:snapToGrid w:val="0"/>
          <w:color w:val="auto"/>
          <w:spacing w:val="6"/>
          <w:kern w:val="0"/>
          <w:position w:val="32"/>
          <w:sz w:val="35"/>
          <w:szCs w:val="35"/>
          <w:highlight w:val="none"/>
          <w:lang w:eastAsia="en-US"/>
        </w:rPr>
        <w:t>项目编号：</w:t>
      </w:r>
      <w:r>
        <w:rPr>
          <w:rFonts w:hint="eastAsia" w:ascii="宋体" w:hAnsi="宋体" w:cs="宋体"/>
          <w:b/>
          <w:bCs/>
          <w:i w:val="0"/>
          <w:iCs w:val="0"/>
          <w:snapToGrid w:val="0"/>
          <w:color w:val="auto"/>
          <w:spacing w:val="6"/>
          <w:kern w:val="0"/>
          <w:position w:val="32"/>
          <w:sz w:val="35"/>
          <w:szCs w:val="35"/>
          <w:highlight w:val="none"/>
          <w:u w:val="single"/>
          <w:lang w:eastAsia="zh-CN"/>
        </w:rPr>
        <w:t>YXZB-2025-0408-2</w:t>
      </w:r>
    </w:p>
    <w:p w14:paraId="63B1E90C">
      <w:pPr>
        <w:pStyle w:val="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宋体" w:hAnsi="宋体" w:eastAsia="宋体" w:cs="宋体"/>
          <w:b/>
          <w:bCs/>
          <w:i w:val="0"/>
          <w:iCs w:val="0"/>
          <w:snapToGrid w:val="0"/>
          <w:color w:val="auto"/>
          <w:spacing w:val="6"/>
          <w:kern w:val="0"/>
          <w:position w:val="32"/>
          <w:sz w:val="35"/>
          <w:szCs w:val="35"/>
          <w:highlight w:val="none"/>
          <w:lang w:eastAsia="en-US"/>
        </w:rPr>
      </w:pPr>
      <w:r>
        <w:rPr>
          <w:rFonts w:hint="eastAsia" w:ascii="宋体" w:hAnsi="宋体" w:eastAsia="宋体" w:cs="宋体"/>
          <w:b/>
          <w:bCs/>
          <w:i w:val="0"/>
          <w:iCs w:val="0"/>
          <w:snapToGrid w:val="0"/>
          <w:color w:val="auto"/>
          <w:spacing w:val="6"/>
          <w:kern w:val="0"/>
          <w:position w:val="32"/>
          <w:sz w:val="35"/>
          <w:szCs w:val="35"/>
          <w:highlight w:val="none"/>
          <w:lang w:eastAsia="en-US"/>
        </w:rPr>
        <w:t xml:space="preserve">    </w:t>
      </w:r>
    </w:p>
    <w:p w14:paraId="31F74258">
      <w:pPr>
        <w:pStyle w:val="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宋体" w:hAnsi="宋体" w:eastAsia="宋体" w:cs="宋体"/>
          <w:b/>
          <w:bCs/>
          <w:i w:val="0"/>
          <w:iCs w:val="0"/>
          <w:snapToGrid w:val="0"/>
          <w:color w:val="auto"/>
          <w:spacing w:val="6"/>
          <w:kern w:val="0"/>
          <w:position w:val="32"/>
          <w:sz w:val="35"/>
          <w:szCs w:val="35"/>
          <w:highlight w:val="none"/>
          <w:u w:val="single"/>
          <w:lang w:val="en-US" w:eastAsia="zh-CN"/>
        </w:rPr>
      </w:pPr>
      <w:r>
        <w:rPr>
          <w:rFonts w:hint="eastAsia" w:ascii="宋体" w:hAnsi="宋体" w:eastAsia="宋体" w:cs="宋体"/>
          <w:b/>
          <w:bCs/>
          <w:i w:val="0"/>
          <w:iCs w:val="0"/>
          <w:snapToGrid w:val="0"/>
          <w:color w:val="auto"/>
          <w:spacing w:val="6"/>
          <w:kern w:val="0"/>
          <w:position w:val="32"/>
          <w:sz w:val="35"/>
          <w:szCs w:val="35"/>
          <w:highlight w:val="none"/>
          <w:lang w:eastAsia="en-US"/>
        </w:rPr>
        <w:t>采</w:t>
      </w:r>
      <w:r>
        <w:rPr>
          <w:rFonts w:hint="eastAsia" w:ascii="宋体" w:hAnsi="宋体" w:eastAsia="宋体" w:cs="宋体"/>
          <w:b/>
          <w:bCs/>
          <w:i w:val="0"/>
          <w:iCs w:val="0"/>
          <w:snapToGrid w:val="0"/>
          <w:color w:val="auto"/>
          <w:spacing w:val="6"/>
          <w:kern w:val="0"/>
          <w:position w:val="32"/>
          <w:sz w:val="35"/>
          <w:szCs w:val="35"/>
          <w:highlight w:val="none"/>
          <w:lang w:val="en-US" w:eastAsia="zh-CN"/>
        </w:rPr>
        <w:t xml:space="preserve"> </w:t>
      </w:r>
      <w:r>
        <w:rPr>
          <w:rFonts w:hint="eastAsia" w:ascii="宋体" w:hAnsi="宋体" w:eastAsia="宋体" w:cs="宋体"/>
          <w:b/>
          <w:bCs/>
          <w:i w:val="0"/>
          <w:iCs w:val="0"/>
          <w:snapToGrid w:val="0"/>
          <w:color w:val="auto"/>
          <w:spacing w:val="6"/>
          <w:kern w:val="0"/>
          <w:position w:val="32"/>
          <w:sz w:val="35"/>
          <w:szCs w:val="35"/>
          <w:highlight w:val="none"/>
          <w:lang w:eastAsia="en-US"/>
        </w:rPr>
        <w:t>购</w:t>
      </w:r>
      <w:r>
        <w:rPr>
          <w:rFonts w:hint="eastAsia" w:ascii="宋体" w:hAnsi="宋体" w:eastAsia="宋体" w:cs="宋体"/>
          <w:b/>
          <w:bCs/>
          <w:i w:val="0"/>
          <w:iCs w:val="0"/>
          <w:snapToGrid w:val="0"/>
          <w:color w:val="auto"/>
          <w:spacing w:val="6"/>
          <w:kern w:val="0"/>
          <w:position w:val="32"/>
          <w:sz w:val="35"/>
          <w:szCs w:val="35"/>
          <w:highlight w:val="none"/>
          <w:lang w:val="en-US" w:eastAsia="zh-CN"/>
        </w:rPr>
        <w:t xml:space="preserve"> </w:t>
      </w:r>
      <w:r>
        <w:rPr>
          <w:rFonts w:hint="eastAsia" w:ascii="宋体" w:hAnsi="宋体" w:eastAsia="宋体" w:cs="宋体"/>
          <w:b/>
          <w:bCs/>
          <w:i w:val="0"/>
          <w:iCs w:val="0"/>
          <w:snapToGrid w:val="0"/>
          <w:color w:val="auto"/>
          <w:spacing w:val="6"/>
          <w:kern w:val="0"/>
          <w:position w:val="32"/>
          <w:sz w:val="35"/>
          <w:szCs w:val="35"/>
          <w:highlight w:val="none"/>
          <w:lang w:eastAsia="en-US"/>
        </w:rPr>
        <w:t>人：</w:t>
      </w:r>
      <w:r>
        <w:rPr>
          <w:rFonts w:hint="eastAsia" w:ascii="宋体" w:hAnsi="宋体" w:eastAsia="宋体" w:cs="宋体"/>
          <w:b/>
          <w:bCs/>
          <w:i w:val="0"/>
          <w:iCs w:val="0"/>
          <w:snapToGrid w:val="0"/>
          <w:color w:val="auto"/>
          <w:spacing w:val="6"/>
          <w:kern w:val="0"/>
          <w:position w:val="32"/>
          <w:sz w:val="35"/>
          <w:szCs w:val="35"/>
          <w:highlight w:val="none"/>
          <w:u w:val="single"/>
          <w:lang w:eastAsia="zh-CN"/>
        </w:rPr>
        <w:t>西安市信访局</w:t>
      </w:r>
    </w:p>
    <w:p w14:paraId="7DE56508">
      <w:pPr>
        <w:pStyle w:val="4"/>
        <w:rPr>
          <w:rFonts w:hint="eastAsia" w:ascii="宋体" w:hAnsi="宋体" w:eastAsia="宋体" w:cs="宋体"/>
          <w:color w:val="auto"/>
          <w:sz w:val="32"/>
          <w:szCs w:val="36"/>
          <w:highlight w:val="none"/>
        </w:rPr>
      </w:pPr>
    </w:p>
    <w:p w14:paraId="787D8DAD">
      <w:pPr>
        <w:tabs>
          <w:tab w:val="left" w:pos="5145"/>
        </w:tabs>
        <w:spacing w:line="360" w:lineRule="auto"/>
        <w:jc w:val="center"/>
        <w:rPr>
          <w:rFonts w:hint="eastAsia" w:ascii="宋体" w:hAnsi="宋体" w:eastAsia="宋体" w:cs="宋体"/>
          <w:b/>
          <w:color w:val="auto"/>
          <w:sz w:val="32"/>
          <w:szCs w:val="32"/>
          <w:highlight w:val="none"/>
        </w:rPr>
      </w:pPr>
    </w:p>
    <w:p w14:paraId="039F9406">
      <w:pPr>
        <w:pStyle w:val="2"/>
        <w:rPr>
          <w:rFonts w:hint="eastAsia" w:ascii="宋体" w:hAnsi="宋体" w:eastAsia="宋体" w:cs="宋体"/>
          <w:color w:val="auto"/>
          <w:highlight w:val="none"/>
        </w:rPr>
      </w:pPr>
    </w:p>
    <w:p w14:paraId="716554D2">
      <w:pPr>
        <w:pStyle w:val="2"/>
        <w:rPr>
          <w:rFonts w:hint="eastAsia" w:ascii="宋体" w:hAnsi="宋体" w:eastAsia="宋体" w:cs="宋体"/>
          <w:color w:val="auto"/>
          <w:sz w:val="28"/>
          <w:szCs w:val="28"/>
          <w:highlight w:val="none"/>
        </w:rPr>
      </w:pPr>
    </w:p>
    <w:p w14:paraId="24546F9E">
      <w:pPr>
        <w:spacing w:line="800" w:lineRule="exac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陕西玥鑫项目管理有限公司</w:t>
      </w:r>
    </w:p>
    <w:p w14:paraId="3F6E8BA6">
      <w:pPr>
        <w:spacing w:line="800" w:lineRule="exact"/>
        <w:jc w:val="center"/>
        <w:rPr>
          <w:rFonts w:hint="eastAsia" w:ascii="宋体" w:hAnsi="宋体" w:eastAsia="宋体" w:cs="宋体"/>
          <w:b/>
          <w:color w:val="auto"/>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月</w:t>
      </w:r>
    </w:p>
    <w:p w14:paraId="2CDF4082">
      <w:pPr>
        <w:tabs>
          <w:tab w:val="left" w:pos="2530"/>
          <w:tab w:val="center" w:pos="4513"/>
        </w:tabs>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56"/>
          <w:szCs w:val="56"/>
          <w:highlight w:val="none"/>
        </w:rPr>
        <w:t>目    录</w:t>
      </w:r>
    </w:p>
    <w:p w14:paraId="00F51C05">
      <w:pPr>
        <w:pStyle w:val="20"/>
        <w:tabs>
          <w:tab w:val="right" w:leader="dot" w:pos="8902"/>
        </w:tabs>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"1-2"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_Toc11625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_Toc11625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9341857">
      <w:pPr>
        <w:pStyle w:val="20"/>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_Toc15150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36"/>
          <w:highlight w:val="none"/>
        </w:rPr>
        <w:t>第二章  磋商供应商须知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2FC8B08">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_Toc19824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28"/>
          <w:highlight w:val="none"/>
        </w:rPr>
        <w:t>一、名词解释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E4034BD">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_Toc25957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28"/>
          <w:highlight w:val="none"/>
        </w:rPr>
        <w:t>二、磋商供应商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A72C493">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_Toc27910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三、磋商文件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672659E">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_Toc29847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四、磋商要求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0234F10">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_Toc7094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五、磋商响应文件封装、递交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5B7D30B">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_Toc24915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六、磋商与评审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88D15E4">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_Toc16961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七、确定成交人、成交通知与签约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_Toc16961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D3ABE4E">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_Toc8726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八、其他事项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D7142B0">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_Toc29416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九、成交服务费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_Toc29416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4873CE7">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_Toc1779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十、质疑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C592538">
      <w:pPr>
        <w:pStyle w:val="20"/>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_Toc28922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lang w:val="en-US" w:eastAsia="zh-CN"/>
        </w:rPr>
        <w:t>第三章  评审办法及标准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- 26 -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3D870C0">
      <w:pPr>
        <w:pStyle w:val="20"/>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_Toc21342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36"/>
          <w:highlight w:val="none"/>
          <w:lang w:val="en-US" w:eastAsia="zh-CN"/>
        </w:rPr>
        <w:t>第四章</w:t>
      </w:r>
      <w:r>
        <w:rPr>
          <w:rFonts w:hint="eastAsia" w:ascii="宋体" w:hAnsi="宋体" w:eastAsia="宋体" w:cs="宋体"/>
          <w:bCs/>
          <w:color w:val="auto"/>
          <w:szCs w:val="36"/>
          <w:highlight w:val="none"/>
        </w:rPr>
        <w:t xml:space="preserve"> </w:t>
      </w:r>
      <w:r>
        <w:rPr>
          <w:rFonts w:hint="eastAsia" w:ascii="宋体" w:hAnsi="宋体" w:eastAsia="宋体" w:cs="宋体"/>
          <w:bCs/>
          <w:color w:val="auto"/>
          <w:szCs w:val="36"/>
          <w:highlight w:val="none"/>
          <w:lang w:val="en-US" w:eastAsia="zh-CN"/>
        </w:rPr>
        <w:t xml:space="preserve"> </w:t>
      </w:r>
      <w:r>
        <w:rPr>
          <w:rFonts w:hint="eastAsia" w:ascii="宋体" w:hAnsi="宋体" w:eastAsia="宋体" w:cs="宋体"/>
          <w:bCs/>
          <w:color w:val="auto"/>
          <w:szCs w:val="36"/>
          <w:highlight w:val="none"/>
        </w:rPr>
        <w:t>磋商要求及说明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- 36 -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39A2927">
      <w:pPr>
        <w:pStyle w:val="20"/>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_Toc20986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36"/>
          <w:highlight w:val="none"/>
        </w:rPr>
        <w:t>第</w:t>
      </w:r>
      <w:r>
        <w:rPr>
          <w:rFonts w:hint="eastAsia" w:ascii="宋体" w:hAnsi="宋体" w:eastAsia="宋体" w:cs="宋体"/>
          <w:bCs/>
          <w:color w:val="auto"/>
          <w:szCs w:val="36"/>
          <w:highlight w:val="none"/>
          <w:lang w:val="en-US" w:eastAsia="zh-CN"/>
        </w:rPr>
        <w:t>五</w:t>
      </w:r>
      <w:r>
        <w:rPr>
          <w:rFonts w:hint="eastAsia" w:ascii="宋体" w:hAnsi="宋体" w:eastAsia="宋体" w:cs="宋体"/>
          <w:bCs/>
          <w:color w:val="auto"/>
          <w:szCs w:val="36"/>
          <w:highlight w:val="none"/>
        </w:rPr>
        <w:t>章  商务及合同主要条款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_Toc20986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- 37 -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AB123B3">
      <w:pPr>
        <w:pStyle w:val="20"/>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_Toc3901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36"/>
          <w:highlight w:val="none"/>
        </w:rPr>
        <w:t>第六章  竞争性磋商响应文件格式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- 43 -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3A130D9">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_Toc27869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32"/>
          <w:highlight w:val="none"/>
        </w:rPr>
        <w:t xml:space="preserve">一、 </w:t>
      </w:r>
      <w:r>
        <w:rPr>
          <w:rFonts w:hint="eastAsia" w:ascii="宋体" w:hAnsi="宋体" w:eastAsia="宋体" w:cs="宋体"/>
          <w:color w:val="auto"/>
          <w:szCs w:val="32"/>
          <w:highlight w:val="none"/>
        </w:rPr>
        <w:t>磋商函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- 45 -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437112A">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_Toc4537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t>二、法定代表人身份证明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_Toc4537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- 46 -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B94931A">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_Toc12320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t>三、法人授权委托书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- 47 -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78A69E9">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_Toc7013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t>四、报价表（第一次）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- 48 -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AB47FB5">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_Toc32216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t>五、近三年承接的类似项目情况表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_Toc32216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- 50 -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A93BFBF">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_Toc17066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t>六、项目</w:t>
      </w:r>
      <w:r>
        <w:rPr>
          <w:rFonts w:hint="eastAsia" w:ascii="宋体" w:hAnsi="宋体" w:eastAsia="宋体" w:cs="宋体"/>
          <w:color w:val="auto"/>
          <w:szCs w:val="32"/>
          <w:highlight w:val="none"/>
          <w:lang w:val="en-US" w:eastAsia="zh-CN"/>
        </w:rPr>
        <w:t>服务</w:t>
      </w:r>
      <w:r>
        <w:rPr>
          <w:rFonts w:hint="eastAsia" w:ascii="宋体" w:hAnsi="宋体" w:eastAsia="宋体" w:cs="宋体"/>
          <w:color w:val="auto"/>
          <w:szCs w:val="32"/>
          <w:highlight w:val="none"/>
        </w:rPr>
        <w:t>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- 51 -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B870720">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_Toc25825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lang w:val="en-US" w:eastAsia="zh-CN"/>
        </w:rPr>
        <w:t>七</w:t>
      </w:r>
      <w:r>
        <w:rPr>
          <w:rFonts w:hint="eastAsia" w:ascii="宋体" w:hAnsi="宋体" w:eastAsia="宋体" w:cs="宋体"/>
          <w:color w:val="auto"/>
          <w:szCs w:val="32"/>
          <w:highlight w:val="none"/>
        </w:rPr>
        <w:t>、技术和商务响应说明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- 54 -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4B5DC93">
      <w:pPr>
        <w:pStyle w:val="23"/>
        <w:tabs>
          <w:tab w:val="right" w:leader="dot" w:pos="8902"/>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_Toc19621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lang w:val="en-US" w:eastAsia="zh-CN"/>
        </w:rPr>
        <w:t>八</w:t>
      </w:r>
      <w:r>
        <w:rPr>
          <w:rFonts w:hint="eastAsia" w:ascii="宋体" w:hAnsi="宋体" w:eastAsia="宋体" w:cs="宋体"/>
          <w:color w:val="auto"/>
          <w:szCs w:val="32"/>
          <w:highlight w:val="none"/>
        </w:rPr>
        <w:t>、资格证明文件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- 56 -</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5D1B870">
      <w:pPr>
        <w:pStyle w:val="23"/>
        <w:tabs>
          <w:tab w:val="right" w:leader="hyphen" w:pos="9016"/>
        </w:tabs>
        <w:spacing w:line="480" w:lineRule="auto"/>
        <w:ind w:left="0" w:leftChars="0"/>
        <w:jc w:val="center"/>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p w14:paraId="4973ECD5">
      <w:pPr>
        <w:rPr>
          <w:rFonts w:hint="eastAsia" w:ascii="宋体" w:hAnsi="宋体" w:eastAsia="宋体" w:cs="宋体"/>
          <w:color w:val="auto"/>
          <w:sz w:val="22"/>
          <w:szCs w:val="28"/>
          <w:highlight w:val="none"/>
        </w:rPr>
      </w:pPr>
    </w:p>
    <w:p w14:paraId="1CE05009">
      <w:pPr>
        <w:tabs>
          <w:tab w:val="center" w:pos="4451"/>
        </w:tabs>
        <w:jc w:val="left"/>
        <w:rPr>
          <w:rFonts w:hint="eastAsia" w:ascii="宋体" w:hAnsi="宋体" w:eastAsia="宋体" w:cs="宋体"/>
          <w:color w:val="auto"/>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宋体" w:hAnsi="宋体" w:eastAsia="宋体" w:cs="宋体"/>
          <w:color w:val="auto"/>
          <w:sz w:val="22"/>
          <w:szCs w:val="28"/>
          <w:highlight w:val="none"/>
        </w:rPr>
        <w:tab/>
      </w:r>
    </w:p>
    <w:bookmarkEnd w:id="0"/>
    <w:bookmarkEnd w:id="1"/>
    <w:bookmarkEnd w:id="2"/>
    <w:bookmarkEnd w:id="3"/>
    <w:p w14:paraId="03B47EDB">
      <w:pPr>
        <w:jc w:val="center"/>
        <w:outlineLvl w:val="0"/>
        <w:rPr>
          <w:rFonts w:hint="eastAsia" w:ascii="宋体" w:hAnsi="宋体" w:eastAsia="宋体" w:cs="宋体"/>
          <w:b/>
          <w:bCs/>
          <w:color w:val="auto"/>
          <w:sz w:val="36"/>
          <w:szCs w:val="36"/>
          <w:highlight w:val="none"/>
        </w:rPr>
      </w:pPr>
      <w:bookmarkStart w:id="4" w:name="_Toc11625"/>
      <w:bookmarkStart w:id="5" w:name="_Toc8474"/>
      <w:bookmarkStart w:id="6" w:name="_Toc519156736"/>
      <w:bookmarkStart w:id="7" w:name="_Toc2990"/>
      <w:bookmarkStart w:id="8" w:name="_Toc28842"/>
      <w:bookmarkStart w:id="9" w:name="_Toc495908399"/>
      <w:bookmarkStart w:id="10" w:name="_Toc26933"/>
      <w:r>
        <w:rPr>
          <w:rFonts w:hint="eastAsia" w:ascii="宋体" w:hAnsi="宋体" w:eastAsia="宋体" w:cs="宋体"/>
          <w:b/>
          <w:bCs/>
          <w:color w:val="auto"/>
          <w:sz w:val="36"/>
          <w:szCs w:val="36"/>
          <w:highlight w:val="none"/>
        </w:rPr>
        <w:t>第一章  竞争性磋商公告</w:t>
      </w:r>
      <w:bookmarkEnd w:id="4"/>
    </w:p>
    <w:p w14:paraId="34799D4D">
      <w:pPr>
        <w:widowControl/>
        <w:spacing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kern w:val="0"/>
          <w:sz w:val="28"/>
          <w:szCs w:val="28"/>
          <w:highlight w:val="none"/>
          <w:lang w:eastAsia="zh-CN" w:bidi="ar"/>
        </w:rPr>
        <w:t>西安市信访局2025年度机关餐饮服务项目(二次)</w:t>
      </w:r>
      <w:r>
        <w:rPr>
          <w:rFonts w:hint="eastAsia" w:ascii="宋体" w:hAnsi="宋体" w:eastAsia="宋体" w:cs="宋体"/>
          <w:b/>
          <w:bCs/>
          <w:color w:val="auto"/>
          <w:kern w:val="0"/>
          <w:sz w:val="28"/>
          <w:szCs w:val="28"/>
          <w:highlight w:val="none"/>
          <w:lang w:bidi="ar"/>
        </w:rPr>
        <w:t>竞争性公告</w:t>
      </w:r>
    </w:p>
    <w:p w14:paraId="263F0585">
      <w:pPr>
        <w:pStyle w:val="10"/>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hint="eastAsia" w:ascii="宋体" w:hAnsi="宋体" w:eastAsia="宋体" w:cs="宋体"/>
          <w:b w:val="0"/>
          <w:bCs w:val="0"/>
          <w:color w:val="auto"/>
          <w:highlight w:val="none"/>
        </w:rPr>
      </w:pPr>
      <w:r>
        <w:rPr>
          <w:rStyle w:val="33"/>
          <w:rFonts w:hint="eastAsia" w:ascii="宋体" w:hAnsi="宋体" w:eastAsia="宋体" w:cs="宋体"/>
          <w:b/>
          <w:bCs/>
          <w:color w:val="auto"/>
          <w:highlight w:val="none"/>
        </w:rPr>
        <w:t>项目概况</w:t>
      </w:r>
    </w:p>
    <w:p w14:paraId="4AAB50A5">
      <w:pPr>
        <w:pStyle w:val="26"/>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hint="eastAsia" w:ascii="宋体" w:hAnsi="宋体" w:eastAsia="宋体" w:cs="宋体"/>
          <w:color w:val="auto"/>
          <w:highlight w:val="none"/>
        </w:rPr>
      </w:pPr>
      <w:r>
        <w:rPr>
          <w:rFonts w:hint="eastAsia" w:cs="宋体"/>
          <w:color w:val="auto"/>
          <w:highlight w:val="none"/>
          <w:lang w:eastAsia="zh-CN"/>
        </w:rPr>
        <w:t>西安市信访局2025年度机关餐饮服务项目(二次)</w:t>
      </w:r>
      <w:r>
        <w:rPr>
          <w:rFonts w:hint="eastAsia" w:ascii="宋体" w:hAnsi="宋体" w:eastAsia="宋体" w:cs="宋体"/>
          <w:color w:val="auto"/>
          <w:highlight w:val="none"/>
        </w:rPr>
        <w:t>采购项目的潜在供应商应在</w:t>
      </w:r>
      <w:r>
        <w:rPr>
          <w:rFonts w:hint="eastAsia" w:ascii="宋体" w:hAnsi="宋体" w:eastAsia="宋体" w:cs="宋体"/>
          <w:color w:val="auto"/>
          <w:highlight w:val="none"/>
          <w:lang w:eastAsia="zh-CN"/>
        </w:rPr>
        <w:t>西安市雁塔区泰维智链中心一期B栋202室</w:t>
      </w:r>
      <w:r>
        <w:rPr>
          <w:rFonts w:hint="eastAsia" w:ascii="宋体" w:hAnsi="宋体" w:eastAsia="宋体" w:cs="宋体"/>
          <w:color w:val="auto"/>
          <w:highlight w:val="none"/>
        </w:rPr>
        <w:t>获取采购文件，并于 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时30分（北京时间）前提交响应文件。</w:t>
      </w:r>
    </w:p>
    <w:p w14:paraId="0F21B883">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一、项目基本情况</w:t>
      </w:r>
    </w:p>
    <w:p w14:paraId="3F36855A">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cs="宋体"/>
          <w:color w:val="auto"/>
          <w:highlight w:val="none"/>
          <w:lang w:eastAsia="zh-CN"/>
        </w:rPr>
        <w:t>YXZB-2025-0408-2</w:t>
      </w:r>
    </w:p>
    <w:p w14:paraId="5C4EB769">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cs="宋体"/>
          <w:color w:val="auto"/>
          <w:highlight w:val="none"/>
          <w:lang w:eastAsia="zh-CN"/>
        </w:rPr>
        <w:t>西安市信访局2025年度机关餐饮服务项目(二次)</w:t>
      </w:r>
    </w:p>
    <w:p w14:paraId="10B4B6D4">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采购方式：竞争性磋商</w:t>
      </w:r>
    </w:p>
    <w:p w14:paraId="5066489B">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hAnsi="宋体" w:eastAsia="宋体" w:cs="宋体"/>
          <w:color w:val="auto"/>
          <w:highlight w:val="none"/>
          <w:lang w:val="en-US" w:eastAsia="zh-CN"/>
        </w:rPr>
        <w:t>423,800.00元</w:t>
      </w:r>
      <w:r>
        <w:rPr>
          <w:rFonts w:hint="eastAsia" w:ascii="宋体" w:hAnsi="宋体" w:eastAsia="宋体" w:cs="宋体"/>
          <w:color w:val="auto"/>
          <w:highlight w:val="none"/>
        </w:rPr>
        <w:t>元</w:t>
      </w:r>
    </w:p>
    <w:p w14:paraId="08D2274A">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1B57AE4F">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cs="宋体"/>
          <w:color w:val="auto"/>
          <w:highlight w:val="none"/>
          <w:lang w:eastAsia="zh-CN"/>
        </w:rPr>
        <w:t>西安市信访局2025年度机关餐饮服务项目(二次)</w:t>
      </w:r>
      <w:r>
        <w:rPr>
          <w:rFonts w:hint="eastAsia" w:ascii="宋体" w:hAnsi="宋体" w:eastAsia="宋体" w:cs="宋体"/>
          <w:color w:val="auto"/>
          <w:highlight w:val="none"/>
        </w:rPr>
        <w:t>):</w:t>
      </w:r>
    </w:p>
    <w:p w14:paraId="2A8A01EA">
      <w:pPr>
        <w:pStyle w:val="26"/>
        <w:wordWrap w:val="0"/>
        <w:spacing w:beforeAutospacing="0" w:afterAutospacing="0" w:line="360" w:lineRule="auto"/>
        <w:ind w:firstLine="630"/>
        <w:jc w:val="both"/>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eastAsia="宋体" w:cs="宋体"/>
          <w:color w:val="auto"/>
          <w:highlight w:val="none"/>
          <w:lang w:val="en-US" w:eastAsia="zh-CN"/>
        </w:rPr>
        <w:t>423,800.00元</w:t>
      </w:r>
      <w:r>
        <w:rPr>
          <w:rFonts w:hint="eastAsia" w:ascii="宋体" w:hAnsi="宋体" w:eastAsia="宋体" w:cs="宋体"/>
          <w:color w:val="auto"/>
          <w:highlight w:val="none"/>
        </w:rPr>
        <w:t>元</w:t>
      </w:r>
    </w:p>
    <w:p w14:paraId="7DFE5AD2">
      <w:pPr>
        <w:pStyle w:val="26"/>
        <w:wordWrap w:val="0"/>
        <w:spacing w:beforeAutospacing="0" w:afterAutospacing="0" w:line="360" w:lineRule="auto"/>
        <w:ind w:firstLine="630"/>
        <w:jc w:val="both"/>
        <w:rPr>
          <w:rFonts w:hint="eastAsia" w:ascii="宋体" w:hAnsi="宋体" w:eastAsia="宋体" w:cs="宋体"/>
          <w:color w:val="auto"/>
          <w:highlight w:val="none"/>
        </w:rPr>
      </w:pPr>
      <w:r>
        <w:rPr>
          <w:rFonts w:hint="eastAsia" w:ascii="宋体" w:hAnsi="宋体" w:eastAsia="宋体" w:cs="宋体"/>
          <w:color w:val="auto"/>
          <w:highlight w:val="none"/>
        </w:rPr>
        <w:t>合同包最高限价：</w:t>
      </w:r>
      <w:r>
        <w:rPr>
          <w:rFonts w:hint="eastAsia" w:ascii="宋体" w:hAnsi="宋体" w:eastAsia="宋体" w:cs="宋体"/>
          <w:color w:val="auto"/>
          <w:highlight w:val="none"/>
          <w:lang w:val="en-US" w:eastAsia="zh-CN"/>
        </w:rPr>
        <w:t>423,800.00元</w:t>
      </w:r>
      <w:r>
        <w:rPr>
          <w:rFonts w:hint="eastAsia" w:ascii="宋体" w:hAnsi="宋体" w:eastAsia="宋体" w:cs="宋体"/>
          <w:color w:val="auto"/>
          <w:highlight w:val="none"/>
        </w:rPr>
        <w:t>元</w:t>
      </w:r>
    </w:p>
    <w:tbl>
      <w:tblPr>
        <w:tblStyle w:val="30"/>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3C203F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D6F7B">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CD5AB4">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E21B">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1AC731">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216B1">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412C22">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75AF7C">
            <w:pPr>
              <w:widowControl/>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最高限价(元)</w:t>
            </w:r>
          </w:p>
        </w:tc>
      </w:tr>
      <w:tr w14:paraId="7067E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DAB61A">
            <w:pPr>
              <w:widowControl/>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AD87D8">
            <w:pPr>
              <w:widowControl/>
              <w:wordWrap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餐饮服务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A4E254">
            <w:pPr>
              <w:widowControl/>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423,800.00元</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94E2D5">
            <w:pPr>
              <w:widowControl/>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1(年)</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90934D">
            <w:pPr>
              <w:widowControl/>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6FB81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423,800.00元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0E87D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423,800.00元</w:t>
            </w:r>
          </w:p>
        </w:tc>
      </w:tr>
    </w:tbl>
    <w:p w14:paraId="3C4C9D37">
      <w:pPr>
        <w:pStyle w:val="26"/>
        <w:wordWrap w:val="0"/>
        <w:spacing w:beforeAutospacing="0" w:afterAutospacing="0" w:line="360" w:lineRule="auto"/>
        <w:ind w:firstLine="630"/>
        <w:jc w:val="both"/>
        <w:rPr>
          <w:rFonts w:hint="eastAsia" w:ascii="宋体" w:hAnsi="宋体" w:eastAsia="宋体" w:cs="宋体"/>
          <w:color w:val="auto"/>
          <w:highlight w:val="none"/>
        </w:rPr>
      </w:pPr>
      <w:r>
        <w:rPr>
          <w:rFonts w:hint="eastAsia" w:ascii="宋体" w:hAnsi="宋体" w:eastAsia="宋体" w:cs="宋体"/>
          <w:color w:val="auto"/>
          <w:highlight w:val="none"/>
        </w:rPr>
        <w:t>本合同包不接受联合体投标</w:t>
      </w:r>
    </w:p>
    <w:p w14:paraId="180D0CDD">
      <w:pPr>
        <w:pStyle w:val="26"/>
        <w:wordWrap w:val="0"/>
        <w:spacing w:beforeAutospacing="0" w:afterAutospacing="0" w:line="360" w:lineRule="auto"/>
        <w:ind w:firstLine="630"/>
        <w:jc w:val="both"/>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highlight w:val="none"/>
          <w:lang w:val="en-US" w:eastAsia="zh-CN"/>
        </w:rPr>
        <w:t>一年</w:t>
      </w:r>
      <w:r>
        <w:rPr>
          <w:rFonts w:hint="eastAsia" w:ascii="宋体" w:hAnsi="宋体" w:eastAsia="宋体" w:cs="宋体"/>
          <w:color w:val="auto"/>
          <w:highlight w:val="none"/>
        </w:rPr>
        <w:t>。</w:t>
      </w:r>
    </w:p>
    <w:p w14:paraId="48629573">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二、申请人的资格要求：</w:t>
      </w:r>
    </w:p>
    <w:p w14:paraId="5A3647B6">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1.满足《中华人民共和国政府釆购法》第二十二条规定;</w:t>
      </w:r>
    </w:p>
    <w:p w14:paraId="3FC422BF">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24FBCF2B">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cs="宋体"/>
          <w:color w:val="auto"/>
          <w:highlight w:val="none"/>
          <w:lang w:eastAsia="zh-CN"/>
        </w:rPr>
        <w:t>西安市信访局2025年度机关餐饮服务项目(二次)</w:t>
      </w:r>
      <w:r>
        <w:rPr>
          <w:rFonts w:hint="eastAsia" w:ascii="宋体" w:hAnsi="宋体" w:eastAsia="宋体" w:cs="宋体"/>
          <w:color w:val="auto"/>
          <w:highlight w:val="none"/>
        </w:rPr>
        <w:t>)落实政府采购政策需满足的资格要求如下:</w:t>
      </w:r>
    </w:p>
    <w:p w14:paraId="0FD35249">
      <w:pPr>
        <w:pStyle w:val="26"/>
        <w:wordWrap w:val="0"/>
        <w:spacing w:beforeAutospacing="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财政部、司法部关于政府采购支持监狱企业发展有关问题的通知》（财库〔2014〕68号）；（5）残疾人福利性单位应符合《财政部、民政部、中国残疾人联合会关于促进残疾人就业政府采购政策的通知》（财库〔2017〕141号）；（6）陕西省财政厅关于印发《陕西省中小企业政府采购信用融资办法》（陕财办采〔2018〕23号）；（7）《财政部发展改革委生态环境部市场监管总局关于调整优化节能产品、环境标志产品政府采购执行机制的通知》（财库〔2019〕9号）；（8）《财政部 农业农村部 国家乡村振兴局关于运用政府采购政策支持乡村产业振兴的通知》（财库〔2021〕19号）；（9）《市场监督总局关于发布参与实施政府采购节能产品、环境标志产品认证机构名录的公告》—2019年第16号；（10）《政府采购促进中小企业发展管办法》（财库〔2020〕46号）；（11）其他需要落实的政府采购政策。</w:t>
      </w:r>
    </w:p>
    <w:p w14:paraId="519BADEC">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5D68D83A">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cs="宋体"/>
          <w:color w:val="auto"/>
          <w:highlight w:val="none"/>
          <w:lang w:eastAsia="zh-CN"/>
        </w:rPr>
        <w:t>西安市信访局2025年度机关餐饮服务项目(二次)</w:t>
      </w:r>
      <w:r>
        <w:rPr>
          <w:rFonts w:hint="eastAsia" w:ascii="宋体" w:hAnsi="宋体" w:eastAsia="宋体" w:cs="宋体"/>
          <w:color w:val="auto"/>
          <w:highlight w:val="none"/>
        </w:rPr>
        <w:t>)特定资格要求如下:</w:t>
      </w:r>
    </w:p>
    <w:p w14:paraId="2B9F5C36">
      <w:pPr>
        <w:numPr>
          <w:ilvl w:val="0"/>
          <w:numId w:val="2"/>
        </w:num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shd w:val="clear" w:color="auto" w:fill="FFFFFF"/>
          <w:lang w:eastAsia="zh-CN"/>
        </w:rPr>
        <w:t>具有独立承担民事责任能力的法人、其他组织或自然人，提供营业执照/事业单位法人证书/非企业专业服务机构执业许可证/自然人身份证（2）</w:t>
      </w:r>
      <w:r>
        <w:rPr>
          <w:rFonts w:hint="eastAsia" w:ascii="宋体" w:hAnsi="宋体" w:eastAsia="宋体" w:cs="宋体"/>
          <w:color w:val="auto"/>
          <w:sz w:val="24"/>
          <w:szCs w:val="24"/>
          <w:highlight w:val="none"/>
          <w:shd w:val="clear" w:color="auto" w:fill="FFFFFF"/>
          <w:lang w:val="en-US" w:eastAsia="zh-CN"/>
        </w:rPr>
        <w:t>供供应商应授权合法的人员参加磋商全过程：法定代表人直接参加的，提供法定代表人证明及其身份证；授权代表参加的，提供法定代表人授权书（附法定代表人及授权代表身份证）；非法人单位参照执行。</w:t>
      </w:r>
      <w:r>
        <w:rPr>
          <w:rFonts w:hint="eastAsia" w:ascii="宋体" w:hAnsi="宋体" w:eastAsia="宋体" w:cs="宋体"/>
          <w:color w:val="auto"/>
          <w:sz w:val="24"/>
          <w:szCs w:val="24"/>
          <w:highlight w:val="none"/>
          <w:shd w:val="clear" w:color="auto" w:fill="FFFFFF"/>
          <w:lang w:eastAsia="zh-CN"/>
        </w:rPr>
        <w:t>（3）提供 2023 年度或 2024 年度经审计的财务报告(包括审计报告、资产负债表、利润表、现金流量表、所有者权益变动表及其附注，成立时间至提交响应文件截止时间不足一年的可提供成立后任意时段的资产负债表)，或其响应文件提交截止时间前六个月内银行出具的资信证明，或信用担保机构出具的投标担保函(以上三种形式的资料提供任何一种即可)。(4)提供响应文件提交截止时间前一年内至少一个月已缴纳的纳税证明或完税证明(时间以税款所属日期为准)，依法免税的单位应提供相关证明材料，凭据应有税务机关或代收机关的公章或业务专用章；依法免税或无须缴纳税收的供应商，应提供相应证明文件。(5)提供响应文件提交截止时间前一年内至少一个月已缴纳的社会保障资金缴存单据或社保机构开具的社会保险参保缴费情况证明，依法不需要缴纳社会保障资金的单位应提供相关证明材料。(6)提供参加政府采购活动前三年内在经营活动中没有重大违法记录的书面声明。(7)提供具有履行合同所必需的设备和专业技术能力的承诺。(8)供应商未被列入“信用中国”（https://www.creditchina.gov.cn/）重大税收违法失信主体、未被列入“中国执行信息公开网”（http://zxgk.court.gov.cn）失信被执行人、未被列入“中国政府采购网”（http://www.ccgp.gov.cn/）政府采购严重违法失信行为记录名单的网页查询截图。(9)单位负责人为同一人或者存在直接控股、管理关系的不同供应商，不得参加同一合同项下的政府采购活动。(10)本采购包不接受联合体磋商，供应商提供非联合体磋商承诺书。</w:t>
      </w:r>
    </w:p>
    <w:p w14:paraId="0EFBA872">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三、获取采购文件</w:t>
      </w:r>
    </w:p>
    <w:p w14:paraId="00B10F65">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时间：202</w:t>
      </w:r>
      <w:r>
        <w:rPr>
          <w:rFonts w:hint="eastAsia"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07</w:t>
      </w:r>
      <w:r>
        <w:rPr>
          <w:rFonts w:hint="eastAsia" w:ascii="宋体" w:hAnsi="宋体" w:eastAsia="宋体" w:cs="宋体"/>
          <w:color w:val="auto"/>
          <w:highlight w:val="none"/>
        </w:rPr>
        <w:t>日至2023年</w:t>
      </w:r>
      <w:r>
        <w:rPr>
          <w:rFonts w:hint="eastAsia" w:ascii="宋体" w:hAnsi="宋体" w:eastAsia="宋体" w:cs="宋体"/>
          <w:color w:val="auto"/>
          <w:highlight w:val="none"/>
          <w:lang w:val="en-US" w:eastAsia="zh-CN"/>
        </w:rPr>
        <w:t>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14</w:t>
      </w:r>
      <w:r>
        <w:rPr>
          <w:rFonts w:hint="eastAsia" w:ascii="宋体" w:hAnsi="宋体" w:eastAsia="宋体" w:cs="宋体"/>
          <w:color w:val="auto"/>
          <w:highlight w:val="none"/>
        </w:rPr>
        <w:t>日，每天上午09:00:00至12:00:00，下午14:00:00至17:00:00（北京时间,法定节假日除外）</w:t>
      </w:r>
    </w:p>
    <w:p w14:paraId="1F73DCA0">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西安市雁塔区泰维智链中心一期B栋202室</w:t>
      </w:r>
    </w:p>
    <w:p w14:paraId="77799224">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方式：现场获取</w:t>
      </w:r>
    </w:p>
    <w:p w14:paraId="6F4E0376">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售价： </w:t>
      </w:r>
      <w:r>
        <w:rPr>
          <w:rFonts w:hint="eastAsia" w:ascii="宋体" w:hAnsi="宋体" w:eastAsia="宋体" w:cs="宋体"/>
          <w:color w:val="auto"/>
          <w:highlight w:val="none"/>
          <w:lang w:val="en-US" w:eastAsia="zh-CN"/>
        </w:rPr>
        <w:t>免费</w:t>
      </w:r>
    </w:p>
    <w:p w14:paraId="5D5563DC">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四、响应文件提交</w:t>
      </w:r>
    </w:p>
    <w:p w14:paraId="2242364B">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截止时间： 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时30分（北京时间）</w:t>
      </w:r>
    </w:p>
    <w:p w14:paraId="2447F8EB">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西安市雁塔区泰维智链中心一期B栋202室</w:t>
      </w:r>
    </w:p>
    <w:p w14:paraId="4A1D9526">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五、开启</w:t>
      </w:r>
    </w:p>
    <w:p w14:paraId="142AB267">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时间： 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时30分 （北京时间）</w:t>
      </w:r>
    </w:p>
    <w:p w14:paraId="2AA9F298">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西安市雁塔区泰维智链中心一期B栋202室</w:t>
      </w:r>
    </w:p>
    <w:p w14:paraId="45608AEA">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六、公告期限</w:t>
      </w:r>
    </w:p>
    <w:p w14:paraId="542AB1A2">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自本公告发布之日起3个工作日。</w:t>
      </w:r>
    </w:p>
    <w:p w14:paraId="7BF67C9D">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七、其他补充事宜</w:t>
      </w:r>
    </w:p>
    <w:p w14:paraId="069A07A9">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b/>
          <w:bCs/>
          <w:color w:val="auto"/>
          <w:highlight w:val="none"/>
          <w:shd w:val="clear" w:color="auto" w:fill="FFFFFF"/>
        </w:rPr>
        <w:t>1、购买采购文件时需携带经办人单位介绍信、身份证原件及复印件加盖公章，上午：9:00-12:00，下午14:00-17:00，节假日休息。</w:t>
      </w:r>
    </w:p>
    <w:p w14:paraId="3EF066B4">
      <w:pPr>
        <w:pStyle w:val="26"/>
        <w:wordWrap w:val="0"/>
        <w:spacing w:beforeAutospacing="0" w:afterAutospacing="0" w:line="360" w:lineRule="auto"/>
        <w:ind w:firstLine="480"/>
        <w:jc w:val="both"/>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2、请供应商按照陕西省财政厅关于政府采购供应商注册登记有关事项的通知中的要求，通过陕西省政府采购网注册登记入库。</w:t>
      </w:r>
    </w:p>
    <w:p w14:paraId="325D5382">
      <w:pPr>
        <w:pStyle w:val="26"/>
        <w:wordWrap w:val="0"/>
        <w:spacing w:beforeAutospacing="0" w:afterAutospacing="0" w:line="360" w:lineRule="auto"/>
        <w:ind w:firstLine="480"/>
        <w:jc w:val="both"/>
        <w:rPr>
          <w:rFonts w:hint="eastAsia"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rPr>
        <w:t>本项目为专门面向中小企业采购项目，供应商应出具中小企业声明函</w:t>
      </w:r>
      <w:r>
        <w:rPr>
          <w:rFonts w:hint="eastAsia" w:ascii="宋体" w:hAnsi="宋体" w:eastAsia="宋体" w:cs="宋体"/>
          <w:b/>
          <w:bCs/>
          <w:color w:val="auto"/>
          <w:highlight w:val="none"/>
          <w:shd w:val="clear" w:color="auto" w:fill="FFFFFF"/>
          <w:lang w:eastAsia="zh-CN"/>
        </w:rPr>
        <w:t>。</w:t>
      </w:r>
    </w:p>
    <w:p w14:paraId="2CCBB88D">
      <w:pPr>
        <w:pStyle w:val="8"/>
        <w:keepNext w:val="0"/>
        <w:keepLines w:val="0"/>
        <w:widowControl/>
        <w:wordWrap w:val="0"/>
        <w:spacing w:before="150" w:after="0" w:line="360" w:lineRule="auto"/>
        <w:jc w:val="left"/>
        <w:rPr>
          <w:rFonts w:hint="eastAsia" w:ascii="宋体" w:hAnsi="宋体" w:eastAsia="宋体" w:cs="宋体"/>
          <w:b w:val="0"/>
          <w:color w:val="auto"/>
          <w:sz w:val="24"/>
          <w:highlight w:val="none"/>
        </w:rPr>
      </w:pPr>
      <w:r>
        <w:rPr>
          <w:rStyle w:val="33"/>
          <w:rFonts w:hint="eastAsia" w:ascii="宋体" w:hAnsi="宋体" w:eastAsia="宋体" w:cs="宋体"/>
          <w:b/>
          <w:color w:val="auto"/>
          <w:spacing w:val="0"/>
          <w:sz w:val="24"/>
          <w:highlight w:val="none"/>
        </w:rPr>
        <w:t>八、凡对本次采购提出询问，请按以下方式联系。</w:t>
      </w:r>
    </w:p>
    <w:p w14:paraId="4B289ABA">
      <w:pPr>
        <w:pStyle w:val="10"/>
        <w:keepNext w:val="0"/>
        <w:keepLines w:val="0"/>
        <w:widowControl/>
        <w:wordWrap w:val="0"/>
        <w:spacing w:before="0" w:after="0" w:line="360"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1.釆购人信息</w:t>
      </w:r>
    </w:p>
    <w:p w14:paraId="00FB61E1">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西安市信访局</w:t>
      </w:r>
    </w:p>
    <w:p w14:paraId="0DD2E6E2">
      <w:pPr>
        <w:pStyle w:val="26"/>
        <w:wordWrap w:val="0"/>
        <w:spacing w:beforeAutospacing="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危老师</w:t>
      </w:r>
    </w:p>
    <w:p w14:paraId="479B9183">
      <w:pPr>
        <w:pStyle w:val="26"/>
        <w:wordWrap w:val="0"/>
        <w:spacing w:beforeAutospacing="0" w:afterAutospacing="0" w:line="360" w:lineRule="auto"/>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029-87615362</w:t>
      </w:r>
    </w:p>
    <w:p w14:paraId="45111453">
      <w:pPr>
        <w:pStyle w:val="10"/>
        <w:keepNext w:val="0"/>
        <w:keepLines w:val="0"/>
        <w:widowControl/>
        <w:wordWrap w:val="0"/>
        <w:spacing w:before="0" w:after="0" w:line="360"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2.釆购代理机构信息</w:t>
      </w:r>
    </w:p>
    <w:p w14:paraId="1AEFAFC5">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陕西玥鑫项目管理有限公司</w:t>
      </w:r>
    </w:p>
    <w:p w14:paraId="0E510F9E">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西安市雁塔区泰维智链中心一期B栋202室</w:t>
      </w:r>
    </w:p>
    <w:p w14:paraId="79647A19">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shd w:val="clear" w:color="auto" w:fill="FFFFFF"/>
          <w:lang w:eastAsia="zh-CN"/>
        </w:rPr>
        <w:t>029-82520739</w:t>
      </w:r>
    </w:p>
    <w:p w14:paraId="0D23F380">
      <w:pPr>
        <w:pStyle w:val="10"/>
        <w:keepNext w:val="0"/>
        <w:keepLines w:val="0"/>
        <w:widowControl/>
        <w:wordWrap w:val="0"/>
        <w:spacing w:before="0" w:after="0" w:line="360"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3.项目联系方式</w:t>
      </w:r>
    </w:p>
    <w:p w14:paraId="150E6A6C">
      <w:pPr>
        <w:pStyle w:val="26"/>
        <w:wordWrap w:val="0"/>
        <w:spacing w:beforeAutospacing="0" w:afterAutospacing="0" w:line="360" w:lineRule="auto"/>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李蹊</w:t>
      </w:r>
    </w:p>
    <w:p w14:paraId="00D46978">
      <w:pPr>
        <w:pStyle w:val="26"/>
        <w:wordWrap w:val="0"/>
        <w:spacing w:beforeAutospacing="0" w:afterAutospacing="0"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shd w:val="clear" w:color="auto" w:fill="FFFFFF"/>
          <w:lang w:eastAsia="zh-CN"/>
        </w:rPr>
        <w:t>029-82520739</w:t>
      </w:r>
    </w:p>
    <w:p w14:paraId="4F4924F4">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ACA2747">
      <w:pPr>
        <w:jc w:val="center"/>
        <w:outlineLvl w:val="0"/>
        <w:rPr>
          <w:rFonts w:hint="eastAsia" w:ascii="宋体" w:hAnsi="宋体" w:eastAsia="宋体" w:cs="宋体"/>
          <w:b/>
          <w:bCs/>
          <w:color w:val="auto"/>
          <w:sz w:val="36"/>
          <w:szCs w:val="36"/>
          <w:highlight w:val="none"/>
        </w:rPr>
      </w:pPr>
      <w:bookmarkStart w:id="11" w:name="_Toc15150"/>
      <w:r>
        <w:rPr>
          <w:rFonts w:hint="eastAsia" w:ascii="宋体" w:hAnsi="宋体" w:eastAsia="宋体" w:cs="宋体"/>
          <w:b/>
          <w:bCs/>
          <w:color w:val="auto"/>
          <w:sz w:val="36"/>
          <w:szCs w:val="36"/>
          <w:highlight w:val="none"/>
        </w:rPr>
        <w:t>第二章  磋商供应商须知</w:t>
      </w:r>
      <w:bookmarkEnd w:id="5"/>
      <w:bookmarkEnd w:id="6"/>
      <w:bookmarkEnd w:id="7"/>
      <w:bookmarkEnd w:id="8"/>
      <w:bookmarkEnd w:id="9"/>
      <w:bookmarkEnd w:id="10"/>
      <w:bookmarkEnd w:id="11"/>
    </w:p>
    <w:p w14:paraId="06AC7A8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须知前附表</w:t>
      </w:r>
    </w:p>
    <w:tbl>
      <w:tblPr>
        <w:tblStyle w:val="3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A52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4104518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73" w:type="dxa"/>
            <w:vAlign w:val="center"/>
          </w:tcPr>
          <w:p w14:paraId="21AA2C0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条款名称</w:t>
            </w:r>
          </w:p>
        </w:tc>
        <w:tc>
          <w:tcPr>
            <w:tcW w:w="6981" w:type="dxa"/>
            <w:vAlign w:val="center"/>
          </w:tcPr>
          <w:p w14:paraId="1BD0FBB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编列内容</w:t>
            </w:r>
          </w:p>
        </w:tc>
      </w:tr>
      <w:tr w14:paraId="78DC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091C904">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w:t>
            </w:r>
          </w:p>
        </w:tc>
        <w:tc>
          <w:tcPr>
            <w:tcW w:w="2173" w:type="dxa"/>
            <w:vAlign w:val="center"/>
          </w:tcPr>
          <w:p w14:paraId="58B103B5">
            <w:pPr>
              <w:spacing w:line="396"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981" w:type="dxa"/>
            <w:vAlign w:val="center"/>
          </w:tcPr>
          <w:p w14:paraId="1CF4FB22">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西安市信访局[156]</w:t>
            </w:r>
          </w:p>
          <w:p w14:paraId="240CF0F9">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西安市盐店街19号</w:t>
            </w:r>
          </w:p>
          <w:p w14:paraId="142D8E22">
            <w:pPr>
              <w:spacing w:line="396"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王老师</w:t>
            </w:r>
          </w:p>
          <w:p w14:paraId="6E85C556">
            <w:pPr>
              <w:spacing w:line="396"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029-85431623</w:t>
            </w:r>
          </w:p>
        </w:tc>
      </w:tr>
      <w:tr w14:paraId="432A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8A46475">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2</w:t>
            </w:r>
          </w:p>
        </w:tc>
        <w:tc>
          <w:tcPr>
            <w:tcW w:w="2173" w:type="dxa"/>
            <w:vAlign w:val="center"/>
          </w:tcPr>
          <w:p w14:paraId="1229055D">
            <w:pPr>
              <w:spacing w:line="396"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981" w:type="dxa"/>
            <w:vAlign w:val="center"/>
          </w:tcPr>
          <w:p w14:paraId="16865B82">
            <w:pPr>
              <w:spacing w:line="360" w:lineRule="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名  称：</w:t>
            </w:r>
            <w:r>
              <w:rPr>
                <w:rFonts w:hint="eastAsia" w:ascii="宋体" w:hAnsi="宋体" w:eastAsia="宋体" w:cs="宋体"/>
                <w:color w:val="auto"/>
                <w:kern w:val="0"/>
                <w:highlight w:val="none"/>
                <w:lang w:eastAsia="zh-CN"/>
              </w:rPr>
              <w:t>陕西玥鑫项目管理有限公司</w:t>
            </w:r>
          </w:p>
          <w:p w14:paraId="44D89BF1">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kern w:val="0"/>
                <w:highlight w:val="none"/>
              </w:rPr>
              <w:t>地  址：</w:t>
            </w:r>
            <w:r>
              <w:rPr>
                <w:rFonts w:hint="eastAsia" w:ascii="宋体" w:hAnsi="宋体" w:eastAsia="宋体" w:cs="宋体"/>
                <w:color w:val="auto"/>
                <w:highlight w:val="none"/>
                <w:lang w:eastAsia="zh-CN"/>
              </w:rPr>
              <w:t>西安市雁塔区泰维智链中心一期B栋202室</w:t>
            </w:r>
          </w:p>
          <w:p w14:paraId="419399D2">
            <w:pPr>
              <w:spacing w:line="360" w:lineRule="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联系人：</w:t>
            </w:r>
            <w:r>
              <w:rPr>
                <w:rFonts w:hint="eastAsia" w:ascii="宋体" w:hAnsi="宋体" w:eastAsia="宋体" w:cs="宋体"/>
                <w:color w:val="auto"/>
                <w:kern w:val="0"/>
                <w:highlight w:val="none"/>
                <w:lang w:eastAsia="zh-CN"/>
              </w:rPr>
              <w:t>李蹊</w:t>
            </w:r>
          </w:p>
          <w:p w14:paraId="3FD7FCF6">
            <w:pPr>
              <w:spacing w:line="360" w:lineRule="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电  话：</w:t>
            </w:r>
            <w:r>
              <w:rPr>
                <w:rFonts w:hint="eastAsia" w:ascii="宋体" w:hAnsi="宋体" w:eastAsia="宋体" w:cs="宋体"/>
                <w:color w:val="auto"/>
                <w:kern w:val="0"/>
                <w:highlight w:val="none"/>
                <w:lang w:eastAsia="zh-CN"/>
              </w:rPr>
              <w:t>029-82520739</w:t>
            </w:r>
          </w:p>
          <w:p w14:paraId="7C4B9410">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邮箱：</w:t>
            </w:r>
            <w:r>
              <w:rPr>
                <w:rFonts w:hint="eastAsia" w:ascii="宋体" w:hAnsi="宋体" w:eastAsia="宋体" w:cs="宋体"/>
                <w:color w:val="auto"/>
                <w:kern w:val="0"/>
                <w:highlight w:val="none"/>
                <w:lang w:val="en-US" w:eastAsia="zh-CN"/>
              </w:rPr>
              <w:t>342404380@QQ.com</w:t>
            </w:r>
          </w:p>
        </w:tc>
      </w:tr>
      <w:tr w14:paraId="2800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1AA107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w:t>
            </w:r>
          </w:p>
        </w:tc>
        <w:tc>
          <w:tcPr>
            <w:tcW w:w="2173" w:type="dxa"/>
            <w:vAlign w:val="center"/>
          </w:tcPr>
          <w:p w14:paraId="684EA716">
            <w:pPr>
              <w:spacing w:line="396"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采购预算</w:t>
            </w:r>
          </w:p>
        </w:tc>
        <w:tc>
          <w:tcPr>
            <w:tcW w:w="6981" w:type="dxa"/>
            <w:vAlign w:val="center"/>
          </w:tcPr>
          <w:p w14:paraId="34CBAF58">
            <w:pPr>
              <w:pStyle w:val="26"/>
              <w:shd w:val="clear" w:color="auto" w:fill="FFFFFF"/>
              <w:spacing w:beforeAutospacing="0" w:afterAutospacing="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采购预算：423,800.00元</w:t>
            </w:r>
          </w:p>
          <w:p w14:paraId="11E1E12E">
            <w:pPr>
              <w:pStyle w:val="26"/>
              <w:shd w:val="clear" w:color="auto" w:fill="FFFFFF"/>
              <w:spacing w:beforeAutospacing="0" w:afterAutospacing="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最高限价：423,800.00元</w:t>
            </w:r>
          </w:p>
        </w:tc>
      </w:tr>
      <w:tr w14:paraId="5618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0C7315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2"/>
                <w:szCs w:val="22"/>
                <w:highlight w:val="none"/>
                <w:lang w:val="en-US" w:eastAsia="zh-CN" w:bidi="ar"/>
              </w:rPr>
              <w:t>4</w:t>
            </w:r>
          </w:p>
        </w:tc>
        <w:tc>
          <w:tcPr>
            <w:tcW w:w="2173" w:type="dxa"/>
            <w:vAlign w:val="center"/>
          </w:tcPr>
          <w:p w14:paraId="7CC1DF2A">
            <w:pPr>
              <w:spacing w:line="396"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采购内容</w:t>
            </w:r>
          </w:p>
        </w:tc>
        <w:tc>
          <w:tcPr>
            <w:tcW w:w="6981" w:type="dxa"/>
            <w:vAlign w:val="center"/>
          </w:tcPr>
          <w:p w14:paraId="193F442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highlight w:val="none"/>
              </w:rPr>
              <w:t>详见竞争性磋商文件第三部分磋商要求及说明。</w:t>
            </w:r>
          </w:p>
        </w:tc>
      </w:tr>
      <w:tr w14:paraId="3F35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1CD68F5">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w:t>
            </w:r>
          </w:p>
        </w:tc>
        <w:tc>
          <w:tcPr>
            <w:tcW w:w="2173" w:type="dxa"/>
            <w:vAlign w:val="center"/>
          </w:tcPr>
          <w:p w14:paraId="587A0412">
            <w:pPr>
              <w:spacing w:line="396"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公告媒体</w:t>
            </w:r>
          </w:p>
        </w:tc>
        <w:tc>
          <w:tcPr>
            <w:tcW w:w="6981" w:type="dxa"/>
            <w:vAlign w:val="center"/>
          </w:tcPr>
          <w:p w14:paraId="7C9F3673">
            <w:pPr>
              <w:spacing w:line="396"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陕西省政府采购网</w:t>
            </w:r>
          </w:p>
        </w:tc>
      </w:tr>
      <w:tr w14:paraId="481C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323CC59">
            <w:pPr>
              <w:widowControl/>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kern w:val="0"/>
                <w:sz w:val="22"/>
                <w:szCs w:val="22"/>
                <w:highlight w:val="none"/>
                <w:lang w:val="en-US" w:eastAsia="zh-CN" w:bidi="ar"/>
              </w:rPr>
              <w:t>6</w:t>
            </w:r>
          </w:p>
        </w:tc>
        <w:tc>
          <w:tcPr>
            <w:tcW w:w="2173" w:type="dxa"/>
            <w:vAlign w:val="center"/>
          </w:tcPr>
          <w:p w14:paraId="398D49C4">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项目属性</w:t>
            </w:r>
          </w:p>
        </w:tc>
        <w:tc>
          <w:tcPr>
            <w:tcW w:w="6981" w:type="dxa"/>
            <w:vAlign w:val="center"/>
          </w:tcPr>
          <w:p w14:paraId="49B24934">
            <w:pPr>
              <w:pStyle w:val="26"/>
              <w:spacing w:beforeAutospacing="0" w:afterAutospacing="0"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lang w:val="en-US" w:eastAsia="zh-CN"/>
              </w:rPr>
              <w:t>服务类</w:t>
            </w:r>
          </w:p>
        </w:tc>
      </w:tr>
      <w:tr w14:paraId="0C4E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D99F24B">
            <w:pPr>
              <w:widowControl/>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kern w:val="0"/>
                <w:sz w:val="22"/>
                <w:szCs w:val="22"/>
                <w:highlight w:val="none"/>
                <w:lang w:val="en-US" w:eastAsia="zh-CN" w:bidi="ar"/>
              </w:rPr>
              <w:t>7</w:t>
            </w:r>
          </w:p>
        </w:tc>
        <w:tc>
          <w:tcPr>
            <w:tcW w:w="2173" w:type="dxa"/>
            <w:vAlign w:val="center"/>
          </w:tcPr>
          <w:p w14:paraId="625D5CA9">
            <w:pPr>
              <w:pStyle w:val="14"/>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采购标的所属行业</w:t>
            </w:r>
          </w:p>
        </w:tc>
        <w:tc>
          <w:tcPr>
            <w:tcW w:w="6981" w:type="dxa"/>
            <w:vAlign w:val="center"/>
          </w:tcPr>
          <w:p w14:paraId="70B59E30">
            <w:pPr>
              <w:pStyle w:val="26"/>
              <w:spacing w:beforeAutospacing="0" w:afterAutospacing="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餐饮业</w:t>
            </w:r>
          </w:p>
        </w:tc>
      </w:tr>
      <w:tr w14:paraId="769C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1E4D89C">
            <w:pPr>
              <w:widowControl/>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kern w:val="0"/>
                <w:sz w:val="22"/>
                <w:szCs w:val="22"/>
                <w:highlight w:val="none"/>
                <w:lang w:val="en-US" w:eastAsia="zh-CN" w:bidi="ar"/>
              </w:rPr>
              <w:t>8</w:t>
            </w:r>
          </w:p>
        </w:tc>
        <w:tc>
          <w:tcPr>
            <w:tcW w:w="2173" w:type="dxa"/>
            <w:vAlign w:val="center"/>
          </w:tcPr>
          <w:p w14:paraId="2AD63F0D">
            <w:pPr>
              <w:pStyle w:val="14"/>
              <w:spacing w:line="50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是否为专门面向中小企业采购</w:t>
            </w:r>
          </w:p>
        </w:tc>
        <w:tc>
          <w:tcPr>
            <w:tcW w:w="6981" w:type="dxa"/>
            <w:vAlign w:val="center"/>
          </w:tcPr>
          <w:p w14:paraId="3C8ABF28">
            <w:pPr>
              <w:pStyle w:val="14"/>
              <w:spacing w:line="500" w:lineRule="exact"/>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是</w:t>
            </w:r>
          </w:p>
        </w:tc>
      </w:tr>
      <w:tr w14:paraId="1885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CF6CCF1">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9</w:t>
            </w:r>
          </w:p>
        </w:tc>
        <w:tc>
          <w:tcPr>
            <w:tcW w:w="2173" w:type="dxa"/>
            <w:vAlign w:val="center"/>
          </w:tcPr>
          <w:p w14:paraId="404F74AC">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资金落实情况</w:t>
            </w:r>
          </w:p>
        </w:tc>
        <w:tc>
          <w:tcPr>
            <w:tcW w:w="6981" w:type="dxa"/>
            <w:vAlign w:val="center"/>
          </w:tcPr>
          <w:p w14:paraId="51DEA2B4">
            <w:pPr>
              <w:spacing w:line="5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财政资金</w:t>
            </w:r>
            <w:r>
              <w:rPr>
                <w:rFonts w:hint="eastAsia" w:ascii="宋体" w:hAnsi="宋体" w:eastAsia="宋体" w:cs="宋体"/>
                <w:color w:val="auto"/>
                <w:highlight w:val="none"/>
                <w:lang w:val="en-US" w:eastAsia="zh-CN"/>
              </w:rPr>
              <w:t>已落实</w:t>
            </w:r>
          </w:p>
        </w:tc>
      </w:tr>
      <w:tr w14:paraId="4E0B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3A9D13">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10</w:t>
            </w:r>
          </w:p>
        </w:tc>
        <w:tc>
          <w:tcPr>
            <w:tcW w:w="2173" w:type="dxa"/>
            <w:vAlign w:val="center"/>
          </w:tcPr>
          <w:p w14:paraId="5CE5A897">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6981" w:type="dxa"/>
            <w:vAlign w:val="center"/>
          </w:tcPr>
          <w:p w14:paraId="70D59C20">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合格</w:t>
            </w:r>
          </w:p>
        </w:tc>
      </w:tr>
      <w:tr w14:paraId="65C5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1EE185A">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w:t>
            </w:r>
          </w:p>
        </w:tc>
        <w:tc>
          <w:tcPr>
            <w:tcW w:w="2173" w:type="dxa"/>
            <w:vAlign w:val="center"/>
          </w:tcPr>
          <w:p w14:paraId="01A51A5C">
            <w:pPr>
              <w:pStyle w:val="14"/>
              <w:spacing w:line="500" w:lineRule="exact"/>
              <w:jc w:val="center"/>
              <w:rPr>
                <w:rFonts w:hint="eastAsia" w:ascii="宋体" w:hAnsi="宋体" w:eastAsia="宋体" w:cs="宋体"/>
                <w:color w:val="auto"/>
                <w:highlight w:val="none"/>
              </w:rPr>
            </w:pPr>
            <w:r>
              <w:rPr>
                <w:rFonts w:hint="eastAsia" w:ascii="宋体" w:hAnsi="宋体" w:eastAsia="宋体" w:cs="宋体"/>
                <w:color w:val="auto"/>
                <w:szCs w:val="24"/>
                <w:highlight w:val="none"/>
              </w:rPr>
              <w:t>现场踏勘</w:t>
            </w:r>
          </w:p>
        </w:tc>
        <w:tc>
          <w:tcPr>
            <w:tcW w:w="6981" w:type="dxa"/>
            <w:vAlign w:val="center"/>
          </w:tcPr>
          <w:p w14:paraId="5FE71D3F">
            <w:pPr>
              <w:pStyle w:val="14"/>
              <w:spacing w:line="500" w:lineRule="exact"/>
              <w:jc w:val="left"/>
              <w:rPr>
                <w:rFonts w:hint="eastAsia" w:ascii="宋体" w:hAnsi="宋体" w:eastAsia="宋体" w:cs="宋体"/>
                <w:color w:val="auto"/>
                <w:highlight w:val="none"/>
              </w:rPr>
            </w:pPr>
            <w:r>
              <w:rPr>
                <w:rFonts w:hint="eastAsia" w:ascii="宋体" w:hAnsi="宋体" w:eastAsia="宋体" w:cs="宋体"/>
                <w:color w:val="auto"/>
                <w:szCs w:val="24"/>
                <w:highlight w:val="none"/>
              </w:rPr>
              <w:t>不组织</w:t>
            </w:r>
          </w:p>
        </w:tc>
      </w:tr>
      <w:tr w14:paraId="28AD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635406B">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w:t>
            </w:r>
          </w:p>
        </w:tc>
        <w:tc>
          <w:tcPr>
            <w:tcW w:w="2173" w:type="dxa"/>
            <w:vAlign w:val="center"/>
          </w:tcPr>
          <w:p w14:paraId="49EC8AFD">
            <w:pPr>
              <w:spacing w:line="396"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分包/转包</w:t>
            </w:r>
          </w:p>
        </w:tc>
        <w:tc>
          <w:tcPr>
            <w:tcW w:w="6981" w:type="dxa"/>
            <w:vAlign w:val="center"/>
          </w:tcPr>
          <w:p w14:paraId="0D1D8919">
            <w:pPr>
              <w:spacing w:line="396"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14:paraId="1E61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BFFEF10">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13</w:t>
            </w:r>
          </w:p>
        </w:tc>
        <w:tc>
          <w:tcPr>
            <w:tcW w:w="2173" w:type="dxa"/>
            <w:vAlign w:val="center"/>
          </w:tcPr>
          <w:p w14:paraId="2C213A8F">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w:t>
            </w:r>
          </w:p>
        </w:tc>
        <w:tc>
          <w:tcPr>
            <w:tcW w:w="6981" w:type="dxa"/>
            <w:vAlign w:val="center"/>
          </w:tcPr>
          <w:p w14:paraId="2B710769">
            <w:pPr>
              <w:pStyle w:val="26"/>
              <w:shd w:val="clear" w:color="auto" w:fill="FFFFFF"/>
              <w:spacing w:beforeAutospacing="0" w:afterAutospacing="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服务期：自合同签订后1年</w:t>
            </w:r>
            <w:r>
              <w:rPr>
                <w:rFonts w:hint="eastAsia" w:ascii="宋体" w:hAnsi="宋体" w:eastAsia="宋体" w:cs="宋体"/>
                <w:color w:val="auto"/>
                <w:highlight w:val="none"/>
              </w:rPr>
              <w:t>。</w:t>
            </w:r>
          </w:p>
        </w:tc>
      </w:tr>
      <w:tr w14:paraId="37F3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1EADBFE">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14</w:t>
            </w:r>
          </w:p>
        </w:tc>
        <w:tc>
          <w:tcPr>
            <w:tcW w:w="2173" w:type="dxa"/>
            <w:vAlign w:val="center"/>
          </w:tcPr>
          <w:p w14:paraId="66C5AE2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采购资金的支付方式和时间</w:t>
            </w:r>
          </w:p>
        </w:tc>
        <w:tc>
          <w:tcPr>
            <w:tcW w:w="6981" w:type="dxa"/>
            <w:vAlign w:val="center"/>
          </w:tcPr>
          <w:p w14:paraId="48A6B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1)结算单位：银行转账，由采购人负责结算。在付款前，供应商必须开具与合同金额相应的发票给采购人，附详细清单。</w:t>
            </w:r>
          </w:p>
          <w:p w14:paraId="43A6E018">
            <w:pPr>
              <w:pStyle w:val="11"/>
              <w:rPr>
                <w:rFonts w:hint="eastAsia" w:ascii="宋体" w:hAnsi="宋体" w:eastAsia="宋体" w:cs="宋体"/>
                <w:color w:val="auto"/>
                <w:highlight w:val="none"/>
              </w:rPr>
            </w:pPr>
            <w:r>
              <w:rPr>
                <w:rFonts w:hint="eastAsia" w:ascii="宋体" w:hAnsi="宋体" w:eastAsia="宋体" w:cs="宋体"/>
                <w:color w:val="auto"/>
                <w:highlight w:val="none"/>
              </w:rPr>
              <w:t>2)付款方式:</w:t>
            </w:r>
          </w:p>
          <w:p w14:paraId="761C115F">
            <w:pPr>
              <w:numPr>
                <w:ilvl w:val="0"/>
                <w:numId w:val="0"/>
              </w:numPr>
              <w:spacing w:line="360" w:lineRule="auto"/>
              <w:ind w:left="400" w:leftChars="0"/>
              <w:rPr>
                <w:rFonts w:hint="default" w:ascii="宋体" w:hAnsi="宋体" w:eastAsia="宋体" w:cs="宋体"/>
                <w:color w:val="auto"/>
                <w:highlight w:val="none"/>
                <w:lang w:val="en-US" w:eastAsia="zh-CN"/>
              </w:rPr>
            </w:pPr>
            <w:r>
              <w:rPr>
                <w:rFonts w:hint="eastAsia" w:ascii="宋体" w:hAnsi="宋体" w:eastAsia="宋体" w:cs="宋体"/>
                <w:color w:val="FF0000"/>
                <w:highlight w:val="none"/>
                <w:lang w:val="en-US" w:eastAsia="zh-CN"/>
              </w:rPr>
              <w:t>合同签订后</w:t>
            </w:r>
            <w:r>
              <w:rPr>
                <w:rFonts w:hint="eastAsia" w:ascii="宋体" w:hAnsi="宋体" w:cs="宋体"/>
                <w:color w:val="FF0000"/>
                <w:highlight w:val="none"/>
                <w:lang w:val="en-US" w:eastAsia="zh-CN"/>
              </w:rPr>
              <w:t>供应商按照服务合同及响应文件的相关内容和要求提供餐饮及相关服务，采购人在供应商提供服务后一个月按每个自然月支付上一个自然月的相关餐饮费用。</w:t>
            </w:r>
          </w:p>
        </w:tc>
      </w:tr>
      <w:tr w14:paraId="5E04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8461BD3">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15</w:t>
            </w:r>
          </w:p>
        </w:tc>
        <w:tc>
          <w:tcPr>
            <w:tcW w:w="2173" w:type="dxa"/>
            <w:vAlign w:val="center"/>
          </w:tcPr>
          <w:p w14:paraId="55954AB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p>
          <w:p w14:paraId="123E14EA">
            <w:pPr>
              <w:spacing w:line="396"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资质证明资料</w:t>
            </w:r>
          </w:p>
        </w:tc>
        <w:tc>
          <w:tcPr>
            <w:tcW w:w="6981" w:type="dxa"/>
            <w:vAlign w:val="center"/>
          </w:tcPr>
          <w:p w14:paraId="1081870F">
            <w:pPr>
              <w:pStyle w:val="26"/>
              <w:shd w:val="clear" w:color="auto" w:fill="FFFFFF"/>
              <w:spacing w:before="0" w:beforeAutospacing="0" w:after="0" w:afterAutospacing="0" w:line="42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（1）基本资格条件：符合《中华人民共和国政府采购法》第二十二条的规定的</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条件，提供以下文件：</w:t>
            </w:r>
          </w:p>
          <w:p w14:paraId="1264DF7E">
            <w:pPr>
              <w:pStyle w:val="26"/>
              <w:shd w:val="clear" w:color="auto" w:fill="FFFFFF"/>
              <w:spacing w:before="0" w:beforeAutospacing="0" w:after="0" w:afterAutospacing="0"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1、具有独立承担民事责任能力的法人、其他组织或自然人，提供合法有效的统一社会信用代码营业执照（事业单位法人证书/专业服务机构执业许可证/民办非企业单位登记证书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自然人提供身证）； </w:t>
            </w:r>
          </w:p>
          <w:p w14:paraId="50FC70A0">
            <w:pPr>
              <w:pStyle w:val="26"/>
              <w:shd w:val="clear" w:color="auto" w:fill="FFFFFF"/>
              <w:spacing w:before="0" w:beforeAutospacing="0" w:after="0" w:afterAutospacing="0"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2、财务状况报告：提供</w:t>
            </w:r>
            <w:r>
              <w:rPr>
                <w:rFonts w:hint="eastAsia" w:ascii="宋体" w:hAnsi="宋体" w:eastAsia="宋体" w:cs="宋体"/>
                <w:b w:val="0"/>
                <w:bCs w:val="0"/>
                <w:color w:val="auto"/>
                <w:highlight w:val="none"/>
                <w:lang w:eastAsia="zh-CN"/>
              </w:rPr>
              <w:t>2023年度或2024</w:t>
            </w:r>
            <w:r>
              <w:rPr>
                <w:rFonts w:hint="eastAsia" w:ascii="宋体" w:hAnsi="宋体" w:eastAsia="宋体" w:cs="宋体"/>
                <w:b w:val="0"/>
                <w:bCs w:val="0"/>
                <w:color w:val="auto"/>
                <w:highlight w:val="none"/>
              </w:rPr>
              <w:t>年度经</w:t>
            </w:r>
            <w:r>
              <w:rPr>
                <w:rFonts w:hint="eastAsia" w:ascii="宋体" w:hAnsi="宋体" w:eastAsia="宋体" w:cs="宋体"/>
                <w:color w:val="auto"/>
                <w:highlight w:val="none"/>
              </w:rPr>
              <w:t>审计的财务报告（包括“四表一注”，即资产负债表、利润表、现金流量表、所有者权益变动表及其附注，成立时间至提交投标文件截止时间不足一年的可提供成立后 任意时段的资产负债表） ，或其开标前三个月内基本开户银行出具的资信证明，或信用担保机构出具的投标担保函（以上三种形式的资料提供任何一种即可）。</w:t>
            </w:r>
          </w:p>
          <w:p w14:paraId="2BC9EE77">
            <w:pPr>
              <w:pStyle w:val="26"/>
              <w:shd w:val="clear" w:color="auto" w:fill="FFFFFF"/>
              <w:spacing w:before="0" w:beforeAutospacing="0" w:after="0" w:afterAutospacing="0"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3、税收缴纳证明：提供递交投标文件截止之日前一年内任意一个月的依法缴纳税收的相关凭据</w:t>
            </w:r>
            <w:r>
              <w:rPr>
                <w:rFonts w:hint="eastAsia" w:cs="宋体"/>
                <w:color w:val="auto"/>
                <w:highlight w:val="none"/>
                <w:lang w:val="en-US" w:eastAsia="zh-CN"/>
              </w:rPr>
              <w:t>.</w:t>
            </w:r>
            <w:r>
              <w:rPr>
                <w:rFonts w:hint="eastAsia" w:ascii="宋体" w:hAnsi="宋体" w:eastAsia="宋体" w:cs="宋体"/>
                <w:color w:val="auto"/>
                <w:highlight w:val="none"/>
                <w:lang w:val="en-US" w:eastAsia="zh-CN"/>
              </w:rPr>
              <w:t>依法免税或无须缴纳税收的投标人，应提供相应证明文件。</w:t>
            </w:r>
            <w:r>
              <w:rPr>
                <w:rFonts w:hint="eastAsia" w:ascii="宋体" w:hAnsi="宋体" w:eastAsia="宋体" w:cs="宋体"/>
                <w:color w:val="auto"/>
                <w:highlight w:val="none"/>
              </w:rPr>
              <w:t xml:space="preserve"> </w:t>
            </w:r>
          </w:p>
          <w:p w14:paraId="23462C99">
            <w:pPr>
              <w:pStyle w:val="26"/>
              <w:shd w:val="clear" w:color="auto" w:fill="FFFFFF"/>
              <w:spacing w:before="0" w:beforeAutospacing="0" w:after="0" w:afterAutospacing="0" w:line="42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4、社会保障资金缴纳证明：提供递交投标文件截止之日前一年内任意一个月的 社会保障资金缴存单据或社保机构开具的社会保险参保缴费情况证明。依法不需要缴纳社会保障资金的投标人应提供相关证明文件。</w:t>
            </w:r>
          </w:p>
          <w:p w14:paraId="52B4DE60">
            <w:pPr>
              <w:pStyle w:val="26"/>
              <w:shd w:val="clear" w:color="auto" w:fill="FFFFFF"/>
              <w:spacing w:before="0" w:beforeAutospacing="0" w:after="0" w:afterAutospacing="0" w:line="420" w:lineRule="exact"/>
              <w:ind w:firstLine="420"/>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sz w:val="24"/>
                <w:highlight w:val="none"/>
              </w:rPr>
              <w:t>提供具有履行本合同所必需的专业技术能力的</w:t>
            </w:r>
            <w:r>
              <w:rPr>
                <w:rFonts w:hint="eastAsia" w:ascii="宋体" w:hAnsi="宋体" w:eastAsia="宋体" w:cs="宋体"/>
                <w:color w:val="auto"/>
                <w:sz w:val="24"/>
                <w:highlight w:val="none"/>
                <w:lang w:val="en-US" w:eastAsia="zh-CN"/>
              </w:rPr>
              <w:t>书面</w:t>
            </w:r>
            <w:r>
              <w:rPr>
                <w:rFonts w:hint="eastAsia" w:ascii="宋体" w:hAnsi="宋体" w:eastAsia="宋体" w:cs="宋体"/>
                <w:color w:val="auto"/>
                <w:sz w:val="24"/>
                <w:highlight w:val="none"/>
              </w:rPr>
              <w:t>声明</w:t>
            </w:r>
            <w:r>
              <w:rPr>
                <w:rFonts w:hint="eastAsia" w:ascii="宋体" w:hAnsi="宋体" w:eastAsia="宋体" w:cs="宋体"/>
                <w:color w:val="auto"/>
                <w:highlight w:val="none"/>
                <w:lang w:val="en-US" w:eastAsia="zh-CN"/>
              </w:rPr>
              <w:t>。</w:t>
            </w:r>
          </w:p>
          <w:p w14:paraId="42456C3D">
            <w:pPr>
              <w:pStyle w:val="26"/>
              <w:shd w:val="clear" w:color="auto" w:fill="FFFFFF"/>
              <w:spacing w:before="0" w:beforeAutospacing="0" w:after="0" w:afterAutospacing="0" w:line="42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、参加本次政府采购活动前3年内在经营活动中没有重大违纪，以及未被列入失信被执行人、重大税收违法失信主体、政府采购严重违法失信行为记录名单的书面声明；</w:t>
            </w:r>
          </w:p>
          <w:p w14:paraId="361CA079">
            <w:pPr>
              <w:numPr>
                <w:ilvl w:val="0"/>
                <w:numId w:val="2"/>
              </w:numPr>
              <w:spacing w:line="360" w:lineRule="auto"/>
              <w:ind w:firstLine="48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（2）特定资格条件：</w:t>
            </w:r>
            <w:r>
              <w:rPr>
                <w:rFonts w:hint="eastAsia" w:ascii="宋体" w:hAnsi="宋体" w:eastAsia="宋体" w:cs="宋体"/>
                <w:color w:val="auto"/>
                <w:sz w:val="24"/>
                <w:szCs w:val="24"/>
                <w:highlight w:val="none"/>
                <w:shd w:val="clear" w:color="auto" w:fill="FFFFFF"/>
                <w:lang w:eastAsia="zh-CN"/>
              </w:rPr>
              <w:t>(1)具有独立承担民事责任能力的法人、其他组织或自然人，提供营业执照/事业单位法人证书/非企业专业服务机构执业许可证/自然人身份证（2）</w:t>
            </w:r>
            <w:r>
              <w:rPr>
                <w:rFonts w:hint="eastAsia" w:ascii="宋体" w:hAnsi="宋体" w:eastAsia="宋体" w:cs="宋体"/>
                <w:color w:val="auto"/>
                <w:sz w:val="24"/>
                <w:szCs w:val="24"/>
                <w:highlight w:val="none"/>
                <w:shd w:val="clear" w:color="auto" w:fill="FFFFFF"/>
                <w:lang w:val="en-US" w:eastAsia="zh-CN"/>
              </w:rPr>
              <w:t>供供应商应授权合法的人员参加磋商全过程：法定代表人直接参加的，提供法定代表人证明及其身份证；授权代表参加的，提供法定代表人授权书（附法定代表人及授权代表身份证）；非法人单位参照执行。</w:t>
            </w:r>
            <w:r>
              <w:rPr>
                <w:rFonts w:hint="eastAsia" w:ascii="宋体" w:hAnsi="宋体" w:eastAsia="宋体" w:cs="宋体"/>
                <w:color w:val="auto"/>
                <w:sz w:val="24"/>
                <w:szCs w:val="24"/>
                <w:highlight w:val="none"/>
                <w:shd w:val="clear" w:color="auto" w:fill="FFFFFF"/>
                <w:lang w:eastAsia="zh-CN"/>
              </w:rPr>
              <w:t>（3）提供 2023 年度或 2024 年度经审计的财务报告(包括审计报告、资产负债表、利润表、现金流量表、所有者权益变动表及其附注，成立时间至提交响应文件截止时间不足一年的可提供成立后任意时段的资产负债表)，或其响应文件提交截止时间前六个月内银行出具的资信证明，或信用担保机构出具的投标担保函(以上三种形式的资料提供任何一种即可)。(4)提供响应文件提交截止时间前一年内至少一个月已缴纳的纳税证明或完税证明(时间以税款所属日期为准)，依法免税的单位应提供相关证明材料，凭据应有税务机关或代收机关的公章或业务专用章；依法免税或无须缴纳税收的供应商，应提供相应证明文件。(5)提供响应文件提交截止时间前一年内至少一个月已缴纳的社会保障资金缴存单据或社保机构开具的社会保险参保缴费情况证明，依法不需要缴纳社会保障资金的单位应提供相关证明材料。(6)提供参加政府采购活动前三年内在经营活动中没有重大违法记录的书面声明。(7)提供具有履行合同所必需的设备和专业技术能力的承诺。(8)供应商未被列入“信用中国”（https://www.creditchina.gov.cn/）重大税收违法失信主体、未被列入“中国执行信息公开网”（http://zxgk.court.gov.cn）失信被执行人、未被列入“中国政府采购网”（http://www.ccgp.gov.cn/）政府采购严重违法失信行为记录名单的网页查询截图。(9)单位负责人为同一人或者存在直接控股、管理关系的不同供应商，不得参加同一合同项下的政府采购活动。(10)本采购包不接受联合体磋商，供应商提供非联合体磋商承诺书。</w:t>
            </w:r>
          </w:p>
          <w:p w14:paraId="5AEA5AA2">
            <w:pPr>
              <w:pStyle w:val="26"/>
              <w:shd w:val="clear" w:color="auto" w:fill="FFFFFF"/>
              <w:spacing w:before="0" w:beforeAutospacing="0" w:after="0" w:afterAutospacing="0" w:line="420" w:lineRule="exact"/>
              <w:ind w:firstLine="480" w:firstLineChars="200"/>
              <w:rPr>
                <w:rFonts w:hint="eastAsia" w:ascii="宋体" w:hAnsi="宋体" w:eastAsia="宋体" w:cs="宋体"/>
                <w:color w:val="auto"/>
                <w:highlight w:val="none"/>
                <w:lang w:val="en-US" w:eastAsia="zh-CN"/>
              </w:rPr>
            </w:pPr>
          </w:p>
          <w:p w14:paraId="3DA81291">
            <w:pPr>
              <w:pStyle w:val="26"/>
              <w:shd w:val="clear" w:color="auto" w:fill="FFFFFF"/>
              <w:spacing w:before="0" w:beforeAutospacing="0" w:after="0" w:afterAutospacing="0" w:line="42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备注：</w:t>
            </w:r>
          </w:p>
          <w:p w14:paraId="3F754761">
            <w:pPr>
              <w:pStyle w:val="26"/>
              <w:shd w:val="clear" w:color="auto" w:fill="FFFFFF"/>
              <w:spacing w:before="0" w:beforeAutospacing="0" w:after="0" w:afterAutospacing="0" w:line="4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①以上资格证明文件投标人必须完全提供，复印件胶装在投标文件中并加盖投标人公章（如相关证明材料由第三方出具，应有第三方公章），缺项或未按要求响应的视为无效投标；</w:t>
            </w:r>
          </w:p>
          <w:p w14:paraId="07C97373">
            <w:pPr>
              <w:pStyle w:val="26"/>
              <w:shd w:val="clear" w:color="auto" w:fill="FFFFFF"/>
              <w:spacing w:before="0" w:beforeAutospacing="0" w:after="0" w:afterAutospacing="0" w:line="4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②分支机构参与投标时，须提供分支机构的资格要求证明文件； 投标文件中应附法人（非负责人）出具的法定代表人授权委托书。法人只能授权一家分支机构参与投标，且不能与分支机构同时参加本项目投标；</w:t>
            </w:r>
          </w:p>
          <w:p w14:paraId="52BFA9A1">
            <w:pPr>
              <w:pStyle w:val="26"/>
              <w:shd w:val="clear" w:color="auto" w:fill="FFFFFF"/>
              <w:spacing w:beforeAutospacing="0" w:afterAutospacing="0"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③事业单位法人参与投标可不提供财务状况报告、社会保障资金缴纳证明及税收缴纳证明。</w:t>
            </w:r>
          </w:p>
        </w:tc>
      </w:tr>
      <w:tr w14:paraId="6B99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3FF81B1D">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16</w:t>
            </w:r>
          </w:p>
        </w:tc>
        <w:tc>
          <w:tcPr>
            <w:tcW w:w="2173" w:type="dxa"/>
            <w:vAlign w:val="center"/>
          </w:tcPr>
          <w:p w14:paraId="206F70E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联合体竞争性</w:t>
            </w:r>
          </w:p>
          <w:p w14:paraId="31A4FF4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w:t>
            </w:r>
          </w:p>
        </w:tc>
        <w:tc>
          <w:tcPr>
            <w:tcW w:w="6981" w:type="dxa"/>
            <w:vAlign w:val="center"/>
          </w:tcPr>
          <w:p w14:paraId="3F4BDFF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不接受</w:t>
            </w:r>
          </w:p>
        </w:tc>
      </w:tr>
      <w:tr w14:paraId="3DFA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A0BC17B">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17</w:t>
            </w:r>
          </w:p>
        </w:tc>
        <w:tc>
          <w:tcPr>
            <w:tcW w:w="2173" w:type="dxa"/>
            <w:vAlign w:val="center"/>
          </w:tcPr>
          <w:p w14:paraId="32442856">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磋商前答疑会</w:t>
            </w:r>
          </w:p>
        </w:tc>
        <w:tc>
          <w:tcPr>
            <w:tcW w:w="6981" w:type="dxa"/>
            <w:vAlign w:val="center"/>
          </w:tcPr>
          <w:p w14:paraId="0B1D4EF9">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不组织</w:t>
            </w:r>
          </w:p>
        </w:tc>
      </w:tr>
      <w:tr w14:paraId="3438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7D45855">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18</w:t>
            </w:r>
          </w:p>
        </w:tc>
        <w:tc>
          <w:tcPr>
            <w:tcW w:w="2173" w:type="dxa"/>
            <w:vAlign w:val="center"/>
          </w:tcPr>
          <w:p w14:paraId="2723629B">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供应商质疑</w:t>
            </w:r>
          </w:p>
        </w:tc>
        <w:tc>
          <w:tcPr>
            <w:tcW w:w="6981" w:type="dxa"/>
            <w:vAlign w:val="center"/>
          </w:tcPr>
          <w:p w14:paraId="5E7250DF">
            <w:pPr>
              <w:spacing w:line="500" w:lineRule="exact"/>
              <w:rPr>
                <w:rFonts w:hint="eastAsia" w:ascii="宋体" w:hAnsi="宋体" w:eastAsia="宋体" w:cs="宋体"/>
                <w:color w:val="auto"/>
                <w:highlight w:val="none"/>
              </w:rPr>
            </w:pPr>
            <w:r>
              <w:rPr>
                <w:rFonts w:hint="eastAsia" w:ascii="宋体" w:hAnsi="宋体" w:eastAsia="宋体" w:cs="宋体"/>
                <w:color w:val="auto"/>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D7C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6973F54">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19</w:t>
            </w:r>
          </w:p>
        </w:tc>
        <w:tc>
          <w:tcPr>
            <w:tcW w:w="2173" w:type="dxa"/>
            <w:vAlign w:val="center"/>
          </w:tcPr>
          <w:p w14:paraId="7943AFF7">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供应商询问</w:t>
            </w:r>
          </w:p>
        </w:tc>
        <w:tc>
          <w:tcPr>
            <w:tcW w:w="6981" w:type="dxa"/>
            <w:vAlign w:val="center"/>
          </w:tcPr>
          <w:p w14:paraId="766EBD3C">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供应商对政府采购活动事项有疑问的，可以向采购人或采购代理机构提出询问，采购人或采购代理机构将在三个工作日内答复。</w:t>
            </w:r>
          </w:p>
        </w:tc>
      </w:tr>
      <w:tr w14:paraId="30F0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55DF64">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20</w:t>
            </w:r>
          </w:p>
        </w:tc>
        <w:tc>
          <w:tcPr>
            <w:tcW w:w="2173" w:type="dxa"/>
            <w:vAlign w:val="center"/>
          </w:tcPr>
          <w:p w14:paraId="07D147C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6981" w:type="dxa"/>
            <w:vAlign w:val="center"/>
          </w:tcPr>
          <w:p w14:paraId="6A47CC5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90日历天（自磋商截止之日算起）</w:t>
            </w:r>
          </w:p>
        </w:tc>
      </w:tr>
      <w:tr w14:paraId="6176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C4F0DC5">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21</w:t>
            </w:r>
          </w:p>
        </w:tc>
        <w:tc>
          <w:tcPr>
            <w:tcW w:w="2173" w:type="dxa"/>
            <w:vAlign w:val="center"/>
          </w:tcPr>
          <w:p w14:paraId="5B0DAC77">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报价要求</w:t>
            </w:r>
          </w:p>
        </w:tc>
        <w:tc>
          <w:tcPr>
            <w:tcW w:w="6981" w:type="dxa"/>
            <w:vAlign w:val="center"/>
          </w:tcPr>
          <w:p w14:paraId="6B4A0EEF">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总价及分项报价</w:t>
            </w:r>
          </w:p>
          <w:p w14:paraId="6EE33718">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1）报价应包含完成该项目工作所发生的全部费用以及供应商利润、税金和政策性文件规定及合同包含的所有风险、责任等一切费用；</w:t>
            </w:r>
          </w:p>
          <w:p w14:paraId="462EB272">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2）供应商必须对所投项目全部内容进行完整报价，并列出明细及价格组成。采购人不接受（将拒绝）只对项目部分内容进行报价的磋商响应。</w:t>
            </w:r>
          </w:p>
        </w:tc>
      </w:tr>
      <w:tr w14:paraId="5CEF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507BF03F">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22</w:t>
            </w:r>
          </w:p>
        </w:tc>
        <w:tc>
          <w:tcPr>
            <w:tcW w:w="2173" w:type="dxa"/>
            <w:vAlign w:val="center"/>
          </w:tcPr>
          <w:p w14:paraId="25631124">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是否允许</w:t>
            </w:r>
          </w:p>
          <w:p w14:paraId="30F572A0">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备选磋商响应方案</w:t>
            </w:r>
          </w:p>
        </w:tc>
        <w:tc>
          <w:tcPr>
            <w:tcW w:w="6981" w:type="dxa"/>
            <w:vAlign w:val="center"/>
          </w:tcPr>
          <w:p w14:paraId="29F5541D">
            <w:pPr>
              <w:spacing w:line="500" w:lineRule="exact"/>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359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66B511E">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23</w:t>
            </w:r>
          </w:p>
        </w:tc>
        <w:tc>
          <w:tcPr>
            <w:tcW w:w="2173" w:type="dxa"/>
            <w:vAlign w:val="center"/>
          </w:tcPr>
          <w:p w14:paraId="63502B03">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6981" w:type="dxa"/>
            <w:vAlign w:val="center"/>
          </w:tcPr>
          <w:p w14:paraId="364610B1">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3F93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0B343690">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bidi="ar"/>
              </w:rPr>
              <w:t>24</w:t>
            </w:r>
          </w:p>
        </w:tc>
        <w:tc>
          <w:tcPr>
            <w:tcW w:w="2173" w:type="dxa"/>
            <w:vAlign w:val="center"/>
          </w:tcPr>
          <w:p w14:paraId="6EA438B7">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highlight w:val="none"/>
              </w:rPr>
              <w:t>磋商保证金</w:t>
            </w:r>
          </w:p>
        </w:tc>
        <w:tc>
          <w:tcPr>
            <w:tcW w:w="6981" w:type="dxa"/>
            <w:vAlign w:val="center"/>
          </w:tcPr>
          <w:p w14:paraId="4287E6FD">
            <w:pPr>
              <w:pStyle w:val="86"/>
              <w:numPr>
                <w:ilvl w:val="0"/>
                <w:numId w:val="0"/>
              </w:num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14:paraId="4856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51747AF0">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25</w:t>
            </w:r>
          </w:p>
        </w:tc>
        <w:tc>
          <w:tcPr>
            <w:tcW w:w="2173" w:type="dxa"/>
            <w:vAlign w:val="center"/>
          </w:tcPr>
          <w:p w14:paraId="0759EF4F">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签字或盖章要求</w:t>
            </w:r>
          </w:p>
        </w:tc>
        <w:tc>
          <w:tcPr>
            <w:tcW w:w="6981" w:type="dxa"/>
            <w:vAlign w:val="center"/>
          </w:tcPr>
          <w:p w14:paraId="19477288">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磋商响应文件中要求盖章签字的地方，均应按竞争性磋商文件要求签字或盖章。副本可以为正本的复印件。 </w:t>
            </w:r>
          </w:p>
        </w:tc>
      </w:tr>
      <w:tr w14:paraId="209F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7D5CCD6">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0A3710F2">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36140F16">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正本壹份，副本贰份，电子版（U盘）壹份</w:t>
            </w:r>
          </w:p>
        </w:tc>
      </w:tr>
      <w:tr w14:paraId="1D90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6AFF1C">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62A9B7FC">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7FA7549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1.电子文件应与纸质磋商响应文件正本一致，电子文档格式为Word及</w:t>
            </w:r>
            <w:r>
              <w:rPr>
                <w:rFonts w:hint="eastAsia" w:ascii="宋体" w:hAnsi="宋体" w:eastAsia="宋体" w:cs="宋体"/>
                <w:b/>
                <w:bCs/>
                <w:color w:val="auto"/>
                <w:sz w:val="24"/>
                <w:highlight w:val="none"/>
              </w:rPr>
              <w:t>PDF（签字盖章后的扫描件PDF版）</w:t>
            </w:r>
            <w:r>
              <w:rPr>
                <w:rFonts w:hint="eastAsia" w:ascii="宋体" w:hAnsi="宋体" w:eastAsia="宋体" w:cs="宋体"/>
                <w:color w:val="auto"/>
                <w:sz w:val="24"/>
                <w:highlight w:val="none"/>
              </w:rPr>
              <w:t>；</w:t>
            </w:r>
          </w:p>
          <w:p w14:paraId="38DAF70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2.当电子文件电子文本与纸质不一致时，以纸质文件为准；</w:t>
            </w:r>
          </w:p>
          <w:p w14:paraId="567F34D6">
            <w:pPr>
              <w:spacing w:line="500" w:lineRule="exact"/>
              <w:jc w:val="left"/>
              <w:rPr>
                <w:rFonts w:hint="eastAsia" w:ascii="宋体" w:hAnsi="宋体" w:eastAsia="宋体" w:cs="宋体"/>
                <w:color w:val="auto"/>
                <w:highlight w:val="none"/>
              </w:rPr>
            </w:pPr>
            <w:r>
              <w:rPr>
                <w:rFonts w:hint="eastAsia" w:ascii="宋体" w:hAnsi="宋体" w:eastAsia="宋体" w:cs="宋体"/>
                <w:color w:val="auto"/>
                <w:sz w:val="24"/>
                <w:highlight w:val="none"/>
              </w:rPr>
              <w:t>3.电子文档需标明项目编号、供应商名称等信息。</w:t>
            </w:r>
          </w:p>
        </w:tc>
      </w:tr>
      <w:tr w14:paraId="4438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2083F36">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0DA361CA">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2703F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1．磋商响应文件正、副本应分别胶装成册，胶装应牢固、不易拆散和换页，不得采用活页装订，建议双面打印。</w:t>
            </w:r>
          </w:p>
          <w:p w14:paraId="7A911D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2．密封包装方式：</w:t>
            </w:r>
          </w:p>
          <w:p w14:paraId="7F645B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（1）磋商响应文件正本一包密封；</w:t>
            </w:r>
          </w:p>
          <w:p w14:paraId="4C2E26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（2）磋商响应文件副本一包密封。</w:t>
            </w:r>
          </w:p>
          <w:p w14:paraId="54CFCED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（3）磋商响应文件电子版一包密封。</w:t>
            </w:r>
          </w:p>
          <w:p w14:paraId="3D7C821F">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封套上应写明：</w:t>
            </w:r>
          </w:p>
          <w:p w14:paraId="3FEE277D">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项目编号                       正本/副本/电子版</w:t>
            </w:r>
          </w:p>
          <w:p w14:paraId="09410216">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291B5A6E">
            <w:pPr>
              <w:spacing w:line="50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highlight w:val="none"/>
              </w:rPr>
              <w:t>磋商响应文件</w:t>
            </w:r>
          </w:p>
          <w:p w14:paraId="588AD556">
            <w:pPr>
              <w:spacing w:line="500" w:lineRule="exact"/>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在    年  月  日 时  分前</w:t>
            </w:r>
            <w:r>
              <w:rPr>
                <w:rFonts w:hint="eastAsia" w:ascii="宋体" w:hAnsi="宋体" w:eastAsia="宋体" w:cs="宋体"/>
                <w:color w:val="auto"/>
                <w:highlight w:val="none"/>
              </w:rPr>
              <w:t>不得开启</w:t>
            </w:r>
          </w:p>
          <w:p w14:paraId="062D7E13">
            <w:pPr>
              <w:spacing w:line="500" w:lineRule="exact"/>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（公章）</w:t>
            </w:r>
          </w:p>
          <w:p w14:paraId="23DA0936">
            <w:pPr>
              <w:spacing w:line="500" w:lineRule="exact"/>
              <w:ind w:left="511" w:leftChars="213" w:firstLine="268" w:firstLineChars="112"/>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w:t>
            </w:r>
            <w:r>
              <w:rPr>
                <w:rFonts w:hint="eastAsia" w:ascii="宋体" w:hAnsi="宋体" w:eastAsia="宋体" w:cs="宋体"/>
                <w:color w:val="auto"/>
                <w:highlight w:val="none"/>
                <w:u w:val="single"/>
              </w:rPr>
              <w:t xml:space="preserve">   （签字或盖章）</w:t>
            </w:r>
          </w:p>
        </w:tc>
      </w:tr>
      <w:tr w14:paraId="60FF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AA50E1">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1D827F9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66C58D2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日 </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时30分00秒 </w:t>
            </w:r>
          </w:p>
          <w:p w14:paraId="4B3C2F3F">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西安市雁塔区泰维智链中心一期B栋202室</w:t>
            </w:r>
          </w:p>
        </w:tc>
      </w:tr>
      <w:tr w14:paraId="1014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DA0B81">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7D5EB87A">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A27820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2025年0</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9日 09时30分00秒</w:t>
            </w:r>
            <w:r>
              <w:rPr>
                <w:rFonts w:hint="eastAsia" w:ascii="宋体" w:hAnsi="宋体" w:eastAsia="宋体" w:cs="宋体"/>
                <w:color w:val="auto"/>
                <w:highlight w:val="none"/>
              </w:rPr>
              <w:t> </w:t>
            </w:r>
          </w:p>
          <w:p w14:paraId="111596D4">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西安市雁塔区泰维智链中心一期B栋202室</w:t>
            </w:r>
          </w:p>
        </w:tc>
      </w:tr>
      <w:tr w14:paraId="06F3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F39ADEA">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11E7353A">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是否退还磋商响应</w:t>
            </w:r>
          </w:p>
          <w:p w14:paraId="0C04268C">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45370BC2">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E42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E8528F1">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3D62A443">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4C451F29">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磋商小组构成：3人，专家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人；</w:t>
            </w:r>
          </w:p>
          <w:p w14:paraId="21CF8511">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专家确定方式：从陕西省财政厅政府采购专家库随机抽取</w:t>
            </w:r>
          </w:p>
        </w:tc>
      </w:tr>
      <w:tr w14:paraId="06AE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9343E8F">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2DDFE2A1">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22DF3D3">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否，推荐1-3名成交候选人；</w:t>
            </w:r>
          </w:p>
        </w:tc>
      </w:tr>
      <w:tr w14:paraId="5610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E523933">
            <w:pPr>
              <w:widowControl/>
              <w:jc w:val="center"/>
              <w:textAlignment w:val="center"/>
              <w:rPr>
                <w:rFonts w:hint="eastAsia"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48912B58">
            <w:pPr>
              <w:pStyle w:val="14"/>
              <w:spacing w:line="500" w:lineRule="exact"/>
              <w:jc w:val="center"/>
              <w:rPr>
                <w:rFonts w:hint="eastAsia" w:ascii="宋体" w:hAnsi="宋体" w:eastAsia="宋体" w:cs="宋体"/>
                <w:color w:val="auto"/>
                <w:highlight w:val="none"/>
              </w:rPr>
            </w:pPr>
            <w:r>
              <w:rPr>
                <w:rFonts w:hint="eastAsia" w:ascii="宋体" w:hAnsi="宋体" w:eastAsia="宋体" w:cs="宋体"/>
                <w:color w:val="auto"/>
                <w:kern w:val="0"/>
                <w:szCs w:val="24"/>
                <w:highlight w:val="none"/>
              </w:rPr>
              <w:t>中小企业信用融资</w:t>
            </w:r>
          </w:p>
        </w:tc>
        <w:tc>
          <w:tcPr>
            <w:tcW w:w="6981" w:type="dxa"/>
            <w:tcBorders>
              <w:top w:val="single" w:color="auto" w:sz="4" w:space="0"/>
              <w:left w:val="single" w:color="auto" w:sz="4" w:space="0"/>
              <w:bottom w:val="single" w:color="auto" w:sz="4" w:space="0"/>
              <w:right w:val="single" w:color="auto" w:sz="4" w:space="0"/>
            </w:tcBorders>
            <w:vAlign w:val="center"/>
          </w:tcPr>
          <w:p w14:paraId="545B77F0">
            <w:pPr>
              <w:spacing w:line="5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1、陕西省财政厅关于加快推进我省中小企业政府采购信用融资工作的通知-陕财办采〔2020〕15 号</w:t>
            </w:r>
          </w:p>
          <w:p w14:paraId="01F11AB1">
            <w:pPr>
              <w:spacing w:line="5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2、陕西省财政厅关于印发《陕西省中小企业政府采购信用融资办法》（陕财办采〔2018〕23号）</w:t>
            </w:r>
          </w:p>
          <w:p w14:paraId="488B62DF">
            <w:pPr>
              <w:pStyle w:val="14"/>
              <w:spacing w:line="500" w:lineRule="exact"/>
              <w:jc w:val="left"/>
              <w:rPr>
                <w:rFonts w:hint="eastAsia" w:ascii="宋体" w:hAnsi="宋体" w:eastAsia="宋体" w:cs="宋体"/>
                <w:color w:val="auto"/>
                <w:highlight w:val="none"/>
              </w:rPr>
            </w:pPr>
            <w:r>
              <w:rPr>
                <w:rFonts w:hint="eastAsia" w:ascii="宋体" w:hAnsi="宋体" w:eastAsia="宋体" w:cs="宋体"/>
                <w:color w:val="auto"/>
                <w:kern w:val="0"/>
                <w:szCs w:val="24"/>
                <w:highlight w:val="none"/>
              </w:rPr>
              <w:t>具体情况，可登录“陕西省政府采购网-陕西省政府采购信用融资平台”查看详情。</w:t>
            </w:r>
          </w:p>
        </w:tc>
      </w:tr>
      <w:tr w14:paraId="78DD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C3E91D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62B2A7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35B4F6FF">
            <w:pPr>
              <w:pStyle w:val="14"/>
              <w:spacing w:line="500" w:lineRule="exact"/>
              <w:jc w:val="left"/>
              <w:rPr>
                <w:rFonts w:hint="eastAsia" w:ascii="宋体" w:hAnsi="宋体" w:eastAsia="宋体" w:cs="宋体"/>
                <w:color w:val="auto"/>
                <w:highlight w:val="none"/>
              </w:rPr>
            </w:pPr>
            <w:r>
              <w:rPr>
                <w:rFonts w:hint="eastAsia" w:ascii="宋体" w:hAnsi="宋体" w:eastAsia="宋体" w:cs="宋体"/>
                <w:color w:val="auto"/>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7B0C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EE9D9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436D83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7A67F50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556C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A874048">
            <w:pPr>
              <w:widowControl/>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2349C44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4E9A7FF4">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本次磋商采用二次报价。</w:t>
            </w:r>
          </w:p>
          <w:p w14:paraId="5EAF74D1">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磋商程序为：</w:t>
            </w:r>
          </w:p>
          <w:p w14:paraId="0007DAC1">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1.磋商小组对所有提交的响应文件进行评审；</w:t>
            </w:r>
          </w:p>
          <w:p w14:paraId="3CBBB0E4">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2.磋商小组所有成员集中与单一供应商分别进行磋商；</w:t>
            </w:r>
          </w:p>
          <w:p w14:paraId="06F46B71">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3.供应商按照要求提交二次报价；</w:t>
            </w:r>
          </w:p>
          <w:p w14:paraId="7344F844">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4.磋商小组评审、推荐成交候选人。</w:t>
            </w:r>
          </w:p>
          <w:p w14:paraId="61C3004E">
            <w:pPr>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在磋商过程中，磋商小组可以根据磋商文件和磋商情况实质性变动采购需求中的技术、服务要求以及合同草案条款，二次报价为最终报价。</w:t>
            </w:r>
          </w:p>
        </w:tc>
      </w:tr>
      <w:tr w14:paraId="118D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AAC73CB">
            <w:pPr>
              <w:widowControl/>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kern w:val="0"/>
                <w:sz w:val="22"/>
                <w:szCs w:val="22"/>
                <w:highlight w:val="none"/>
                <w:lang w:bidi="ar"/>
              </w:rPr>
              <w:t>3</w:t>
            </w:r>
            <w:r>
              <w:rPr>
                <w:rFonts w:hint="eastAsia" w:ascii="宋体" w:hAnsi="宋体" w:eastAsia="宋体" w:cs="宋体"/>
                <w:color w:val="auto"/>
                <w:kern w:val="0"/>
                <w:sz w:val="22"/>
                <w:szCs w:val="22"/>
                <w:highlight w:val="none"/>
                <w:lang w:val="en-US" w:eastAsia="zh-CN" w:bidi="ar"/>
              </w:rPr>
              <w:t>8</w:t>
            </w:r>
          </w:p>
        </w:tc>
        <w:tc>
          <w:tcPr>
            <w:tcW w:w="2173" w:type="dxa"/>
            <w:tcBorders>
              <w:top w:val="single" w:color="auto" w:sz="4" w:space="0"/>
              <w:left w:val="single" w:color="auto" w:sz="4" w:space="0"/>
              <w:bottom w:val="single" w:color="auto" w:sz="4" w:space="0"/>
              <w:right w:val="single" w:color="auto" w:sz="4" w:space="0"/>
            </w:tcBorders>
            <w:vAlign w:val="center"/>
          </w:tcPr>
          <w:p w14:paraId="6CFC9E2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5C73070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通知书》之前，向采购代理机构一次付清招标代理服务费。</w:t>
            </w:r>
          </w:p>
          <w:p w14:paraId="1A4D6800">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代理服务费参照</w:t>
            </w:r>
            <w:r>
              <w:rPr>
                <w:rFonts w:hint="eastAsia" w:ascii="宋体" w:hAnsi="宋体" w:eastAsia="宋体" w:cs="宋体"/>
                <w:bCs/>
                <w:color w:val="auto"/>
                <w:sz w:val="24"/>
                <w:highlight w:val="none"/>
              </w:rPr>
              <w:t>发改办价格〔20</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299</w:t>
            </w:r>
            <w:r>
              <w:rPr>
                <w:rFonts w:hint="eastAsia" w:ascii="宋体" w:hAnsi="宋体" w:eastAsia="宋体" w:cs="宋体"/>
                <w:bCs/>
                <w:color w:val="auto"/>
                <w:sz w:val="24"/>
                <w:highlight w:val="none"/>
              </w:rPr>
              <w:t>号</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国家计委关于印发《招标代理服务收费管理暂行办法》的通知（计价格〔2002〕1980号）、《国家发展和改革委员会办公厅关于招标代理服务收费有关问题的通知》（发改办价格〔2003〕857号）规定向中标（成交）供应商收取代理服务费。</w:t>
            </w:r>
          </w:p>
          <w:p w14:paraId="26207907">
            <w:pPr>
              <w:spacing w:line="420" w:lineRule="exac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银行户名：</w:t>
            </w:r>
            <w:r>
              <w:rPr>
                <w:rFonts w:hint="eastAsia" w:ascii="宋体" w:hAnsi="宋体" w:eastAsia="宋体" w:cs="宋体"/>
                <w:color w:val="auto"/>
                <w:kern w:val="0"/>
                <w:highlight w:val="none"/>
                <w:lang w:eastAsia="zh-CN"/>
              </w:rPr>
              <w:t>陕西玥鑫项目管理有限公司</w:t>
            </w:r>
          </w:p>
          <w:p w14:paraId="233DC98A">
            <w:pPr>
              <w:spacing w:line="420" w:lineRule="exac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开户银行：</w:t>
            </w:r>
            <w:r>
              <w:rPr>
                <w:rFonts w:hint="eastAsia" w:ascii="宋体" w:hAnsi="宋体" w:cs="宋体"/>
                <w:color w:val="auto"/>
                <w:kern w:val="0"/>
                <w:highlight w:val="none"/>
                <w:lang w:eastAsia="zh-CN"/>
              </w:rPr>
              <w:t>中国建设银行股份有限公司西安祥和居支行</w:t>
            </w:r>
          </w:p>
          <w:p w14:paraId="1D5A4EF2">
            <w:pPr>
              <w:spacing w:line="420" w:lineRule="exac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账    号：</w:t>
            </w:r>
            <w:r>
              <w:rPr>
                <w:rFonts w:hint="eastAsia" w:ascii="宋体" w:hAnsi="宋体" w:cs="宋体"/>
                <w:color w:val="auto"/>
                <w:kern w:val="0"/>
                <w:highlight w:val="none"/>
                <w:lang w:eastAsia="zh-CN"/>
              </w:rPr>
              <w:t>6105 0110 1948 0000 0615</w:t>
            </w:r>
          </w:p>
          <w:p w14:paraId="237C4D65">
            <w:pPr>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联系人：</w:t>
            </w:r>
            <w:r>
              <w:rPr>
                <w:rFonts w:hint="eastAsia" w:ascii="宋体" w:hAnsi="宋体" w:cs="宋体"/>
                <w:color w:val="auto"/>
                <w:kern w:val="0"/>
                <w:highlight w:val="none"/>
                <w:lang w:eastAsia="zh-CN"/>
              </w:rPr>
              <w:t>李会计</w:t>
            </w:r>
            <w:r>
              <w:rPr>
                <w:rFonts w:hint="eastAsia" w:ascii="宋体" w:hAnsi="宋体" w:eastAsia="宋体" w:cs="宋体"/>
                <w:color w:val="auto"/>
                <w:kern w:val="0"/>
                <w:highlight w:val="none"/>
              </w:rPr>
              <w:t xml:space="preserve">  </w:t>
            </w:r>
          </w:p>
          <w:p w14:paraId="388B234C">
            <w:pPr>
              <w:spacing w:line="440" w:lineRule="exac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联系电话：</w:t>
            </w:r>
            <w:r>
              <w:rPr>
                <w:rFonts w:hint="eastAsia" w:ascii="宋体" w:hAnsi="宋体" w:cs="宋体"/>
                <w:color w:val="auto"/>
                <w:highlight w:val="none"/>
                <w:lang w:eastAsia="zh-CN"/>
              </w:rPr>
              <w:t>029-82520739</w:t>
            </w:r>
          </w:p>
          <w:p w14:paraId="22BBE6C5">
            <w:pPr>
              <w:pStyle w:val="79"/>
              <w:rPr>
                <w:rFonts w:hint="eastAsia" w:ascii="宋体" w:hAnsi="宋体" w:eastAsia="宋体" w:cs="宋体"/>
                <w:color w:val="auto"/>
                <w:highlight w:val="none"/>
              </w:rPr>
            </w:pPr>
            <w:r>
              <w:rPr>
                <w:rFonts w:hint="eastAsia" w:ascii="宋体" w:hAnsi="宋体" w:eastAsia="宋体" w:cs="宋体"/>
                <w:color w:val="auto"/>
                <w:highlight w:val="none"/>
                <w:lang w:eastAsia="zh-CN"/>
              </w:rPr>
              <w:t>邮箱：342404380@qq.com</w:t>
            </w:r>
          </w:p>
        </w:tc>
      </w:tr>
      <w:tr w14:paraId="3F11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24812B2">
            <w:pPr>
              <w:widowControl/>
              <w:jc w:val="center"/>
              <w:textAlignment w:val="center"/>
              <w:rPr>
                <w:rFonts w:hint="eastAsia" w:ascii="宋体" w:hAnsi="宋体" w:eastAsia="宋体" w:cs="宋体"/>
                <w:b/>
                <w:bCs/>
                <w:color w:val="auto"/>
                <w:kern w:val="0"/>
                <w:sz w:val="22"/>
                <w:szCs w:val="22"/>
                <w:highlight w:val="none"/>
                <w:lang w:val="en-US" w:eastAsia="zh-CN" w:bidi="ar"/>
              </w:rPr>
            </w:pPr>
            <w:bookmarkStart w:id="12" w:name="_Toc32286"/>
            <w:bookmarkStart w:id="13" w:name="_Toc519156737"/>
            <w:bookmarkStart w:id="14" w:name="_Toc32045"/>
            <w:r>
              <w:rPr>
                <w:rFonts w:hint="eastAsia" w:ascii="宋体" w:hAnsi="宋体" w:eastAsia="宋体" w:cs="宋体"/>
                <w:b/>
                <w:bCs/>
                <w:color w:val="auto"/>
                <w:kern w:val="0"/>
                <w:sz w:val="22"/>
                <w:szCs w:val="22"/>
                <w:highlight w:val="none"/>
                <w:lang w:val="en-US" w:eastAsia="zh-CN" w:bidi="ar"/>
              </w:rPr>
              <w:t>39</w:t>
            </w:r>
          </w:p>
        </w:tc>
        <w:tc>
          <w:tcPr>
            <w:tcW w:w="2173" w:type="dxa"/>
            <w:tcBorders>
              <w:top w:val="single" w:color="auto" w:sz="4" w:space="0"/>
              <w:left w:val="single" w:color="auto" w:sz="4" w:space="0"/>
              <w:bottom w:val="single" w:color="auto" w:sz="4" w:space="0"/>
              <w:right w:val="single" w:color="auto" w:sz="4" w:space="0"/>
            </w:tcBorders>
            <w:vAlign w:val="center"/>
          </w:tcPr>
          <w:p w14:paraId="7696A3DE">
            <w:pPr>
              <w:pageBreakBefore w:val="0"/>
              <w:kinsoku/>
              <w:wordWrap/>
              <w:overflowPunct/>
              <w:topLinePunct w:val="0"/>
              <w:bidi w:val="0"/>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特别说明</w:t>
            </w:r>
          </w:p>
        </w:tc>
        <w:tc>
          <w:tcPr>
            <w:tcW w:w="6981" w:type="dxa"/>
            <w:tcBorders>
              <w:top w:val="single" w:color="auto" w:sz="4" w:space="0"/>
              <w:left w:val="single" w:color="auto" w:sz="4" w:space="0"/>
              <w:bottom w:val="single" w:color="auto" w:sz="4" w:space="0"/>
              <w:right w:val="single" w:color="auto" w:sz="4" w:space="0"/>
            </w:tcBorders>
            <w:vAlign w:val="center"/>
          </w:tcPr>
          <w:p w14:paraId="39D704F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根据西安市财政局（市财函〔2021〕431号）文件要求：</w:t>
            </w:r>
          </w:p>
          <w:p w14:paraId="100467EF">
            <w:pPr>
              <w:pageBreakBefore w:val="0"/>
              <w:kinsoku/>
              <w:wordWrap/>
              <w:overflowPunct/>
              <w:topLinePunct w:val="0"/>
              <w:bidi w:val="0"/>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
                <w:bCs/>
                <w:color w:val="auto"/>
                <w:sz w:val="24"/>
                <w:szCs w:val="24"/>
                <w:highlight w:val="none"/>
                <w:lang w:val="en-US" w:eastAsia="zh-CN"/>
              </w:rPr>
              <w:t>供应商登记免费领取采购文件的，如不参加项目投标，应在递交投标（或响应）文件截止时间前一日以书面形式告知采购代理机构，否则，采购代理机构，可以向财政部门反应情况并提供相应的佐证。供应商一年累计出现三次该情形，将被监管部门记录为失信行为。</w:t>
            </w:r>
          </w:p>
        </w:tc>
      </w:tr>
    </w:tbl>
    <w:p w14:paraId="0C6540B7">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22"/>
          <w:szCs w:val="22"/>
          <w:highlight w:val="none"/>
        </w:rPr>
        <w:t>注：供应商须知前附表与采购文件正文对同一事项描述不一致的，以供应商须知前附表为准</w:t>
      </w:r>
      <w:r>
        <w:rPr>
          <w:rFonts w:hint="eastAsia" w:ascii="宋体" w:hAnsi="宋体" w:eastAsia="宋体" w:cs="宋体"/>
          <w:b/>
          <w:color w:val="auto"/>
          <w:sz w:val="28"/>
          <w:szCs w:val="28"/>
          <w:highlight w:val="none"/>
        </w:rPr>
        <w:t>。</w:t>
      </w:r>
    </w:p>
    <w:p w14:paraId="4C74FDE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12"/>
    <w:bookmarkEnd w:id="13"/>
    <w:bookmarkEnd w:id="14"/>
    <w:p w14:paraId="03710331">
      <w:pPr>
        <w:pStyle w:val="4"/>
        <w:rPr>
          <w:rFonts w:hint="eastAsia" w:ascii="宋体" w:hAnsi="宋体" w:eastAsia="宋体" w:cs="宋体"/>
          <w:color w:val="auto"/>
          <w:sz w:val="28"/>
          <w:szCs w:val="28"/>
          <w:highlight w:val="none"/>
        </w:rPr>
      </w:pPr>
      <w:bookmarkStart w:id="15" w:name="_Toc19824"/>
      <w:bookmarkStart w:id="16" w:name="_Toc10488"/>
      <w:bookmarkStart w:id="17" w:name="_Toc26143"/>
      <w:bookmarkStart w:id="18" w:name="_Toc29597"/>
      <w:bookmarkStart w:id="19" w:name="_Toc519156746"/>
      <w:r>
        <w:rPr>
          <w:rFonts w:hint="eastAsia" w:ascii="宋体" w:hAnsi="宋体" w:eastAsia="宋体" w:cs="宋体"/>
          <w:color w:val="auto"/>
          <w:sz w:val="28"/>
          <w:szCs w:val="28"/>
          <w:highlight w:val="none"/>
        </w:rPr>
        <w:t>一、名词解释</w:t>
      </w:r>
      <w:bookmarkEnd w:id="15"/>
      <w:bookmarkEnd w:id="16"/>
    </w:p>
    <w:p w14:paraId="27197F2E">
      <w:pPr>
        <w:numPr>
          <w:ilvl w:val="0"/>
          <w:numId w:val="3"/>
        </w:numPr>
        <w:tabs>
          <w:tab w:val="left" w:pos="240"/>
          <w:tab w:val="clear" w:pos="840"/>
        </w:tabs>
        <w:spacing w:line="460" w:lineRule="exact"/>
        <w:ind w:left="-137" w:leftChars="-57" w:firstLine="0"/>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西安市信访局</w:t>
      </w:r>
    </w:p>
    <w:p w14:paraId="0A4E113B">
      <w:pPr>
        <w:numPr>
          <w:ilvl w:val="0"/>
          <w:numId w:val="3"/>
        </w:numPr>
        <w:tabs>
          <w:tab w:val="left" w:pos="240"/>
          <w:tab w:val="clear" w:pos="840"/>
        </w:tabs>
        <w:spacing w:line="460" w:lineRule="exact"/>
        <w:ind w:left="-137" w:leftChars="-57" w:firstLine="0"/>
        <w:rPr>
          <w:rFonts w:hint="eastAsia" w:ascii="宋体" w:hAnsi="宋体" w:eastAsia="宋体" w:cs="宋体"/>
          <w:color w:val="auto"/>
          <w:highlight w:val="none"/>
        </w:rPr>
      </w:pPr>
      <w:r>
        <w:rPr>
          <w:rFonts w:hint="eastAsia" w:ascii="宋体" w:hAnsi="宋体" w:eastAsia="宋体" w:cs="宋体"/>
          <w:color w:val="auto"/>
          <w:highlight w:val="none"/>
        </w:rPr>
        <w:t>监督机构：政府采购监督管理部门及监察部门</w:t>
      </w:r>
    </w:p>
    <w:p w14:paraId="3222363C">
      <w:pPr>
        <w:numPr>
          <w:ilvl w:val="0"/>
          <w:numId w:val="3"/>
        </w:numPr>
        <w:tabs>
          <w:tab w:val="left" w:pos="240"/>
          <w:tab w:val="clear" w:pos="840"/>
        </w:tabs>
        <w:spacing w:line="460" w:lineRule="exact"/>
        <w:ind w:left="-137" w:leftChars="-57" w:firstLine="0"/>
        <w:rPr>
          <w:rFonts w:hint="eastAsia" w:ascii="宋体" w:hAnsi="宋体" w:eastAsia="宋体" w:cs="宋体"/>
          <w:color w:val="auto"/>
          <w:highlight w:val="none"/>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陕西玥鑫项目管理有限公司</w:t>
      </w:r>
    </w:p>
    <w:p w14:paraId="47F04694">
      <w:pPr>
        <w:numPr>
          <w:ilvl w:val="0"/>
          <w:numId w:val="3"/>
        </w:numPr>
        <w:tabs>
          <w:tab w:val="left" w:pos="240"/>
          <w:tab w:val="clear" w:pos="840"/>
        </w:tabs>
        <w:spacing w:line="460" w:lineRule="exact"/>
        <w:ind w:left="-137" w:leftChars="-57" w:firstLine="0"/>
        <w:rPr>
          <w:rFonts w:hint="eastAsia" w:ascii="宋体" w:hAnsi="宋体" w:eastAsia="宋体" w:cs="宋体"/>
          <w:color w:val="auto"/>
          <w:highlight w:val="none"/>
        </w:rPr>
      </w:pPr>
      <w:r>
        <w:rPr>
          <w:rFonts w:hint="eastAsia" w:ascii="宋体" w:hAnsi="宋体" w:eastAsia="宋体" w:cs="宋体"/>
          <w:color w:val="auto"/>
          <w:highlight w:val="none"/>
        </w:rPr>
        <w:t>磋商供应商：满足本次磋商要求具有相应资质和完成项目能力的供应商</w:t>
      </w:r>
    </w:p>
    <w:p w14:paraId="31AC6F7A">
      <w:pPr>
        <w:numPr>
          <w:ilvl w:val="0"/>
          <w:numId w:val="3"/>
        </w:numPr>
        <w:tabs>
          <w:tab w:val="left" w:pos="240"/>
          <w:tab w:val="clear" w:pos="840"/>
        </w:tabs>
        <w:spacing w:line="460" w:lineRule="exact"/>
        <w:ind w:left="-137" w:leftChars="-57" w:firstLine="0"/>
        <w:rPr>
          <w:rFonts w:hint="eastAsia" w:ascii="宋体" w:hAnsi="宋体" w:eastAsia="宋体" w:cs="宋体"/>
          <w:color w:val="auto"/>
          <w:highlight w:val="none"/>
        </w:rPr>
      </w:pPr>
      <w:r>
        <w:rPr>
          <w:rFonts w:hint="eastAsia" w:ascii="宋体" w:hAnsi="宋体" w:eastAsia="宋体" w:cs="宋体"/>
          <w:color w:val="auto"/>
          <w:highlight w:val="none"/>
        </w:rPr>
        <w:t>成交供应商：由磋商小组推荐经采购人确认的磋商供应商</w:t>
      </w:r>
    </w:p>
    <w:p w14:paraId="6B8AB4A0">
      <w:pPr>
        <w:pStyle w:val="4"/>
        <w:rPr>
          <w:rFonts w:hint="eastAsia" w:ascii="宋体" w:hAnsi="宋体" w:eastAsia="宋体" w:cs="宋体"/>
          <w:color w:val="auto"/>
          <w:sz w:val="28"/>
          <w:szCs w:val="28"/>
          <w:highlight w:val="none"/>
        </w:rPr>
      </w:pPr>
      <w:bookmarkStart w:id="20" w:name="_Toc519156738"/>
      <w:bookmarkStart w:id="21" w:name="_Toc12298"/>
      <w:bookmarkStart w:id="22" w:name="_Toc12414"/>
      <w:bookmarkStart w:id="23" w:name="_Toc13421"/>
      <w:bookmarkStart w:id="24" w:name="_Toc7253"/>
      <w:bookmarkStart w:id="25" w:name="_Toc25957"/>
      <w:r>
        <w:rPr>
          <w:rFonts w:hint="eastAsia" w:ascii="宋体" w:hAnsi="宋体" w:eastAsia="宋体" w:cs="宋体"/>
          <w:color w:val="auto"/>
          <w:sz w:val="28"/>
          <w:szCs w:val="28"/>
          <w:highlight w:val="none"/>
        </w:rPr>
        <w:t>二、磋商供应商</w:t>
      </w:r>
      <w:bookmarkEnd w:id="20"/>
      <w:bookmarkEnd w:id="21"/>
      <w:bookmarkEnd w:id="22"/>
      <w:bookmarkEnd w:id="23"/>
      <w:bookmarkEnd w:id="24"/>
      <w:bookmarkEnd w:id="25"/>
    </w:p>
    <w:p w14:paraId="08834719">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1.合格磋商供应商</w:t>
      </w:r>
    </w:p>
    <w:p w14:paraId="1AAD75A2">
      <w:pPr>
        <w:spacing w:line="460" w:lineRule="exact"/>
        <w:ind w:left="1130" w:leftChars="172" w:hanging="717" w:hangingChars="299"/>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02CE3924">
      <w:pPr>
        <w:spacing w:line="460" w:lineRule="exact"/>
        <w:ind w:left="1130" w:leftChars="172" w:hanging="717" w:hangingChars="299"/>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591E1A7E">
      <w:pPr>
        <w:spacing w:line="460" w:lineRule="exact"/>
        <w:ind w:left="1130" w:leftChars="172" w:hanging="717" w:hangingChars="299"/>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3）具有履行合同所必需的专业技术能力</w:t>
      </w:r>
    </w:p>
    <w:p w14:paraId="24070EC8">
      <w:pPr>
        <w:spacing w:line="460" w:lineRule="exact"/>
        <w:ind w:left="1130" w:leftChars="172" w:hanging="717" w:hangingChars="299"/>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5F695264">
      <w:pPr>
        <w:spacing w:line="460" w:lineRule="exact"/>
        <w:ind w:left="1130" w:leftChars="172" w:hanging="717" w:hangingChars="299"/>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39C4CFBE">
      <w:pPr>
        <w:spacing w:line="460" w:lineRule="exact"/>
        <w:ind w:left="1130" w:leftChars="172" w:hanging="717" w:hangingChars="299"/>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6）法律、行政法规规定的其它条件</w:t>
      </w:r>
    </w:p>
    <w:p w14:paraId="05A1A88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1.1单位负责人为同一人或者存在直接控股、管理关系的不同供应商，不得参加本项目同一合同项下的磋商响应。如果磋商供应商在磋商响应中隐瞒了上述关系，则该磋商响应无效。</w:t>
      </w:r>
    </w:p>
    <w:p w14:paraId="6C791DA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1.2为本采购项目提供整体设计、规范编制或者项目管理、监理、检测等服务的供应商，不得再参加本采购项目的磋商响应</w:t>
      </w:r>
      <w:r>
        <w:rPr>
          <w:rFonts w:hint="eastAsia" w:ascii="宋体" w:hAnsi="宋体" w:eastAsia="宋体" w:cs="宋体"/>
          <w:color w:val="auto"/>
          <w:kern w:val="0"/>
          <w:highlight w:val="none"/>
        </w:rPr>
        <w:t>。</w:t>
      </w:r>
      <w:r>
        <w:rPr>
          <w:rFonts w:hint="eastAsia" w:ascii="宋体" w:hAnsi="宋体" w:eastAsia="宋体" w:cs="宋体"/>
          <w:color w:val="auto"/>
          <w:highlight w:val="none"/>
        </w:rPr>
        <w:t>如果磋商供应商在磋商响应中隐瞒了上述事实，则该磋商响应无效。</w:t>
      </w:r>
    </w:p>
    <w:p w14:paraId="42FC6D2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1.3磋商供应商不得直接或间接地与招标采购单位（包括采购代理机构、采购人及用户）有任何关联，亦不得是招标采购单位的附属机构。如果磋商供应商在磋商响应中隐瞒了上述关系，则该磋商响应无效。</w:t>
      </w:r>
    </w:p>
    <w:p w14:paraId="42F340CB">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2.磋商委托</w:t>
      </w:r>
    </w:p>
    <w:p w14:paraId="3FC3F968">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如磋商供应商代表不是法定代表人，须持有《法定代表人授权书》（原件）。</w:t>
      </w:r>
    </w:p>
    <w:p w14:paraId="7CD9FDDE">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3.磋商响应文件内容的真实性</w:t>
      </w:r>
    </w:p>
    <w:p w14:paraId="0BA56540">
      <w:pPr>
        <w:spacing w:line="460" w:lineRule="exact"/>
        <w:ind w:firstLine="472" w:firstLineChars="197"/>
        <w:rPr>
          <w:rFonts w:hint="eastAsia" w:ascii="宋体" w:hAnsi="宋体" w:eastAsia="宋体" w:cs="宋体"/>
          <w:color w:val="auto"/>
          <w:highlight w:val="none"/>
        </w:rPr>
      </w:pPr>
      <w:r>
        <w:rPr>
          <w:rFonts w:hint="eastAsia" w:ascii="宋体" w:hAnsi="宋体" w:eastAsia="宋体" w:cs="宋体"/>
          <w:color w:val="auto"/>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6E3704A7">
      <w:pPr>
        <w:spacing w:line="460" w:lineRule="exact"/>
        <w:ind w:firstLine="120" w:firstLineChars="50"/>
        <w:rPr>
          <w:rFonts w:hint="eastAsia" w:ascii="宋体" w:hAnsi="宋体" w:eastAsia="宋体" w:cs="宋体"/>
          <w:color w:val="auto"/>
          <w:highlight w:val="none"/>
        </w:rPr>
      </w:pPr>
      <w:r>
        <w:rPr>
          <w:rFonts w:hint="eastAsia" w:ascii="宋体" w:hAnsi="宋体" w:eastAsia="宋体" w:cs="宋体"/>
          <w:b/>
          <w:color w:val="auto"/>
          <w:highlight w:val="none"/>
        </w:rPr>
        <w:t>4.磋商费用</w:t>
      </w:r>
    </w:p>
    <w:p w14:paraId="634A766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无论磋商结果如何，磋商供应商自行承担参加磋商相关的全部费用。</w:t>
      </w:r>
    </w:p>
    <w:p w14:paraId="05E96D09">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5.联合体形式</w:t>
      </w:r>
    </w:p>
    <w:p w14:paraId="14264B5D">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　本项目是否接受联合体参与及相关要求见磋商须知前附表。</w:t>
      </w:r>
    </w:p>
    <w:p w14:paraId="1A348259">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5.2　供应商为联合体形式的，应同时遵守以下规定：</w:t>
      </w:r>
    </w:p>
    <w:p w14:paraId="7D2AA07D">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(1)联合体各方必须签订联合体协议书，明确联合体牵头人和各方权利、义务及分工、合同工作量比例；</w:t>
      </w:r>
    </w:p>
    <w:p w14:paraId="4412C256">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(2)联合体各方均应当符合供应商须知前附表的供应商基本资格条件；</w:t>
      </w:r>
    </w:p>
    <w:p w14:paraId="69B334C0">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(3)除磋商须知前附表中另有规定，联合体各方中至少有一方应当符合供应商须知前附表的供应商特定资格条件；</w:t>
      </w:r>
    </w:p>
    <w:p w14:paraId="491ED954">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(4)联合体中有同类资质的供应商按照联合体分工承担相同工作的，应当按照资质等级较低的供应商确定资质等级；</w:t>
      </w:r>
    </w:p>
    <w:p w14:paraId="4A39754C">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(5)联合体各方不得再单独或与其他供应商组成新的联合体参加同一项目的采购活动。</w:t>
      </w:r>
    </w:p>
    <w:p w14:paraId="5862757A">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6.项目现场踏勘</w:t>
      </w:r>
    </w:p>
    <w:p w14:paraId="597D2B1E">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本项目是否组织现场踏勘见磋商须知前附表。</w:t>
      </w:r>
    </w:p>
    <w:p w14:paraId="0B7E83F1">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6.2　供应商应按磋商须知前附表中规定对采购项目现场和周围环境进行踏勘。供应商未在指定时间进行踏勘的，其踏勘将被拒绝。</w:t>
      </w:r>
    </w:p>
    <w:p w14:paraId="5E2F71F4">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　踏勘现场的费用由供应商自己承担，踏勘期间所发生的人身伤害及财产损失由供应商自己负责。</w:t>
      </w:r>
    </w:p>
    <w:p w14:paraId="754086B2">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6.4　采购人不对供应商据现场踏勘而做出的推论、理解和结论负责。一旦成交，供应商不得以任何借口，提出额外补偿，或延长合同期限的要求。</w:t>
      </w:r>
    </w:p>
    <w:p w14:paraId="67685E33">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7.采购进口产品（购买服务项目不适用）</w:t>
      </w:r>
    </w:p>
    <w:p w14:paraId="4C58E0AF">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7.1　本项目是否采购进口产品及相关要求见磋商须知前附表。</w:t>
      </w:r>
    </w:p>
    <w:p w14:paraId="5563D82F">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8.政府采购政策支持与其他规定</w:t>
      </w:r>
    </w:p>
    <w:p w14:paraId="15CABDCE">
      <w:pPr>
        <w:pStyle w:val="14"/>
        <w:spacing w:line="460" w:lineRule="exact"/>
        <w:ind w:firstLine="480" w:firstLineChars="200"/>
        <w:rPr>
          <w:rFonts w:hint="eastAsia" w:ascii="宋体" w:hAnsi="宋体" w:eastAsia="宋体" w:cs="宋体"/>
          <w:color w:val="auto"/>
          <w:szCs w:val="24"/>
          <w:highlight w:val="none"/>
        </w:rPr>
      </w:pPr>
      <w:bookmarkStart w:id="26" w:name="_Toc519156739"/>
      <w:bookmarkStart w:id="27" w:name="_Toc4528"/>
      <w:bookmarkStart w:id="28" w:name="_Toc27408"/>
      <w:r>
        <w:rPr>
          <w:rFonts w:hint="eastAsia" w:ascii="宋体" w:hAnsi="宋体" w:eastAsia="宋体" w:cs="宋体"/>
          <w:color w:val="auto"/>
          <w:szCs w:val="24"/>
          <w:highlight w:val="none"/>
        </w:rPr>
        <w:t>8.1　产品属于政府强制采购节能产品范围，必须将是否列入最新一期节能清单作为采购产品的资格条件。本项目的详细要求见评审办法。</w:t>
      </w:r>
    </w:p>
    <w:p w14:paraId="73CCBAF5">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3A35DBC4">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　供应商享受支持中小企业发展政策优惠的，可用扣除后的最后报价参与价格比较。本项目价格扣除比例及相关要求见评审办法。</w:t>
      </w:r>
    </w:p>
    <w:p w14:paraId="1FBF7B5E">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8.4　监狱企业视同小型、微型企业，享受促进中小企业发展政策优惠，可用扣除后的最后报价参与价格比较。本项目价格扣除比例及相关要求详见评审办法。</w:t>
      </w:r>
    </w:p>
    <w:p w14:paraId="7B7801EF">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DC68D53">
      <w:pPr>
        <w:pStyle w:val="14"/>
        <w:spacing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8.6　其他法律法规强制性规定。本项目的详细要求见评审办法。</w:t>
      </w:r>
    </w:p>
    <w:p w14:paraId="7402A81E">
      <w:pPr>
        <w:pStyle w:val="4"/>
        <w:rPr>
          <w:rFonts w:hint="eastAsia" w:ascii="宋体" w:hAnsi="宋体" w:eastAsia="宋体" w:cs="宋体"/>
          <w:color w:val="auto"/>
          <w:sz w:val="32"/>
          <w:szCs w:val="36"/>
          <w:highlight w:val="none"/>
        </w:rPr>
      </w:pPr>
      <w:bookmarkStart w:id="29" w:name="_Toc25030"/>
      <w:bookmarkStart w:id="30" w:name="_Toc27910"/>
      <w:bookmarkStart w:id="31" w:name="_Toc2653"/>
      <w:r>
        <w:rPr>
          <w:rFonts w:hint="eastAsia" w:ascii="宋体" w:hAnsi="宋体" w:eastAsia="宋体" w:cs="宋体"/>
          <w:color w:val="auto"/>
          <w:sz w:val="32"/>
          <w:szCs w:val="36"/>
          <w:highlight w:val="none"/>
        </w:rPr>
        <w:t>三、磋商文件</w:t>
      </w:r>
      <w:bookmarkEnd w:id="26"/>
      <w:bookmarkEnd w:id="27"/>
      <w:bookmarkEnd w:id="28"/>
      <w:bookmarkEnd w:id="29"/>
      <w:bookmarkEnd w:id="30"/>
      <w:bookmarkEnd w:id="31"/>
    </w:p>
    <w:p w14:paraId="174B4194">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9.磋商文件</w:t>
      </w:r>
    </w:p>
    <w:p w14:paraId="186D9377">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9.1 磋商文件要求提供的货物及服务，磋商程序和合同条件在磋商文件中均有说明。磋商文件共六章，内容如下：</w:t>
      </w:r>
    </w:p>
    <w:p w14:paraId="05CB1D9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p>
    <w:p w14:paraId="17C1077F">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第二章 磋商供应商须知</w:t>
      </w:r>
    </w:p>
    <w:p w14:paraId="2C94414D">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第三章 磋商要求及说明</w:t>
      </w:r>
    </w:p>
    <w:p w14:paraId="26B1A47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第四章 商务及合同主要条款</w:t>
      </w:r>
    </w:p>
    <w:p w14:paraId="1C6507AE">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第五章 评审办法</w:t>
      </w:r>
    </w:p>
    <w:p w14:paraId="5268DF4E">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第六章 竞争性磋商响应文件格式</w:t>
      </w:r>
    </w:p>
    <w:p w14:paraId="7390855F">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721A71BA">
      <w:pPr>
        <w:spacing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10．磋商文件的澄清修改</w:t>
      </w:r>
    </w:p>
    <w:p w14:paraId="13B40E4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10.1</w:t>
      </w:r>
      <w:r>
        <w:rPr>
          <w:rFonts w:hint="eastAsia" w:ascii="宋体" w:hAnsi="宋体" w:eastAsia="宋体" w:cs="宋体"/>
          <w:color w:val="auto"/>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4CA1D66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10.2</w:t>
      </w:r>
      <w:r>
        <w:rPr>
          <w:rFonts w:hint="eastAsia" w:ascii="宋体" w:hAnsi="宋体" w:eastAsia="宋体" w:cs="宋体"/>
          <w:color w:val="auto"/>
          <w:highlight w:val="none"/>
          <w:lang w:val="zh-CN"/>
        </w:rPr>
        <w:t>在</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val="zh-CN"/>
        </w:rPr>
        <w:t>活动中，采购代理机构按照有关规定对获取</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文件的潜在</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rPr>
        <w:t>发出书面形式通知要求其确认的，潜在</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rPr>
        <w:t>应当在规定时间将确认情况原件送达至采购代理机构或通过电子邮件回复至采购代理机构指定的邮箱地址。若潜在</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rPr>
        <w:t>未在规定时间内进行确认的，视同对发出的书面通知已认可，所造成的一切后果由供应商自行承担。</w:t>
      </w:r>
    </w:p>
    <w:p w14:paraId="2D2AE1D6">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11.磋商文件的购买</w:t>
      </w:r>
    </w:p>
    <w:p w14:paraId="7C0A928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磋商供应商必须从采购代理机构购买磋商文件，磋商供应商自行转让或复制的磋商文件视为无效文件；磋商文件一经售出，一律不退，仅作为本次磋商使用。</w:t>
      </w:r>
    </w:p>
    <w:p w14:paraId="5F861652">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12.磋商的处理依据</w:t>
      </w:r>
    </w:p>
    <w:p w14:paraId="6ED48A4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根据《中华人民共和国政府采购法》和《政府采购竞争性磋商采购方式管理暂行办法》的条款，本着公开、公平、公正的原则进行处理。</w:t>
      </w:r>
    </w:p>
    <w:p w14:paraId="2D2B2B94">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13.解释权归属</w:t>
      </w:r>
    </w:p>
    <w:p w14:paraId="375EF38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本次磋商文件的解释权归采购代理机构。</w:t>
      </w:r>
    </w:p>
    <w:p w14:paraId="1F45EDFF">
      <w:pPr>
        <w:pStyle w:val="4"/>
        <w:rPr>
          <w:rFonts w:hint="eastAsia" w:ascii="宋体" w:hAnsi="宋体" w:eastAsia="宋体" w:cs="宋体"/>
          <w:color w:val="auto"/>
          <w:sz w:val="32"/>
          <w:szCs w:val="36"/>
          <w:highlight w:val="none"/>
        </w:rPr>
      </w:pPr>
      <w:bookmarkStart w:id="32" w:name="_Toc8808"/>
      <w:bookmarkStart w:id="33" w:name="_Toc16846"/>
      <w:bookmarkStart w:id="34" w:name="_Toc18132"/>
      <w:bookmarkStart w:id="35" w:name="_Toc1168"/>
      <w:bookmarkStart w:id="36" w:name="_Toc29847"/>
      <w:r>
        <w:rPr>
          <w:rFonts w:hint="eastAsia" w:ascii="宋体" w:hAnsi="宋体" w:eastAsia="宋体" w:cs="宋体"/>
          <w:color w:val="auto"/>
          <w:sz w:val="32"/>
          <w:szCs w:val="36"/>
          <w:highlight w:val="none"/>
        </w:rPr>
        <w:t>四、磋商要求</w:t>
      </w:r>
      <w:bookmarkEnd w:id="32"/>
      <w:bookmarkEnd w:id="33"/>
      <w:bookmarkEnd w:id="34"/>
      <w:bookmarkEnd w:id="35"/>
      <w:bookmarkEnd w:id="36"/>
    </w:p>
    <w:p w14:paraId="17B7C7D0">
      <w:pPr>
        <w:spacing w:line="460" w:lineRule="exact"/>
        <w:rPr>
          <w:rFonts w:hint="eastAsia" w:ascii="宋体" w:hAnsi="宋体" w:eastAsia="宋体" w:cs="宋体"/>
          <w:b/>
          <w:color w:val="auto"/>
          <w:highlight w:val="none"/>
          <w:lang w:val="en-US" w:eastAsia="zh-CN"/>
        </w:rPr>
      </w:pPr>
      <w:bookmarkStart w:id="37" w:name="_Toc24973"/>
      <w:bookmarkStart w:id="38" w:name="_Toc519156741"/>
      <w:r>
        <w:rPr>
          <w:rFonts w:hint="eastAsia" w:ascii="宋体" w:hAnsi="宋体" w:eastAsia="宋体" w:cs="宋体"/>
          <w:b/>
          <w:color w:val="auto"/>
          <w:highlight w:val="none"/>
        </w:rPr>
        <w:t>14.磋商语言和</w:t>
      </w:r>
      <w:r>
        <w:rPr>
          <w:rFonts w:hint="eastAsia" w:ascii="宋体" w:hAnsi="宋体" w:eastAsia="宋体" w:cs="宋体"/>
          <w:b/>
          <w:color w:val="auto"/>
          <w:highlight w:val="none"/>
          <w:lang w:val="en-US" w:eastAsia="zh-CN"/>
        </w:rPr>
        <w:t>计量单位的使用</w:t>
      </w:r>
    </w:p>
    <w:p w14:paraId="62AC217F">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14.1</w:t>
      </w:r>
      <w:r>
        <w:rPr>
          <w:rFonts w:hint="eastAsia" w:ascii="宋体" w:hAnsi="宋体" w:eastAsia="宋体" w:cs="宋体"/>
          <w:color w:val="auto"/>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35D32305">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14.2</w:t>
      </w:r>
      <w:r>
        <w:rPr>
          <w:rFonts w:hint="eastAsia" w:ascii="宋体" w:hAnsi="宋体" w:eastAsia="宋体" w:cs="宋体"/>
          <w:color w:val="auto"/>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7FF4D389">
      <w:pPr>
        <w:spacing w:line="460" w:lineRule="exact"/>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14.3</w:t>
      </w:r>
      <w:r>
        <w:rPr>
          <w:rFonts w:hint="eastAsia" w:ascii="宋体" w:hAnsi="宋体" w:eastAsia="宋体" w:cs="宋体"/>
          <w:color w:val="auto"/>
          <w:highlight w:val="none"/>
          <w:lang w:val="zh-CN" w:eastAsia="zh-CN"/>
        </w:rPr>
        <w:t>磋商文件已有明确规定的，使用磋商文件规定的计量单位；磋商文件没有规定的，应采用中华人民共和国法定计量单位(国际单位制和国家选定的其他计量单位)。</w:t>
      </w:r>
    </w:p>
    <w:p w14:paraId="61675A1E">
      <w:pPr>
        <w:spacing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15.磋商响应文件的构成</w:t>
      </w:r>
    </w:p>
    <w:p w14:paraId="3B762A47">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15.1供应商提交的磋商响应文件应包括下列部分的内容：</w:t>
      </w:r>
    </w:p>
    <w:p w14:paraId="7638CF55">
      <w:pPr>
        <w:kinsoku w:val="0"/>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一、磋商函</w:t>
      </w:r>
    </w:p>
    <w:p w14:paraId="16DA8959">
      <w:pPr>
        <w:kinsoku w:val="0"/>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w:t>
      </w:r>
    </w:p>
    <w:p w14:paraId="5E0E8506">
      <w:pPr>
        <w:kinsoku w:val="0"/>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三、法人授权委托书</w:t>
      </w:r>
    </w:p>
    <w:p w14:paraId="03FDB79E">
      <w:pPr>
        <w:kinsoku w:val="0"/>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四、报价表</w:t>
      </w:r>
    </w:p>
    <w:p w14:paraId="3E07ECEB">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五、近年承接的类似项目情况表</w:t>
      </w:r>
    </w:p>
    <w:p w14:paraId="46C905A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六、项目实施方案</w:t>
      </w:r>
    </w:p>
    <w:p w14:paraId="04C9A95D">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七、技术和商务响应说明</w:t>
      </w:r>
    </w:p>
    <w:p w14:paraId="56019CF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八、资格证明文件</w:t>
      </w:r>
    </w:p>
    <w:p w14:paraId="59A4226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九、其他资料</w:t>
      </w:r>
    </w:p>
    <w:p w14:paraId="3EB6E51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如果在磋商文件中没有允许提供备选方案，则每个供应商只允许提交一个磋商方案，否则，将按无效响</w:t>
      </w:r>
      <w:r>
        <w:rPr>
          <w:rFonts w:hint="eastAsia" w:ascii="宋体" w:hAnsi="宋体" w:eastAsia="宋体" w:cs="宋体"/>
          <w:color w:val="auto"/>
          <w:sz w:val="24"/>
          <w:highlight w:val="none"/>
          <w:lang w:val="en-US" w:eastAsia="zh-CN"/>
        </w:rPr>
        <w:t>应</w:t>
      </w:r>
      <w:r>
        <w:rPr>
          <w:rFonts w:hint="eastAsia" w:ascii="宋体" w:hAnsi="宋体" w:eastAsia="宋体" w:cs="宋体"/>
          <w:color w:val="auto"/>
          <w:sz w:val="24"/>
          <w:highlight w:val="none"/>
        </w:rPr>
        <w:t>磋商处理。</w:t>
      </w:r>
    </w:p>
    <w:p w14:paraId="20512AA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0D4BF737">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16.磋商报价</w:t>
      </w:r>
    </w:p>
    <w:p w14:paraId="794234F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16.1磋商报价是指项目达到正常使用条件下的所有费用，包括</w:t>
      </w:r>
      <w:r>
        <w:rPr>
          <w:rFonts w:hint="eastAsia" w:ascii="宋体" w:hAnsi="宋体" w:eastAsia="宋体" w:cs="宋体"/>
          <w:color w:val="auto"/>
          <w:highlight w:val="none"/>
          <w:lang w:val="zh-CN"/>
        </w:rPr>
        <w:t>人员工资、汽车燃油费、保险费、管理费、利润、风险、税金</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lang w:val="zh-CN" w:eastAsia="zh-CN"/>
        </w:rPr>
        <w:t>其他相关的一切费用</w:t>
      </w:r>
      <w:r>
        <w:rPr>
          <w:rFonts w:hint="eastAsia" w:ascii="宋体" w:hAnsi="宋体" w:eastAsia="宋体" w:cs="宋体"/>
          <w:color w:val="auto"/>
          <w:highlight w:val="none"/>
        </w:rPr>
        <w:t>，以磋商文件的内容和要求作为依据；</w:t>
      </w:r>
    </w:p>
    <w:p w14:paraId="6700E3D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16.2磋商供应商应在磋商响应文件中的响应报价表上，标明费用组成；任何有选择的报价不予接受；</w:t>
      </w:r>
    </w:p>
    <w:p w14:paraId="53D031D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16.3磋商货币：人民币；单位：元（精确到小数点后两位）；</w:t>
      </w:r>
    </w:p>
    <w:p w14:paraId="5E1CF15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16.4响应报价表应有法定代表人或被授权人的签字；</w:t>
      </w:r>
    </w:p>
    <w:p w14:paraId="3375D6E2">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16.5磋商最</w:t>
      </w:r>
      <w:r>
        <w:rPr>
          <w:rFonts w:hint="eastAsia" w:ascii="宋体" w:hAnsi="宋体" w:eastAsia="宋体" w:cs="宋体"/>
          <w:color w:val="auto"/>
          <w:highlight w:val="none"/>
          <w:lang w:eastAsia="zh-CN"/>
        </w:rPr>
        <w:t>终</w:t>
      </w:r>
      <w:r>
        <w:rPr>
          <w:rFonts w:hint="eastAsia" w:ascii="宋体" w:hAnsi="宋体" w:eastAsia="宋体" w:cs="宋体"/>
          <w:color w:val="auto"/>
          <w:highlight w:val="none"/>
        </w:rPr>
        <w:t>报价，在采购内容无实质性变更下，不得高于首次磋商报价,各供应商分项报价表中所有报价（与最终磋商报价比例一致）同比例下浮。</w:t>
      </w:r>
    </w:p>
    <w:p w14:paraId="4B92ACA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16.6凡因磋商供应商对磋商文件阅读不深、理解不透、误解、疏漏、或因市场行情了解不清造成的后果和风险均由磋商供应商自负；</w:t>
      </w:r>
    </w:p>
    <w:p w14:paraId="32B57C8C">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16.7</w:t>
      </w:r>
      <w:r>
        <w:rPr>
          <w:rFonts w:hint="eastAsia" w:ascii="宋体" w:hAnsi="宋体" w:eastAsia="宋体" w:cs="宋体"/>
          <w:color w:val="auto"/>
          <w:highlight w:val="none"/>
        </w:rPr>
        <w:t>最低报价不是成交的唯一依据。</w:t>
      </w:r>
    </w:p>
    <w:p w14:paraId="19C7E5D1">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16.</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磋商供应商不得以低于成本的报价参加磋商。当磋商小组认为某个磋商供应</w:t>
      </w:r>
      <w:r>
        <w:rPr>
          <w:rFonts w:hint="eastAsia" w:ascii="宋体" w:hAnsi="宋体" w:eastAsia="宋体" w:cs="宋体"/>
          <w:color w:val="auto"/>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1471EB72">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16.9供应商对响应项目只允许有一个报价，不接受超过磋商文件中规定的预算金额的报价、可变动性报价、赠送及“零”报价，否则视为无效响应。</w:t>
      </w:r>
    </w:p>
    <w:p w14:paraId="6E92F4C6">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17.证明供应商合格的资格证明文件</w:t>
      </w:r>
    </w:p>
    <w:p w14:paraId="5A6431BE">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17.1供应商应按照磋商文件“供应商须知前附表”的要求，在磋商响应文件中提交合格的资格证明文件。如果资格证明文件不全或不合格的，将按无效磋商处理。</w:t>
      </w:r>
    </w:p>
    <w:p w14:paraId="15D670B0">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18.证明标的物的合格性和符合磋商文件规定的文件</w:t>
      </w:r>
    </w:p>
    <w:p w14:paraId="7E9DE218">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15C1A5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18.2上述证明文件可以是文字资料、图纸、图片和数据，它包括：</w:t>
      </w:r>
    </w:p>
    <w:p w14:paraId="2EC8A14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18.2.1实施方案、</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、付款方式等方面的详细说明；</w:t>
      </w:r>
    </w:p>
    <w:p w14:paraId="207BBEE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18.2.2 逐条对磋商文件提出的技术要求和商务要求进行应答，说明所提供的货物及服务对磋商的技术和商务要求是否做出了实质性响应并提供支持文件。</w:t>
      </w:r>
    </w:p>
    <w:p w14:paraId="321B6211">
      <w:pPr>
        <w:spacing w:line="460" w:lineRule="exact"/>
        <w:ind w:firstLine="120" w:firstLineChars="50"/>
        <w:rPr>
          <w:rFonts w:hint="eastAsia" w:ascii="宋体" w:hAnsi="宋体" w:eastAsia="宋体" w:cs="宋体"/>
          <w:b/>
          <w:color w:val="auto"/>
          <w:highlight w:val="none"/>
          <w:lang w:eastAsia="zh-CN"/>
        </w:rPr>
      </w:pPr>
      <w:r>
        <w:rPr>
          <w:rFonts w:hint="eastAsia" w:ascii="宋体" w:hAnsi="宋体" w:eastAsia="宋体" w:cs="宋体"/>
          <w:b/>
          <w:color w:val="auto"/>
          <w:highlight w:val="none"/>
        </w:rPr>
        <w:t>19.磋商保证金</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本项目不收取磋商保证金</w:t>
      </w:r>
      <w:r>
        <w:rPr>
          <w:rFonts w:hint="eastAsia" w:ascii="宋体" w:hAnsi="宋体" w:eastAsia="宋体" w:cs="宋体"/>
          <w:b/>
          <w:color w:val="auto"/>
          <w:highlight w:val="none"/>
          <w:lang w:eastAsia="zh-CN"/>
        </w:rPr>
        <w:t>）</w:t>
      </w:r>
    </w:p>
    <w:p w14:paraId="1F4D021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19.1保证金是用于保护本次磋商免受磋商供应商的行为而引起的风险。</w:t>
      </w:r>
    </w:p>
    <w:p w14:paraId="4B8D0F3D">
      <w:pPr>
        <w:spacing w:line="460" w:lineRule="exact"/>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19.2磋商保证金由磋商供应商通过银行转账、电汇、保函等非现金形式缴纳。</w:t>
      </w:r>
    </w:p>
    <w:p w14:paraId="5568F4B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19.3未交纳、未足额交纳或未按规定时间交纳保证金的，将被视为自动放弃磋商权利。</w:t>
      </w:r>
    </w:p>
    <w:p w14:paraId="568AEC1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19.4提交保证金后，各磋商供应商须将其交纳保证金凭证复印件加盖供应商红章附在磋商响应文件中，否则视为无效响应文件。</w:t>
      </w:r>
    </w:p>
    <w:p w14:paraId="168448F0">
      <w:pPr>
        <w:spacing w:line="46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19.5磋商保证金退还:</w:t>
      </w:r>
    </w:p>
    <w:p w14:paraId="41C6C38A">
      <w:pPr>
        <w:spacing w:line="460" w:lineRule="exact"/>
        <w:ind w:firstLine="241" w:firstLineChars="100"/>
        <w:rPr>
          <w:rFonts w:hint="eastAsia" w:ascii="宋体" w:hAnsi="宋体" w:eastAsia="宋体" w:cs="宋体"/>
          <w:b/>
          <w:color w:val="auto"/>
          <w:highlight w:val="none"/>
        </w:rPr>
      </w:pPr>
      <w:r>
        <w:rPr>
          <w:rFonts w:hint="eastAsia" w:ascii="宋体" w:hAnsi="宋体" w:eastAsia="宋体" w:cs="宋体"/>
          <w:b/>
          <w:color w:val="auto"/>
          <w:highlight w:val="none"/>
        </w:rPr>
        <w:t xml:space="preserve">A. 未成交供应商：成交通知书发放后5个工作日内退还； </w:t>
      </w:r>
    </w:p>
    <w:p w14:paraId="118F9189">
      <w:pPr>
        <w:spacing w:line="460" w:lineRule="exact"/>
        <w:ind w:firstLine="241" w:firstLineChars="100"/>
        <w:rPr>
          <w:rFonts w:hint="eastAsia" w:ascii="宋体" w:hAnsi="宋体" w:eastAsia="宋体" w:cs="宋体"/>
          <w:b/>
          <w:color w:val="auto"/>
          <w:highlight w:val="none"/>
        </w:rPr>
      </w:pPr>
      <w:r>
        <w:rPr>
          <w:rFonts w:hint="eastAsia" w:ascii="宋体" w:hAnsi="宋体" w:eastAsia="宋体" w:cs="宋体"/>
          <w:b/>
          <w:color w:val="auto"/>
          <w:highlight w:val="none"/>
        </w:rPr>
        <w:t>B. 成交供应商：成交供应商与采购单位签订合同并缴纳足额成交服务费后退还；（退还时，须向代理机构提供开户许可证复印件及合同原件壹份并加盖供应商公章）；</w:t>
      </w:r>
    </w:p>
    <w:p w14:paraId="74CB43E3">
      <w:pPr>
        <w:spacing w:line="460" w:lineRule="exact"/>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以上供应商自身原因导致无法退还的除外。</w:t>
      </w:r>
    </w:p>
    <w:p w14:paraId="60C6C44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19.6 供应商以担保机构保函形式交纳磋商保证金的，磋商结束之后供应商用收据原件在代理机构财务室换取担保机构保函原件（退还保证金参照19.5条款）</w:t>
      </w:r>
    </w:p>
    <w:p w14:paraId="1F065C0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19.7发生下列情况之一，磋商保证金将不予退还：</w:t>
      </w:r>
    </w:p>
    <w:p w14:paraId="37BC59E8">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19.7.1供应商在递交磋商响应文件截止时间后，撤回磋商响应文件的或者擅自退出磋商活动的。</w:t>
      </w:r>
    </w:p>
    <w:p w14:paraId="0DFE8C3B">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19.7.2供应商成交后放弃成交或未能按规定签订合同、无正当理由不与采购人签订合同的或未能按规定交纳招标代理服务费或由于供应商的原因导致成交无效的。</w:t>
      </w:r>
    </w:p>
    <w:p w14:paraId="22A2B216">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19.7.3将成交项目转让给他人，或者在磋商响应文件中未说明，且未经采购人和招标代理机构同意，将成交项目分包给他人的。</w:t>
      </w:r>
    </w:p>
    <w:p w14:paraId="4B09C9E4">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19.7.4供应商在磋商响应文件中提供伪造、套改、虚假资料参与磋商的。</w:t>
      </w:r>
    </w:p>
    <w:p w14:paraId="35C927E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19.7.5供应商不按法定程序进行质疑和投诉,捏造事实，查无实据，造成恶劣影响，导致采购活动无法正常进行的;</w:t>
      </w:r>
    </w:p>
    <w:p w14:paraId="7111E1F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19.7.6供应商在磋商响应文件中提供虚假材料的；</w:t>
      </w:r>
    </w:p>
    <w:p w14:paraId="3FBF1F14">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19.7.7磋商文件规定的其他情形。</w:t>
      </w:r>
    </w:p>
    <w:p w14:paraId="3744C0B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19.8联合磋商的，可以由联合体中的主体提交磋商保证金，以一方名义提交磋商保证金，对联合体各方均具有约束力；</w:t>
      </w:r>
    </w:p>
    <w:p w14:paraId="332D1D2D">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20.磋商响应文件的有效期</w:t>
      </w:r>
    </w:p>
    <w:p w14:paraId="2AF5AF0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24CB459">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21、磋商响应文件的签署及规定</w:t>
      </w:r>
    </w:p>
    <w:p w14:paraId="749B652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21.1磋商供应商须依据磋商文件内容和磋商响应文件格式的要求编制磋商响应文件；</w:t>
      </w:r>
    </w:p>
    <w:p w14:paraId="7EA68A6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21.2磋商响应文件的正本和所有的副本均需打印或用不褪色的蓝（黑）墨水填写，注明“正本”“副本”字样。统一胶装、编码，在每一页的正下方清楚标明页码等字样；</w:t>
      </w:r>
    </w:p>
    <w:p w14:paraId="0FFA9464">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23E59E9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21.4磋商供应商在磋商响应文件中指定的页面落款处，必须按磋商文件要求加盖印章或签字；</w:t>
      </w:r>
    </w:p>
    <w:p w14:paraId="0948787F">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21.5磋商供应商名称应填写全称，同时加盖公章；</w:t>
      </w:r>
    </w:p>
    <w:p w14:paraId="3CBC032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21.6磋商响应文件的任何行间插字、涂改和增删，必须由法定代表人或被授权人在改动处旁签字方为有效；</w:t>
      </w:r>
    </w:p>
    <w:p w14:paraId="0BA13B5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21.7磋商响应文件因字迹潦草或表达不清所引起的后果由磋商供应商负责。</w:t>
      </w:r>
    </w:p>
    <w:p w14:paraId="326EED2E">
      <w:pPr>
        <w:pStyle w:val="2"/>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21.8</w:t>
      </w:r>
      <w:r>
        <w:rPr>
          <w:rFonts w:hint="eastAsia" w:ascii="宋体" w:hAnsi="宋体" w:eastAsia="宋体" w:cs="宋体"/>
          <w:b/>
          <w:bCs/>
          <w:color w:val="auto"/>
          <w:highlight w:val="none"/>
        </w:rPr>
        <w:t>为响应国家环保号召，磋商响应文件建议采用双面打印。</w:t>
      </w:r>
    </w:p>
    <w:p w14:paraId="6C5A4CD9">
      <w:pPr>
        <w:spacing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22.文字要求</w:t>
      </w:r>
    </w:p>
    <w:p w14:paraId="6CF37CB9">
      <w:pPr>
        <w:spacing w:line="46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本次磋商只接受简体中文文字的磋商响应文件。</w:t>
      </w:r>
    </w:p>
    <w:p w14:paraId="09A023D3">
      <w:pPr>
        <w:pStyle w:val="4"/>
        <w:rPr>
          <w:rFonts w:hint="eastAsia" w:ascii="宋体" w:hAnsi="宋体" w:eastAsia="宋体" w:cs="宋体"/>
          <w:color w:val="auto"/>
          <w:sz w:val="32"/>
          <w:szCs w:val="36"/>
          <w:highlight w:val="none"/>
        </w:rPr>
      </w:pPr>
      <w:bookmarkStart w:id="39" w:name="_Toc16723"/>
      <w:bookmarkStart w:id="40" w:name="_Toc7094"/>
      <w:bookmarkStart w:id="41" w:name="_Toc31661"/>
      <w:r>
        <w:rPr>
          <w:rFonts w:hint="eastAsia" w:ascii="宋体" w:hAnsi="宋体" w:eastAsia="宋体" w:cs="宋体"/>
          <w:color w:val="auto"/>
          <w:sz w:val="32"/>
          <w:szCs w:val="36"/>
          <w:highlight w:val="none"/>
        </w:rPr>
        <w:t>五、磋商响应文件封装、递交</w:t>
      </w:r>
      <w:bookmarkEnd w:id="37"/>
      <w:bookmarkEnd w:id="38"/>
      <w:bookmarkEnd w:id="39"/>
      <w:bookmarkEnd w:id="40"/>
      <w:bookmarkEnd w:id="41"/>
    </w:p>
    <w:p w14:paraId="50CA055C">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23.磋商响应文件的封装及标记</w:t>
      </w:r>
    </w:p>
    <w:p w14:paraId="60A33045">
      <w:pPr>
        <w:spacing w:line="46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23.1</w:t>
      </w:r>
      <w:r>
        <w:rPr>
          <w:rFonts w:hint="eastAsia" w:ascii="宋体" w:hAnsi="宋体" w:eastAsia="宋体" w:cs="宋体"/>
          <w:color w:val="auto"/>
          <w:highlight w:val="none"/>
          <w:lang w:val="zh-CN"/>
        </w:rPr>
        <w:t>供应商按要求</w:t>
      </w:r>
      <w:r>
        <w:rPr>
          <w:rFonts w:hint="eastAsia" w:ascii="宋体" w:hAnsi="宋体" w:eastAsia="宋体" w:cs="宋体"/>
          <w:color w:val="auto"/>
          <w:highlight w:val="none"/>
          <w:lang w:val="en-US" w:eastAsia="zh-CN"/>
        </w:rPr>
        <w:t>准备</w:t>
      </w:r>
      <w:r>
        <w:rPr>
          <w:rFonts w:hint="eastAsia" w:ascii="宋体" w:hAnsi="宋体" w:eastAsia="宋体" w:cs="宋体"/>
          <w:color w:val="auto"/>
          <w:highlight w:val="none"/>
          <w:lang w:val="zh-CN"/>
        </w:rPr>
        <w:t>纸质版响应文件正本</w:t>
      </w:r>
      <w:r>
        <w:rPr>
          <w:rFonts w:hint="eastAsia" w:ascii="宋体" w:hAnsi="宋体" w:eastAsia="宋体" w:cs="宋体"/>
          <w:color w:val="auto"/>
          <w:highlight w:val="none"/>
        </w:rPr>
        <w:t>1</w:t>
      </w:r>
      <w:r>
        <w:rPr>
          <w:rFonts w:hint="eastAsia" w:ascii="宋体" w:hAnsi="宋体" w:eastAsia="宋体" w:cs="宋体"/>
          <w:color w:val="auto"/>
          <w:highlight w:val="none"/>
          <w:lang w:val="zh-CN"/>
        </w:rPr>
        <w:t>份、副本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份，电子版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w:t>
      </w:r>
      <w:r>
        <w:rPr>
          <w:rFonts w:hint="eastAsia" w:ascii="宋体" w:hAnsi="宋体" w:eastAsia="宋体" w:cs="宋体"/>
          <w:color w:val="auto"/>
          <w:highlight w:val="none"/>
          <w:lang w:val="en-US" w:eastAsia="zh-CN"/>
        </w:rPr>
        <w:t>U盘</w:t>
      </w: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若分包，应按包号编制响应文件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p>
    <w:p w14:paraId="5995202F">
      <w:pPr>
        <w:spacing w:line="46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23.2</w:t>
      </w:r>
      <w:r>
        <w:rPr>
          <w:rFonts w:hint="eastAsia" w:ascii="宋体" w:hAnsi="宋体" w:eastAsia="宋体" w:cs="宋体"/>
          <w:color w:val="auto"/>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56C93EC2">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23.3</w:t>
      </w:r>
      <w:r>
        <w:rPr>
          <w:rFonts w:hint="eastAsia" w:ascii="宋体" w:hAnsi="宋体" w:eastAsia="宋体" w:cs="宋体"/>
          <w:color w:val="auto"/>
          <w:highlight w:val="none"/>
        </w:rPr>
        <w:t>响应文件必须按照磋商文件第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部分“</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格式”中的要求</w:t>
      </w:r>
      <w:r>
        <w:rPr>
          <w:rFonts w:hint="eastAsia" w:ascii="宋体" w:hAnsi="宋体" w:eastAsia="宋体" w:cs="宋体"/>
          <w:color w:val="auto"/>
          <w:highlight w:val="none"/>
          <w:lang w:eastAsia="zh-CN"/>
        </w:rPr>
        <w:t>编制，</w:t>
      </w:r>
      <w:r>
        <w:rPr>
          <w:rFonts w:hint="eastAsia" w:ascii="宋体" w:hAnsi="宋体" w:eastAsia="宋体" w:cs="宋体"/>
          <w:color w:val="auto"/>
          <w:highlight w:val="none"/>
          <w:lang w:val="zh-CN"/>
        </w:rPr>
        <w:t>响应文件应除封面外应逐页编码，为节约纸张建议采用A4纸张双面打印，牢固胶状成册，</w:t>
      </w:r>
      <w:r>
        <w:rPr>
          <w:rFonts w:hint="eastAsia" w:ascii="宋体" w:hAnsi="宋体" w:eastAsia="宋体" w:cs="宋体"/>
          <w:color w:val="auto"/>
          <w:highlight w:val="none"/>
          <w:lang w:eastAsia="zh-CN"/>
        </w:rPr>
        <w:t>并按格式要求</w:t>
      </w:r>
      <w:r>
        <w:rPr>
          <w:rFonts w:hint="eastAsia" w:ascii="宋体" w:hAnsi="宋体" w:eastAsia="宋体" w:cs="宋体"/>
          <w:color w:val="auto"/>
          <w:highlight w:val="none"/>
        </w:rPr>
        <w:t>签署盖章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文件中供应商名称盖章处必须加盖供应商公章，</w:t>
      </w:r>
      <w:r>
        <w:rPr>
          <w:rFonts w:hint="eastAsia" w:ascii="宋体" w:hAnsi="宋体" w:eastAsia="宋体" w:cs="宋体"/>
          <w:color w:val="auto"/>
          <w:highlight w:val="none"/>
        </w:rPr>
        <w:t>磋商文件中凡是需要法定代表人签字或盖章之处非法人单位的负责人均参照执行。</w:t>
      </w:r>
    </w:p>
    <w:p w14:paraId="0817B4C8">
      <w:pPr>
        <w:spacing w:line="46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23.4</w:t>
      </w:r>
      <w:r>
        <w:rPr>
          <w:rFonts w:hint="eastAsia" w:ascii="宋体" w:hAnsi="宋体" w:eastAsia="宋体" w:cs="宋体"/>
          <w:color w:val="auto"/>
          <w:highlight w:val="none"/>
          <w:lang w:val="zh-CN"/>
        </w:rPr>
        <w:t>除供应商对错处做必要修改外，</w:t>
      </w:r>
      <w:r>
        <w:rPr>
          <w:rFonts w:hint="eastAsia" w:ascii="宋体" w:hAnsi="宋体" w:eastAsia="宋体" w:cs="宋体"/>
          <w:color w:val="auto"/>
          <w:highlight w:val="none"/>
          <w:lang w:val="en-US" w:eastAsia="zh-CN"/>
        </w:rPr>
        <w:t>响应文件</w:t>
      </w:r>
      <w:r>
        <w:rPr>
          <w:rFonts w:hint="eastAsia" w:ascii="宋体" w:hAnsi="宋体" w:eastAsia="宋体" w:cs="宋体"/>
          <w:color w:val="auto"/>
          <w:highlight w:val="none"/>
          <w:lang w:val="zh-CN"/>
        </w:rPr>
        <w:t>不得行间插字、涂改和增删，如有修改错漏处，必须由供应商法定代表人或其授权代表签字或盖章。</w:t>
      </w:r>
    </w:p>
    <w:p w14:paraId="2987639C">
      <w:pPr>
        <w:spacing w:line="46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23.5</w:t>
      </w:r>
      <w:r>
        <w:rPr>
          <w:rFonts w:hint="eastAsia" w:ascii="宋体" w:hAnsi="宋体" w:eastAsia="宋体" w:cs="宋体"/>
          <w:b/>
          <w:bCs/>
          <w:color w:val="auto"/>
          <w:highlight w:val="none"/>
        </w:rPr>
        <w:t>电子版</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内容与纸质版正本</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的内容保持一致，具有同等法律效力，须将</w:t>
      </w:r>
      <w:r>
        <w:rPr>
          <w:rFonts w:hint="eastAsia" w:ascii="宋体" w:hAnsi="宋体" w:eastAsia="宋体" w:cs="宋体"/>
          <w:b/>
          <w:bCs/>
          <w:color w:val="auto"/>
          <w:highlight w:val="none"/>
          <w:lang w:val="zh-CN"/>
        </w:rPr>
        <w:t>签字、盖章</w:t>
      </w:r>
      <w:r>
        <w:rPr>
          <w:rFonts w:hint="eastAsia" w:ascii="宋体" w:hAnsi="宋体" w:eastAsia="宋体" w:cs="宋体"/>
          <w:b/>
          <w:bCs/>
          <w:color w:val="auto"/>
          <w:highlight w:val="none"/>
        </w:rPr>
        <w:t>后</w:t>
      </w:r>
      <w:r>
        <w:rPr>
          <w:rFonts w:hint="eastAsia" w:ascii="宋体" w:hAnsi="宋体" w:eastAsia="宋体" w:cs="宋体"/>
          <w:b/>
          <w:bCs/>
          <w:color w:val="auto"/>
          <w:highlight w:val="none"/>
          <w:lang w:val="zh-CN"/>
        </w:rPr>
        <w:t>的</w:t>
      </w:r>
      <w:r>
        <w:rPr>
          <w:rFonts w:hint="eastAsia" w:ascii="宋体" w:hAnsi="宋体" w:eastAsia="宋体" w:cs="宋体"/>
          <w:b/>
          <w:bCs/>
          <w:color w:val="auto"/>
          <w:highlight w:val="none"/>
        </w:rPr>
        <w:t>纸质版</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lang w:val="zh-CN"/>
        </w:rPr>
        <w:t>正本扫描</w:t>
      </w:r>
      <w:r>
        <w:rPr>
          <w:rFonts w:hint="eastAsia" w:ascii="宋体" w:hAnsi="宋体" w:eastAsia="宋体" w:cs="宋体"/>
          <w:b/>
          <w:bCs/>
          <w:color w:val="auto"/>
          <w:highlight w:val="none"/>
        </w:rPr>
        <w:t>后生成的</w:t>
      </w:r>
      <w:r>
        <w:rPr>
          <w:rFonts w:hint="eastAsia" w:ascii="宋体" w:hAnsi="宋体" w:eastAsia="宋体" w:cs="宋体"/>
          <w:b/>
          <w:bCs/>
          <w:color w:val="auto"/>
          <w:highlight w:val="none"/>
          <w:lang w:val="zh-CN"/>
        </w:rPr>
        <w:t>PDF文件</w:t>
      </w:r>
      <w:r>
        <w:rPr>
          <w:rFonts w:hint="eastAsia" w:ascii="宋体" w:hAnsi="宋体" w:eastAsia="宋体" w:cs="宋体"/>
          <w:b/>
          <w:bCs/>
          <w:color w:val="auto"/>
          <w:highlight w:val="none"/>
        </w:rPr>
        <w:t>刻录入U盘存储。注：为便于扫描，可在正本未装订、无骑缝章时扫描；</w:t>
      </w:r>
      <w:r>
        <w:rPr>
          <w:rFonts w:hint="eastAsia" w:ascii="宋体" w:hAnsi="宋体" w:eastAsia="宋体" w:cs="宋体"/>
          <w:b/>
          <w:bCs/>
          <w:color w:val="auto"/>
          <w:highlight w:val="none"/>
          <w:lang w:val="en-US" w:eastAsia="zh-CN"/>
        </w:rPr>
        <w:t>递交</w:t>
      </w:r>
      <w:r>
        <w:rPr>
          <w:rFonts w:hint="eastAsia" w:ascii="宋体" w:hAnsi="宋体" w:eastAsia="宋体" w:cs="宋体"/>
          <w:b/>
          <w:bCs/>
          <w:color w:val="auto"/>
          <w:highlight w:val="none"/>
        </w:rPr>
        <w:t>的U盘应仅存储该文件；U盘作为投标资料介质不予退还。</w:t>
      </w:r>
    </w:p>
    <w:p w14:paraId="6E27102C">
      <w:pPr>
        <w:spacing w:line="460" w:lineRule="exact"/>
        <w:ind w:firstLine="120" w:firstLineChars="50"/>
        <w:rPr>
          <w:rFonts w:hint="eastAsia" w:ascii="宋体" w:hAnsi="宋体" w:eastAsia="宋体" w:cs="宋体"/>
          <w:color w:val="auto"/>
          <w:highlight w:val="none"/>
        </w:rPr>
      </w:pPr>
      <w:r>
        <w:rPr>
          <w:rFonts w:hint="eastAsia" w:ascii="宋体" w:hAnsi="宋体" w:eastAsia="宋体" w:cs="宋体"/>
          <w:b/>
          <w:color w:val="auto"/>
          <w:highlight w:val="none"/>
        </w:rPr>
        <w:t>24.磋商响应文件递交</w:t>
      </w:r>
    </w:p>
    <w:p w14:paraId="48188EBB">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24.1</w:t>
      </w:r>
      <w:r>
        <w:rPr>
          <w:rFonts w:hint="eastAsia" w:ascii="宋体" w:hAnsi="宋体" w:eastAsia="宋体" w:cs="宋体"/>
          <w:color w:val="auto"/>
          <w:highlight w:val="none"/>
          <w:lang w:val="zh-CN" w:eastAsia="zh-CN"/>
        </w:rPr>
        <w:t>供应商应在</w:t>
      </w:r>
      <w:r>
        <w:rPr>
          <w:rFonts w:hint="eastAsia" w:ascii="宋体" w:hAnsi="宋体" w:eastAsia="宋体" w:cs="宋体"/>
          <w:color w:val="auto"/>
          <w:highlight w:val="none"/>
          <w:lang w:val="en-US" w:eastAsia="zh-CN"/>
        </w:rPr>
        <w:t>开标当日并于递</w:t>
      </w:r>
      <w:r>
        <w:rPr>
          <w:rFonts w:hint="eastAsia" w:ascii="宋体" w:hAnsi="宋体" w:eastAsia="宋体" w:cs="宋体"/>
          <w:color w:val="auto"/>
          <w:highlight w:val="none"/>
          <w:lang w:val="zh-CN" w:eastAsia="zh-CN"/>
        </w:rPr>
        <w:t>交响应文件的截止时间前</w:t>
      </w:r>
      <w:r>
        <w:rPr>
          <w:rFonts w:hint="eastAsia" w:ascii="宋体" w:hAnsi="宋体" w:eastAsia="宋体" w:cs="宋体"/>
          <w:color w:val="auto"/>
          <w:highlight w:val="none"/>
          <w:lang w:val="en-US" w:eastAsia="zh-CN"/>
        </w:rPr>
        <w:t>将响应文件</w:t>
      </w:r>
      <w:r>
        <w:rPr>
          <w:rFonts w:hint="eastAsia" w:ascii="宋体" w:hAnsi="宋体" w:eastAsia="宋体" w:cs="宋体"/>
          <w:color w:val="auto"/>
          <w:highlight w:val="none"/>
          <w:lang w:val="zh-CN" w:eastAsia="zh-CN"/>
        </w:rPr>
        <w:t>密封送达至响应文件</w:t>
      </w:r>
      <w:r>
        <w:rPr>
          <w:rFonts w:hint="eastAsia" w:ascii="宋体" w:hAnsi="宋体" w:eastAsia="宋体" w:cs="宋体"/>
          <w:color w:val="auto"/>
          <w:highlight w:val="none"/>
          <w:lang w:val="en-US" w:eastAsia="zh-CN"/>
        </w:rPr>
        <w:t>递交</w:t>
      </w:r>
      <w:r>
        <w:rPr>
          <w:rFonts w:hint="eastAsia" w:ascii="宋体" w:hAnsi="宋体" w:eastAsia="宋体" w:cs="宋体"/>
          <w:color w:val="auto"/>
          <w:highlight w:val="none"/>
          <w:lang w:val="zh-CN" w:eastAsia="zh-CN"/>
        </w:rPr>
        <w:t>地点。</w:t>
      </w:r>
    </w:p>
    <w:p w14:paraId="1BA79E03">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24.2</w:t>
      </w:r>
      <w:r>
        <w:rPr>
          <w:rFonts w:hint="eastAsia" w:ascii="宋体" w:hAnsi="宋体" w:eastAsia="宋体" w:cs="宋体"/>
          <w:color w:val="auto"/>
          <w:highlight w:val="none"/>
          <w:lang w:val="zh-CN" w:eastAsia="zh-CN"/>
        </w:rPr>
        <w:t>采购代理机构在磋商文件规定的响应文件递交截止时间前，只负责响应文件的接收、登记和组织工作，对其响应文件的有效性不负任何责任。</w:t>
      </w:r>
    </w:p>
    <w:p w14:paraId="46E8478D">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24.3</w:t>
      </w:r>
      <w:r>
        <w:rPr>
          <w:rFonts w:hint="eastAsia" w:ascii="宋体" w:hAnsi="宋体" w:eastAsia="宋体" w:cs="宋体"/>
          <w:color w:val="auto"/>
          <w:highlight w:val="none"/>
          <w:lang w:val="zh-CN" w:eastAsia="zh-CN"/>
        </w:rPr>
        <w:t>响应文件递</w:t>
      </w:r>
      <w:r>
        <w:rPr>
          <w:rFonts w:hint="eastAsia" w:ascii="宋体" w:hAnsi="宋体" w:eastAsia="宋体" w:cs="宋体"/>
          <w:color w:val="auto"/>
          <w:highlight w:val="none"/>
          <w:lang w:val="en-US" w:eastAsia="zh-CN"/>
        </w:rPr>
        <w:t>交</w:t>
      </w:r>
      <w:r>
        <w:rPr>
          <w:rFonts w:hint="eastAsia" w:ascii="宋体" w:hAnsi="宋体" w:eastAsia="宋体" w:cs="宋体"/>
          <w:color w:val="auto"/>
          <w:highlight w:val="none"/>
          <w:lang w:val="zh-CN" w:eastAsia="zh-CN"/>
        </w:rPr>
        <w:t>后，在</w:t>
      </w:r>
      <w:r>
        <w:rPr>
          <w:rFonts w:hint="eastAsia" w:ascii="宋体" w:hAnsi="宋体" w:eastAsia="宋体" w:cs="宋体"/>
          <w:color w:val="auto"/>
          <w:highlight w:val="none"/>
          <w:lang w:val="en-US" w:eastAsia="zh-CN"/>
        </w:rPr>
        <w:t>响应文件递交</w:t>
      </w:r>
      <w:r>
        <w:rPr>
          <w:rFonts w:hint="eastAsia" w:ascii="宋体" w:hAnsi="宋体" w:eastAsia="宋体" w:cs="宋体"/>
          <w:color w:val="auto"/>
          <w:highlight w:val="none"/>
          <w:lang w:val="zh-CN" w:eastAsia="zh-CN"/>
        </w:rPr>
        <w:t>截止</w:t>
      </w:r>
      <w:r>
        <w:rPr>
          <w:rFonts w:hint="eastAsia" w:ascii="宋体" w:hAnsi="宋体" w:eastAsia="宋体" w:cs="宋体"/>
          <w:color w:val="auto"/>
          <w:highlight w:val="none"/>
          <w:lang w:val="en-US" w:eastAsia="zh-CN"/>
        </w:rPr>
        <w:t>时间</w:t>
      </w:r>
      <w:r>
        <w:rPr>
          <w:rFonts w:hint="eastAsia" w:ascii="宋体" w:hAnsi="宋体" w:eastAsia="宋体" w:cs="宋体"/>
          <w:color w:val="auto"/>
          <w:highlight w:val="none"/>
          <w:lang w:val="zh-CN" w:eastAsia="zh-CN"/>
        </w:rPr>
        <w:t>前，</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eastAsia="zh-CN"/>
        </w:rPr>
        <w:t>可以补充、修改或撤回其响应文件，并书面通知采购代理机构。补充、修改的内容应按磋商文件的要求签署、盖章，密封后，作为响应文件的组成部分。</w:t>
      </w:r>
    </w:p>
    <w:p w14:paraId="2AEBB4A3">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24.4响应文件递交</w:t>
      </w:r>
      <w:r>
        <w:rPr>
          <w:rFonts w:hint="eastAsia" w:ascii="宋体" w:hAnsi="宋体" w:eastAsia="宋体" w:cs="宋体"/>
          <w:color w:val="auto"/>
          <w:highlight w:val="none"/>
          <w:lang w:val="zh-CN" w:eastAsia="zh-CN"/>
        </w:rPr>
        <w:t>截止时间后，</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eastAsia="zh-CN"/>
        </w:rPr>
        <w:t>不得对其响应文件做任何修改。</w:t>
      </w:r>
    </w:p>
    <w:p w14:paraId="5E3770A5">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00D95C6E">
      <w:pPr>
        <w:spacing w:line="460" w:lineRule="exact"/>
        <w:ind w:firstLine="120" w:firstLineChars="50"/>
        <w:rPr>
          <w:rFonts w:hint="eastAsia" w:ascii="宋体" w:hAnsi="宋体" w:eastAsia="宋体" w:cs="宋体"/>
          <w:b/>
          <w:color w:val="auto"/>
          <w:highlight w:val="none"/>
          <w:lang w:val="zh-CN"/>
        </w:rPr>
      </w:pPr>
      <w:r>
        <w:rPr>
          <w:rFonts w:hint="eastAsia" w:ascii="宋体" w:hAnsi="宋体" w:eastAsia="宋体" w:cs="宋体"/>
          <w:b/>
          <w:color w:val="auto"/>
          <w:highlight w:val="none"/>
        </w:rPr>
        <w:t>25.磋商响应文件递交时间截止</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zh-CN"/>
        </w:rPr>
        <w:t>出现下列情况之一的，其响应文件将被拒绝接收：</w:t>
      </w:r>
    </w:p>
    <w:p w14:paraId="62F3CAA5">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25.1</w:t>
      </w:r>
      <w:r>
        <w:rPr>
          <w:rFonts w:hint="eastAsia" w:ascii="宋体" w:hAnsi="宋体" w:eastAsia="宋体" w:cs="宋体"/>
          <w:color w:val="auto"/>
          <w:highlight w:val="none"/>
          <w:lang w:val="zh-CN" w:eastAsia="zh-CN"/>
        </w:rPr>
        <w:t>逾期送达的；</w:t>
      </w:r>
    </w:p>
    <w:p w14:paraId="61F21B3F">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lang w:val="zh-CN" w:eastAsia="zh-CN"/>
        </w:rPr>
        <w:t>未按照磋商文件要求密封或加写标记的；</w:t>
      </w:r>
    </w:p>
    <w:p w14:paraId="2435CE0D">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lang w:val="zh-CN" w:eastAsia="zh-CN"/>
        </w:rPr>
        <w:t>递交的响应文件与本项目不相符的；</w:t>
      </w:r>
    </w:p>
    <w:p w14:paraId="6AAAD2A6">
      <w:pPr>
        <w:spacing w:line="460" w:lineRule="exact"/>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25.4</w:t>
      </w:r>
      <w:r>
        <w:rPr>
          <w:rFonts w:hint="eastAsia" w:ascii="宋体" w:hAnsi="宋体" w:eastAsia="宋体" w:cs="宋体"/>
          <w:color w:val="auto"/>
          <w:highlight w:val="none"/>
          <w:lang w:val="zh-CN" w:eastAsia="zh-CN"/>
        </w:rPr>
        <w:t>供应商名称与获取磋商文件时填写的报名登记表中名称不相符的。</w:t>
      </w:r>
    </w:p>
    <w:p w14:paraId="624BE55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.5无论磋商供应商成交与否或者废标，其磋商响应文件恕不退还。</w:t>
      </w:r>
    </w:p>
    <w:p w14:paraId="4528BA05">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26.磋商响应文件的修改和撤回</w:t>
      </w:r>
    </w:p>
    <w:p w14:paraId="1C3373F7">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26.1磋商响应文件递交后，如果磋商供应商提出书面修改和撤回磋商响应文件要求，在磋商截止时间前以书面形式送达采购代理机构；</w:t>
      </w:r>
    </w:p>
    <w:p w14:paraId="53D4FF28">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26.2磋商供应商修改磋商响应文件的书面材料，须密封送达采购代理机构，修改或补充的内容应按磋商文件要求签署、盖章、密封、标记，并作为磋商响应文件的组成部分；</w:t>
      </w:r>
    </w:p>
    <w:p w14:paraId="3A0F573E">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0E1417F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26.4在磋商截止时间后到磋商文件规定的磋商有效期满之间的这段时间内，磋商供应商不得撤回其磋商响应文件；</w:t>
      </w:r>
    </w:p>
    <w:p w14:paraId="4B2B2FC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26.5磋商供应商在磋商响应文件递交截止时间后，不得对其磋商响应文件做任何修改。</w:t>
      </w:r>
    </w:p>
    <w:p w14:paraId="6F202981">
      <w:pPr>
        <w:pStyle w:val="4"/>
        <w:rPr>
          <w:rFonts w:hint="eastAsia" w:ascii="宋体" w:hAnsi="宋体" w:eastAsia="宋体" w:cs="宋体"/>
          <w:color w:val="auto"/>
          <w:sz w:val="32"/>
          <w:szCs w:val="36"/>
          <w:highlight w:val="none"/>
        </w:rPr>
      </w:pPr>
      <w:bookmarkStart w:id="42" w:name="_Toc519156742"/>
      <w:bookmarkStart w:id="43" w:name="_Toc32447"/>
      <w:bookmarkStart w:id="44" w:name="_Toc29321"/>
      <w:bookmarkStart w:id="45" w:name="_Toc1285"/>
      <w:bookmarkStart w:id="46" w:name="_Toc24915"/>
      <w:bookmarkStart w:id="47" w:name="_Toc4585"/>
      <w:r>
        <w:rPr>
          <w:rFonts w:hint="eastAsia" w:ascii="宋体" w:hAnsi="宋体" w:eastAsia="宋体" w:cs="宋体"/>
          <w:color w:val="auto"/>
          <w:sz w:val="32"/>
          <w:szCs w:val="36"/>
          <w:highlight w:val="none"/>
        </w:rPr>
        <w:t>六、磋商</w:t>
      </w:r>
      <w:bookmarkEnd w:id="42"/>
      <w:bookmarkEnd w:id="43"/>
      <w:bookmarkEnd w:id="44"/>
      <w:r>
        <w:rPr>
          <w:rFonts w:hint="eastAsia" w:ascii="宋体" w:hAnsi="宋体" w:eastAsia="宋体" w:cs="宋体"/>
          <w:color w:val="auto"/>
          <w:sz w:val="32"/>
          <w:szCs w:val="36"/>
          <w:highlight w:val="none"/>
        </w:rPr>
        <w:t>与评审</w:t>
      </w:r>
      <w:bookmarkEnd w:id="45"/>
      <w:bookmarkEnd w:id="46"/>
      <w:bookmarkEnd w:id="47"/>
    </w:p>
    <w:p w14:paraId="2226435E">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27.磋商</w:t>
      </w:r>
    </w:p>
    <w:p w14:paraId="5E8FAA9D">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27.1</w:t>
      </w:r>
      <w:r>
        <w:rPr>
          <w:rFonts w:hint="eastAsia" w:ascii="宋体" w:hAnsi="宋体" w:eastAsia="宋体" w:cs="宋体"/>
          <w:color w:val="auto"/>
          <w:highlight w:val="none"/>
        </w:rPr>
        <w:t>采购代理机构按磋商文件规定的时间、地点组织磋商会议。</w:t>
      </w:r>
    </w:p>
    <w:p w14:paraId="61A7B34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27.2</w:t>
      </w:r>
      <w:r>
        <w:rPr>
          <w:rFonts w:hint="eastAsia" w:ascii="宋体" w:hAnsi="宋体" w:eastAsia="宋体" w:cs="宋体"/>
          <w:color w:val="auto"/>
          <w:highlight w:val="none"/>
        </w:rPr>
        <w:t>磋商大会由采购代理机构主持，采购人参会人员、供应商代表及有关工作人员参加，参加磋商的人员应签名报到，以证明其出席。</w:t>
      </w:r>
    </w:p>
    <w:p w14:paraId="36B821F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27.3</w:t>
      </w:r>
      <w:r>
        <w:rPr>
          <w:rFonts w:hint="eastAsia" w:ascii="宋体" w:hAnsi="宋体" w:eastAsia="宋体" w:cs="宋体"/>
          <w:color w:val="auto"/>
          <w:highlight w:val="none"/>
        </w:rPr>
        <w:t>由供应商或者其推选的代表检查响应文件的密封情况。</w:t>
      </w:r>
    </w:p>
    <w:p w14:paraId="3A1A8C9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27.4</w:t>
      </w:r>
      <w:r>
        <w:rPr>
          <w:rFonts w:hint="eastAsia" w:ascii="宋体" w:hAnsi="宋体" w:eastAsia="宋体" w:cs="宋体"/>
          <w:color w:val="auto"/>
          <w:highlight w:val="none"/>
        </w:rPr>
        <w:t>查验响应文件密封情况，确认无误后拆封，由采购代理机构工作人员负责将供应商的名称、磋商价格和磋商文件中规定的其他内容进行记录，签字确认后并存档备案。</w:t>
      </w:r>
    </w:p>
    <w:p w14:paraId="1037BB23">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28.</w:t>
      </w:r>
      <w:r>
        <w:rPr>
          <w:rFonts w:hint="eastAsia" w:ascii="宋体" w:hAnsi="宋体" w:eastAsia="宋体" w:cs="宋体"/>
          <w:b/>
          <w:color w:val="auto"/>
          <w:highlight w:val="none"/>
        </w:rPr>
        <w:t>磋商及评审程序</w:t>
      </w:r>
    </w:p>
    <w:p w14:paraId="58F1AE98">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28.1采购代理</w:t>
      </w:r>
      <w:r>
        <w:rPr>
          <w:rFonts w:hint="eastAsia" w:ascii="宋体" w:hAnsi="宋体" w:eastAsia="宋体" w:cs="宋体"/>
          <w:color w:val="auto"/>
          <w:highlight w:val="none"/>
        </w:rPr>
        <w:t>机构</w:t>
      </w:r>
      <w:r>
        <w:rPr>
          <w:rFonts w:hint="eastAsia" w:ascii="宋体" w:hAnsi="宋体" w:eastAsia="宋体" w:cs="宋体"/>
          <w:bCs/>
          <w:color w:val="auto"/>
          <w:highlight w:val="none"/>
        </w:rPr>
        <w:t>在规定的时间和地点组织磋商。</w:t>
      </w:r>
    </w:p>
    <w:p w14:paraId="791B26E4">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28.2本次磋商的报价次数、磋商程序和最终报价的产生原则见“磋商须知前附表”的规定。</w:t>
      </w:r>
    </w:p>
    <w:p w14:paraId="2421CDFE">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42A1ED22">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28.4磋商小组所有成员集中与单一供应商分别进行磋商，并给予所有参加磋商的供应商平等的磋商机会。</w:t>
      </w:r>
    </w:p>
    <w:p w14:paraId="72DE31A7">
      <w:pPr>
        <w:spacing w:line="460" w:lineRule="exact"/>
        <w:ind w:firstLine="480" w:firstLineChars="200"/>
        <w:rPr>
          <w:rFonts w:hint="eastAsia" w:ascii="宋体" w:hAnsi="宋体" w:eastAsia="宋体" w:cs="宋体"/>
          <w:color w:val="auto"/>
          <w:szCs w:val="28"/>
          <w:highlight w:val="none"/>
        </w:rPr>
      </w:pPr>
      <w:r>
        <w:rPr>
          <w:rFonts w:hint="eastAsia" w:ascii="宋体" w:hAnsi="宋体" w:eastAsia="宋体" w:cs="宋体"/>
          <w:bCs/>
          <w:color w:val="auto"/>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0000756F">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28.6磋商结束后，磋商小组要求所有继续参加磋商的供应商在规定时间内提交最后报价，最后报价是供应商响应文件的有效组成部分。</w:t>
      </w:r>
    </w:p>
    <w:p w14:paraId="5B7F8F62">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28.7已提交响应文件的供应商，在提交最后报价之前，可以根据磋商情况退出磋商。</w:t>
      </w:r>
    </w:p>
    <w:p w14:paraId="1F5C0BB9">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29.评审过程的保密</w:t>
      </w:r>
    </w:p>
    <w:p w14:paraId="6EDA0C18">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29.1竞争性</w:t>
      </w:r>
      <w:r>
        <w:rPr>
          <w:rFonts w:hint="eastAsia" w:ascii="宋体" w:hAnsi="宋体" w:eastAsia="宋体" w:cs="宋体"/>
          <w:color w:val="auto"/>
          <w:highlight w:val="none"/>
        </w:rPr>
        <w:t>磋商</w:t>
      </w:r>
      <w:r>
        <w:rPr>
          <w:rFonts w:hint="eastAsia" w:ascii="宋体" w:hAnsi="宋体" w:eastAsia="宋体" w:cs="宋体"/>
          <w:bCs/>
          <w:color w:val="auto"/>
          <w:highlight w:val="none"/>
        </w:rPr>
        <w:t>小组成员和与评审活动有关的工作人员不得泄露有关磋商响应文件的评审和比较、成交候选人的推荐以及与评审有关的其他情况。</w:t>
      </w:r>
    </w:p>
    <w:p w14:paraId="65475C9E">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256CD4F8">
      <w:pPr>
        <w:spacing w:line="460" w:lineRule="exact"/>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30．评审方法</w:t>
      </w:r>
    </w:p>
    <w:p w14:paraId="06DBCA98">
      <w:pPr>
        <w:spacing w:line="460" w:lineRule="exact"/>
        <w:ind w:firstLine="480" w:firstLineChars="200"/>
        <w:rPr>
          <w:rFonts w:hint="eastAsia" w:ascii="宋体" w:hAnsi="宋体" w:eastAsia="宋体" w:cs="宋体"/>
          <w:b/>
          <w:color w:val="auto"/>
          <w:highlight w:val="none"/>
          <w:lang w:val="en-US" w:eastAsia="zh-CN"/>
        </w:rPr>
      </w:pPr>
      <w:r>
        <w:rPr>
          <w:rFonts w:hint="eastAsia" w:ascii="宋体" w:hAnsi="宋体" w:eastAsia="宋体" w:cs="宋体"/>
          <w:bCs/>
          <w:color w:val="auto"/>
          <w:highlight w:val="none"/>
        </w:rPr>
        <w:t>30.1</w:t>
      </w:r>
      <w:r>
        <w:rPr>
          <w:rFonts w:hint="eastAsia" w:ascii="宋体" w:hAnsi="宋体" w:eastAsia="宋体" w:cs="宋体"/>
          <w:bCs/>
          <w:color w:val="auto"/>
          <w:sz w:val="24"/>
          <w:highlight w:val="none"/>
        </w:rPr>
        <w:t>按照《政府采购竞争性磋商采购方式管理暂行办法》的规定，磋商小组根据综合评分情况，按照评审得分由高到低顺序推荐3名成交候选供应商。</w:t>
      </w:r>
    </w:p>
    <w:p w14:paraId="29C88056">
      <w:pPr>
        <w:pStyle w:val="4"/>
        <w:rPr>
          <w:rFonts w:hint="eastAsia" w:ascii="宋体" w:hAnsi="宋体" w:eastAsia="宋体" w:cs="宋体"/>
          <w:color w:val="auto"/>
          <w:sz w:val="32"/>
          <w:szCs w:val="36"/>
          <w:highlight w:val="none"/>
        </w:rPr>
      </w:pPr>
      <w:bookmarkStart w:id="48" w:name="_Toc21838"/>
      <w:bookmarkStart w:id="49" w:name="_Toc13700"/>
      <w:bookmarkStart w:id="50" w:name="_Toc519156743"/>
      <w:bookmarkStart w:id="51" w:name="_Toc12452"/>
      <w:bookmarkStart w:id="52" w:name="_Toc6759"/>
      <w:bookmarkStart w:id="53" w:name="_Toc16961"/>
      <w:r>
        <w:rPr>
          <w:rFonts w:hint="eastAsia" w:ascii="宋体" w:hAnsi="宋体" w:eastAsia="宋体" w:cs="宋体"/>
          <w:color w:val="auto"/>
          <w:sz w:val="32"/>
          <w:szCs w:val="36"/>
          <w:highlight w:val="none"/>
        </w:rPr>
        <w:t>七、确定成交人、成交通知与签约</w:t>
      </w:r>
      <w:bookmarkEnd w:id="48"/>
      <w:bookmarkEnd w:id="49"/>
      <w:bookmarkEnd w:id="50"/>
      <w:bookmarkEnd w:id="51"/>
      <w:bookmarkEnd w:id="52"/>
      <w:bookmarkEnd w:id="53"/>
    </w:p>
    <w:p w14:paraId="4BE49206">
      <w:pPr>
        <w:spacing w:line="460" w:lineRule="exact"/>
        <w:rPr>
          <w:rFonts w:hint="eastAsia" w:ascii="宋体" w:hAnsi="宋体" w:eastAsia="宋体" w:cs="宋体"/>
          <w:b/>
          <w:color w:val="auto"/>
          <w:highlight w:val="none"/>
        </w:rPr>
      </w:pPr>
      <w:bookmarkStart w:id="54" w:name="_Toc23113"/>
      <w:bookmarkStart w:id="55" w:name="_Toc519156744"/>
      <w:bookmarkStart w:id="56" w:name="_Toc19721"/>
      <w:r>
        <w:rPr>
          <w:rFonts w:hint="eastAsia" w:ascii="宋体" w:hAnsi="宋体" w:eastAsia="宋体" w:cs="宋体"/>
          <w:b/>
          <w:color w:val="auto"/>
          <w:highlight w:val="none"/>
        </w:rPr>
        <w:t>31．确定成交人</w:t>
      </w:r>
    </w:p>
    <w:p w14:paraId="53BE27D0">
      <w:pPr>
        <w:spacing w:line="46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31.1</w:t>
      </w:r>
      <w:r>
        <w:rPr>
          <w:rFonts w:hint="eastAsia" w:ascii="宋体" w:hAnsi="宋体" w:eastAsia="宋体" w:cs="宋体"/>
          <w:color w:val="auto"/>
          <w:highlight w:val="none"/>
          <w:lang w:val="zh-CN"/>
        </w:rPr>
        <w:t>采购代理机构应在评审结束后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个工作日内将评审报告送采购人。</w:t>
      </w:r>
    </w:p>
    <w:p w14:paraId="03FD9836">
      <w:pPr>
        <w:spacing w:line="46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31.2</w:t>
      </w:r>
      <w:r>
        <w:rPr>
          <w:rFonts w:hint="eastAsia" w:ascii="宋体" w:hAnsi="宋体" w:eastAsia="宋体" w:cs="宋体"/>
          <w:color w:val="auto"/>
          <w:highlight w:val="none"/>
          <w:lang w:val="zh-CN"/>
        </w:rPr>
        <w:t>采购人在收到评审报告后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个工作日内，</w:t>
      </w:r>
      <w:r>
        <w:rPr>
          <w:rFonts w:hint="eastAsia" w:ascii="宋体" w:hAnsi="宋体" w:eastAsia="宋体" w:cs="宋体"/>
          <w:color w:val="auto"/>
          <w:highlight w:val="none"/>
          <w:lang w:val="en-US" w:eastAsia="zh-CN"/>
        </w:rPr>
        <w:t>在</w:t>
      </w:r>
      <w:r>
        <w:rPr>
          <w:rFonts w:hint="eastAsia" w:ascii="宋体" w:hAnsi="宋体" w:eastAsia="宋体" w:cs="宋体"/>
          <w:color w:val="auto"/>
          <w:highlight w:val="none"/>
          <w:lang w:val="zh-CN"/>
        </w:rPr>
        <w:t>评审报告</w:t>
      </w:r>
      <w:r>
        <w:rPr>
          <w:rFonts w:hint="eastAsia" w:ascii="宋体" w:hAnsi="宋体" w:eastAsia="宋体" w:cs="宋体"/>
          <w:color w:val="auto"/>
          <w:highlight w:val="none"/>
          <w:lang w:val="en-US" w:eastAsia="zh-CN"/>
        </w:rPr>
        <w:t>确定</w:t>
      </w:r>
      <w:r>
        <w:rPr>
          <w:rFonts w:hint="eastAsia" w:ascii="宋体" w:hAnsi="宋体" w:eastAsia="宋体" w:cs="宋体"/>
          <w:color w:val="auto"/>
          <w:highlight w:val="none"/>
          <w:lang w:val="zh-CN"/>
        </w:rPr>
        <w:t>的成交候选人</w:t>
      </w:r>
      <w:r>
        <w:rPr>
          <w:rFonts w:hint="eastAsia" w:ascii="宋体" w:hAnsi="宋体" w:eastAsia="宋体" w:cs="宋体"/>
          <w:color w:val="auto"/>
          <w:highlight w:val="none"/>
          <w:lang w:val="en-US" w:eastAsia="zh-CN"/>
        </w:rPr>
        <w:t>名单</w:t>
      </w:r>
      <w:r>
        <w:rPr>
          <w:rFonts w:hint="eastAsia" w:ascii="宋体" w:hAnsi="宋体" w:eastAsia="宋体" w:cs="宋体"/>
          <w:color w:val="auto"/>
          <w:highlight w:val="none"/>
          <w:lang w:val="zh-CN"/>
        </w:rPr>
        <w:t>中</w:t>
      </w:r>
      <w:r>
        <w:rPr>
          <w:rFonts w:hint="eastAsia" w:ascii="宋体" w:hAnsi="宋体" w:eastAsia="宋体" w:cs="宋体"/>
          <w:color w:val="auto"/>
          <w:highlight w:val="none"/>
          <w:lang w:val="en-US" w:eastAsia="zh-CN"/>
        </w:rPr>
        <w:t>按顺序</w:t>
      </w:r>
      <w:r>
        <w:rPr>
          <w:rFonts w:hint="eastAsia" w:ascii="宋体" w:hAnsi="宋体" w:eastAsia="宋体" w:cs="宋体"/>
          <w:color w:val="auto"/>
          <w:highlight w:val="none"/>
          <w:lang w:val="zh-CN"/>
        </w:rPr>
        <w:t>确定成交供应商，复函采购代理机构。采购人在收到评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lang w:val="zh-CN"/>
        </w:rPr>
        <w:t>报告5个工作日内未按评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lang w:val="zh-CN"/>
        </w:rPr>
        <w:t>报告推荐的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val="zh-CN"/>
        </w:rPr>
        <w:t>候选人顺序确定</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lang w:val="zh-CN"/>
        </w:rPr>
        <w:t>，又不能说明合法理由的，视同按评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lang w:val="zh-CN"/>
        </w:rPr>
        <w:t>报告推荐的顺序确定排名第一的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val="zh-CN"/>
        </w:rPr>
        <w:t>候选人为</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lang w:val="zh-CN"/>
        </w:rPr>
        <w:t>。</w:t>
      </w:r>
    </w:p>
    <w:p w14:paraId="462C7684">
      <w:pPr>
        <w:spacing w:line="46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31.3</w:t>
      </w:r>
      <w:r>
        <w:rPr>
          <w:rFonts w:hint="eastAsia" w:ascii="宋体" w:hAnsi="宋体" w:eastAsia="宋体" w:cs="宋体"/>
          <w:color w:val="auto"/>
          <w:highlight w:val="none"/>
          <w:lang w:val="zh-CN"/>
        </w:rPr>
        <w:t>采购代理机构当自</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lang w:val="zh-CN"/>
        </w:rPr>
        <w:t>确定之日起2个工作日内，在省级以上财政部门指定的媒体上公告成交结果，公告期限为1个工作日，并向成交供应商发“成交通知书”。</w:t>
      </w:r>
    </w:p>
    <w:p w14:paraId="7CD6813B">
      <w:pPr>
        <w:spacing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32．成交通知</w:t>
      </w:r>
    </w:p>
    <w:p w14:paraId="521BA15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32.1 成交供应商确定之后，代理公司将发出《成交通知书》。 </w:t>
      </w:r>
    </w:p>
    <w:p w14:paraId="365B19D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32.2成交通知书对采购人和成交供应商具有同等法律效力。成交通知书发出之后，采购人改变成交结果，或者成交供应商放弃成交，应当承担相应的法律责任。</w:t>
      </w:r>
    </w:p>
    <w:p w14:paraId="78F2C874">
      <w:pPr>
        <w:spacing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33．签订合同</w:t>
      </w:r>
    </w:p>
    <w:p w14:paraId="15BCB9FE">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 xml:space="preserve">33.1 磋商文件、成交供应商的响应文件及补充文件等均为签订政府采购合同的依据。 </w:t>
      </w:r>
    </w:p>
    <w:p w14:paraId="0B371879">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 xml:space="preserve">33.2成交供应商应当在成交通知书发出之日起30日内与采购人签订政府采购合同。 </w:t>
      </w:r>
    </w:p>
    <w:p w14:paraId="319733C2">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F75AA78">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624C2E69">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157612FE">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0BFA422A">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5B04590A">
      <w:pPr>
        <w:spacing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34．成交合同的履约验收</w:t>
      </w:r>
    </w:p>
    <w:p w14:paraId="563527D3">
      <w:pPr>
        <w:spacing w:line="4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zh-CN"/>
        </w:rPr>
        <w:t>政府采购合同的履行、违约责任和解决争议的方法等适用《中华人民共和国</w:t>
      </w:r>
      <w:r>
        <w:rPr>
          <w:rFonts w:hint="eastAsia" w:ascii="宋体" w:hAnsi="宋体" w:eastAsia="宋体" w:cs="宋体"/>
          <w:bCs/>
          <w:color w:val="auto"/>
          <w:highlight w:val="none"/>
          <w:lang w:val="en-US" w:eastAsia="zh-CN"/>
        </w:rPr>
        <w:t>民法典</w:t>
      </w:r>
      <w:r>
        <w:rPr>
          <w:rFonts w:hint="eastAsia" w:ascii="宋体" w:hAnsi="宋体" w:eastAsia="宋体" w:cs="宋体"/>
          <w:bCs/>
          <w:color w:val="auto"/>
          <w:highlight w:val="none"/>
          <w:lang w:val="zh-CN"/>
        </w:rPr>
        <w:t>》，采购人按照政府采购合同规定的技术、服务、安全标准组织对供应商履约情况进行验收，并出具验收书。</w:t>
      </w:r>
    </w:p>
    <w:p w14:paraId="623D3750">
      <w:pPr>
        <w:pStyle w:val="4"/>
        <w:rPr>
          <w:rFonts w:hint="eastAsia" w:ascii="宋体" w:hAnsi="宋体" w:eastAsia="宋体" w:cs="宋体"/>
          <w:color w:val="auto"/>
          <w:sz w:val="32"/>
          <w:szCs w:val="36"/>
          <w:highlight w:val="none"/>
        </w:rPr>
      </w:pPr>
      <w:bookmarkStart w:id="57" w:name="_Toc12773"/>
      <w:bookmarkStart w:id="58" w:name="_Toc8726"/>
      <w:bookmarkStart w:id="59" w:name="_Toc26927"/>
      <w:r>
        <w:rPr>
          <w:rFonts w:hint="eastAsia" w:ascii="宋体" w:hAnsi="宋体" w:eastAsia="宋体" w:cs="宋体"/>
          <w:color w:val="auto"/>
          <w:sz w:val="32"/>
          <w:szCs w:val="36"/>
          <w:highlight w:val="none"/>
        </w:rPr>
        <w:t>八、其他事项</w:t>
      </w:r>
      <w:bookmarkEnd w:id="54"/>
      <w:bookmarkEnd w:id="55"/>
      <w:bookmarkEnd w:id="56"/>
      <w:bookmarkEnd w:id="57"/>
      <w:bookmarkEnd w:id="58"/>
      <w:bookmarkEnd w:id="59"/>
    </w:p>
    <w:p w14:paraId="1A78CACA">
      <w:pPr>
        <w:spacing w:line="460" w:lineRule="exact"/>
        <w:rPr>
          <w:rFonts w:hint="eastAsia" w:ascii="宋体" w:hAnsi="宋体" w:eastAsia="宋体" w:cs="宋体"/>
          <w:color w:val="auto"/>
          <w:highlight w:val="none"/>
        </w:rPr>
      </w:pPr>
      <w:r>
        <w:rPr>
          <w:rFonts w:hint="eastAsia" w:ascii="宋体" w:hAnsi="宋体" w:eastAsia="宋体" w:cs="宋体"/>
          <w:b/>
          <w:bCs/>
          <w:color w:val="auto"/>
          <w:highlight w:val="none"/>
        </w:rPr>
        <w:t>35.竞争性磋商项目实行二轮报价</w:t>
      </w:r>
      <w:r>
        <w:rPr>
          <w:rFonts w:hint="eastAsia" w:ascii="宋体" w:hAnsi="宋体" w:eastAsia="宋体" w:cs="宋体"/>
          <w:color w:val="auto"/>
          <w:highlight w:val="none"/>
        </w:rPr>
        <w:t>，第一次报价后，磋商小组可以变更采购需求中的技术、服务要求以及合同草案条款，二轮报价为最终报价。</w:t>
      </w:r>
    </w:p>
    <w:p w14:paraId="7F80DF53">
      <w:pPr>
        <w:spacing w:line="460" w:lineRule="exact"/>
        <w:rPr>
          <w:rFonts w:hint="eastAsia" w:ascii="宋体" w:hAnsi="宋体" w:eastAsia="宋体" w:cs="宋体"/>
          <w:color w:val="auto"/>
          <w:highlight w:val="none"/>
        </w:rPr>
      </w:pPr>
      <w:r>
        <w:rPr>
          <w:rFonts w:hint="eastAsia" w:ascii="宋体" w:hAnsi="宋体" w:eastAsia="宋体" w:cs="宋体"/>
          <w:b/>
          <w:bCs/>
          <w:color w:val="auto"/>
          <w:highlight w:val="none"/>
        </w:rPr>
        <w:t>36.磋商开始后，出现下列情形之一的，采购代理机构将终止竞争性磋商采购活动，发布项目终止公告并说明原因，重新开展采购活动：</w:t>
      </w:r>
    </w:p>
    <w:p w14:paraId="087B9ADD">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（一）因情况变化，不再符合规定的竞争性磋商采购方式适用情形的；</w:t>
      </w:r>
    </w:p>
    <w:p w14:paraId="18A367A1">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（二）出现影响采购公正的违法、违规行为的；</w:t>
      </w:r>
    </w:p>
    <w:p w14:paraId="6BD8ED28">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（三）在采购过程中符合要求的供应商不足3家的 （不包含政府购买服务项目）；</w:t>
      </w:r>
    </w:p>
    <w:p w14:paraId="0DE99FF6">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因重大变故，采购任务取消的</w:t>
      </w:r>
      <w:r>
        <w:rPr>
          <w:rFonts w:hint="eastAsia" w:ascii="宋体" w:hAnsi="宋体" w:eastAsia="宋体" w:cs="宋体"/>
          <w:color w:val="auto"/>
          <w:highlight w:val="none"/>
        </w:rPr>
        <w:t>。</w:t>
      </w:r>
    </w:p>
    <w:p w14:paraId="2D5D6F16">
      <w:pPr>
        <w:spacing w:line="460" w:lineRule="exact"/>
        <w:rPr>
          <w:rFonts w:hint="eastAsia" w:ascii="宋体" w:hAnsi="宋体" w:eastAsia="宋体" w:cs="宋体"/>
          <w:color w:val="auto"/>
          <w:highlight w:val="none"/>
        </w:rPr>
      </w:pPr>
      <w:r>
        <w:rPr>
          <w:rFonts w:hint="eastAsia" w:ascii="宋体" w:hAnsi="宋体" w:eastAsia="宋体" w:cs="宋体"/>
          <w:b/>
          <w:bCs/>
          <w:color w:val="auto"/>
          <w:highlight w:val="none"/>
        </w:rPr>
        <w:t>37. 提交最后报价的供应商为2家时，可以继续进行磋商的情形：</w:t>
      </w:r>
    </w:p>
    <w:p w14:paraId="2508CC10">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37.1</w:t>
      </w:r>
      <w:r>
        <w:rPr>
          <w:rFonts w:hint="eastAsia" w:ascii="宋体" w:hAnsi="宋体" w:eastAsia="宋体" w:cs="宋体"/>
          <w:color w:val="auto"/>
          <w:highlight w:val="none"/>
        </w:rPr>
        <w:t>市场竞争不充分的科研项目，以及需要扶持的科技成果转化项目；</w:t>
      </w:r>
    </w:p>
    <w:p w14:paraId="1ABE7F8D">
      <w:pPr>
        <w:spacing w:line="46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lang w:val="en-US" w:eastAsia="zh-CN"/>
        </w:rPr>
        <w:t>37.2</w:t>
      </w:r>
      <w:r>
        <w:rPr>
          <w:rFonts w:hint="eastAsia" w:ascii="宋体" w:hAnsi="宋体" w:eastAsia="宋体" w:cs="宋体"/>
          <w:color w:val="auto"/>
          <w:highlight w:val="none"/>
        </w:rPr>
        <w:t>政府购买服务项目（含政府和社会资本项目）。</w:t>
      </w:r>
    </w:p>
    <w:p w14:paraId="7265EF3D">
      <w:pPr>
        <w:pStyle w:val="4"/>
        <w:rPr>
          <w:rFonts w:hint="eastAsia" w:ascii="宋体" w:hAnsi="宋体" w:eastAsia="宋体" w:cs="宋体"/>
          <w:color w:val="auto"/>
          <w:sz w:val="32"/>
          <w:szCs w:val="36"/>
          <w:highlight w:val="none"/>
        </w:rPr>
      </w:pPr>
      <w:bookmarkStart w:id="60" w:name="_Toc29416"/>
      <w:bookmarkStart w:id="61" w:name="_Toc23647"/>
      <w:bookmarkStart w:id="62" w:name="_Toc23716"/>
      <w:bookmarkStart w:id="63" w:name="_Toc519156745"/>
      <w:bookmarkStart w:id="64" w:name="_Toc23884"/>
      <w:bookmarkStart w:id="65" w:name="_Toc5011"/>
      <w:bookmarkStart w:id="66" w:name="_Toc30935"/>
      <w:r>
        <w:rPr>
          <w:rFonts w:hint="eastAsia" w:ascii="宋体" w:hAnsi="宋体" w:eastAsia="宋体" w:cs="宋体"/>
          <w:color w:val="auto"/>
          <w:sz w:val="32"/>
          <w:szCs w:val="36"/>
          <w:highlight w:val="none"/>
        </w:rPr>
        <w:t>九、成交服务费</w:t>
      </w:r>
      <w:bookmarkEnd w:id="60"/>
      <w:bookmarkEnd w:id="61"/>
      <w:bookmarkEnd w:id="62"/>
      <w:bookmarkEnd w:id="63"/>
      <w:bookmarkEnd w:id="64"/>
      <w:bookmarkEnd w:id="65"/>
      <w:bookmarkEnd w:id="66"/>
    </w:p>
    <w:p w14:paraId="28E74EF0">
      <w:pPr>
        <w:snapToGrid w:val="0"/>
        <w:spacing w:line="420" w:lineRule="exact"/>
        <w:rPr>
          <w:rFonts w:hint="eastAsia" w:ascii="宋体" w:hAnsi="宋体" w:eastAsia="宋体" w:cs="宋体"/>
          <w:color w:val="auto"/>
          <w:highlight w:val="none"/>
        </w:rPr>
      </w:pPr>
      <w:r>
        <w:rPr>
          <w:rFonts w:hint="eastAsia" w:ascii="宋体" w:hAnsi="宋体" w:eastAsia="宋体" w:cs="宋体"/>
          <w:b/>
          <w:bCs/>
          <w:color w:val="auto"/>
          <w:highlight w:val="none"/>
        </w:rPr>
        <w:t>39.招标代理服务费</w:t>
      </w:r>
    </w:p>
    <w:p w14:paraId="6E9B9A39">
      <w:pPr>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参考国家计委颁布的《招标代理服务收费管理暂行办法》（计价格〔2002〕1980号）、发改办价格〔2003〕857号、发改价格〔2011〕534号及发改价格〔2015〕299号文件规定收取，由成交供应商在领取成交通知书之前向代理公司一次性付清招标代理服务费。</w:t>
      </w:r>
    </w:p>
    <w:p w14:paraId="7A1BAD94">
      <w:pPr>
        <w:spacing w:line="42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银行户名：</w:t>
      </w:r>
      <w:r>
        <w:rPr>
          <w:rFonts w:hint="eastAsia" w:ascii="宋体" w:hAnsi="宋体" w:eastAsia="宋体" w:cs="宋体"/>
          <w:b/>
          <w:bCs/>
          <w:color w:val="auto"/>
          <w:highlight w:val="none"/>
          <w:lang w:eastAsia="zh-CN"/>
        </w:rPr>
        <w:t>陕西玥鑫项目管理有限公司</w:t>
      </w:r>
    </w:p>
    <w:p w14:paraId="4DCEBD7C">
      <w:pPr>
        <w:spacing w:line="42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开户银行：</w:t>
      </w:r>
      <w:r>
        <w:rPr>
          <w:rFonts w:hint="eastAsia" w:ascii="宋体" w:hAnsi="宋体" w:cs="宋体"/>
          <w:b/>
          <w:bCs/>
          <w:color w:val="auto"/>
          <w:kern w:val="0"/>
          <w:highlight w:val="none"/>
          <w:lang w:eastAsia="zh-CN"/>
        </w:rPr>
        <w:t>中国建设银行股份有限公司西安祥和居支行</w:t>
      </w:r>
    </w:p>
    <w:p w14:paraId="29960D4B">
      <w:pPr>
        <w:spacing w:line="42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账    号：</w:t>
      </w:r>
      <w:r>
        <w:rPr>
          <w:rFonts w:hint="eastAsia" w:ascii="宋体" w:hAnsi="宋体" w:cs="宋体"/>
          <w:b/>
          <w:bCs/>
          <w:color w:val="auto"/>
          <w:highlight w:val="none"/>
          <w:lang w:eastAsia="zh-CN"/>
        </w:rPr>
        <w:t>6105 0110 1948 0000 0615</w:t>
      </w:r>
    </w:p>
    <w:p w14:paraId="73306E03">
      <w:pPr>
        <w:spacing w:line="440" w:lineRule="exac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联系人：</w:t>
      </w:r>
      <w:r>
        <w:rPr>
          <w:rFonts w:hint="eastAsia" w:ascii="宋体" w:hAnsi="宋体" w:cs="宋体"/>
          <w:b/>
          <w:bCs/>
          <w:color w:val="auto"/>
          <w:highlight w:val="none"/>
          <w:lang w:eastAsia="zh-CN"/>
        </w:rPr>
        <w:t>李会计</w:t>
      </w:r>
      <w:r>
        <w:rPr>
          <w:rFonts w:hint="eastAsia" w:ascii="宋体" w:hAnsi="宋体" w:eastAsia="宋体" w:cs="宋体"/>
          <w:b/>
          <w:bCs/>
          <w:color w:val="auto"/>
          <w:highlight w:val="none"/>
        </w:rPr>
        <w:t xml:space="preserve">  联系电话：</w:t>
      </w:r>
      <w:r>
        <w:rPr>
          <w:rFonts w:hint="eastAsia" w:ascii="宋体" w:hAnsi="宋体" w:cs="宋体"/>
          <w:b/>
          <w:bCs/>
          <w:color w:val="auto"/>
          <w:highlight w:val="none"/>
          <w:lang w:eastAsia="zh-CN"/>
        </w:rPr>
        <w:t>029-82520739</w:t>
      </w:r>
    </w:p>
    <w:p w14:paraId="6A8001CB">
      <w:pPr>
        <w:spacing w:line="420" w:lineRule="exact"/>
        <w:jc w:val="left"/>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邮箱：</w:t>
      </w:r>
      <w:r>
        <w:rPr>
          <w:rFonts w:hint="eastAsia" w:ascii="宋体" w:hAnsi="宋体" w:cs="宋体"/>
          <w:b/>
          <w:bCs/>
          <w:color w:val="auto"/>
          <w:highlight w:val="none"/>
          <w:lang w:eastAsia="zh-CN"/>
        </w:rPr>
        <w:t>342404380@qq.com</w:t>
      </w:r>
    </w:p>
    <w:p w14:paraId="4656D7C8">
      <w:pPr>
        <w:pStyle w:val="4"/>
        <w:rPr>
          <w:rFonts w:hint="eastAsia" w:ascii="宋体" w:hAnsi="宋体" w:eastAsia="宋体" w:cs="宋体"/>
          <w:color w:val="auto"/>
          <w:sz w:val="32"/>
          <w:szCs w:val="36"/>
          <w:highlight w:val="none"/>
        </w:rPr>
      </w:pPr>
      <w:bookmarkStart w:id="67" w:name="_Toc5878"/>
      <w:bookmarkStart w:id="68" w:name="_Toc1779"/>
      <w:bookmarkStart w:id="69" w:name="_Toc32429"/>
      <w:bookmarkStart w:id="70" w:name="_Toc10336"/>
      <w:r>
        <w:rPr>
          <w:rFonts w:hint="eastAsia" w:ascii="宋体" w:hAnsi="宋体" w:eastAsia="宋体" w:cs="宋体"/>
          <w:color w:val="auto"/>
          <w:sz w:val="32"/>
          <w:szCs w:val="36"/>
          <w:highlight w:val="none"/>
        </w:rPr>
        <w:t>十、质疑</w:t>
      </w:r>
      <w:bookmarkEnd w:id="67"/>
      <w:bookmarkEnd w:id="68"/>
      <w:bookmarkEnd w:id="69"/>
      <w:bookmarkEnd w:id="70"/>
    </w:p>
    <w:p w14:paraId="5B675C5D">
      <w:pPr>
        <w:pStyle w:val="2"/>
        <w:spacing w:line="46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40.质疑</w:t>
      </w:r>
    </w:p>
    <w:p w14:paraId="23C07FF5">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40.1供应商对本次磋商采购活动有疑问的，应当按照《中华人民共和国政府采购法实施条例》的有关规定办理。</w:t>
      </w:r>
    </w:p>
    <w:p w14:paraId="029ED417">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147C95F7">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40.3 质疑函应当包括下列内容：</w:t>
      </w:r>
    </w:p>
    <w:p w14:paraId="44D36FDC">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1D5BAA7">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26BA03D8">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192AB0D">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495297C">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9CB1674">
      <w:pPr>
        <w:pStyle w:val="2"/>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54E0F37">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供应商为自然人的，应当由本人签字；供应商为法人或者其他组织的，应当由法定代表人、主要负责人，或者其授权代表（附法人代表授权书）签字或者盖章（鲜章），并加盖公章（鲜章）。</w:t>
      </w:r>
    </w:p>
    <w:p w14:paraId="0D82101A">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sz w:val="24"/>
          <w:szCs w:val="24"/>
          <w:highlight w:val="none"/>
        </w:rPr>
        <w:t xml:space="preserve">可以委托代理人进行质疑。其授权委托书应当载明代理人的姓名或者名称、代理事项、具体权限、期限和相关事项。 </w:t>
      </w:r>
      <w:r>
        <w:rPr>
          <w:rFonts w:hint="eastAsia" w:ascii="宋体" w:hAnsi="宋体" w:eastAsia="宋体" w:cs="宋体"/>
          <w:color w:val="auto"/>
          <w:highlight w:val="none"/>
        </w:rPr>
        <w:t>供应商</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highlight w:val="none"/>
        </w:rPr>
        <w:t>供应商</w:t>
      </w:r>
      <w:r>
        <w:rPr>
          <w:rFonts w:hint="eastAsia" w:ascii="宋体" w:hAnsi="宋体" w:eastAsia="宋体" w:cs="宋体"/>
          <w:color w:val="auto"/>
          <w:sz w:val="24"/>
          <w:szCs w:val="24"/>
          <w:highlight w:val="none"/>
        </w:rPr>
        <w:t>为法人或者其他组织的，应当由法定代表人、主要负责人签字或者盖章，并加盖公章。</w:t>
      </w:r>
    </w:p>
    <w:p w14:paraId="42D1AEF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40.4</w:t>
      </w:r>
      <w:r>
        <w:rPr>
          <w:rFonts w:hint="eastAsia" w:ascii="宋体" w:hAnsi="宋体" w:eastAsia="宋体" w:cs="宋体"/>
          <w:color w:val="auto"/>
          <w:sz w:val="24"/>
          <w:szCs w:val="24"/>
          <w:highlight w:val="none"/>
        </w:rPr>
        <w:t>有下列情形之一的，属于无效质疑，采购代理机构和采购人不予受理：</w:t>
      </w:r>
    </w:p>
    <w:p w14:paraId="7BE5BB4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不是参与本次政府采购项目的投标人或潜在投标人；</w:t>
      </w:r>
    </w:p>
    <w:p w14:paraId="235DC28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质疑人与质疑事项不存在利害关系的；</w:t>
      </w:r>
    </w:p>
    <w:p w14:paraId="08BECBD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未在法定期限内提出质疑的；</w:t>
      </w:r>
    </w:p>
    <w:p w14:paraId="3AB5A6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）质疑未以书面形式提出，或质疑函主要内容构成不完整的，或缺乏必要的证明材料及证明材料不完整的；</w:t>
      </w:r>
    </w:p>
    <w:p w14:paraId="412DF7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）质疑函没有合法有效的签字、盖章或授权的；</w:t>
      </w:r>
    </w:p>
    <w:p w14:paraId="644DBA5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以非法手段取得证据、材料的；</w:t>
      </w:r>
    </w:p>
    <w:p w14:paraId="274DF8C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）质疑答复后，同一质疑人就同一事项再次提出质疑的；</w:t>
      </w:r>
    </w:p>
    <w:p w14:paraId="28D51F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）不符合法律、法规、规章和政府采购监管机构规定的其他条件的。</w:t>
      </w:r>
    </w:p>
    <w:p w14:paraId="4DF89766">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w:t>
      </w:r>
      <w:r>
        <w:rPr>
          <w:rFonts w:hint="eastAsia" w:ascii="宋体" w:hAnsi="宋体" w:eastAsia="宋体" w:cs="宋体"/>
          <w:color w:val="auto"/>
          <w:sz w:val="24"/>
          <w:szCs w:val="24"/>
          <w:highlight w:val="none"/>
        </w:rPr>
        <w:t>质疑人对采购代理机构或采购人的答复不满意，以及采购代理机构或采购人未在规定</w:t>
      </w:r>
      <w:r>
        <w:rPr>
          <w:rFonts w:hint="eastAsia" w:ascii="宋体" w:hAnsi="宋体" w:eastAsia="宋体" w:cs="宋体"/>
          <w:color w:val="auto"/>
          <w:sz w:val="24"/>
          <w:szCs w:val="24"/>
          <w:highlight w:val="none"/>
          <w:lang w:val="en-US" w:eastAsia="zh-CN"/>
        </w:rPr>
        <w:t>时间内做出答复的，可以在答复期满后 15 个工作日内向政府采购监管机构提出投诉。</w:t>
      </w:r>
    </w:p>
    <w:p w14:paraId="56A968B2">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40.6投标人投诉的事项不得超出已质疑事项的范围。</w:t>
      </w:r>
    </w:p>
    <w:p w14:paraId="0EC1FA21">
      <w:pPr>
        <w:spacing w:line="440" w:lineRule="exact"/>
        <w:ind w:left="547" w:leftChars="22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接收质疑函的方式：书面形式；</w:t>
      </w:r>
    </w:p>
    <w:p w14:paraId="18240FC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w:t>
      </w:r>
      <w:r>
        <w:rPr>
          <w:rFonts w:hint="eastAsia" w:ascii="宋体" w:hAnsi="宋体" w:eastAsia="宋体" w:cs="宋体"/>
          <w:color w:val="auto"/>
          <w:sz w:val="24"/>
          <w:szCs w:val="24"/>
          <w:highlight w:val="none"/>
          <w:lang w:eastAsia="zh-CN"/>
        </w:rPr>
        <w:t>陕西玥鑫项目管理有限公司</w:t>
      </w:r>
      <w:r>
        <w:rPr>
          <w:rFonts w:hint="eastAsia" w:ascii="宋体" w:hAnsi="宋体" w:eastAsia="宋体" w:cs="宋体"/>
          <w:color w:val="auto"/>
          <w:sz w:val="24"/>
          <w:szCs w:val="24"/>
          <w:highlight w:val="none"/>
        </w:rPr>
        <w:t>；</w:t>
      </w:r>
    </w:p>
    <w:p w14:paraId="1AA0C322">
      <w:pPr>
        <w:pStyle w:val="14"/>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李蹊</w:t>
      </w:r>
    </w:p>
    <w:p w14:paraId="7F0F3ADA">
      <w:pPr>
        <w:pStyle w:val="14"/>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029-82520739</w:t>
      </w:r>
    </w:p>
    <w:p w14:paraId="4E6D2769">
      <w:pPr>
        <w:pStyle w:val="14"/>
        <w:spacing w:line="440" w:lineRule="exact"/>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通讯地址：西安市雁塔区泰维智链中心一期B栋202室。</w:t>
      </w:r>
    </w:p>
    <w:p w14:paraId="14D3A10F">
      <w:pPr>
        <w:pStyle w:val="2"/>
        <w:spacing w:before="175" w:line="214" w:lineRule="auto"/>
        <w:ind w:left="55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40.7 《政府采购供应商质疑函范本》链接地址：</w:t>
      </w:r>
    </w:p>
    <w:p w14:paraId="39FA16B2">
      <w:pPr>
        <w:pStyle w:val="2"/>
        <w:spacing w:before="175" w:line="214" w:lineRule="auto"/>
        <w:ind w:left="55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fldChar w:fldCharType="begin"/>
      </w:r>
      <w:r>
        <w:rPr>
          <w:rFonts w:hint="eastAsia" w:ascii="宋体" w:hAnsi="宋体" w:eastAsia="宋体" w:cs="宋体"/>
          <w:b w:val="0"/>
          <w:color w:val="auto"/>
          <w:kern w:val="2"/>
          <w:sz w:val="24"/>
          <w:szCs w:val="24"/>
          <w:highlight w:val="none"/>
          <w:lang w:val="en-US" w:eastAsia="zh-CN" w:bidi="ar-SA"/>
        </w:rPr>
        <w:instrText xml:space="preserve"> HYPERLINK "http://gks.mof.gov.cn/ztztz/zhengfucaigouguanli/201802/t201" </w:instrText>
      </w:r>
      <w:r>
        <w:rPr>
          <w:rFonts w:hint="eastAsia" w:ascii="宋体" w:hAnsi="宋体" w:eastAsia="宋体" w:cs="宋体"/>
          <w:b w:val="0"/>
          <w:color w:val="auto"/>
          <w:kern w:val="2"/>
          <w:sz w:val="24"/>
          <w:szCs w:val="24"/>
          <w:highlight w:val="none"/>
          <w:lang w:val="en-US" w:eastAsia="zh-CN" w:bidi="ar-SA"/>
        </w:rPr>
        <w:fldChar w:fldCharType="separate"/>
      </w:r>
      <w:r>
        <w:rPr>
          <w:rFonts w:hint="eastAsia" w:ascii="宋体" w:hAnsi="宋体" w:eastAsia="宋体" w:cs="宋体"/>
          <w:b w:val="0"/>
          <w:color w:val="auto"/>
          <w:kern w:val="2"/>
          <w:sz w:val="24"/>
          <w:szCs w:val="24"/>
          <w:highlight w:val="none"/>
          <w:lang w:val="en-US" w:eastAsia="zh-CN" w:bidi="ar-SA"/>
        </w:rPr>
        <w:t>http://gks.mof.gov.cn/ztztz/zhengfucaigouguanli/201802/t201</w:t>
      </w:r>
      <w:r>
        <w:rPr>
          <w:rFonts w:hint="eastAsia" w:ascii="宋体" w:hAnsi="宋体" w:eastAsia="宋体" w:cs="宋体"/>
          <w:b w:val="0"/>
          <w:color w:val="auto"/>
          <w:kern w:val="2"/>
          <w:sz w:val="24"/>
          <w:szCs w:val="24"/>
          <w:highlight w:val="none"/>
          <w:lang w:val="en-US" w:eastAsia="zh-CN" w:bidi="ar-SA"/>
        </w:rPr>
        <w:fldChar w:fldCharType="end"/>
      </w:r>
      <w:r>
        <w:rPr>
          <w:rFonts w:hint="eastAsia" w:ascii="宋体" w:hAnsi="宋体" w:eastAsia="宋体" w:cs="宋体"/>
          <w:b w:val="0"/>
          <w:color w:val="auto"/>
          <w:kern w:val="2"/>
          <w:sz w:val="24"/>
          <w:szCs w:val="24"/>
          <w:highlight w:val="none"/>
          <w:lang w:val="en-US" w:eastAsia="zh-CN" w:bidi="ar-SA"/>
        </w:rPr>
        <w:t>80201_2804589.htm自行下载。</w:t>
      </w:r>
    </w:p>
    <w:p w14:paraId="7BCB6AA3">
      <w:pPr>
        <w:spacing w:line="440" w:lineRule="exact"/>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40.8对捏造事实、提供虚假材料进行质疑、投诉的行为予以严肃处理：</w:t>
      </w:r>
      <w:r>
        <w:rPr>
          <w:rFonts w:hint="eastAsia" w:ascii="宋体" w:hAnsi="宋体" w:eastAsia="宋体" w:cs="宋体"/>
          <w:color w:val="auto"/>
          <w:sz w:val="24"/>
          <w:szCs w:val="24"/>
          <w:highlight w:val="none"/>
          <w:lang w:val="en-US" w:eastAsia="zh-CN"/>
        </w:rPr>
        <w:t>依据《中华人民共和国政府采购法》及其实施条例、《政府采购货物 和服务招标投标管理办法》（财政部令第 87 号）、《政府采购质疑和投诉 办法》等法律法规的规定，投标人质疑、投诉应当有明确的请求和必要的证明材料。</w:t>
      </w:r>
      <w:r>
        <w:rPr>
          <w:rFonts w:hint="eastAsia" w:ascii="宋体" w:hAnsi="宋体" w:eastAsia="宋体" w:cs="宋体"/>
          <w:b/>
          <w:bCs/>
          <w:color w:val="auto"/>
          <w:sz w:val="24"/>
          <w:szCs w:val="24"/>
          <w:highlight w:val="none"/>
          <w:lang w:val="en-US" w:eastAsia="zh-CN"/>
        </w:rPr>
        <w:t>投诉人在全国范围内十二个月内三次以上投诉查无实据的，由财政部门列入不良行为记录名单。</w:t>
      </w:r>
      <w:r>
        <w:rPr>
          <w:rFonts w:hint="eastAsia" w:ascii="宋体" w:hAnsi="宋体" w:eastAsia="宋体" w:cs="宋体"/>
          <w:color w:val="auto"/>
          <w:sz w:val="24"/>
          <w:szCs w:val="24"/>
          <w:highlight w:val="none"/>
          <w:lang w:val="en-US" w:eastAsia="zh-CN"/>
        </w:rPr>
        <w:t>对于捏造事实、提供虚假材料或者以非法手段取得证明材料进行投诉的，财政部门应当予以驳回，并将其列入不</w:t>
      </w:r>
      <w:r>
        <w:rPr>
          <w:rFonts w:hint="eastAsia" w:ascii="宋体" w:hAnsi="宋体" w:eastAsia="宋体" w:cs="宋体"/>
          <w:color w:val="auto"/>
          <w:kern w:val="2"/>
          <w:sz w:val="24"/>
          <w:szCs w:val="24"/>
          <w:highlight w:val="none"/>
          <w:lang w:val="en-US" w:eastAsia="zh-CN" w:bidi="ar-SA"/>
        </w:rPr>
        <w:t>良行为记录名单，禁止其一至三年内参加政府采购活动。</w:t>
      </w:r>
    </w:p>
    <w:p w14:paraId="5D005C31">
      <w:pPr>
        <w:pStyle w:val="14"/>
        <w:spacing w:line="440" w:lineRule="exact"/>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40.9对捏造事实诬告陷害他人、诽谤他人的法律适用：</w:t>
      </w:r>
    </w:p>
    <w:p w14:paraId="0B388A4C">
      <w:pPr>
        <w:pStyle w:val="14"/>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《中华人民共和国刑法》第 243 条【诬告陷害罪】捏造事实诬告陷害他人，意图</w:t>
      </w:r>
      <w:r>
        <w:rPr>
          <w:rFonts w:hint="eastAsia" w:ascii="宋体" w:hAnsi="宋体" w:eastAsia="宋体" w:cs="宋体"/>
          <w:color w:val="auto"/>
          <w:sz w:val="24"/>
          <w:szCs w:val="24"/>
          <w:highlight w:val="none"/>
          <w:lang w:val="en-US" w:eastAsia="zh-CN"/>
        </w:rPr>
        <w:t>使他人受刑事追究，情节严重的，处三年以下有期徒刑、拘役或者管制；造成严重后果的，处三年以上十年以下有期徒刑。</w:t>
      </w:r>
    </w:p>
    <w:p w14:paraId="1B0C4F6C">
      <w:pPr>
        <w:pStyle w:val="14"/>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53D7E822">
      <w:pPr>
        <w:pStyle w:val="2"/>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41.其他规定</w:t>
      </w:r>
    </w:p>
    <w:p w14:paraId="7F5A73E9">
      <w:pPr>
        <w:pStyle w:val="14"/>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磋商文件的其他规定见磋商须知前附表。</w:t>
      </w:r>
    </w:p>
    <w:p w14:paraId="284A9BD3">
      <w:pPr>
        <w:pStyle w:val="2"/>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42.未尽事宜</w:t>
      </w:r>
    </w:p>
    <w:p w14:paraId="1675AFED">
      <w:pPr>
        <w:pStyle w:val="14"/>
        <w:rPr>
          <w:rFonts w:hint="eastAsia" w:ascii="宋体" w:hAnsi="宋体" w:eastAsia="宋体" w:cs="宋体"/>
          <w:color w:val="auto"/>
          <w:szCs w:val="24"/>
          <w:highlight w:val="none"/>
        </w:rPr>
      </w:pPr>
      <w:r>
        <w:rPr>
          <w:rFonts w:hint="eastAsia" w:ascii="宋体" w:hAnsi="宋体" w:eastAsia="宋体" w:cs="宋体"/>
          <w:color w:val="auto"/>
          <w:szCs w:val="24"/>
          <w:highlight w:val="none"/>
        </w:rPr>
        <w:t>42.1　其他未尽事宜按政府采购法律法规的规定执行。</w:t>
      </w:r>
    </w:p>
    <w:p w14:paraId="74CBE869">
      <w:pPr>
        <w:pStyle w:val="2"/>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43.文件解释权</w:t>
      </w:r>
    </w:p>
    <w:p w14:paraId="34E8AD1F">
      <w:pPr>
        <w:pStyle w:val="14"/>
        <w:rPr>
          <w:rFonts w:hint="eastAsia" w:ascii="宋体" w:hAnsi="宋体" w:eastAsia="宋体" w:cs="宋体"/>
          <w:color w:val="auto"/>
          <w:sz w:val="28"/>
          <w:szCs w:val="28"/>
          <w:highlight w:val="none"/>
        </w:rPr>
      </w:pPr>
      <w:r>
        <w:rPr>
          <w:rFonts w:hint="eastAsia" w:ascii="宋体" w:hAnsi="宋体" w:eastAsia="宋体" w:cs="宋体"/>
          <w:color w:val="auto"/>
          <w:szCs w:val="24"/>
          <w:highlight w:val="none"/>
        </w:rPr>
        <w:t>43.1　本磋商文件的解释权归采购代理机构所有。</w:t>
      </w:r>
    </w:p>
    <w:p w14:paraId="43FC7B1A">
      <w:pPr>
        <w:jc w:val="center"/>
        <w:rPr>
          <w:rFonts w:hint="eastAsia" w:ascii="宋体" w:hAnsi="宋体" w:eastAsia="宋体" w:cs="宋体"/>
          <w:b/>
          <w:bCs/>
          <w:color w:val="auto"/>
          <w:sz w:val="36"/>
          <w:szCs w:val="36"/>
          <w:highlight w:val="none"/>
        </w:rPr>
      </w:pPr>
      <w:bookmarkStart w:id="71" w:name="_Toc21558"/>
      <w:bookmarkStart w:id="72" w:name="_Toc18360"/>
    </w:p>
    <w:p w14:paraId="129AE131">
      <w:pPr>
        <w:jc w:val="center"/>
        <w:rPr>
          <w:rFonts w:hint="eastAsia" w:ascii="宋体" w:hAnsi="宋体" w:eastAsia="宋体" w:cs="宋体"/>
          <w:b/>
          <w:bCs/>
          <w:color w:val="auto"/>
          <w:sz w:val="36"/>
          <w:szCs w:val="36"/>
          <w:highlight w:val="none"/>
        </w:rPr>
      </w:pPr>
    </w:p>
    <w:p w14:paraId="6D76C78F">
      <w:pPr>
        <w:jc w:val="center"/>
        <w:rPr>
          <w:rFonts w:hint="eastAsia" w:ascii="宋体" w:hAnsi="宋体" w:eastAsia="宋体" w:cs="宋体"/>
          <w:b/>
          <w:bCs/>
          <w:color w:val="auto"/>
          <w:sz w:val="36"/>
          <w:szCs w:val="36"/>
          <w:highlight w:val="none"/>
        </w:rPr>
      </w:pPr>
    </w:p>
    <w:p w14:paraId="4718C5AE">
      <w:pPr>
        <w:jc w:val="center"/>
        <w:rPr>
          <w:rFonts w:hint="eastAsia" w:ascii="宋体" w:hAnsi="宋体" w:eastAsia="宋体" w:cs="宋体"/>
          <w:b/>
          <w:bCs/>
          <w:color w:val="auto"/>
          <w:sz w:val="36"/>
          <w:szCs w:val="36"/>
          <w:highlight w:val="none"/>
        </w:rPr>
      </w:pPr>
    </w:p>
    <w:p w14:paraId="27713DF0">
      <w:pPr>
        <w:jc w:val="center"/>
        <w:rPr>
          <w:rFonts w:hint="eastAsia" w:ascii="宋体" w:hAnsi="宋体" w:eastAsia="宋体" w:cs="宋体"/>
          <w:b/>
          <w:bCs/>
          <w:color w:val="auto"/>
          <w:sz w:val="36"/>
          <w:szCs w:val="36"/>
          <w:highlight w:val="none"/>
        </w:rPr>
      </w:pPr>
    </w:p>
    <w:p w14:paraId="1F1251E9">
      <w:pPr>
        <w:jc w:val="both"/>
        <w:rPr>
          <w:rFonts w:hint="eastAsia" w:ascii="宋体" w:hAnsi="宋体" w:eastAsia="宋体" w:cs="宋体"/>
          <w:b/>
          <w:bCs/>
          <w:color w:val="auto"/>
          <w:sz w:val="36"/>
          <w:szCs w:val="36"/>
          <w:highlight w:val="none"/>
        </w:rPr>
      </w:pPr>
    </w:p>
    <w:p w14:paraId="0B31957C">
      <w:pPr>
        <w:rPr>
          <w:rFonts w:hint="eastAsia" w:ascii="宋体" w:hAnsi="宋体" w:eastAsia="宋体" w:cs="宋体"/>
          <w:color w:val="auto"/>
          <w:sz w:val="36"/>
          <w:szCs w:val="36"/>
          <w:highlight w:val="none"/>
          <w:lang w:val="en-US" w:eastAsia="zh-CN"/>
        </w:rPr>
      </w:pPr>
      <w:bookmarkStart w:id="73" w:name="_Toc28922"/>
      <w:r>
        <w:rPr>
          <w:rFonts w:hint="eastAsia" w:ascii="宋体" w:hAnsi="宋体" w:eastAsia="宋体" w:cs="宋体"/>
          <w:color w:val="auto"/>
          <w:sz w:val="36"/>
          <w:szCs w:val="36"/>
          <w:highlight w:val="none"/>
          <w:lang w:val="en-US" w:eastAsia="zh-CN"/>
        </w:rPr>
        <w:br w:type="page"/>
      </w:r>
    </w:p>
    <w:p w14:paraId="10FC80EB">
      <w:pPr>
        <w:pStyle w:val="3"/>
        <w:bidi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第三章  </w:t>
      </w:r>
      <w:bookmarkEnd w:id="71"/>
      <w:bookmarkEnd w:id="72"/>
      <w:r>
        <w:rPr>
          <w:rFonts w:hint="eastAsia" w:ascii="宋体" w:hAnsi="宋体" w:eastAsia="宋体" w:cs="宋体"/>
          <w:color w:val="auto"/>
          <w:sz w:val="36"/>
          <w:szCs w:val="36"/>
          <w:highlight w:val="none"/>
          <w:lang w:val="en-US" w:eastAsia="zh-CN"/>
        </w:rPr>
        <w:t>评审办法及标准</w:t>
      </w:r>
      <w:bookmarkEnd w:id="73"/>
    </w:p>
    <w:p w14:paraId="77B0EF05">
      <w:pPr>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1.磋商方法</w:t>
      </w:r>
    </w:p>
    <w:p w14:paraId="0DFDDAA8">
      <w:pPr>
        <w:spacing w:line="46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1.1磋商方法：按照《中华人民共和国政府采购法》、《中华人民共和国政府采购法实施条例》和</w:t>
      </w:r>
      <w:r>
        <w:rPr>
          <w:rFonts w:hint="eastAsia" w:ascii="宋体" w:hAnsi="宋体" w:eastAsia="宋体" w:cs="宋体"/>
          <w:color w:val="auto"/>
          <w:kern w:val="0"/>
          <w:highlight w:val="none"/>
        </w:rPr>
        <w:t>《政府采购竞争性磋商采购方式管理暂行办法》的规定</w:t>
      </w:r>
      <w:r>
        <w:rPr>
          <w:rFonts w:hint="eastAsia" w:ascii="宋体" w:hAnsi="宋体" w:eastAsia="宋体" w:cs="宋体"/>
          <w:color w:val="auto"/>
          <w:highlight w:val="none"/>
        </w:rPr>
        <w:t>，竞争性磋商小组采用综合评分法对提交最后报价的供应商的响应文件和最后报价进行综合评分，按照评审得分由高到低顺序推荐3名成交候选供应商。</w:t>
      </w:r>
    </w:p>
    <w:p w14:paraId="690A1652">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1E0434EF">
      <w:pPr>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2.磋商</w:t>
      </w:r>
    </w:p>
    <w:p w14:paraId="35643AF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A59824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5504516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2.2.1要严格遵守政府采购相关法律制度，依法履行各自职责，公正、客观、审慎地组织和参与评审工作；</w:t>
      </w:r>
    </w:p>
    <w:p w14:paraId="490926E6">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2.2.2对磋商响应文件</w:t>
      </w:r>
      <w:r>
        <w:rPr>
          <w:rFonts w:hint="eastAsia" w:ascii="宋体" w:hAnsi="宋体" w:eastAsia="宋体" w:cs="宋体"/>
          <w:color w:val="auto"/>
          <w:highlight w:val="none"/>
          <w:lang w:val="en-US" w:eastAsia="zh-CN"/>
        </w:rPr>
        <w:t>的有效性、完整性和响应程度进行审查，以确定是否对磋商文件的全部实质性要求做出响应</w:t>
      </w:r>
      <w:r>
        <w:rPr>
          <w:rFonts w:hint="eastAsia" w:ascii="宋体" w:hAnsi="宋体" w:eastAsia="宋体" w:cs="宋体"/>
          <w:color w:val="auto"/>
          <w:highlight w:val="none"/>
        </w:rPr>
        <w:t>；</w:t>
      </w:r>
    </w:p>
    <w:p w14:paraId="0EBD3586">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2.2.3按竞争性磋商</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 xml:space="preserve">规定的评审方法和标准，进行比较和评价； </w:t>
      </w:r>
    </w:p>
    <w:p w14:paraId="56F9006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2.2.4要求磋商供应商对磋商响应文件有关事项作出解释或澄清；</w:t>
      </w:r>
    </w:p>
    <w:p w14:paraId="0DE334F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2.2.5要依法独立评审，按照竞争性磋商</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的要求和</w:t>
      </w:r>
      <w:r>
        <w:rPr>
          <w:rFonts w:hint="eastAsia" w:ascii="宋体" w:hAnsi="宋体" w:eastAsia="宋体" w:cs="宋体"/>
          <w:color w:val="auto"/>
          <w:highlight w:val="none"/>
          <w:lang w:val="en-US" w:eastAsia="zh-CN"/>
        </w:rPr>
        <w:t>评标</w:t>
      </w:r>
      <w:r>
        <w:rPr>
          <w:rFonts w:hint="eastAsia" w:ascii="宋体" w:hAnsi="宋体" w:eastAsia="宋体" w:cs="宋体"/>
          <w:color w:val="auto"/>
          <w:highlight w:val="none"/>
        </w:rPr>
        <w:t>标准进行评标，推荐成交候选供应商名单，对评审意见承担个人责任；</w:t>
      </w:r>
    </w:p>
    <w:p w14:paraId="2521854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2.2.6对需要共同认定的事项存在争议的，按照少数服从多数原则做出结论。持不同意见的磋商小组成员应当在评审报告上签署不同意见并说明理由，否则视为同意； </w:t>
      </w:r>
    </w:p>
    <w:p w14:paraId="4BA0524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2.2.7对评审情况以及在评审过程中获悉的国家秘密、商业秘密负有保密责任；</w:t>
      </w:r>
    </w:p>
    <w:p w14:paraId="35435F3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2.2.8</w:t>
      </w:r>
      <w:r>
        <w:rPr>
          <w:rFonts w:hint="eastAsia" w:ascii="宋体" w:hAnsi="宋体" w:eastAsia="宋体" w:cs="宋体"/>
          <w:color w:val="auto"/>
          <w:highlight w:val="none"/>
          <w:lang w:val="en-US" w:eastAsia="zh-CN"/>
        </w:rPr>
        <w:t>配合答复供应商的询问、质疑和投诉等事项</w:t>
      </w:r>
      <w:r>
        <w:rPr>
          <w:rFonts w:hint="eastAsia" w:ascii="宋体" w:hAnsi="宋体" w:eastAsia="宋体" w:cs="宋体"/>
          <w:color w:val="auto"/>
          <w:highlight w:val="none"/>
        </w:rPr>
        <w:t>；</w:t>
      </w:r>
    </w:p>
    <w:p w14:paraId="5E9D55DC">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2.2.9须对畸高、畸低的重大差异评分进行复核或书面说明理由。</w:t>
      </w:r>
    </w:p>
    <w:p w14:paraId="2AC88181">
      <w:pPr>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3.磋商响应文件的初审</w:t>
      </w:r>
    </w:p>
    <w:p w14:paraId="4DF089B2">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审查分为资格性检查和符合性检查。分别按照以下内容对响应文件进行检查，一项不合格即按照无效磋商处理。</w:t>
      </w:r>
    </w:p>
    <w:p w14:paraId="10E31D6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响应文件审查合格的为实质性响应磋商文件要求的供应商。</w:t>
      </w:r>
    </w:p>
    <w:p w14:paraId="2D4734C5">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3.1资格性检查（由</w:t>
      </w:r>
      <w:r>
        <w:rPr>
          <w:rFonts w:hint="eastAsia" w:ascii="宋体" w:hAnsi="宋体" w:cs="宋体"/>
          <w:b/>
          <w:bCs/>
          <w:color w:val="auto"/>
          <w:highlight w:val="none"/>
          <w:lang w:val="en-US" w:eastAsia="zh-CN"/>
        </w:rPr>
        <w:t>磋商小组</w:t>
      </w:r>
      <w:r>
        <w:rPr>
          <w:rFonts w:hint="eastAsia" w:ascii="宋体" w:hAnsi="宋体" w:eastAsia="宋体" w:cs="宋体"/>
          <w:b/>
          <w:bCs/>
          <w:color w:val="auto"/>
          <w:highlight w:val="none"/>
        </w:rPr>
        <w:t>审查）</w:t>
      </w:r>
    </w:p>
    <w:p w14:paraId="264E52AD">
      <w:pPr>
        <w:spacing w:line="420" w:lineRule="exact"/>
        <w:ind w:firstLine="496" w:firstLineChars="200"/>
        <w:rPr>
          <w:rFonts w:hint="eastAsia" w:ascii="宋体" w:hAnsi="宋体" w:eastAsia="宋体" w:cs="宋体"/>
          <w:color w:val="auto"/>
          <w:highlight w:val="none"/>
          <w:lang w:val="en-US"/>
        </w:rPr>
      </w:pPr>
      <w:r>
        <w:rPr>
          <w:rFonts w:hint="eastAsia" w:ascii="宋体" w:hAnsi="宋体" w:eastAsia="宋体" w:cs="宋体"/>
          <w:b w:val="0"/>
          <w:color w:val="auto"/>
          <w:spacing w:val="4"/>
          <w:kern w:val="2"/>
          <w:sz w:val="24"/>
          <w:szCs w:val="24"/>
          <w:highlight w:val="none"/>
          <w:lang w:val="en-US" w:eastAsia="zh-CN" w:bidi="ar-SA"/>
        </w:rPr>
        <w:t>开标结束后，由</w:t>
      </w:r>
      <w:r>
        <w:rPr>
          <w:rFonts w:hint="eastAsia" w:ascii="宋体" w:hAnsi="宋体" w:cs="宋体"/>
          <w:b/>
          <w:bCs/>
          <w:color w:val="auto"/>
          <w:highlight w:val="none"/>
          <w:lang w:val="en-US" w:eastAsia="zh-CN"/>
        </w:rPr>
        <w:t>磋商小组</w:t>
      </w:r>
      <w:r>
        <w:rPr>
          <w:rFonts w:hint="eastAsia" w:ascii="宋体" w:hAnsi="宋体" w:eastAsia="宋体" w:cs="宋体"/>
          <w:b w:val="0"/>
          <w:color w:val="auto"/>
          <w:spacing w:val="4"/>
          <w:kern w:val="2"/>
          <w:sz w:val="24"/>
          <w:szCs w:val="24"/>
          <w:highlight w:val="none"/>
          <w:lang w:val="en-US" w:eastAsia="zh-CN" w:bidi="ar-SA"/>
        </w:rPr>
        <w:t>依法对供应商的资格进行审查</w:t>
      </w:r>
      <w:bookmarkStart w:id="115" w:name="_GoBack"/>
      <w:bookmarkEnd w:id="115"/>
      <w:r>
        <w:rPr>
          <w:rFonts w:hint="eastAsia" w:ascii="宋体" w:hAnsi="宋体" w:eastAsia="宋体" w:cs="宋体"/>
          <w:b w:val="0"/>
          <w:color w:val="auto"/>
          <w:spacing w:val="4"/>
          <w:kern w:val="2"/>
          <w:sz w:val="24"/>
          <w:szCs w:val="24"/>
          <w:highlight w:val="none"/>
          <w:lang w:val="en-US" w:eastAsia="zh-CN" w:bidi="ar-SA"/>
        </w:rPr>
        <w:t>，以确保供应商是否具备相应资格（审查内容详见供应商须知前附表），合格供应商不足 3 家的，不得继续磋商,第二章第37项除外。</w:t>
      </w:r>
    </w:p>
    <w:p w14:paraId="2CC289FD">
      <w:pPr>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3.2符合性审查</w:t>
      </w:r>
    </w:p>
    <w:p w14:paraId="216E2C6D">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0"/>
        <w:tblW w:w="9064" w:type="dxa"/>
        <w:jc w:val="center"/>
        <w:tblLayout w:type="fixed"/>
        <w:tblCellMar>
          <w:top w:w="0" w:type="dxa"/>
          <w:left w:w="10" w:type="dxa"/>
          <w:bottom w:w="0" w:type="dxa"/>
          <w:right w:w="10" w:type="dxa"/>
        </w:tblCellMar>
      </w:tblPr>
      <w:tblGrid>
        <w:gridCol w:w="681"/>
        <w:gridCol w:w="2929"/>
        <w:gridCol w:w="5454"/>
      </w:tblGrid>
      <w:tr w14:paraId="467790E8">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1FFB56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ECA4F6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73574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67747587">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88E2E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785B66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29B6D9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供应商名称和公章、营业执照一致</w:t>
            </w:r>
          </w:p>
        </w:tc>
      </w:tr>
      <w:tr w14:paraId="559F589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F2156E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91CFF4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C51950">
            <w:pPr>
              <w:rPr>
                <w:rFonts w:hint="eastAsia" w:ascii="宋体" w:hAnsi="宋体" w:eastAsia="宋体" w:cs="宋体"/>
                <w:color w:val="auto"/>
                <w:highlight w:val="none"/>
              </w:rPr>
            </w:pPr>
            <w:r>
              <w:rPr>
                <w:rFonts w:hint="eastAsia" w:ascii="宋体" w:hAnsi="宋体" w:eastAsia="宋体" w:cs="宋体"/>
                <w:color w:val="auto"/>
                <w:highlight w:val="none"/>
              </w:rPr>
              <w:t>完整无缺项，无选择性报价；</w:t>
            </w:r>
          </w:p>
        </w:tc>
      </w:tr>
      <w:tr w14:paraId="415F1AC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ABF522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2C0E6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9E2A1E8">
            <w:pPr>
              <w:rPr>
                <w:rFonts w:hint="eastAsia" w:ascii="宋体" w:hAnsi="宋体" w:eastAsia="宋体" w:cs="宋体"/>
                <w:color w:val="auto"/>
                <w:highlight w:val="none"/>
              </w:rPr>
            </w:pPr>
            <w:r>
              <w:rPr>
                <w:rFonts w:hint="eastAsia" w:ascii="宋体" w:hAnsi="宋体" w:eastAsia="宋体" w:cs="宋体"/>
                <w:color w:val="auto"/>
                <w:highlight w:val="none"/>
              </w:rPr>
              <w:t>自磋商之日起不少于90个日历日</w:t>
            </w:r>
          </w:p>
        </w:tc>
      </w:tr>
      <w:tr w14:paraId="4BF6F74E">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A73C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E56EAA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CA678F7">
            <w:pPr>
              <w:rPr>
                <w:rFonts w:hint="eastAsia" w:ascii="宋体" w:hAnsi="宋体" w:eastAsia="宋体" w:cs="宋体"/>
                <w:color w:val="auto"/>
                <w:highlight w:val="none"/>
              </w:rPr>
            </w:pPr>
            <w:r>
              <w:rPr>
                <w:rFonts w:hint="eastAsia" w:ascii="宋体" w:hAnsi="宋体" w:eastAsia="宋体" w:cs="宋体"/>
                <w:color w:val="auto"/>
                <w:highlight w:val="none"/>
              </w:rPr>
              <w:t>响应文件的签字盖章合格有效；</w:t>
            </w:r>
          </w:p>
        </w:tc>
      </w:tr>
      <w:tr w14:paraId="636CEC4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A48462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EA544B4">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9AEA44">
            <w:pPr>
              <w:rPr>
                <w:rFonts w:hint="eastAsia" w:ascii="宋体" w:hAnsi="宋体" w:eastAsia="宋体" w:cs="宋体"/>
                <w:color w:val="auto"/>
                <w:highlight w:val="none"/>
              </w:rPr>
            </w:pPr>
            <w:r>
              <w:rPr>
                <w:rFonts w:hint="eastAsia" w:ascii="宋体" w:hAnsi="宋体" w:eastAsia="宋体" w:cs="宋体"/>
                <w:color w:val="auto"/>
                <w:highlight w:val="none"/>
              </w:rPr>
              <w:t>满足磋商文件要求</w:t>
            </w:r>
          </w:p>
        </w:tc>
      </w:tr>
      <w:tr w14:paraId="7F84796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AF79B8">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F46EC8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0F367F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满足磋商文件要求</w:t>
            </w:r>
          </w:p>
        </w:tc>
      </w:tr>
      <w:tr w14:paraId="642048F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55CD20D">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10618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中小企业声明函</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A8A7C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本项目为专门面向中小企业采购，须提供中小企业声明函</w:t>
            </w:r>
          </w:p>
        </w:tc>
      </w:tr>
      <w:tr w14:paraId="5814780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CC0057B">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C573">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3BADDD4">
            <w:p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无不符合法律法规或磋商文件规定的其他无效条款</w:t>
            </w:r>
          </w:p>
        </w:tc>
      </w:tr>
    </w:tbl>
    <w:p w14:paraId="04EA4E7A">
      <w:pPr>
        <w:spacing w:line="46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说明：以上各项有1项不合格，评审不予通过，作为未实质性响应磋商文件。</w:t>
      </w:r>
    </w:p>
    <w:p w14:paraId="44D9CD40">
      <w:pPr>
        <w:spacing w:line="46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3.2.2有下列情形之一的，视为供应商串通磋商，磋商小组应当认定其响应文件无效：</w:t>
      </w:r>
    </w:p>
    <w:p w14:paraId="08728319">
      <w:pPr>
        <w:numPr>
          <w:ilvl w:val="0"/>
          <w:numId w:val="4"/>
        </w:num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3206FA44">
      <w:pPr>
        <w:numPr>
          <w:ilvl w:val="0"/>
          <w:numId w:val="4"/>
        </w:num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不同供应商委托同一单位或者个人办理磋商事宜；</w:t>
      </w:r>
    </w:p>
    <w:p w14:paraId="32081A21">
      <w:pPr>
        <w:numPr>
          <w:ilvl w:val="0"/>
          <w:numId w:val="4"/>
        </w:num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不同供应商的响应文件由同一台电脑编制；</w:t>
      </w:r>
      <w:r>
        <w:rPr>
          <w:rFonts w:hint="eastAsia" w:ascii="宋体" w:hAnsi="宋体" w:eastAsia="宋体" w:cs="宋体"/>
          <w:color w:val="auto"/>
          <w:highlight w:val="none"/>
        </w:rPr>
        <w:t xml:space="preserve"> </w:t>
      </w:r>
    </w:p>
    <w:p w14:paraId="51C03A9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）不同供应商的响应文件载明的项目管理成员或者联系人员为同一人；</w:t>
      </w:r>
    </w:p>
    <w:p w14:paraId="025AB541">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）不同供应商的响应文件异常一致或者磋商报价呈规律性差异；</w:t>
      </w:r>
    </w:p>
    <w:p w14:paraId="189C7C8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）不同供应商的响应文件相互混装；</w:t>
      </w:r>
    </w:p>
    <w:p w14:paraId="7EC16C1B">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）不同供应商的磋商保证金从同一单位或者个人的账户转出。</w:t>
      </w:r>
    </w:p>
    <w:p w14:paraId="6FBE2063">
      <w:pPr>
        <w:spacing w:line="46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政府采购法律法规及磋商文件规定的其他情形。</w:t>
      </w:r>
    </w:p>
    <w:p w14:paraId="14C446D8">
      <w:pPr>
        <w:spacing w:line="460" w:lineRule="exact"/>
        <w:rPr>
          <w:rFonts w:hint="eastAsia" w:ascii="宋体" w:hAnsi="宋体" w:eastAsia="宋体" w:cs="宋体"/>
          <w:b/>
          <w:bCs/>
          <w:color w:val="auto"/>
          <w:kern w:val="0"/>
          <w:highlight w:val="none"/>
        </w:rPr>
      </w:pPr>
      <w:r>
        <w:rPr>
          <w:rFonts w:hint="eastAsia" w:ascii="宋体" w:hAnsi="宋体" w:eastAsia="宋体" w:cs="宋体"/>
          <w:b/>
          <w:bCs/>
          <w:color w:val="auto"/>
          <w:highlight w:val="none"/>
        </w:rPr>
        <w:t>3.2.3出现下列情况之一者（但不限于），磋商小组应按无效响应文件处理：</w:t>
      </w:r>
    </w:p>
    <w:p w14:paraId="4FCA610C">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供应商的磋商报价超过采购预算的；</w:t>
      </w:r>
    </w:p>
    <w:p w14:paraId="2DBD3C64">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供应商未经过正常渠道购买磋商文件，或供应商名称与购买磋商文件时登记的供应商名称不符的；</w:t>
      </w:r>
    </w:p>
    <w:p w14:paraId="237AC6BD">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供应商不具备资格条件的；</w:t>
      </w:r>
    </w:p>
    <w:p w14:paraId="000C4D20">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实质性内容不满足或未响应的（包括但不限于：</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、付款方式、主要技术指标等）；</w:t>
      </w:r>
    </w:p>
    <w:p w14:paraId="6BB600BC">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响应文件的有效性和符合性不符合要求的；</w:t>
      </w:r>
    </w:p>
    <w:p w14:paraId="3080B2D2">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供应商未按磋商文件要求签字、加盖公章的；</w:t>
      </w:r>
    </w:p>
    <w:p w14:paraId="79937521">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响应文件有涂改，涂改处未按磋商文件要求签字的；</w:t>
      </w:r>
    </w:p>
    <w:p w14:paraId="3500BDBE">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无磋商有效期或有效期不符合磋商文件要求的；</w:t>
      </w:r>
    </w:p>
    <w:p w14:paraId="180FA7FA">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供应商针对同一项目递交两份或多份内容不同的响应文件，未书面声明哪一份是有效的或出现选择性报价的；</w:t>
      </w:r>
    </w:p>
    <w:p w14:paraId="62ADDDAB">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提供虚假资质、虚假证明（包括第三方提供的虚假证明）、出现虚假应答的，除按无效响应文件处理外，还将按照政府采购的有关规定进行处罚；</w:t>
      </w:r>
    </w:p>
    <w:p w14:paraId="2D0DBE8D">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响应文件附加了采购人难以接受的条件或条款的；</w:t>
      </w:r>
    </w:p>
    <w:p w14:paraId="06E86E79">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供应商前期参与了本次项目方案设计的；</w:t>
      </w:r>
    </w:p>
    <w:p w14:paraId="69EEC79B">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在政府采购或其它重大项目履约过程中有不良记录，未能按期履约的；</w:t>
      </w:r>
    </w:p>
    <w:p w14:paraId="65D9ECF6">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磋商报价与市场价格偏离较大、低于成本、磋商小组认为形成不正当竞争的，且在规定时间内无法提供有效书面证明；</w:t>
      </w:r>
    </w:p>
    <w:p w14:paraId="6590AD79">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报价子目出现漏项或报价数量与磋商文件要求不符的；</w:t>
      </w:r>
    </w:p>
    <w:p w14:paraId="313F2000">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磋商项目的技术参数与磋商文件要求出现重大负偏差的或技术指标有漏项的；</w:t>
      </w:r>
    </w:p>
    <w:p w14:paraId="408BDDD3">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提供虚假技术参数；</w:t>
      </w:r>
    </w:p>
    <w:p w14:paraId="219284E6">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供应商未按磋商文件要求提交磋商保证金的；</w:t>
      </w:r>
    </w:p>
    <w:p w14:paraId="555C4FC3">
      <w:pPr>
        <w:numPr>
          <w:ilvl w:val="0"/>
          <w:numId w:val="5"/>
        </w:numPr>
        <w:spacing w:line="460" w:lineRule="exact"/>
        <w:ind w:left="845"/>
        <w:rPr>
          <w:rFonts w:hint="eastAsia" w:ascii="宋体" w:hAnsi="宋体" w:eastAsia="宋体" w:cs="宋体"/>
          <w:color w:val="auto"/>
          <w:highlight w:val="none"/>
        </w:rPr>
      </w:pPr>
      <w:r>
        <w:rPr>
          <w:rFonts w:hint="eastAsia" w:ascii="宋体" w:hAnsi="宋体" w:eastAsia="宋体" w:cs="宋体"/>
          <w:color w:val="auto"/>
          <w:highlight w:val="none"/>
        </w:rPr>
        <w:t>不符合法律、法规和磋商文件中规定的其他无效情形。</w:t>
      </w:r>
    </w:p>
    <w:p w14:paraId="684813EA">
      <w:pPr>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4.磋商澄清</w:t>
      </w:r>
    </w:p>
    <w:p w14:paraId="5F46571A">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4.1磋商小组有权就磋商响应文件中含混之处向上述步骤初审合格的磋商供应商提出询问或澄清要求；磋商供应商将有关询标澄清、补正、说明的内容应以书面形式提交；</w:t>
      </w:r>
    </w:p>
    <w:p w14:paraId="5C20F7D9">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41622B5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4.3磋商供应商对磋商响应文件的澄清不得改变磋商报价及实质内容。磋商时，磋商响应文件中出现下列情况，修正原则为：</w:t>
      </w:r>
    </w:p>
    <w:p w14:paraId="1C880380">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（1）磋商响应文件中响应报价表内容与磋商响应文件中明细内容不一致的，以响应报价表为准；</w:t>
      </w:r>
    </w:p>
    <w:p w14:paraId="1B457F7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highlight w:val="none"/>
        </w:rPr>
        <w:t>）磋商报价的大写金额和小写金额不一致的，以大写金额为准；</w:t>
      </w:r>
    </w:p>
    <w:p w14:paraId="762E81AE">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（3）总价金额与按单价汇总金额不一致的，以单价金额计算结果为准；</w:t>
      </w:r>
    </w:p>
    <w:p w14:paraId="5EF4D65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（4）单价金额小数点或者百分比有明显错位的，以</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总价为准，并修改单价；</w:t>
      </w:r>
    </w:p>
    <w:p w14:paraId="4A090D88">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（5）如果用文字表示的数值与用数字表示的数值不一致，以文字表示的值为准；</w:t>
      </w:r>
    </w:p>
    <w:p w14:paraId="350FB44C">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磋商文件正本与副本不一致的，以正本为准；</w:t>
      </w:r>
    </w:p>
    <w:p w14:paraId="6AEFE1D5">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）多处内容交叉不符时，以</w:t>
      </w:r>
      <w:r>
        <w:rPr>
          <w:rFonts w:hint="eastAsia" w:ascii="宋体" w:hAnsi="宋体" w:eastAsia="宋体" w:cs="宋体"/>
          <w:color w:val="auto"/>
          <w:highlight w:val="none"/>
          <w:lang w:val="en-US" w:eastAsia="zh-CN"/>
        </w:rPr>
        <w:t>磋商小组</w:t>
      </w:r>
      <w:r>
        <w:rPr>
          <w:rFonts w:hint="eastAsia" w:ascii="宋体" w:hAnsi="宋体" w:eastAsia="宋体" w:cs="宋体"/>
          <w:color w:val="auto"/>
          <w:highlight w:val="none"/>
        </w:rPr>
        <w:t>评审结果为准；</w:t>
      </w:r>
    </w:p>
    <w:p w14:paraId="15B90F8B">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）文字与图表不符时以文字为准；</w:t>
      </w:r>
    </w:p>
    <w:p w14:paraId="28BDFBBD">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14:paraId="77773B93">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报价明显低于其他通过符合性审查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应当将其作为无效投标处理。</w:t>
      </w:r>
    </w:p>
    <w:p w14:paraId="7DF1DE90">
      <w:pPr>
        <w:spacing w:line="46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5.推荐成交候选人</w:t>
      </w:r>
    </w:p>
    <w:p w14:paraId="30F1409F">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2C898C9C">
      <w:pPr>
        <w:spacing w:line="4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w:t>
      </w:r>
      <w:r>
        <w:rPr>
          <w:rFonts w:hint="eastAsia" w:ascii="宋体" w:hAnsi="宋体" w:eastAsia="宋体" w:cs="宋体"/>
          <w:color w:val="auto"/>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商务文件得分较高的优先。当一个供应商的综合得分在多个标段同时排名第一时，仅保留合同金额较大标段的中标资格，合同金额较小标段各供应商排序依次递补。</w:t>
      </w:r>
    </w:p>
    <w:p w14:paraId="65481B6C">
      <w:pPr>
        <w:spacing w:line="46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6.评审方法及内容</w:t>
      </w:r>
    </w:p>
    <w:p w14:paraId="08C395ED">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6.1采用综合评分法</w:t>
      </w:r>
    </w:p>
    <w:p w14:paraId="33D5D5C5">
      <w:pPr>
        <w:pStyle w:val="2"/>
        <w:rPr>
          <w:rFonts w:hint="eastAsia" w:ascii="宋体" w:hAnsi="宋体" w:eastAsia="宋体" w:cs="宋体"/>
          <w:color w:val="auto"/>
          <w:highlight w:val="none"/>
          <w:vertAlign w:val="baseline"/>
        </w:rPr>
      </w:pPr>
      <w:r>
        <w:rPr>
          <w:rFonts w:hint="eastAsia" w:ascii="宋体" w:hAnsi="宋体" w:eastAsia="宋体" w:cs="宋体"/>
          <w:color w:val="auto"/>
          <w:kern w:val="2"/>
          <w:sz w:val="24"/>
          <w:szCs w:val="24"/>
          <w:highlight w:val="none"/>
          <w:lang w:val="en-US" w:eastAsia="zh-CN" w:bidi="ar-SA"/>
        </w:rPr>
        <w:t>6.2评审指标分值构成（总计100分）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080"/>
        <w:gridCol w:w="1185"/>
        <w:gridCol w:w="6213"/>
      </w:tblGrid>
      <w:tr w14:paraId="16F0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shd w:val="clear" w:color="auto" w:fill="auto"/>
            <w:vAlign w:val="center"/>
          </w:tcPr>
          <w:p w14:paraId="4D76741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序号</w:t>
            </w:r>
          </w:p>
        </w:tc>
        <w:tc>
          <w:tcPr>
            <w:tcW w:w="1080" w:type="dxa"/>
            <w:shd w:val="clear" w:color="auto" w:fill="auto"/>
            <w:vAlign w:val="top"/>
          </w:tcPr>
          <w:p w14:paraId="30D3D04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评分因素</w:t>
            </w:r>
          </w:p>
        </w:tc>
        <w:tc>
          <w:tcPr>
            <w:tcW w:w="1185" w:type="dxa"/>
            <w:shd w:val="clear" w:color="auto" w:fill="auto"/>
            <w:vAlign w:val="top"/>
          </w:tcPr>
          <w:p w14:paraId="499F2E08">
            <w:pPr>
              <w:spacing w:line="360" w:lineRule="auto"/>
              <w:ind w:left="480" w:leftChars="0" w:hanging="480" w:hanging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分值</w:t>
            </w:r>
          </w:p>
        </w:tc>
        <w:tc>
          <w:tcPr>
            <w:tcW w:w="6213" w:type="dxa"/>
            <w:shd w:val="clear" w:color="auto" w:fill="auto"/>
            <w:vAlign w:val="top"/>
          </w:tcPr>
          <w:p w14:paraId="36B1F874">
            <w:pPr>
              <w:spacing w:line="360" w:lineRule="auto"/>
              <w:ind w:left="480" w:leftChars="0" w:hanging="480" w:hanging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评分标准</w:t>
            </w:r>
          </w:p>
        </w:tc>
      </w:tr>
      <w:tr w14:paraId="18C3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shd w:val="clear" w:color="auto" w:fill="auto"/>
            <w:vAlign w:val="center"/>
          </w:tcPr>
          <w:p w14:paraId="4739362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1</w:t>
            </w:r>
          </w:p>
        </w:tc>
        <w:tc>
          <w:tcPr>
            <w:tcW w:w="1080" w:type="dxa"/>
            <w:shd w:val="clear" w:color="auto" w:fill="auto"/>
            <w:vAlign w:val="center"/>
          </w:tcPr>
          <w:p w14:paraId="55ACD88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价格</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tc>
        <w:tc>
          <w:tcPr>
            <w:tcW w:w="1185" w:type="dxa"/>
            <w:shd w:val="clear" w:color="auto" w:fill="auto"/>
            <w:vAlign w:val="center"/>
          </w:tcPr>
          <w:p w14:paraId="5CC702F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10分</w:t>
            </w:r>
          </w:p>
        </w:tc>
        <w:tc>
          <w:tcPr>
            <w:tcW w:w="6213" w:type="dxa"/>
            <w:shd w:val="clear" w:color="auto" w:fill="auto"/>
            <w:vAlign w:val="center"/>
          </w:tcPr>
          <w:p w14:paraId="590ABE7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价格最低的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基准价，其价格为10分。其他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的价格分按照下列公式计算：</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报价）×10%×100。</w:t>
            </w:r>
            <w:r>
              <w:rPr>
                <w:rFonts w:hint="eastAsia" w:ascii="宋体" w:hAnsi="宋体" w:eastAsia="宋体" w:cs="宋体"/>
                <w:bCs/>
                <w:color w:val="auto"/>
                <w:sz w:val="24"/>
                <w:szCs w:val="24"/>
                <w:highlight w:val="none"/>
              </w:rPr>
              <w:t>小数点后保留2位，四舍五入</w:t>
            </w:r>
            <w:r>
              <w:rPr>
                <w:rFonts w:hint="eastAsia" w:ascii="宋体" w:hAnsi="宋体" w:eastAsia="宋体" w:cs="宋体"/>
                <w:bCs/>
                <w:color w:val="auto"/>
                <w:sz w:val="24"/>
                <w:szCs w:val="24"/>
                <w:highlight w:val="none"/>
                <w:lang w:eastAsia="zh-CN"/>
              </w:rPr>
              <w:t>。</w:t>
            </w:r>
          </w:p>
          <w:p w14:paraId="539EA5D4">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文件规定的小微企业、监狱企业、残疾人福利性单位优惠条件的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，价格给予10%的扣除</w:t>
            </w:r>
            <w:r>
              <w:rPr>
                <w:rFonts w:hint="eastAsia" w:ascii="宋体" w:hAnsi="宋体" w:eastAsia="宋体" w:cs="宋体"/>
                <w:color w:val="auto"/>
                <w:sz w:val="24"/>
                <w:szCs w:val="24"/>
                <w:highlight w:val="none"/>
                <w:lang w:eastAsia="zh-CN"/>
              </w:rPr>
              <w:t>。</w:t>
            </w:r>
          </w:p>
          <w:p w14:paraId="5F75E86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本项目为专门面向中小企业采购的采购项目，不再执行价格评审优惠扶持政策。</w:t>
            </w:r>
          </w:p>
        </w:tc>
      </w:tr>
      <w:tr w14:paraId="14DF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shd w:val="clear" w:color="auto" w:fill="auto"/>
            <w:vAlign w:val="center"/>
          </w:tcPr>
          <w:p w14:paraId="12AAAC8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p>
        </w:tc>
        <w:tc>
          <w:tcPr>
            <w:tcW w:w="1080" w:type="dxa"/>
            <w:vMerge w:val="restart"/>
            <w:shd w:val="clear" w:color="auto" w:fill="auto"/>
            <w:vAlign w:val="center"/>
          </w:tcPr>
          <w:p w14:paraId="3E62D4A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服务方案（</w:t>
            </w:r>
            <w:r>
              <w:rPr>
                <w:rFonts w:hint="eastAsia" w:ascii="宋体" w:hAnsi="宋体" w:cs="宋体"/>
                <w:color w:val="auto"/>
                <w:sz w:val="24"/>
                <w:highlight w:val="none"/>
                <w:lang w:val="en-US" w:eastAsia="zh-CN"/>
              </w:rPr>
              <w:t>46</w:t>
            </w:r>
            <w:r>
              <w:rPr>
                <w:rFonts w:hint="eastAsia" w:ascii="宋体" w:hAnsi="宋体" w:eastAsia="宋体" w:cs="宋体"/>
                <w:color w:val="auto"/>
                <w:sz w:val="24"/>
                <w:highlight w:val="none"/>
              </w:rPr>
              <w:t>分）</w:t>
            </w:r>
          </w:p>
        </w:tc>
        <w:tc>
          <w:tcPr>
            <w:tcW w:w="1185" w:type="dxa"/>
            <w:shd w:val="clear" w:color="auto" w:fill="auto"/>
            <w:vAlign w:val="center"/>
          </w:tcPr>
          <w:p w14:paraId="2DCD075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10分</w:t>
            </w:r>
          </w:p>
        </w:tc>
        <w:tc>
          <w:tcPr>
            <w:tcW w:w="6213" w:type="dxa"/>
            <w:shd w:val="clear" w:color="auto" w:fill="auto"/>
            <w:vAlign w:val="center"/>
          </w:tcPr>
          <w:p w14:paraId="36E0639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8"/>
                <w:sz w:val="23"/>
                <w:szCs w:val="23"/>
                <w:highlight w:val="none"/>
                <w:lang w:val="en-US" w:eastAsia="zh-CN"/>
              </w:rPr>
              <w:t>1、</w:t>
            </w:r>
            <w:r>
              <w:rPr>
                <w:rFonts w:hint="eastAsia" w:ascii="宋体" w:hAnsi="宋体" w:eastAsia="宋体" w:cs="宋体"/>
                <w:color w:val="auto"/>
                <w:spacing w:val="8"/>
                <w:sz w:val="23"/>
                <w:szCs w:val="23"/>
                <w:highlight w:val="none"/>
              </w:rPr>
              <w:t>针对本项目服务对象、项目特点进行分析，根据</w:t>
            </w:r>
            <w:r>
              <w:rPr>
                <w:rFonts w:hint="eastAsia" w:ascii="宋体" w:hAnsi="宋体" w:eastAsia="宋体" w:cs="宋体"/>
                <w:color w:val="auto"/>
                <w:spacing w:val="1"/>
                <w:sz w:val="23"/>
                <w:szCs w:val="23"/>
                <w:highlight w:val="none"/>
              </w:rPr>
              <w:t>对本项目的分析情况制定服务方案，</w:t>
            </w:r>
            <w:r>
              <w:rPr>
                <w:rFonts w:hint="eastAsia" w:ascii="宋体" w:hAnsi="宋体" w:eastAsia="宋体" w:cs="宋体"/>
                <w:color w:val="auto"/>
                <w:sz w:val="24"/>
                <w:highlight w:val="none"/>
              </w:rPr>
              <w:t>内容全面详细、安全可靠；方案合理可行，考虑充分的计</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分；方案合理，可行性欠缺的计4-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分；方案不全，不便于操作的计</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分，未提供的不计分。</w:t>
            </w:r>
          </w:p>
        </w:tc>
      </w:tr>
      <w:tr w14:paraId="091A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Pr>
          <w:p w14:paraId="6FDC56B6">
            <w:pPr>
              <w:pStyle w:val="2"/>
              <w:rPr>
                <w:rFonts w:hint="eastAsia" w:ascii="宋体" w:hAnsi="宋体" w:eastAsia="宋体" w:cs="宋体"/>
                <w:color w:val="auto"/>
                <w:highlight w:val="none"/>
                <w:vertAlign w:val="baseline"/>
              </w:rPr>
            </w:pPr>
          </w:p>
        </w:tc>
        <w:tc>
          <w:tcPr>
            <w:tcW w:w="1080" w:type="dxa"/>
            <w:vMerge w:val="continue"/>
          </w:tcPr>
          <w:p w14:paraId="385E247C">
            <w:pPr>
              <w:pStyle w:val="2"/>
              <w:rPr>
                <w:rFonts w:hint="eastAsia" w:ascii="宋体" w:hAnsi="宋体" w:eastAsia="宋体" w:cs="宋体"/>
                <w:color w:val="auto"/>
                <w:highlight w:val="none"/>
                <w:vertAlign w:val="baseline"/>
              </w:rPr>
            </w:pPr>
          </w:p>
        </w:tc>
        <w:tc>
          <w:tcPr>
            <w:tcW w:w="1185" w:type="dxa"/>
            <w:shd w:val="clear" w:color="auto" w:fill="auto"/>
            <w:vAlign w:val="center"/>
          </w:tcPr>
          <w:p w14:paraId="2EAACFE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10分</w:t>
            </w:r>
          </w:p>
        </w:tc>
        <w:tc>
          <w:tcPr>
            <w:tcW w:w="6213" w:type="dxa"/>
            <w:shd w:val="clear" w:color="auto" w:fill="auto"/>
            <w:vAlign w:val="center"/>
          </w:tcPr>
          <w:p w14:paraId="27B5AB3D">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pacing w:val="8"/>
                <w:sz w:val="23"/>
                <w:szCs w:val="23"/>
                <w:highlight w:val="none"/>
              </w:rPr>
              <w:t>针对本项目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提供的食材</w:t>
            </w:r>
            <w:r>
              <w:rPr>
                <w:rFonts w:hint="eastAsia" w:ascii="宋体" w:hAnsi="宋体" w:eastAsia="宋体" w:cs="宋体"/>
                <w:color w:val="auto"/>
                <w:sz w:val="24"/>
                <w:highlight w:val="none"/>
                <w:lang w:eastAsia="zh-CN"/>
              </w:rPr>
              <w:t>存储</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、存储设备</w:t>
            </w:r>
            <w:r>
              <w:rPr>
                <w:rFonts w:hint="eastAsia" w:ascii="宋体" w:hAnsi="宋体" w:eastAsia="宋体" w:cs="宋体"/>
                <w:color w:val="auto"/>
                <w:sz w:val="24"/>
                <w:highlight w:val="none"/>
              </w:rPr>
              <w:t>等内容</w:t>
            </w:r>
            <w:r>
              <w:rPr>
                <w:rFonts w:hint="eastAsia" w:ascii="宋体" w:hAnsi="宋体" w:eastAsia="宋体" w:cs="宋体"/>
                <w:color w:val="auto"/>
                <w:highlight w:val="none"/>
              </w:rPr>
              <w:t>。</w:t>
            </w:r>
            <w:r>
              <w:rPr>
                <w:rFonts w:hint="eastAsia" w:ascii="宋体" w:hAnsi="宋体" w:eastAsia="宋体" w:cs="宋体"/>
                <w:color w:val="auto"/>
                <w:sz w:val="24"/>
                <w:highlight w:val="none"/>
              </w:rPr>
              <w:t>方案合理可行，考虑充分的计</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分；方案合理，可行性欠缺的计4-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分；方案不全，不便于操作的计</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分，未提供的不计分。</w:t>
            </w:r>
          </w:p>
        </w:tc>
      </w:tr>
      <w:tr w14:paraId="67F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Pr>
          <w:p w14:paraId="578DC554">
            <w:pPr>
              <w:pStyle w:val="2"/>
              <w:rPr>
                <w:rFonts w:hint="eastAsia" w:ascii="宋体" w:hAnsi="宋体" w:eastAsia="宋体" w:cs="宋体"/>
                <w:color w:val="auto"/>
                <w:highlight w:val="none"/>
                <w:vertAlign w:val="baseline"/>
              </w:rPr>
            </w:pPr>
          </w:p>
        </w:tc>
        <w:tc>
          <w:tcPr>
            <w:tcW w:w="1080" w:type="dxa"/>
            <w:vMerge w:val="continue"/>
          </w:tcPr>
          <w:p w14:paraId="5BCA5017">
            <w:pPr>
              <w:pStyle w:val="2"/>
              <w:rPr>
                <w:rFonts w:hint="eastAsia" w:ascii="宋体" w:hAnsi="宋体" w:eastAsia="宋体" w:cs="宋体"/>
                <w:color w:val="auto"/>
                <w:highlight w:val="none"/>
                <w:vertAlign w:val="baseline"/>
              </w:rPr>
            </w:pPr>
          </w:p>
        </w:tc>
        <w:tc>
          <w:tcPr>
            <w:tcW w:w="1185" w:type="dxa"/>
            <w:shd w:val="clear" w:color="auto" w:fill="auto"/>
            <w:vAlign w:val="center"/>
          </w:tcPr>
          <w:p w14:paraId="50D6F04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10分</w:t>
            </w:r>
          </w:p>
        </w:tc>
        <w:tc>
          <w:tcPr>
            <w:tcW w:w="6213" w:type="dxa"/>
            <w:shd w:val="clear" w:color="auto" w:fill="auto"/>
            <w:vAlign w:val="center"/>
          </w:tcPr>
          <w:p w14:paraId="3897A62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针对</w:t>
            </w:r>
            <w:r>
              <w:rPr>
                <w:rFonts w:hint="eastAsia" w:ascii="宋体" w:hAnsi="宋体" w:eastAsia="宋体" w:cs="宋体"/>
                <w:color w:val="auto"/>
                <w:sz w:val="24"/>
                <w:highlight w:val="none"/>
              </w:rPr>
              <w:t>本项目的保障管理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饭菜品种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安全卫生等内容编制保障方案</w:t>
            </w:r>
            <w:r>
              <w:rPr>
                <w:rFonts w:hint="eastAsia" w:ascii="宋体" w:hAnsi="宋体" w:eastAsia="宋体" w:cs="宋体"/>
                <w:color w:val="auto"/>
                <w:highlight w:val="none"/>
              </w:rPr>
              <w:t>，</w:t>
            </w:r>
            <w:r>
              <w:rPr>
                <w:rFonts w:hint="eastAsia" w:ascii="宋体" w:hAnsi="宋体" w:eastAsia="宋体" w:cs="宋体"/>
                <w:color w:val="auto"/>
                <w:sz w:val="24"/>
                <w:highlight w:val="none"/>
              </w:rPr>
              <w:t>方案合理可行，考虑充分的计</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分；方案合理，可行性欠缺的计4-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分；方案不全，不便于操作的计</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分，未提供的不计分。</w:t>
            </w:r>
          </w:p>
        </w:tc>
      </w:tr>
      <w:tr w14:paraId="5027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Pr>
          <w:p w14:paraId="08B3E20D">
            <w:pPr>
              <w:pStyle w:val="2"/>
              <w:rPr>
                <w:rFonts w:hint="eastAsia" w:ascii="宋体" w:hAnsi="宋体" w:eastAsia="宋体" w:cs="宋体"/>
                <w:color w:val="auto"/>
                <w:highlight w:val="none"/>
                <w:vertAlign w:val="baseline"/>
              </w:rPr>
            </w:pPr>
          </w:p>
        </w:tc>
        <w:tc>
          <w:tcPr>
            <w:tcW w:w="1080" w:type="dxa"/>
            <w:vMerge w:val="continue"/>
          </w:tcPr>
          <w:p w14:paraId="7F529164">
            <w:pPr>
              <w:pStyle w:val="2"/>
              <w:rPr>
                <w:rFonts w:hint="eastAsia" w:ascii="宋体" w:hAnsi="宋体" w:eastAsia="宋体" w:cs="宋体"/>
                <w:color w:val="auto"/>
                <w:highlight w:val="none"/>
                <w:vertAlign w:val="baseline"/>
              </w:rPr>
            </w:pPr>
          </w:p>
        </w:tc>
        <w:tc>
          <w:tcPr>
            <w:tcW w:w="1185" w:type="dxa"/>
            <w:shd w:val="clear" w:color="auto" w:fill="auto"/>
            <w:vAlign w:val="center"/>
          </w:tcPr>
          <w:p w14:paraId="26A53F4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8分</w:t>
            </w:r>
          </w:p>
        </w:tc>
        <w:tc>
          <w:tcPr>
            <w:tcW w:w="6213" w:type="dxa"/>
            <w:shd w:val="clear" w:color="auto" w:fill="auto"/>
            <w:vAlign w:val="center"/>
          </w:tcPr>
          <w:p w14:paraId="77CFECC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pacing w:val="8"/>
                <w:sz w:val="23"/>
                <w:szCs w:val="23"/>
                <w:highlight w:val="none"/>
              </w:rPr>
              <w:t>针对本项目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针对中国传统习俗、节日，不同人群服务特点等提供的特色服务保障方案</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rPr>
              <w:t>方案合理、可行、全面得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分；方案基本合理可行，但内容不全得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分；方案欠缺、不利于实施得0-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未提供</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4DD2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Pr>
          <w:p w14:paraId="53C09613">
            <w:pPr>
              <w:pStyle w:val="2"/>
              <w:rPr>
                <w:rFonts w:hint="eastAsia" w:ascii="宋体" w:hAnsi="宋体" w:eastAsia="宋体" w:cs="宋体"/>
                <w:color w:val="auto"/>
                <w:highlight w:val="none"/>
                <w:vertAlign w:val="baseline"/>
              </w:rPr>
            </w:pPr>
          </w:p>
        </w:tc>
        <w:tc>
          <w:tcPr>
            <w:tcW w:w="1080" w:type="dxa"/>
            <w:vMerge w:val="continue"/>
          </w:tcPr>
          <w:p w14:paraId="7735453A">
            <w:pPr>
              <w:pStyle w:val="2"/>
              <w:rPr>
                <w:rFonts w:hint="eastAsia" w:ascii="宋体" w:hAnsi="宋体" w:eastAsia="宋体" w:cs="宋体"/>
                <w:color w:val="auto"/>
                <w:highlight w:val="none"/>
                <w:vertAlign w:val="baseline"/>
              </w:rPr>
            </w:pPr>
          </w:p>
        </w:tc>
        <w:tc>
          <w:tcPr>
            <w:tcW w:w="1185" w:type="dxa"/>
            <w:vAlign w:val="center"/>
          </w:tcPr>
          <w:p w14:paraId="37FE9A2B">
            <w:pPr>
              <w:spacing w:line="360" w:lineRule="auto"/>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lang w:val="en-US" w:eastAsia="zh-CN"/>
              </w:rPr>
              <w:t>8分</w:t>
            </w:r>
          </w:p>
        </w:tc>
        <w:tc>
          <w:tcPr>
            <w:tcW w:w="6213" w:type="dxa"/>
            <w:vAlign w:val="center"/>
          </w:tcPr>
          <w:p w14:paraId="76FF3DE0">
            <w:pPr>
              <w:spacing w:line="360" w:lineRule="auto"/>
              <w:jc w:val="left"/>
              <w:rPr>
                <w:rFonts w:hint="eastAsia" w:ascii="宋体" w:hAnsi="宋体" w:eastAsia="宋体" w:cs="宋体"/>
                <w:color w:val="auto"/>
                <w:highlight w:val="none"/>
                <w:vertAlign w:val="baseli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8"/>
                <w:sz w:val="23"/>
                <w:szCs w:val="23"/>
                <w:highlight w:val="none"/>
              </w:rPr>
              <w:t>针对本项目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rPr>
              <w:t>突发情况处置，包括停水、停电、停气应急预案，食物中毒应急预案，消防安全突发事件应急预案等</w:t>
            </w:r>
            <w:r>
              <w:rPr>
                <w:rFonts w:hint="eastAsia" w:ascii="宋体" w:hAnsi="宋体" w:eastAsia="宋体" w:cs="宋体"/>
                <w:color w:val="auto"/>
                <w:sz w:val="24"/>
                <w:highlight w:val="none"/>
                <w:lang w:val="en-US" w:eastAsia="zh-CN"/>
              </w:rPr>
              <w:t>提供应急方案，</w:t>
            </w:r>
            <w:r>
              <w:rPr>
                <w:rFonts w:hint="eastAsia" w:ascii="宋体" w:hAnsi="宋体" w:eastAsia="宋体" w:cs="宋体"/>
                <w:color w:val="auto"/>
                <w:highlight w:val="none"/>
              </w:rPr>
              <w:t>方案合理、可行、全面得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分；方案基本合理可行，但内容不全得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分；方案欠缺、不利于实施得0-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未提供</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bl>
    <w:p w14:paraId="2D95AF44">
      <w:pPr>
        <w:pStyle w:val="2"/>
        <w:rPr>
          <w:rFonts w:hint="eastAsia" w:ascii="宋体" w:hAnsi="宋体" w:eastAsia="宋体" w:cs="宋体"/>
          <w:color w:val="auto"/>
          <w:highlight w:val="none"/>
        </w:rPr>
      </w:pPr>
    </w:p>
    <w:tbl>
      <w:tblPr>
        <w:tblStyle w:val="30"/>
        <w:tblpPr w:leftFromText="180" w:rightFromText="180" w:vertAnchor="text" w:horzAnchor="page" w:tblpX="1359" w:tblpY="66"/>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3884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36" w:type="dxa"/>
            <w:vMerge w:val="restart"/>
            <w:vAlign w:val="center"/>
          </w:tcPr>
          <w:p w14:paraId="22BAEB8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p w14:paraId="2CA27D44">
            <w:pPr>
              <w:spacing w:line="360" w:lineRule="auto"/>
              <w:jc w:val="left"/>
              <w:rPr>
                <w:rFonts w:hint="eastAsia" w:ascii="宋体" w:hAnsi="宋体" w:eastAsia="宋体" w:cs="宋体"/>
                <w:color w:val="auto"/>
                <w:highlight w:val="none"/>
              </w:rPr>
            </w:pPr>
          </w:p>
        </w:tc>
        <w:tc>
          <w:tcPr>
            <w:tcW w:w="1264" w:type="dxa"/>
            <w:vMerge w:val="restart"/>
            <w:vAlign w:val="center"/>
          </w:tcPr>
          <w:p w14:paraId="673BCBC1">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质量保障（</w:t>
            </w:r>
            <w:r>
              <w:rPr>
                <w:rFonts w:hint="eastAsia" w:ascii="宋体" w:hAnsi="宋体" w:cs="宋体"/>
                <w:color w:val="auto"/>
                <w:highlight w:val="none"/>
                <w:lang w:val="en-US" w:eastAsia="zh-CN"/>
              </w:rPr>
              <w:t>19</w:t>
            </w:r>
            <w:r>
              <w:rPr>
                <w:rFonts w:hint="eastAsia" w:ascii="宋体" w:hAnsi="宋体" w:eastAsia="宋体" w:cs="宋体"/>
                <w:color w:val="auto"/>
                <w:highlight w:val="none"/>
                <w:lang w:val="en-US" w:eastAsia="zh-CN"/>
              </w:rPr>
              <w:t>分）</w:t>
            </w:r>
          </w:p>
        </w:tc>
        <w:tc>
          <w:tcPr>
            <w:tcW w:w="917" w:type="dxa"/>
            <w:vAlign w:val="center"/>
          </w:tcPr>
          <w:p w14:paraId="13C190F5">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3分</w:t>
            </w:r>
          </w:p>
        </w:tc>
        <w:tc>
          <w:tcPr>
            <w:tcW w:w="6501" w:type="dxa"/>
            <w:vAlign w:val="center"/>
          </w:tcPr>
          <w:p w14:paraId="12EF4EA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具有有效的质量管理体系认证证书、环境管理体系认证证书、职业健康安全管理体系认证证书、，每项得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分，最高得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r>
      <w:tr w14:paraId="0406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36" w:type="dxa"/>
            <w:vMerge w:val="continue"/>
            <w:vAlign w:val="center"/>
          </w:tcPr>
          <w:p w14:paraId="34BAD090">
            <w:pPr>
              <w:spacing w:line="360" w:lineRule="auto"/>
              <w:jc w:val="left"/>
              <w:rPr>
                <w:rFonts w:hint="eastAsia" w:ascii="宋体" w:hAnsi="宋体" w:eastAsia="宋体" w:cs="宋体"/>
                <w:color w:val="auto"/>
                <w:highlight w:val="none"/>
              </w:rPr>
            </w:pPr>
          </w:p>
        </w:tc>
        <w:tc>
          <w:tcPr>
            <w:tcW w:w="1264" w:type="dxa"/>
            <w:vMerge w:val="continue"/>
            <w:vAlign w:val="center"/>
          </w:tcPr>
          <w:p w14:paraId="31E85079">
            <w:pPr>
              <w:spacing w:line="360" w:lineRule="auto"/>
              <w:jc w:val="center"/>
              <w:rPr>
                <w:rFonts w:hint="eastAsia" w:ascii="宋体" w:hAnsi="宋体" w:eastAsia="宋体" w:cs="宋体"/>
                <w:color w:val="auto"/>
                <w:highlight w:val="none"/>
                <w:lang w:val="en-US" w:eastAsia="zh-CN"/>
              </w:rPr>
            </w:pPr>
          </w:p>
        </w:tc>
        <w:tc>
          <w:tcPr>
            <w:tcW w:w="917" w:type="dxa"/>
            <w:vAlign w:val="center"/>
          </w:tcPr>
          <w:p w14:paraId="3FD10430">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8分</w:t>
            </w:r>
          </w:p>
        </w:tc>
        <w:tc>
          <w:tcPr>
            <w:tcW w:w="6501" w:type="dxa"/>
            <w:vAlign w:val="center"/>
          </w:tcPr>
          <w:p w14:paraId="0326B994">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kern w:val="2"/>
                <w:sz w:val="24"/>
                <w:szCs w:val="24"/>
                <w:highlight w:val="none"/>
                <w:lang w:val="en-US" w:eastAsia="zh-CN" w:bidi="ar-SA"/>
              </w:rPr>
              <w:t>、针对本项目拟投入的人员配置科学合理，职责分工明确，厨师长、厨师、面点师、西点师、配菜员等所有人员必须持有健康证，每提供1个证书得0.5分，本项最高得8分。（需提供相关证明材料）</w:t>
            </w:r>
          </w:p>
        </w:tc>
      </w:tr>
      <w:tr w14:paraId="2195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6" w:type="dxa"/>
            <w:vMerge w:val="continue"/>
            <w:vAlign w:val="center"/>
          </w:tcPr>
          <w:p w14:paraId="0FA4B486">
            <w:pPr>
              <w:spacing w:line="360" w:lineRule="auto"/>
              <w:jc w:val="left"/>
              <w:rPr>
                <w:rFonts w:hint="eastAsia" w:ascii="宋体" w:hAnsi="宋体" w:eastAsia="宋体" w:cs="宋体"/>
                <w:color w:val="auto"/>
                <w:highlight w:val="none"/>
              </w:rPr>
            </w:pPr>
          </w:p>
        </w:tc>
        <w:tc>
          <w:tcPr>
            <w:tcW w:w="1264" w:type="dxa"/>
            <w:vMerge w:val="continue"/>
            <w:vAlign w:val="center"/>
          </w:tcPr>
          <w:p w14:paraId="6E6D2C4F">
            <w:pPr>
              <w:spacing w:line="360" w:lineRule="auto"/>
              <w:jc w:val="center"/>
              <w:rPr>
                <w:rFonts w:hint="eastAsia" w:ascii="宋体" w:hAnsi="宋体" w:eastAsia="宋体" w:cs="宋体"/>
                <w:color w:val="auto"/>
                <w:highlight w:val="none"/>
              </w:rPr>
            </w:pPr>
          </w:p>
        </w:tc>
        <w:tc>
          <w:tcPr>
            <w:tcW w:w="917" w:type="dxa"/>
            <w:vAlign w:val="center"/>
          </w:tcPr>
          <w:p w14:paraId="22181ED9">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c>
          <w:tcPr>
            <w:tcW w:w="6501" w:type="dxa"/>
            <w:vAlign w:val="center"/>
          </w:tcPr>
          <w:p w14:paraId="201F1DC4">
            <w:pPr>
              <w:spacing w:line="360" w:lineRule="auto"/>
              <w:jc w:val="left"/>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zh-CN"/>
              </w:rPr>
              <w:t>具有良好的内控制度和健全的人员管理制度。具有岗位工作标准、服务质量标准、作业流程等方面及保密制度、廉洁敬业制度、具有员工日常管理办法奖惩制度、请销假制度、包含仪容仪表的要求编制制度。</w:t>
            </w:r>
          </w:p>
          <w:p w14:paraId="08701F53">
            <w:pPr>
              <w:spacing w:line="360" w:lineRule="auto"/>
              <w:jc w:val="left"/>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管理制度全面、有效、规范、可行，得</w:t>
            </w:r>
            <w:r>
              <w:rPr>
                <w:rFonts w:hint="eastAsia" w:ascii="宋体" w:hAnsi="宋体" w:cs="宋体"/>
                <w:color w:val="auto"/>
                <w:kern w:val="2"/>
                <w:sz w:val="24"/>
                <w:szCs w:val="24"/>
                <w:highlight w:val="none"/>
                <w:lang w:val="en-US" w:eastAsia="zh-CN" w:bidi="zh-CN"/>
              </w:rPr>
              <w:t>5</w:t>
            </w:r>
            <w:r>
              <w:rPr>
                <w:rFonts w:hint="eastAsia" w:ascii="宋体" w:hAnsi="宋体" w:eastAsia="宋体" w:cs="宋体"/>
                <w:color w:val="auto"/>
                <w:kern w:val="2"/>
                <w:sz w:val="24"/>
                <w:szCs w:val="24"/>
                <w:highlight w:val="none"/>
                <w:lang w:val="en-US" w:eastAsia="zh-CN" w:bidi="zh-CN"/>
              </w:rPr>
              <w:t>-</w:t>
            </w:r>
            <w:r>
              <w:rPr>
                <w:rFonts w:hint="eastAsia" w:ascii="宋体" w:hAnsi="宋体" w:cs="宋体"/>
                <w:color w:val="auto"/>
                <w:kern w:val="2"/>
                <w:sz w:val="24"/>
                <w:szCs w:val="24"/>
                <w:highlight w:val="none"/>
                <w:lang w:val="en-US" w:eastAsia="zh-CN" w:bidi="zh-CN"/>
              </w:rPr>
              <w:t>8</w:t>
            </w:r>
            <w:r>
              <w:rPr>
                <w:rFonts w:hint="eastAsia" w:ascii="宋体" w:hAnsi="宋体" w:eastAsia="宋体" w:cs="宋体"/>
                <w:color w:val="auto"/>
                <w:kern w:val="2"/>
                <w:sz w:val="24"/>
                <w:szCs w:val="24"/>
                <w:highlight w:val="none"/>
                <w:lang w:val="en-US" w:eastAsia="zh-CN" w:bidi="zh-CN"/>
              </w:rPr>
              <w:t>分；</w:t>
            </w:r>
          </w:p>
          <w:p w14:paraId="68909C26">
            <w:pPr>
              <w:spacing w:line="360" w:lineRule="auto"/>
              <w:jc w:val="left"/>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管理制度有效、可行，得</w:t>
            </w:r>
            <w:r>
              <w:rPr>
                <w:rFonts w:hint="eastAsia" w:ascii="宋体" w:hAnsi="宋体" w:cs="宋体"/>
                <w:color w:val="auto"/>
                <w:kern w:val="2"/>
                <w:sz w:val="24"/>
                <w:szCs w:val="24"/>
                <w:highlight w:val="none"/>
                <w:lang w:val="en-US" w:eastAsia="zh-CN" w:bidi="zh-CN"/>
              </w:rPr>
              <w:t>3</w:t>
            </w:r>
            <w:r>
              <w:rPr>
                <w:rFonts w:hint="eastAsia" w:ascii="宋体" w:hAnsi="宋体" w:eastAsia="宋体" w:cs="宋体"/>
                <w:color w:val="auto"/>
                <w:kern w:val="2"/>
                <w:sz w:val="24"/>
                <w:szCs w:val="24"/>
                <w:highlight w:val="none"/>
                <w:lang w:val="en-US" w:eastAsia="zh-CN" w:bidi="zh-CN"/>
              </w:rPr>
              <w:t>-</w:t>
            </w:r>
            <w:r>
              <w:rPr>
                <w:rFonts w:hint="eastAsia" w:ascii="宋体" w:hAnsi="宋体" w:cs="宋体"/>
                <w:color w:val="auto"/>
                <w:kern w:val="2"/>
                <w:sz w:val="24"/>
                <w:szCs w:val="24"/>
                <w:highlight w:val="none"/>
                <w:lang w:val="en-US" w:eastAsia="zh-CN" w:bidi="zh-CN"/>
              </w:rPr>
              <w:t>5</w:t>
            </w:r>
            <w:r>
              <w:rPr>
                <w:rFonts w:hint="eastAsia" w:ascii="宋体" w:hAnsi="宋体" w:eastAsia="宋体" w:cs="宋体"/>
                <w:color w:val="auto"/>
                <w:kern w:val="2"/>
                <w:sz w:val="24"/>
                <w:szCs w:val="24"/>
                <w:highlight w:val="none"/>
                <w:lang w:val="en-US" w:eastAsia="zh-CN" w:bidi="zh-CN"/>
              </w:rPr>
              <w:t>分；</w:t>
            </w:r>
          </w:p>
          <w:p w14:paraId="239B7DEA">
            <w:pPr>
              <w:pStyle w:val="2"/>
              <w:rPr>
                <w:rFonts w:hint="eastAsia" w:eastAsia="宋体"/>
                <w:lang w:val="en-US" w:eastAsia="zh-CN"/>
              </w:rPr>
            </w:pPr>
            <w:r>
              <w:rPr>
                <w:rFonts w:hint="eastAsia" w:ascii="宋体" w:hAnsi="宋体" w:eastAsia="宋体" w:cs="宋体"/>
                <w:color w:val="auto"/>
                <w:highlight w:val="none"/>
              </w:rPr>
              <w:t>方案欠缺、不利于实施得0-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0350A5BF">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kern w:val="2"/>
                <w:sz w:val="24"/>
                <w:szCs w:val="24"/>
                <w:highlight w:val="none"/>
                <w:lang w:val="en-US" w:eastAsia="zh-CN" w:bidi="zh-CN"/>
              </w:rPr>
              <w:t>未提供不得分。</w:t>
            </w:r>
          </w:p>
        </w:tc>
      </w:tr>
      <w:tr w14:paraId="5A52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Merge w:val="restart"/>
            <w:vAlign w:val="center"/>
          </w:tcPr>
          <w:p w14:paraId="43A6522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64" w:type="dxa"/>
            <w:vMerge w:val="restart"/>
            <w:vAlign w:val="center"/>
          </w:tcPr>
          <w:p w14:paraId="3458498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售后服务（</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tc>
        <w:tc>
          <w:tcPr>
            <w:tcW w:w="917" w:type="dxa"/>
            <w:vAlign w:val="center"/>
          </w:tcPr>
          <w:p w14:paraId="784805C6">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c>
          <w:tcPr>
            <w:tcW w:w="6501" w:type="dxa"/>
          </w:tcPr>
          <w:p w14:paraId="4BE38CE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培训</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w:t>
            </w:r>
          </w:p>
          <w:p w14:paraId="44246807">
            <w:pPr>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针对本项目提供对所有服务人员的培训考核方案条理清晰、办法明确的方案</w:t>
            </w:r>
            <w:r>
              <w:rPr>
                <w:rFonts w:hint="eastAsia" w:ascii="宋体" w:hAnsi="宋体" w:eastAsia="宋体" w:cs="宋体"/>
                <w:color w:val="auto"/>
                <w:highlight w:val="none"/>
              </w:rPr>
              <w:t>计</w:t>
            </w: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分，培训方案简单，的计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TW"/>
              </w:rPr>
              <w:t>未提供</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TW"/>
              </w:rPr>
              <w:t>分</w:t>
            </w:r>
            <w:r>
              <w:rPr>
                <w:rFonts w:hint="eastAsia" w:ascii="宋体" w:hAnsi="宋体" w:eastAsia="宋体" w:cs="宋体"/>
                <w:color w:val="auto"/>
                <w:highlight w:val="none"/>
              </w:rPr>
              <w:t>。</w:t>
            </w:r>
          </w:p>
        </w:tc>
      </w:tr>
      <w:tr w14:paraId="79D4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Merge w:val="continue"/>
            <w:vAlign w:val="center"/>
          </w:tcPr>
          <w:p w14:paraId="7663EE5B">
            <w:pPr>
              <w:spacing w:line="360" w:lineRule="auto"/>
              <w:jc w:val="center"/>
              <w:rPr>
                <w:rFonts w:hint="eastAsia" w:ascii="宋体" w:hAnsi="宋体" w:eastAsia="宋体" w:cs="宋体"/>
                <w:color w:val="auto"/>
                <w:highlight w:val="none"/>
              </w:rPr>
            </w:pPr>
          </w:p>
        </w:tc>
        <w:tc>
          <w:tcPr>
            <w:tcW w:w="1264" w:type="dxa"/>
            <w:vMerge w:val="continue"/>
            <w:vAlign w:val="center"/>
          </w:tcPr>
          <w:p w14:paraId="441A060C">
            <w:pPr>
              <w:spacing w:line="360" w:lineRule="auto"/>
              <w:jc w:val="center"/>
              <w:rPr>
                <w:rFonts w:hint="eastAsia" w:ascii="宋体" w:hAnsi="宋体" w:eastAsia="宋体" w:cs="宋体"/>
                <w:color w:val="auto"/>
                <w:highlight w:val="none"/>
              </w:rPr>
            </w:pPr>
          </w:p>
        </w:tc>
        <w:tc>
          <w:tcPr>
            <w:tcW w:w="917" w:type="dxa"/>
            <w:vAlign w:val="center"/>
          </w:tcPr>
          <w:p w14:paraId="4C82A125">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c>
          <w:tcPr>
            <w:tcW w:w="6501" w:type="dxa"/>
            <w:vAlign w:val="top"/>
          </w:tcPr>
          <w:p w14:paraId="6FD244E3">
            <w:pPr>
              <w:adjustRightInd w:val="0"/>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2、服务承诺：</w:t>
            </w:r>
          </w:p>
          <w:p w14:paraId="5607BB17">
            <w:pPr>
              <w:adjustRightInd w:val="0"/>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zh-CN"/>
              </w:rPr>
              <w:t>供应商承诺提供的售后服务方案详细、具体、科学合理；服务及承诺切实可行，得</w:t>
            </w:r>
            <w:r>
              <w:rPr>
                <w:rFonts w:hint="eastAsia" w:ascii="宋体" w:hAnsi="宋体" w:cs="宋体"/>
                <w:color w:val="auto"/>
                <w:kern w:val="2"/>
                <w:sz w:val="24"/>
                <w:szCs w:val="24"/>
                <w:highlight w:val="none"/>
                <w:lang w:val="en-US" w:eastAsia="zh-CN" w:bidi="zh-CN"/>
              </w:rPr>
              <w:t>4</w:t>
            </w:r>
            <w:r>
              <w:rPr>
                <w:rFonts w:hint="eastAsia" w:ascii="宋体" w:hAnsi="宋体" w:eastAsia="宋体" w:cs="宋体"/>
                <w:color w:val="auto"/>
                <w:kern w:val="2"/>
                <w:sz w:val="24"/>
                <w:szCs w:val="24"/>
                <w:highlight w:val="none"/>
                <w:lang w:val="en-US" w:eastAsia="zh-CN" w:bidi="zh-CN"/>
              </w:rPr>
              <w:t>-</w:t>
            </w:r>
            <w:r>
              <w:rPr>
                <w:rFonts w:hint="eastAsia" w:ascii="宋体" w:hAnsi="宋体" w:cs="宋体"/>
                <w:color w:val="auto"/>
                <w:kern w:val="2"/>
                <w:sz w:val="24"/>
                <w:szCs w:val="24"/>
                <w:highlight w:val="none"/>
                <w:lang w:val="en-US" w:eastAsia="zh-CN" w:bidi="zh-CN"/>
              </w:rPr>
              <w:t>6</w:t>
            </w:r>
            <w:r>
              <w:rPr>
                <w:rFonts w:hint="eastAsia" w:ascii="宋体" w:hAnsi="宋体" w:eastAsia="宋体" w:cs="宋体"/>
                <w:color w:val="auto"/>
                <w:kern w:val="2"/>
                <w:sz w:val="24"/>
                <w:szCs w:val="24"/>
                <w:highlight w:val="none"/>
                <w:lang w:val="en-US" w:eastAsia="zh-CN" w:bidi="zh-CN"/>
              </w:rPr>
              <w:t>分，售后服务方案较合理可行，得</w:t>
            </w:r>
            <w:r>
              <w:rPr>
                <w:rFonts w:hint="eastAsia" w:ascii="宋体" w:hAnsi="宋体" w:cs="宋体"/>
                <w:color w:val="auto"/>
                <w:kern w:val="2"/>
                <w:sz w:val="24"/>
                <w:szCs w:val="24"/>
                <w:highlight w:val="none"/>
                <w:lang w:val="en-US" w:eastAsia="zh-CN" w:bidi="zh-CN"/>
              </w:rPr>
              <w:t>1</w:t>
            </w:r>
            <w:r>
              <w:rPr>
                <w:rFonts w:hint="eastAsia" w:ascii="宋体" w:hAnsi="宋体" w:eastAsia="宋体" w:cs="宋体"/>
                <w:color w:val="auto"/>
                <w:kern w:val="2"/>
                <w:sz w:val="24"/>
                <w:szCs w:val="24"/>
                <w:highlight w:val="none"/>
                <w:lang w:val="en-US" w:eastAsia="zh-CN" w:bidi="zh-CN"/>
              </w:rPr>
              <w:t>-</w:t>
            </w:r>
            <w:r>
              <w:rPr>
                <w:rFonts w:hint="eastAsia" w:ascii="宋体" w:hAnsi="宋体" w:cs="宋体"/>
                <w:color w:val="auto"/>
                <w:kern w:val="2"/>
                <w:sz w:val="24"/>
                <w:szCs w:val="24"/>
                <w:highlight w:val="none"/>
                <w:lang w:val="en-US" w:eastAsia="zh-CN" w:bidi="zh-CN"/>
              </w:rPr>
              <w:t>4</w:t>
            </w:r>
            <w:r>
              <w:rPr>
                <w:rFonts w:hint="eastAsia" w:ascii="宋体" w:hAnsi="宋体" w:eastAsia="宋体" w:cs="宋体"/>
                <w:color w:val="auto"/>
                <w:kern w:val="2"/>
                <w:sz w:val="24"/>
                <w:szCs w:val="24"/>
                <w:highlight w:val="none"/>
                <w:lang w:val="en-US" w:eastAsia="zh-CN" w:bidi="zh-CN"/>
              </w:rPr>
              <w:t>分</w:t>
            </w:r>
            <w:r>
              <w:rPr>
                <w:rFonts w:hint="eastAsia" w:ascii="宋体" w:hAnsi="宋体" w:cs="宋体"/>
                <w:color w:val="auto"/>
                <w:kern w:val="2"/>
                <w:sz w:val="24"/>
                <w:szCs w:val="24"/>
                <w:highlight w:val="none"/>
                <w:lang w:val="en-US" w:eastAsia="zh-CN" w:bidi="zh-CN"/>
              </w:rPr>
              <w:t>，</w:t>
            </w:r>
            <w:r>
              <w:rPr>
                <w:rFonts w:hint="eastAsia" w:ascii="宋体" w:hAnsi="宋体" w:eastAsia="宋体" w:cs="宋体"/>
                <w:color w:val="auto"/>
                <w:highlight w:val="none"/>
                <w:lang w:eastAsia="zh-TW"/>
              </w:rPr>
              <w:t>未提供</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TW"/>
              </w:rPr>
              <w:t>分</w:t>
            </w:r>
            <w:r>
              <w:rPr>
                <w:rFonts w:hint="eastAsia" w:ascii="宋体" w:hAnsi="宋体" w:eastAsia="宋体" w:cs="宋体"/>
                <w:color w:val="auto"/>
                <w:highlight w:val="none"/>
              </w:rPr>
              <w:t>。</w:t>
            </w:r>
          </w:p>
        </w:tc>
      </w:tr>
      <w:tr w14:paraId="6F41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6" w:type="dxa"/>
            <w:vMerge w:val="continue"/>
            <w:vAlign w:val="center"/>
          </w:tcPr>
          <w:p w14:paraId="378698C1">
            <w:pPr>
              <w:spacing w:line="360" w:lineRule="auto"/>
              <w:jc w:val="center"/>
              <w:rPr>
                <w:rFonts w:hint="eastAsia" w:ascii="宋体" w:hAnsi="宋体" w:eastAsia="宋体" w:cs="宋体"/>
                <w:color w:val="auto"/>
                <w:highlight w:val="none"/>
              </w:rPr>
            </w:pPr>
          </w:p>
        </w:tc>
        <w:tc>
          <w:tcPr>
            <w:tcW w:w="1264" w:type="dxa"/>
            <w:vMerge w:val="continue"/>
            <w:vAlign w:val="center"/>
          </w:tcPr>
          <w:p w14:paraId="52A632C2">
            <w:pPr>
              <w:spacing w:line="360" w:lineRule="auto"/>
              <w:jc w:val="center"/>
              <w:rPr>
                <w:rFonts w:hint="eastAsia" w:ascii="宋体" w:hAnsi="宋体" w:eastAsia="宋体" w:cs="宋体"/>
                <w:color w:val="auto"/>
                <w:highlight w:val="none"/>
              </w:rPr>
            </w:pPr>
          </w:p>
        </w:tc>
        <w:tc>
          <w:tcPr>
            <w:tcW w:w="917" w:type="dxa"/>
            <w:vAlign w:val="center"/>
          </w:tcPr>
          <w:p w14:paraId="21A4BB8C">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c>
          <w:tcPr>
            <w:tcW w:w="6501" w:type="dxa"/>
          </w:tcPr>
          <w:p w14:paraId="5C1212D0">
            <w:pPr>
              <w:adjustRightInd w:val="0"/>
              <w:snapToGrid w:val="0"/>
              <w:spacing w:line="336"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3、增值服务：</w:t>
            </w:r>
          </w:p>
          <w:p w14:paraId="1B62C136">
            <w:pPr>
              <w:adjustRightInd w:val="0"/>
              <w:snapToGrid w:val="0"/>
              <w:spacing w:line="336"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zh-CN"/>
              </w:rPr>
              <w:t>能够定期调研采购人对服务质量的满意度并加以改进、出现服务人员因事、病等不能工作的，及时调整其他服务人员补充的，按照法律法规跟服务人员签订劳动合同、缴纳社保等，方案明确详尽，得</w:t>
            </w:r>
            <w:r>
              <w:rPr>
                <w:rFonts w:hint="eastAsia" w:ascii="宋体" w:hAnsi="宋体" w:cs="宋体"/>
                <w:color w:val="auto"/>
                <w:kern w:val="2"/>
                <w:sz w:val="24"/>
                <w:szCs w:val="24"/>
                <w:highlight w:val="none"/>
                <w:lang w:val="en-US" w:eastAsia="zh-CN" w:bidi="zh-CN"/>
              </w:rPr>
              <w:t>5</w:t>
            </w:r>
            <w:r>
              <w:rPr>
                <w:rFonts w:hint="eastAsia" w:ascii="宋体" w:hAnsi="宋体" w:eastAsia="宋体" w:cs="宋体"/>
                <w:color w:val="auto"/>
                <w:kern w:val="2"/>
                <w:sz w:val="24"/>
                <w:szCs w:val="24"/>
                <w:highlight w:val="none"/>
                <w:lang w:val="en-US" w:eastAsia="zh-CN" w:bidi="zh-CN"/>
              </w:rPr>
              <w:t>-</w:t>
            </w:r>
            <w:r>
              <w:rPr>
                <w:rFonts w:hint="eastAsia" w:ascii="宋体" w:hAnsi="宋体" w:cs="宋体"/>
                <w:color w:val="auto"/>
                <w:kern w:val="2"/>
                <w:sz w:val="24"/>
                <w:szCs w:val="24"/>
                <w:highlight w:val="none"/>
                <w:lang w:val="en-US" w:eastAsia="zh-CN" w:bidi="zh-CN"/>
              </w:rPr>
              <w:t>8</w:t>
            </w:r>
            <w:r>
              <w:rPr>
                <w:rFonts w:hint="eastAsia" w:ascii="宋体" w:hAnsi="宋体" w:eastAsia="宋体" w:cs="宋体"/>
                <w:color w:val="auto"/>
                <w:kern w:val="2"/>
                <w:sz w:val="24"/>
                <w:szCs w:val="24"/>
                <w:highlight w:val="none"/>
                <w:lang w:val="en-US" w:eastAsia="zh-CN" w:bidi="zh-CN"/>
              </w:rPr>
              <w:t>分，培训方案较明确详尽，得</w:t>
            </w:r>
            <w:r>
              <w:rPr>
                <w:rFonts w:hint="eastAsia" w:ascii="宋体" w:hAnsi="宋体" w:cs="宋体"/>
                <w:color w:val="auto"/>
                <w:kern w:val="2"/>
                <w:sz w:val="24"/>
                <w:szCs w:val="24"/>
                <w:highlight w:val="none"/>
                <w:lang w:val="en-US" w:eastAsia="zh-CN" w:bidi="zh-CN"/>
              </w:rPr>
              <w:t>3</w:t>
            </w:r>
            <w:r>
              <w:rPr>
                <w:rFonts w:hint="eastAsia" w:ascii="宋体" w:hAnsi="宋体" w:eastAsia="宋体" w:cs="宋体"/>
                <w:color w:val="auto"/>
                <w:kern w:val="2"/>
                <w:sz w:val="24"/>
                <w:szCs w:val="24"/>
                <w:highlight w:val="none"/>
                <w:lang w:val="en-US" w:eastAsia="zh-CN" w:bidi="zh-CN"/>
              </w:rPr>
              <w:t>-</w:t>
            </w:r>
            <w:r>
              <w:rPr>
                <w:rFonts w:hint="eastAsia" w:ascii="宋体" w:hAnsi="宋体" w:cs="宋体"/>
                <w:color w:val="auto"/>
                <w:kern w:val="2"/>
                <w:sz w:val="24"/>
                <w:szCs w:val="24"/>
                <w:highlight w:val="none"/>
                <w:lang w:val="en-US" w:eastAsia="zh-CN" w:bidi="zh-CN"/>
              </w:rPr>
              <w:t>5</w:t>
            </w:r>
            <w:r>
              <w:rPr>
                <w:rFonts w:hint="eastAsia" w:ascii="宋体" w:hAnsi="宋体" w:eastAsia="宋体" w:cs="宋体"/>
                <w:color w:val="auto"/>
                <w:kern w:val="2"/>
                <w:sz w:val="24"/>
                <w:szCs w:val="24"/>
                <w:highlight w:val="none"/>
                <w:lang w:val="en-US" w:eastAsia="zh-CN" w:bidi="zh-CN"/>
              </w:rPr>
              <w:t>分</w:t>
            </w:r>
            <w:r>
              <w:rPr>
                <w:rFonts w:hint="eastAsia" w:ascii="宋体" w:hAnsi="宋体" w:cs="宋体"/>
                <w:color w:val="auto"/>
                <w:kern w:val="2"/>
                <w:sz w:val="24"/>
                <w:szCs w:val="24"/>
                <w:highlight w:val="none"/>
                <w:lang w:val="en-US" w:eastAsia="zh-CN" w:bidi="zh-CN"/>
              </w:rPr>
              <w:t>，</w:t>
            </w:r>
            <w:r>
              <w:rPr>
                <w:rFonts w:hint="eastAsia" w:ascii="宋体" w:hAnsi="宋体" w:eastAsia="宋体" w:cs="宋体"/>
                <w:color w:val="auto"/>
                <w:highlight w:val="none"/>
              </w:rPr>
              <w:t>方案欠缺、不利于实施得0-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kern w:val="2"/>
                <w:sz w:val="24"/>
                <w:szCs w:val="24"/>
                <w:highlight w:val="none"/>
                <w:lang w:val="en-US" w:eastAsia="zh-CN" w:bidi="zh-CN"/>
              </w:rPr>
              <w:t>未提供不得分。。</w:t>
            </w:r>
          </w:p>
        </w:tc>
      </w:tr>
      <w:tr w14:paraId="7DE6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36" w:type="dxa"/>
            <w:vAlign w:val="center"/>
          </w:tcPr>
          <w:p w14:paraId="08591A9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64" w:type="dxa"/>
            <w:vAlign w:val="center"/>
          </w:tcPr>
          <w:p w14:paraId="6AD168CD">
            <w:pPr>
              <w:pStyle w:val="2"/>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业绩</w:t>
            </w:r>
          </w:p>
          <w:p w14:paraId="700585DA">
            <w:pPr>
              <w:pStyle w:val="2"/>
              <w:spacing w:line="360"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（5分）</w:t>
            </w:r>
          </w:p>
        </w:tc>
        <w:tc>
          <w:tcPr>
            <w:tcW w:w="917" w:type="dxa"/>
            <w:vAlign w:val="center"/>
          </w:tcPr>
          <w:p w14:paraId="7AF4DA49">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w:t>
            </w:r>
          </w:p>
        </w:tc>
        <w:tc>
          <w:tcPr>
            <w:tcW w:w="6501" w:type="dxa"/>
            <w:vAlign w:val="center"/>
          </w:tcPr>
          <w:p w14:paraId="4EF33D8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投标人自202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年1月1日以来（以合同签订日期为准）独立完成过的类似项目业绩情况，每个业绩得1分，最高得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064BC530">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注：提供合同复印件，合同内容无法体现的可另行提供业主证明材料。</w:t>
            </w:r>
          </w:p>
        </w:tc>
      </w:tr>
    </w:tbl>
    <w:p w14:paraId="58008B02"/>
    <w:p w14:paraId="398DCB9E">
      <w:pPr>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.需要落实的政府采购政策</w:t>
      </w:r>
    </w:p>
    <w:p w14:paraId="2B77FBA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6%-10%的价格扣除，工程项目给予3%-5%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2%-3%的扣除，工程项目为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716D63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根据《关于进一步加大政府采购支持中小企业力度的通知》（财库〔2022〕19 号）的有关规定，货物服务采购项目给予小微企业的价格扣除优惠，由财库〔2020〕46 号文件规定的 6%—10%提高至 10%—20%。大中型企业与小微企业组成联合体或者大中型企业向小微企业分包的，评审优惠幅度由2%—3%提高至 4%—6%。政府采购工程的价格评审优惠按照财库〔2020〕46 号文件的规定执行。 </w:t>
      </w:r>
    </w:p>
    <w:p w14:paraId="62189D4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参加政府采购活动的中小企业应提供《中小企业声明函》原件。未提供上述声明函原件的，则投标文件无效。</w:t>
      </w:r>
    </w:p>
    <w:p w14:paraId="42401E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备注：中小企业划分标准参照《中小企业划型标准规定》（工信部联企业〔2011〕300 号）执行。 </w:t>
      </w:r>
    </w:p>
    <w:p w14:paraId="4E4CF8D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7.2、监狱企业应符合《财政部司法部关于政府采购支持监狱企业发展有关问题的通知》（财库〔2014〕68 号）文件规定，并提供由省级以上监狱管理局、戒毒管理局(含新疆生产建设兵团)出具的属于</w:t>
      </w:r>
      <w:r>
        <w:rPr>
          <w:rFonts w:hint="eastAsia" w:ascii="宋体" w:hAnsi="宋体" w:eastAsia="宋体" w:cs="宋体"/>
          <w:b/>
          <w:bCs/>
          <w:color w:val="auto"/>
          <w:sz w:val="24"/>
          <w:szCs w:val="24"/>
          <w:highlight w:val="none"/>
          <w:lang w:val="en-US" w:eastAsia="zh-CN"/>
        </w:rPr>
        <w:t>监狱企业的证明文件</w:t>
      </w:r>
      <w:r>
        <w:rPr>
          <w:rFonts w:hint="eastAsia" w:ascii="宋体" w:hAnsi="宋体" w:eastAsia="宋体" w:cs="宋体"/>
          <w:color w:val="auto"/>
          <w:sz w:val="24"/>
          <w:szCs w:val="24"/>
          <w:highlight w:val="none"/>
          <w:lang w:val="en-US" w:eastAsia="zh-CN"/>
        </w:rPr>
        <w:t xml:space="preserve">复印件，监狱和戒毒企业视同小型、微型企业。 </w:t>
      </w:r>
    </w:p>
    <w:p w14:paraId="01501A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7.3、根据财政部、民政部、中国残疾人联合会下发的《关于促进残疾人就业政府采购政策的通知》（财库〔2017〕141 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40E55F1">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参加政府采购活动的残疾人单位应提供《残疾人福利性单位声明函》 原件。未提供上述声明函原件，则投标文件无效。</w:t>
      </w:r>
    </w:p>
    <w:p w14:paraId="47D936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7.4、根据财政部、国家发展改革委《关于印发〈节能产品政府采购实施意见〉的通知》（财库〔2004〕185 号）规定“政府采购属于节能产品品目清单的，在技术、服务等指标同等条件下，应当优先采购节能品目清单的节能产品。” </w:t>
      </w:r>
    </w:p>
    <w:p w14:paraId="24A08E7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7.5、根据财政部、国家环保总局联合印发《关于环境标志产品政府采购实施的意见》（财库〔2006〕90 号）规定“采购人采购的产品属于环境标志产品政府采购清单中品目的，在性能、技术、服务等指标同等条件下，应当优先采购清单中的产品。” </w:t>
      </w:r>
    </w:p>
    <w:p w14:paraId="7D1CC83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38D6B16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7.7、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1047378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7.8、节能产品政府采购品目清单详见财政部、发展改革委《关于印发节能产品政府采购品目清单的通知》（财库〔2019〕19 号）。 </w:t>
      </w:r>
    </w:p>
    <w:p w14:paraId="283D939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7.9、环境标志产品政府采购品目清单详见财政部、生态环境部《关于印发环境标志产品政府采购品目清单的通知》（财库〔2019〕18 号）。 </w:t>
      </w:r>
    </w:p>
    <w:p w14:paraId="02E0D54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7.10、国家确定的节能产品、环境标志产品认证机构详见市场监管总局《关于发布参与实施政府采购节能产品、环境标志产品认证机构名录的公告》（2019 年第 16 号）。 </w:t>
      </w:r>
    </w:p>
    <w:p w14:paraId="34C474C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7.11、 根据《财政部 农业农村部 国家乡村振兴局关于运用政府采购政策支持乡村产业振兴的通知》（财库〔2021〕19 号），自2021 年起，各级预算单位应当按照不低于10%的比例预留年度食堂食材采购份额，通过脱贫地区农副产品网络销售平台采购脱贫地区农副产品。</w:t>
      </w:r>
    </w:p>
    <w:p w14:paraId="01A8F7F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7.12、根据《财政部 农业农村部 国家乡村振兴局 中华全国供销合作总社关于印发&lt;关于深入开展政府采购脱贫地区农副产品工作推进乡村产业振兴的实施意见&gt;的通知》（财库〔2021〕20 号），各级预算单位要按照不低于10%的预留比例在“832 平台”填报预留份额。鼓励各级预算单位工会组织通过“832 平台”采购工会福利、慰问品等，有关采购金额计入本单位年度采购总额。 </w:t>
      </w:r>
    </w:p>
    <w:p w14:paraId="2220DFF2">
      <w:pPr>
        <w:pStyle w:val="2"/>
        <w:rPr>
          <w:rFonts w:hint="eastAsia" w:ascii="宋体" w:hAnsi="宋体" w:eastAsia="宋体" w:cs="宋体"/>
          <w:color w:val="auto"/>
          <w:highlight w:val="none"/>
          <w:lang w:val="en-US" w:eastAsia="zh-CN"/>
        </w:rPr>
      </w:pPr>
    </w:p>
    <w:p w14:paraId="3BE2DFC4">
      <w:pPr>
        <w:pStyle w:val="2"/>
        <w:rPr>
          <w:rFonts w:hint="eastAsia" w:ascii="宋体" w:hAnsi="宋体" w:eastAsia="宋体" w:cs="宋体"/>
          <w:color w:val="auto"/>
          <w:highlight w:val="none"/>
          <w:lang w:val="en-US" w:eastAsia="zh-CN"/>
        </w:rPr>
      </w:pPr>
    </w:p>
    <w:p w14:paraId="411C6E7F">
      <w:pPr>
        <w:rPr>
          <w:rFonts w:hint="eastAsia" w:ascii="宋体" w:hAnsi="宋体" w:eastAsia="宋体" w:cs="宋体"/>
          <w:b/>
          <w:bCs/>
          <w:color w:val="auto"/>
          <w:sz w:val="36"/>
          <w:szCs w:val="36"/>
          <w:highlight w:val="none"/>
          <w:lang w:val="en-US" w:eastAsia="zh-CN"/>
        </w:rPr>
      </w:pPr>
      <w:bookmarkStart w:id="74" w:name="_Toc21342"/>
      <w:bookmarkStart w:id="75" w:name="_Toc31900"/>
      <w:bookmarkStart w:id="76" w:name="_Toc18268"/>
      <w:r>
        <w:rPr>
          <w:rFonts w:hint="eastAsia" w:ascii="宋体" w:hAnsi="宋体" w:eastAsia="宋体" w:cs="宋体"/>
          <w:b/>
          <w:bCs/>
          <w:color w:val="auto"/>
          <w:sz w:val="36"/>
          <w:szCs w:val="36"/>
          <w:highlight w:val="none"/>
          <w:lang w:val="en-US" w:eastAsia="zh-CN"/>
        </w:rPr>
        <w:br w:type="page"/>
      </w:r>
    </w:p>
    <w:p w14:paraId="414EB074">
      <w:pPr>
        <w:pStyle w:val="2"/>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b/>
          <w:bCs/>
          <w:color w:val="auto"/>
          <w:sz w:val="36"/>
          <w:szCs w:val="36"/>
          <w:highlight w:val="none"/>
          <w:lang w:val="en-US" w:eastAsia="zh-CN"/>
        </w:rPr>
        <w:t xml:space="preserve">第四章  </w:t>
      </w:r>
      <w:bookmarkEnd w:id="17"/>
      <w:bookmarkEnd w:id="18"/>
      <w:bookmarkEnd w:id="19"/>
      <w:bookmarkEnd w:id="74"/>
      <w:bookmarkEnd w:id="75"/>
      <w:bookmarkEnd w:id="76"/>
      <w:bookmarkStart w:id="77" w:name="_Toc13278"/>
      <w:bookmarkStart w:id="78" w:name="_Toc12426"/>
      <w:bookmarkStart w:id="79" w:name="_Toc519156757"/>
      <w:r>
        <w:rPr>
          <w:rFonts w:hint="eastAsia" w:ascii="宋体" w:hAnsi="宋体" w:eastAsia="宋体" w:cs="宋体"/>
          <w:b/>
          <w:bCs/>
          <w:color w:val="auto"/>
          <w:sz w:val="36"/>
          <w:szCs w:val="36"/>
          <w:highlight w:val="none"/>
          <w:lang w:val="en-US" w:eastAsia="zh-CN"/>
        </w:rPr>
        <w:t>采购内容及要求</w:t>
      </w:r>
    </w:p>
    <w:p w14:paraId="0F267B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p>
    <w:p w14:paraId="4C62FF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西安市信访局2025年度餐饮服务，餐饮服务内容包含：局级餐厅1个，干部职工餐厅1个，共2个餐厅，满足西安市信访局全体150余职工早、中（晚餐视情况而定）就餐需求。</w:t>
      </w:r>
      <w:r>
        <w:rPr>
          <w:rFonts w:hint="eastAsia" w:ascii="宋体" w:hAnsi="宋体" w:cs="宋体"/>
          <w:b/>
          <w:bCs/>
          <w:i w:val="0"/>
          <w:iCs w:val="0"/>
          <w:color w:val="FF0000"/>
          <w:sz w:val="24"/>
          <w:szCs w:val="24"/>
          <w:lang w:val="en-US" w:eastAsia="zh-CN"/>
        </w:rPr>
        <w:t>因我单位（西安市信访局）原餐厅服务合同于2025年4月30日到期，原供应商提供服务至本次采购的成交供应商提供服务为止，其中所产生的费用按照本次采购成交供应商服务期限内的成交价格除以其提供的服务天数计算，由本次采购成交供应商提供给原供应商。</w:t>
      </w:r>
    </w:p>
    <w:p w14:paraId="1A30CC4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lang w:val="en-US" w:eastAsia="zh-CN"/>
        </w:rPr>
        <w:t>二、服务期限</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highlight w:val="none"/>
          <w:lang w:val="en-US" w:eastAsia="zh-CN"/>
        </w:rPr>
        <w:t>2025.5.</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val="en-US" w:eastAsia="zh-CN"/>
        </w:rPr>
        <w:t>-2026.</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20</w:t>
      </w:r>
    </w:p>
    <w:p w14:paraId="31AC2F9C">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三、服务内容及要求</w:t>
      </w:r>
    </w:p>
    <w:p w14:paraId="05D642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（一）餐饮服务</w:t>
      </w:r>
    </w:p>
    <w:p w14:paraId="675BBE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西安市信访局、信访接待中心干</w:t>
      </w:r>
      <w:r>
        <w:rPr>
          <w:rFonts w:hint="eastAsia" w:ascii="宋体" w:hAnsi="宋体" w:eastAsia="宋体" w:cs="宋体"/>
          <w:color w:val="auto"/>
          <w:kern w:val="2"/>
          <w:sz w:val="21"/>
          <w:szCs w:val="21"/>
          <w:vertAlign w:val="baseline"/>
          <w:lang w:val="en-US" w:eastAsia="zh-CN" w:bidi="ar-SA"/>
        </w:rPr>
        <w:t>部职工150余人，</w:t>
      </w:r>
      <w:r>
        <w:rPr>
          <w:rFonts w:hint="eastAsia" w:ascii="宋体" w:hAnsi="宋体" w:eastAsia="宋体" w:cs="宋体"/>
          <w:color w:val="auto"/>
          <w:sz w:val="24"/>
          <w:szCs w:val="24"/>
        </w:rPr>
        <w:t>餐厅按设计要求，配置了水、电、气、厨房、粗加工间、主副食仓库、洗碗间、炒菜区；有冷藏柜、抽排系统、不锈钢厨具餐具等，食堂各项用具齐全；餐桌、餐椅配置到位，同时可容</w:t>
      </w:r>
      <w:r>
        <w:rPr>
          <w:rFonts w:hint="eastAsia" w:ascii="宋体" w:hAnsi="宋体" w:eastAsia="宋体" w:cs="宋体"/>
          <w:color w:val="auto"/>
          <w:kern w:val="2"/>
          <w:sz w:val="21"/>
          <w:szCs w:val="21"/>
          <w:vertAlign w:val="baseline"/>
          <w:lang w:val="en-US" w:eastAsia="zh-CN" w:bidi="ar-SA"/>
        </w:rPr>
        <w:t>纳150</w:t>
      </w:r>
      <w:r>
        <w:rPr>
          <w:rFonts w:hint="eastAsia" w:ascii="宋体" w:hAnsi="宋体" w:eastAsia="宋体" w:cs="宋体"/>
          <w:color w:val="auto"/>
          <w:sz w:val="24"/>
          <w:szCs w:val="24"/>
        </w:rPr>
        <w:t xml:space="preserve">人就餐。  </w:t>
      </w:r>
    </w:p>
    <w:p w14:paraId="0F38ED7F">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val="0"/>
          <w:color w:val="auto"/>
          <w:sz w:val="24"/>
          <w:szCs w:val="24"/>
          <w:highlight w:val="none"/>
          <w:lang w:val="en-US" w:eastAsia="zh-CN"/>
        </w:rPr>
        <w:t>1、局级餐厅</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536"/>
        <w:gridCol w:w="4181"/>
        <w:gridCol w:w="1488"/>
      </w:tblGrid>
      <w:tr w14:paraId="2CAB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17" w:type="dxa"/>
            <w:vAlign w:val="center"/>
          </w:tcPr>
          <w:p w14:paraId="520FA3B2">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1536" w:type="dxa"/>
            <w:vAlign w:val="center"/>
          </w:tcPr>
          <w:p w14:paraId="1CA86B9F">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供餐时间</w:t>
            </w:r>
          </w:p>
        </w:tc>
        <w:tc>
          <w:tcPr>
            <w:tcW w:w="4181" w:type="dxa"/>
            <w:vAlign w:val="center"/>
          </w:tcPr>
          <w:p w14:paraId="6AB23A94">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供餐内容</w:t>
            </w:r>
          </w:p>
        </w:tc>
        <w:tc>
          <w:tcPr>
            <w:tcW w:w="1488" w:type="dxa"/>
            <w:vAlign w:val="center"/>
          </w:tcPr>
          <w:p w14:paraId="3638DE8C">
            <w:pPr>
              <w:pStyle w:val="2"/>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供餐要求</w:t>
            </w:r>
          </w:p>
        </w:tc>
      </w:tr>
      <w:tr w14:paraId="3547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7C1C8237">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早餐</w:t>
            </w:r>
          </w:p>
        </w:tc>
        <w:tc>
          <w:tcPr>
            <w:tcW w:w="1536" w:type="dxa"/>
            <w:vAlign w:val="center"/>
          </w:tcPr>
          <w:p w14:paraId="0BB0968A">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08:00-08:50</w:t>
            </w:r>
          </w:p>
        </w:tc>
        <w:tc>
          <w:tcPr>
            <w:tcW w:w="4181" w:type="dxa"/>
            <w:vAlign w:val="center"/>
          </w:tcPr>
          <w:p w14:paraId="19F0204B">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菜品不少于 6 种，其中半荤菜不少于 1 种；开口小菜不少于4种；稀饭不少于 2 种；奶制品不少 1 种；主食不少于4种；鸡蛋（蒸煮或煎）；豆浆或豆腐脑。能够满足部分回民饮食习惯。</w:t>
            </w:r>
          </w:p>
        </w:tc>
        <w:tc>
          <w:tcPr>
            <w:tcW w:w="1488" w:type="dxa"/>
            <w:vMerge w:val="restart"/>
            <w:vAlign w:val="center"/>
          </w:tcPr>
          <w:p w14:paraId="076F7C8C">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实行工作日正常供餐和采购方要求桌餐或指定时间供餐，供餐模式为自助式供餐，桌餐：按采购方指定菜品供餐。</w:t>
            </w:r>
          </w:p>
        </w:tc>
      </w:tr>
      <w:tr w14:paraId="169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19B7C2B6">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午餐</w:t>
            </w:r>
          </w:p>
        </w:tc>
        <w:tc>
          <w:tcPr>
            <w:tcW w:w="1536" w:type="dxa"/>
            <w:vAlign w:val="center"/>
          </w:tcPr>
          <w:p w14:paraId="224C9784">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12:00-13:00</w:t>
            </w:r>
          </w:p>
        </w:tc>
        <w:tc>
          <w:tcPr>
            <w:tcW w:w="4181" w:type="dxa"/>
            <w:vAlign w:val="center"/>
          </w:tcPr>
          <w:p w14:paraId="33972CB1">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菜品不少于6 种，其中主荤 1 种，半荤 2 种，素菜 4 种；开口小菜不少于 4种；小吃不少于4种；主食不少于 3 种；水果不少于 1 种、汤品不少于 2 种（一荤一素）；酸奶。能够满足部分回民饮食习惯。</w:t>
            </w:r>
          </w:p>
        </w:tc>
        <w:tc>
          <w:tcPr>
            <w:tcW w:w="1488" w:type="dxa"/>
            <w:vMerge w:val="continue"/>
            <w:vAlign w:val="center"/>
          </w:tcPr>
          <w:p w14:paraId="2FAC1A26">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p>
        </w:tc>
      </w:tr>
      <w:tr w14:paraId="0220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4B089BBD">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晚餐</w:t>
            </w:r>
          </w:p>
        </w:tc>
        <w:tc>
          <w:tcPr>
            <w:tcW w:w="1536" w:type="dxa"/>
            <w:vAlign w:val="center"/>
          </w:tcPr>
          <w:p w14:paraId="11268459">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18:00-19:00</w:t>
            </w:r>
          </w:p>
        </w:tc>
        <w:tc>
          <w:tcPr>
            <w:tcW w:w="4181" w:type="dxa"/>
            <w:vAlign w:val="center"/>
          </w:tcPr>
          <w:p w14:paraId="65D8DA4B">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根据采购方需要提供</w:t>
            </w:r>
          </w:p>
        </w:tc>
        <w:tc>
          <w:tcPr>
            <w:tcW w:w="1488" w:type="dxa"/>
            <w:vMerge w:val="continue"/>
            <w:vAlign w:val="center"/>
          </w:tcPr>
          <w:p w14:paraId="75CDB799">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p>
        </w:tc>
      </w:tr>
    </w:tbl>
    <w:p w14:paraId="748CD9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p>
    <w:p w14:paraId="562E807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val="0"/>
          <w:color w:val="auto"/>
          <w:sz w:val="24"/>
          <w:szCs w:val="24"/>
          <w:highlight w:val="none"/>
          <w:lang w:val="en-US" w:eastAsia="zh-CN"/>
        </w:rPr>
        <w:t>2、干部餐厅</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536"/>
        <w:gridCol w:w="4181"/>
        <w:gridCol w:w="1488"/>
      </w:tblGrid>
      <w:tr w14:paraId="7DBB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5F917010">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1536" w:type="dxa"/>
            <w:vAlign w:val="center"/>
          </w:tcPr>
          <w:p w14:paraId="3A98A3B2">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供餐时间</w:t>
            </w:r>
          </w:p>
        </w:tc>
        <w:tc>
          <w:tcPr>
            <w:tcW w:w="4181" w:type="dxa"/>
            <w:vAlign w:val="center"/>
          </w:tcPr>
          <w:p w14:paraId="77C30B1C">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供餐内容</w:t>
            </w:r>
          </w:p>
        </w:tc>
        <w:tc>
          <w:tcPr>
            <w:tcW w:w="1488" w:type="dxa"/>
            <w:vAlign w:val="center"/>
          </w:tcPr>
          <w:p w14:paraId="1A73D58B">
            <w:pPr>
              <w:pStyle w:val="2"/>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供餐要求</w:t>
            </w:r>
          </w:p>
        </w:tc>
      </w:tr>
      <w:tr w14:paraId="485C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1A803CF1">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早餐</w:t>
            </w:r>
          </w:p>
        </w:tc>
        <w:tc>
          <w:tcPr>
            <w:tcW w:w="1536" w:type="dxa"/>
            <w:vAlign w:val="center"/>
          </w:tcPr>
          <w:p w14:paraId="55FEAE68">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08:00-08:50</w:t>
            </w:r>
          </w:p>
        </w:tc>
        <w:tc>
          <w:tcPr>
            <w:tcW w:w="4181" w:type="dxa"/>
            <w:vAlign w:val="center"/>
          </w:tcPr>
          <w:p w14:paraId="54457079">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菜品不少于4种；馒头、包子、花卷、油饼、油条等主食不少于 4 种；稀饭、豆腐脑、油茶等汤品类主食不少于 3种；酸奶（或牛奶） 和鸡蛋为除主副食之外的每日早餐标配。</w:t>
            </w:r>
          </w:p>
        </w:tc>
        <w:tc>
          <w:tcPr>
            <w:tcW w:w="1488" w:type="dxa"/>
            <w:vMerge w:val="restart"/>
            <w:vAlign w:val="center"/>
          </w:tcPr>
          <w:p w14:paraId="2DD03588">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实行工作日正常供餐、少数接待用餐及节假日采购方要求供餐。</w:t>
            </w:r>
          </w:p>
        </w:tc>
      </w:tr>
      <w:tr w14:paraId="16F3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22027961">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午餐</w:t>
            </w:r>
          </w:p>
        </w:tc>
        <w:tc>
          <w:tcPr>
            <w:tcW w:w="1536" w:type="dxa"/>
            <w:vAlign w:val="center"/>
          </w:tcPr>
          <w:p w14:paraId="059A6A79">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12:00-13:00</w:t>
            </w:r>
          </w:p>
        </w:tc>
        <w:tc>
          <w:tcPr>
            <w:tcW w:w="4181" w:type="dxa"/>
            <w:vAlign w:val="center"/>
          </w:tcPr>
          <w:p w14:paraId="26030316">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菜品不少于 5种，其中主荤主菜 1 种、半荤菜品 2 种、素菜 2 种；小吃和面食必须搭配开口菜和杂粮，开口菜数量不少于2种；杂粮数量不少于 2 种；餐厅免费供应的米饭品种不少于 2 种； 汤品品种不少于 1 种；水果 1 种为每日中餐标配。</w:t>
            </w:r>
          </w:p>
        </w:tc>
        <w:tc>
          <w:tcPr>
            <w:tcW w:w="1488" w:type="dxa"/>
            <w:vMerge w:val="continue"/>
            <w:vAlign w:val="center"/>
          </w:tcPr>
          <w:p w14:paraId="0F59A195">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p>
        </w:tc>
      </w:tr>
      <w:tr w14:paraId="37D6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7" w:type="dxa"/>
            <w:vAlign w:val="center"/>
          </w:tcPr>
          <w:p w14:paraId="1B50DB94">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晚餐</w:t>
            </w:r>
          </w:p>
        </w:tc>
        <w:tc>
          <w:tcPr>
            <w:tcW w:w="1536" w:type="dxa"/>
            <w:vAlign w:val="center"/>
          </w:tcPr>
          <w:p w14:paraId="31C4E42B">
            <w:pPr>
              <w:pStyle w:val="2"/>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18:00-19:00</w:t>
            </w:r>
          </w:p>
        </w:tc>
        <w:tc>
          <w:tcPr>
            <w:tcW w:w="4181" w:type="dxa"/>
            <w:vAlign w:val="center"/>
          </w:tcPr>
          <w:p w14:paraId="2461023A">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根据采购方需要即时提供</w:t>
            </w:r>
          </w:p>
        </w:tc>
        <w:tc>
          <w:tcPr>
            <w:tcW w:w="1488" w:type="dxa"/>
            <w:vMerge w:val="continue"/>
            <w:vAlign w:val="center"/>
          </w:tcPr>
          <w:p w14:paraId="3893DD0D">
            <w:pPr>
              <w:pStyle w:val="2"/>
              <w:ind w:left="0" w:leftChars="0" w:firstLine="0" w:firstLineChars="0"/>
              <w:jc w:val="left"/>
              <w:rPr>
                <w:rFonts w:hint="eastAsia" w:ascii="宋体" w:hAnsi="宋体" w:eastAsia="宋体" w:cs="宋体"/>
                <w:color w:val="auto"/>
                <w:kern w:val="2"/>
                <w:sz w:val="24"/>
                <w:szCs w:val="24"/>
                <w:vertAlign w:val="baseline"/>
                <w:lang w:val="en-US" w:eastAsia="zh-CN" w:bidi="ar-SA"/>
              </w:rPr>
            </w:pPr>
          </w:p>
        </w:tc>
      </w:tr>
    </w:tbl>
    <w:p w14:paraId="49F68F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p>
    <w:p w14:paraId="54901A44">
      <w:pPr>
        <w:pStyle w:val="2"/>
        <w:rPr>
          <w:rFonts w:hint="eastAsia" w:ascii="宋体" w:hAnsi="宋体" w:eastAsia="宋体" w:cs="宋体"/>
          <w:b/>
          <w:bCs/>
          <w:color w:val="auto"/>
          <w:sz w:val="24"/>
          <w:szCs w:val="24"/>
        </w:rPr>
      </w:pPr>
    </w:p>
    <w:p w14:paraId="131198D8">
      <w:pPr>
        <w:rPr>
          <w:rFonts w:hint="eastAsia" w:ascii="宋体" w:hAnsi="宋体" w:eastAsia="宋体" w:cs="宋体"/>
          <w:color w:val="auto"/>
        </w:rPr>
      </w:pPr>
    </w:p>
    <w:p w14:paraId="7CF47623">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10"/>
          <w:szCs w:val="10"/>
          <w:lang w:val="en-US" w:eastAsia="zh-CN"/>
        </w:rPr>
      </w:pPr>
      <w:r>
        <w:rPr>
          <w:rFonts w:hint="eastAsia" w:ascii="宋体" w:hAnsi="宋体" w:eastAsia="宋体" w:cs="宋体"/>
          <w:b/>
          <w:bCs w:val="0"/>
          <w:color w:val="auto"/>
          <w:sz w:val="24"/>
          <w:szCs w:val="24"/>
          <w:highlight w:val="none"/>
          <w:lang w:val="en-US" w:eastAsia="zh-CN"/>
        </w:rPr>
        <w:t>3、餐饮人员配置</w:t>
      </w:r>
    </w:p>
    <w:tbl>
      <w:tblPr>
        <w:tblStyle w:val="95"/>
        <w:tblpPr w:leftFromText="180" w:rightFromText="180" w:vertAnchor="text" w:horzAnchor="page" w:tblpX="1403" w:tblpY="391"/>
        <w:tblOverlap w:val="never"/>
        <w:tblW w:w="946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5"/>
        <w:gridCol w:w="687"/>
        <w:gridCol w:w="650"/>
        <w:gridCol w:w="1675"/>
        <w:gridCol w:w="1425"/>
        <w:gridCol w:w="1238"/>
        <w:gridCol w:w="3181"/>
      </w:tblGrid>
      <w:tr w14:paraId="79C36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05" w:type="dxa"/>
            <w:tcBorders>
              <w:top w:val="single" w:color="auto" w:sz="12" w:space="0"/>
              <w:bottom w:val="single" w:color="auto" w:sz="2" w:space="0"/>
            </w:tcBorders>
            <w:shd w:val="clear" w:color="auto" w:fill="F1F1F1" w:themeFill="background1" w:themeFillShade="F2"/>
            <w:vAlign w:val="center"/>
          </w:tcPr>
          <w:p w14:paraId="6179CA60">
            <w:pPr>
              <w:widowControl w:val="0"/>
              <w:spacing w:line="320" w:lineRule="exact"/>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bidi="zh-CN"/>
              </w:rPr>
              <w:t>名称</w:t>
            </w:r>
          </w:p>
        </w:tc>
        <w:tc>
          <w:tcPr>
            <w:tcW w:w="687" w:type="dxa"/>
            <w:tcBorders>
              <w:top w:val="single" w:color="auto" w:sz="12" w:space="0"/>
              <w:bottom w:val="single" w:color="auto" w:sz="2" w:space="0"/>
            </w:tcBorders>
            <w:shd w:val="clear" w:color="auto" w:fill="F1F1F1" w:themeFill="background1" w:themeFillShade="F2"/>
            <w:vAlign w:val="center"/>
          </w:tcPr>
          <w:p w14:paraId="7FA54A33">
            <w:pPr>
              <w:widowControl w:val="0"/>
              <w:spacing w:line="320" w:lineRule="exact"/>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bidi="zh-CN"/>
              </w:rPr>
              <w:t>岗位名称</w:t>
            </w:r>
          </w:p>
        </w:tc>
        <w:tc>
          <w:tcPr>
            <w:tcW w:w="650" w:type="dxa"/>
            <w:tcBorders>
              <w:top w:val="single" w:color="auto" w:sz="12" w:space="0"/>
              <w:bottom w:val="single" w:color="auto" w:sz="2" w:space="0"/>
            </w:tcBorders>
            <w:shd w:val="clear" w:color="auto" w:fill="F1F1F1" w:themeFill="background1" w:themeFillShade="F2"/>
            <w:vAlign w:val="center"/>
          </w:tcPr>
          <w:p w14:paraId="619A2EA1">
            <w:pPr>
              <w:widowControl w:val="0"/>
              <w:spacing w:line="320" w:lineRule="exact"/>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bidi="zh-CN"/>
              </w:rPr>
              <w:t>人数</w:t>
            </w:r>
          </w:p>
        </w:tc>
        <w:tc>
          <w:tcPr>
            <w:tcW w:w="1675" w:type="dxa"/>
            <w:tcBorders>
              <w:top w:val="single" w:color="auto" w:sz="12" w:space="0"/>
              <w:bottom w:val="single" w:color="auto" w:sz="2" w:space="0"/>
            </w:tcBorders>
            <w:shd w:val="clear" w:color="auto" w:fill="F1F1F1" w:themeFill="background1" w:themeFillShade="F2"/>
            <w:vAlign w:val="center"/>
          </w:tcPr>
          <w:p w14:paraId="3921A565">
            <w:pPr>
              <w:widowControl w:val="0"/>
              <w:spacing w:line="320" w:lineRule="exact"/>
              <w:jc w:val="center"/>
              <w:rPr>
                <w:rFonts w:hint="eastAsia" w:ascii="宋体" w:hAnsi="宋体" w:eastAsia="宋体" w:cs="宋体"/>
                <w:b/>
                <w:color w:val="auto"/>
                <w:sz w:val="21"/>
                <w:szCs w:val="21"/>
                <w:lang w:val="en-US" w:eastAsia="zh-CN" w:bidi="zh-CN"/>
              </w:rPr>
            </w:pPr>
            <w:r>
              <w:rPr>
                <w:rFonts w:hint="eastAsia" w:ascii="宋体" w:hAnsi="宋体" w:eastAsia="宋体" w:cs="宋体"/>
                <w:b/>
                <w:color w:val="auto"/>
                <w:sz w:val="21"/>
                <w:szCs w:val="21"/>
                <w:lang w:val="en-US" w:eastAsia="zh-CN" w:bidi="zh-CN"/>
              </w:rPr>
              <w:t>岗位</w:t>
            </w:r>
          </w:p>
          <w:p w14:paraId="0F2417B1">
            <w:pPr>
              <w:widowControl w:val="0"/>
              <w:spacing w:line="320" w:lineRule="exact"/>
              <w:jc w:val="center"/>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val="en-US" w:eastAsia="zh-CN" w:bidi="zh-CN"/>
              </w:rPr>
              <w:t>单价/元</w:t>
            </w:r>
          </w:p>
        </w:tc>
        <w:tc>
          <w:tcPr>
            <w:tcW w:w="1425" w:type="dxa"/>
            <w:tcBorders>
              <w:top w:val="single" w:color="auto" w:sz="12" w:space="0"/>
              <w:bottom w:val="single" w:color="auto" w:sz="2" w:space="0"/>
            </w:tcBorders>
            <w:shd w:val="clear" w:color="auto" w:fill="F1F1F1" w:themeFill="background1" w:themeFillShade="F2"/>
            <w:vAlign w:val="center"/>
          </w:tcPr>
          <w:p w14:paraId="03D7C878">
            <w:pPr>
              <w:widowControl w:val="0"/>
              <w:spacing w:line="320" w:lineRule="exact"/>
              <w:jc w:val="center"/>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bidi="zh-CN"/>
              </w:rPr>
              <w:t>月金额</w:t>
            </w:r>
            <w:r>
              <w:rPr>
                <w:rFonts w:hint="eastAsia" w:ascii="宋体" w:hAnsi="宋体" w:eastAsia="宋体" w:cs="宋体"/>
                <w:b/>
                <w:color w:val="auto"/>
                <w:sz w:val="21"/>
                <w:szCs w:val="21"/>
                <w:lang w:val="en-US" w:eastAsia="zh-CN" w:bidi="zh-CN"/>
              </w:rPr>
              <w:t>/元</w:t>
            </w:r>
          </w:p>
        </w:tc>
        <w:tc>
          <w:tcPr>
            <w:tcW w:w="1238" w:type="dxa"/>
            <w:tcBorders>
              <w:top w:val="single" w:color="auto" w:sz="12" w:space="0"/>
              <w:bottom w:val="single" w:color="auto" w:sz="2" w:space="0"/>
            </w:tcBorders>
            <w:shd w:val="clear" w:color="auto" w:fill="F1F1F1" w:themeFill="background1" w:themeFillShade="F2"/>
            <w:vAlign w:val="center"/>
          </w:tcPr>
          <w:p w14:paraId="2B82422F">
            <w:pPr>
              <w:widowControl w:val="0"/>
              <w:spacing w:line="320" w:lineRule="exact"/>
              <w:jc w:val="center"/>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bidi="zh-CN"/>
              </w:rPr>
              <w:t>年金额</w:t>
            </w:r>
            <w:r>
              <w:rPr>
                <w:rFonts w:hint="eastAsia" w:ascii="宋体" w:hAnsi="宋体" w:eastAsia="宋体" w:cs="宋体"/>
                <w:b/>
                <w:color w:val="auto"/>
                <w:sz w:val="21"/>
                <w:szCs w:val="21"/>
                <w:lang w:val="en-US" w:eastAsia="zh-CN" w:bidi="zh-CN"/>
              </w:rPr>
              <w:t>/元</w:t>
            </w:r>
          </w:p>
        </w:tc>
        <w:tc>
          <w:tcPr>
            <w:tcW w:w="3181" w:type="dxa"/>
            <w:tcBorders>
              <w:top w:val="single" w:color="auto" w:sz="12" w:space="0"/>
              <w:bottom w:val="single" w:color="auto" w:sz="2" w:space="0"/>
            </w:tcBorders>
            <w:shd w:val="clear" w:color="auto" w:fill="F1F1F1" w:themeFill="background1" w:themeFillShade="F2"/>
            <w:vAlign w:val="center"/>
          </w:tcPr>
          <w:p w14:paraId="3444BA65">
            <w:pPr>
              <w:widowControl w:val="0"/>
              <w:spacing w:line="32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岗位要求</w:t>
            </w:r>
          </w:p>
        </w:tc>
      </w:tr>
      <w:tr w14:paraId="6DE88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7" w:hRule="atLeast"/>
        </w:trPr>
        <w:tc>
          <w:tcPr>
            <w:tcW w:w="605" w:type="dxa"/>
            <w:vMerge w:val="restart"/>
            <w:tcBorders>
              <w:top w:val="single" w:color="auto" w:sz="2" w:space="0"/>
            </w:tcBorders>
            <w:shd w:val="clear" w:color="auto" w:fill="auto"/>
            <w:vAlign w:val="center"/>
          </w:tcPr>
          <w:p w14:paraId="4981632B">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餐饮服务部</w:t>
            </w:r>
          </w:p>
        </w:tc>
        <w:tc>
          <w:tcPr>
            <w:tcW w:w="687" w:type="dxa"/>
            <w:tcBorders>
              <w:top w:val="single" w:color="auto" w:sz="2" w:space="0"/>
            </w:tcBorders>
            <w:shd w:val="clear" w:color="auto" w:fill="auto"/>
            <w:vAlign w:val="center"/>
          </w:tcPr>
          <w:p w14:paraId="328A6CBF">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餐厅经理</w:t>
            </w:r>
          </w:p>
        </w:tc>
        <w:tc>
          <w:tcPr>
            <w:tcW w:w="650" w:type="dxa"/>
            <w:tcBorders>
              <w:top w:val="single" w:color="auto" w:sz="2" w:space="0"/>
            </w:tcBorders>
            <w:shd w:val="clear" w:color="auto" w:fill="auto"/>
            <w:vAlign w:val="center"/>
          </w:tcPr>
          <w:p w14:paraId="42223790">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1</w:t>
            </w:r>
          </w:p>
        </w:tc>
        <w:tc>
          <w:tcPr>
            <w:tcW w:w="1675" w:type="dxa"/>
            <w:tcBorders>
              <w:top w:val="single" w:color="auto" w:sz="2" w:space="0"/>
            </w:tcBorders>
            <w:shd w:val="clear" w:color="auto" w:fill="auto"/>
            <w:vAlign w:val="center"/>
          </w:tcPr>
          <w:p w14:paraId="7A5A6D44">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3000</w:t>
            </w:r>
          </w:p>
        </w:tc>
        <w:tc>
          <w:tcPr>
            <w:tcW w:w="1425" w:type="dxa"/>
            <w:tcBorders>
              <w:top w:val="single" w:color="auto" w:sz="2" w:space="0"/>
            </w:tcBorders>
            <w:shd w:val="clear" w:color="auto" w:fill="auto"/>
            <w:vAlign w:val="center"/>
          </w:tcPr>
          <w:p w14:paraId="6B4A7948">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3000</w:t>
            </w:r>
          </w:p>
        </w:tc>
        <w:tc>
          <w:tcPr>
            <w:tcW w:w="1238" w:type="dxa"/>
            <w:tcBorders>
              <w:top w:val="single" w:color="auto" w:sz="2" w:space="0"/>
            </w:tcBorders>
            <w:shd w:val="clear" w:color="auto" w:fill="auto"/>
            <w:vAlign w:val="center"/>
          </w:tcPr>
          <w:p w14:paraId="6C9A94EB">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36000</w:t>
            </w:r>
          </w:p>
        </w:tc>
        <w:tc>
          <w:tcPr>
            <w:tcW w:w="3181" w:type="dxa"/>
            <w:tcBorders>
              <w:top w:val="single" w:color="auto" w:sz="2" w:space="0"/>
            </w:tcBorders>
            <w:shd w:val="clear" w:color="auto" w:fill="auto"/>
            <w:vAlign w:val="center"/>
          </w:tcPr>
          <w:p w14:paraId="0BF76D2E">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中级管理人员，30-50岁之间，高中以上学历，受过专业知识培训，具有五年</w:t>
            </w:r>
            <w:r>
              <w:rPr>
                <w:rFonts w:hint="eastAsia" w:ascii="宋体" w:hAnsi="宋体" w:eastAsia="宋体" w:cs="宋体"/>
                <w:color w:val="auto"/>
                <w:sz w:val="18"/>
                <w:szCs w:val="18"/>
                <w:lang w:eastAsia="zh-CN"/>
              </w:rPr>
              <w:t>以上</w:t>
            </w:r>
            <w:r>
              <w:rPr>
                <w:rFonts w:hint="eastAsia" w:ascii="宋体" w:hAnsi="宋体" w:eastAsia="宋体" w:cs="宋体"/>
                <w:color w:val="auto"/>
                <w:sz w:val="18"/>
                <w:szCs w:val="18"/>
              </w:rPr>
              <w:t>丰富的餐饮管理经验； 熟悉成本核算和费用管控；具有较好的组织安排和协调能力，持健康证上岗。</w:t>
            </w:r>
          </w:p>
        </w:tc>
      </w:tr>
      <w:tr w14:paraId="36A85B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0" w:hRule="atLeast"/>
        </w:trPr>
        <w:tc>
          <w:tcPr>
            <w:tcW w:w="605" w:type="dxa"/>
            <w:vMerge w:val="continue"/>
            <w:shd w:val="clear" w:color="auto" w:fill="auto"/>
            <w:vAlign w:val="center"/>
          </w:tcPr>
          <w:p w14:paraId="6ACBDFA8">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16B11C6B">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厨师长</w:t>
            </w:r>
          </w:p>
        </w:tc>
        <w:tc>
          <w:tcPr>
            <w:tcW w:w="650" w:type="dxa"/>
            <w:shd w:val="clear" w:color="auto" w:fill="auto"/>
            <w:vAlign w:val="center"/>
          </w:tcPr>
          <w:p w14:paraId="69C2EE39">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1</w:t>
            </w:r>
          </w:p>
        </w:tc>
        <w:tc>
          <w:tcPr>
            <w:tcW w:w="1675" w:type="dxa"/>
            <w:shd w:val="clear" w:color="auto" w:fill="auto"/>
            <w:vAlign w:val="center"/>
          </w:tcPr>
          <w:p w14:paraId="32A8EAD0">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3000</w:t>
            </w:r>
          </w:p>
        </w:tc>
        <w:tc>
          <w:tcPr>
            <w:tcW w:w="1425" w:type="dxa"/>
            <w:shd w:val="clear" w:color="auto" w:fill="auto"/>
            <w:vAlign w:val="center"/>
          </w:tcPr>
          <w:p w14:paraId="3AD65F34">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3000</w:t>
            </w:r>
          </w:p>
        </w:tc>
        <w:tc>
          <w:tcPr>
            <w:tcW w:w="1238" w:type="dxa"/>
            <w:shd w:val="clear" w:color="auto" w:fill="auto"/>
            <w:vAlign w:val="center"/>
          </w:tcPr>
          <w:p w14:paraId="71BED9AC">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36000</w:t>
            </w:r>
          </w:p>
        </w:tc>
        <w:tc>
          <w:tcPr>
            <w:tcW w:w="3181" w:type="dxa"/>
            <w:shd w:val="clear" w:color="auto" w:fill="auto"/>
            <w:vAlign w:val="center"/>
          </w:tcPr>
          <w:p w14:paraId="1B319038">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高级1人，高中以上文化程度；五年以上团餐工作经验，懂成本核算和厨房管理；工作认真负责，有创新精神，持健康证上岗。</w:t>
            </w:r>
          </w:p>
        </w:tc>
      </w:tr>
      <w:tr w14:paraId="67FA90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0" w:hRule="atLeast"/>
        </w:trPr>
        <w:tc>
          <w:tcPr>
            <w:tcW w:w="605" w:type="dxa"/>
            <w:vMerge w:val="continue"/>
            <w:shd w:val="clear" w:color="auto" w:fill="auto"/>
            <w:vAlign w:val="center"/>
          </w:tcPr>
          <w:p w14:paraId="10CAA0EB">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3B619308">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炒锅</w:t>
            </w:r>
          </w:p>
        </w:tc>
        <w:tc>
          <w:tcPr>
            <w:tcW w:w="650" w:type="dxa"/>
            <w:shd w:val="clear" w:color="auto" w:fill="auto"/>
            <w:vAlign w:val="center"/>
          </w:tcPr>
          <w:p w14:paraId="44ED9DE0">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2</w:t>
            </w:r>
          </w:p>
        </w:tc>
        <w:tc>
          <w:tcPr>
            <w:tcW w:w="1675" w:type="dxa"/>
            <w:shd w:val="clear" w:color="auto" w:fill="auto"/>
            <w:vAlign w:val="center"/>
          </w:tcPr>
          <w:p w14:paraId="72C7D047">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2800</w:t>
            </w:r>
          </w:p>
        </w:tc>
        <w:tc>
          <w:tcPr>
            <w:tcW w:w="1425" w:type="dxa"/>
            <w:shd w:val="clear" w:color="auto" w:fill="auto"/>
            <w:vAlign w:val="center"/>
          </w:tcPr>
          <w:p w14:paraId="1D3CEF69">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5600</w:t>
            </w:r>
          </w:p>
        </w:tc>
        <w:tc>
          <w:tcPr>
            <w:tcW w:w="1238" w:type="dxa"/>
            <w:shd w:val="clear" w:color="auto" w:fill="auto"/>
            <w:vAlign w:val="center"/>
          </w:tcPr>
          <w:p w14:paraId="3A1DBCA7">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67200</w:t>
            </w:r>
          </w:p>
        </w:tc>
        <w:tc>
          <w:tcPr>
            <w:tcW w:w="3181" w:type="dxa"/>
            <w:shd w:val="clear" w:color="auto" w:fill="auto"/>
            <w:vAlign w:val="center"/>
          </w:tcPr>
          <w:p w14:paraId="0AFD4A7C">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高级1人，中级1人，三年以上本岗位工作经验，熟悉各种炒菜的制作工艺和技能；工作认真，有较强的产品创新能力，能够熟练制作菜品；责任心强，爱岗敬业，持健康证上岗。</w:t>
            </w:r>
          </w:p>
        </w:tc>
      </w:tr>
      <w:tr w14:paraId="04668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5" w:hRule="atLeast"/>
        </w:trPr>
        <w:tc>
          <w:tcPr>
            <w:tcW w:w="605" w:type="dxa"/>
            <w:vMerge w:val="continue"/>
            <w:shd w:val="clear" w:color="auto" w:fill="auto"/>
            <w:vAlign w:val="center"/>
          </w:tcPr>
          <w:p w14:paraId="4D363B6F">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49D05C63">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凉菜师</w:t>
            </w:r>
          </w:p>
        </w:tc>
        <w:tc>
          <w:tcPr>
            <w:tcW w:w="650" w:type="dxa"/>
            <w:shd w:val="clear" w:color="auto" w:fill="auto"/>
            <w:vAlign w:val="center"/>
          </w:tcPr>
          <w:p w14:paraId="5697233F">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1</w:t>
            </w:r>
          </w:p>
        </w:tc>
        <w:tc>
          <w:tcPr>
            <w:tcW w:w="1675" w:type="dxa"/>
            <w:shd w:val="clear" w:color="auto" w:fill="auto"/>
            <w:vAlign w:val="center"/>
          </w:tcPr>
          <w:p w14:paraId="62B69002">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2800</w:t>
            </w:r>
          </w:p>
        </w:tc>
        <w:tc>
          <w:tcPr>
            <w:tcW w:w="1425" w:type="dxa"/>
            <w:shd w:val="clear" w:color="auto" w:fill="auto"/>
            <w:vAlign w:val="center"/>
          </w:tcPr>
          <w:p w14:paraId="16D7C2BC">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2800</w:t>
            </w:r>
          </w:p>
        </w:tc>
        <w:tc>
          <w:tcPr>
            <w:tcW w:w="1238" w:type="dxa"/>
            <w:shd w:val="clear" w:color="auto" w:fill="auto"/>
            <w:vAlign w:val="center"/>
          </w:tcPr>
          <w:p w14:paraId="2626D99A">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33600</w:t>
            </w:r>
          </w:p>
        </w:tc>
        <w:tc>
          <w:tcPr>
            <w:tcW w:w="3181" w:type="dxa"/>
            <w:shd w:val="clear" w:color="auto" w:fill="auto"/>
            <w:vAlign w:val="center"/>
          </w:tcPr>
          <w:p w14:paraId="2C445656">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中级1人，三年以上本岗位工作经验，熟悉各种凉菜的制作工艺和技能；工作认真，有较强的产品创新能力，能够熟练制作菜品；责任心强，爱岗敬业，持健康证上岗。</w:t>
            </w:r>
          </w:p>
        </w:tc>
      </w:tr>
      <w:tr w14:paraId="10DC4E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5" w:hRule="atLeast"/>
        </w:trPr>
        <w:tc>
          <w:tcPr>
            <w:tcW w:w="605" w:type="dxa"/>
            <w:vMerge w:val="continue"/>
            <w:shd w:val="clear" w:color="auto" w:fill="auto"/>
            <w:vAlign w:val="center"/>
          </w:tcPr>
          <w:p w14:paraId="0D0CACF0">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5ED6BB9B">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切配</w:t>
            </w:r>
          </w:p>
        </w:tc>
        <w:tc>
          <w:tcPr>
            <w:tcW w:w="650" w:type="dxa"/>
            <w:shd w:val="clear" w:color="auto" w:fill="auto"/>
            <w:vAlign w:val="center"/>
          </w:tcPr>
          <w:p w14:paraId="4A535CCB">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2</w:t>
            </w:r>
          </w:p>
        </w:tc>
        <w:tc>
          <w:tcPr>
            <w:tcW w:w="1675" w:type="dxa"/>
            <w:shd w:val="clear" w:color="auto" w:fill="auto"/>
            <w:vAlign w:val="center"/>
          </w:tcPr>
          <w:p w14:paraId="168D762D">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2300</w:t>
            </w:r>
          </w:p>
        </w:tc>
        <w:tc>
          <w:tcPr>
            <w:tcW w:w="1425" w:type="dxa"/>
            <w:shd w:val="clear" w:color="auto" w:fill="auto"/>
            <w:vAlign w:val="center"/>
          </w:tcPr>
          <w:p w14:paraId="65E97EAC">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4600</w:t>
            </w:r>
          </w:p>
        </w:tc>
        <w:tc>
          <w:tcPr>
            <w:tcW w:w="1238" w:type="dxa"/>
            <w:shd w:val="clear" w:color="auto" w:fill="auto"/>
            <w:vAlign w:val="center"/>
          </w:tcPr>
          <w:p w14:paraId="402F642C">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55200</w:t>
            </w:r>
          </w:p>
        </w:tc>
        <w:tc>
          <w:tcPr>
            <w:tcW w:w="3181" w:type="dxa"/>
            <w:shd w:val="clear" w:color="auto" w:fill="auto"/>
            <w:vAlign w:val="center"/>
          </w:tcPr>
          <w:p w14:paraId="7775A323">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中级1人，初级1人，18-45岁，初中以上学历，熟悉烹饪工艺知识；具有熟练的刀工技术，懂得各类原料的加工及保存方法，持健康证上岗。</w:t>
            </w:r>
          </w:p>
        </w:tc>
      </w:tr>
      <w:tr w14:paraId="75546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10" w:hRule="atLeast"/>
        </w:trPr>
        <w:tc>
          <w:tcPr>
            <w:tcW w:w="605" w:type="dxa"/>
            <w:vMerge w:val="continue"/>
            <w:shd w:val="clear" w:color="auto" w:fill="auto"/>
            <w:vAlign w:val="center"/>
          </w:tcPr>
          <w:p w14:paraId="2766C38D">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4887D987">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面案</w:t>
            </w:r>
          </w:p>
        </w:tc>
        <w:tc>
          <w:tcPr>
            <w:tcW w:w="650" w:type="dxa"/>
            <w:shd w:val="clear" w:color="auto" w:fill="auto"/>
            <w:vAlign w:val="center"/>
          </w:tcPr>
          <w:p w14:paraId="13A0C578">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2</w:t>
            </w:r>
          </w:p>
        </w:tc>
        <w:tc>
          <w:tcPr>
            <w:tcW w:w="1675" w:type="dxa"/>
            <w:shd w:val="clear" w:color="auto" w:fill="auto"/>
            <w:vAlign w:val="center"/>
          </w:tcPr>
          <w:p w14:paraId="18FDE788">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2300</w:t>
            </w:r>
          </w:p>
        </w:tc>
        <w:tc>
          <w:tcPr>
            <w:tcW w:w="1425" w:type="dxa"/>
            <w:shd w:val="clear" w:color="auto" w:fill="auto"/>
            <w:vAlign w:val="center"/>
          </w:tcPr>
          <w:p w14:paraId="79720C6A">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4600</w:t>
            </w:r>
          </w:p>
        </w:tc>
        <w:tc>
          <w:tcPr>
            <w:tcW w:w="1238" w:type="dxa"/>
            <w:shd w:val="clear" w:color="auto" w:fill="auto"/>
            <w:vAlign w:val="center"/>
          </w:tcPr>
          <w:p w14:paraId="44472F0E">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bidi="zh-CN"/>
              </w:rPr>
              <w:t>55200</w:t>
            </w:r>
          </w:p>
        </w:tc>
        <w:tc>
          <w:tcPr>
            <w:tcW w:w="3181" w:type="dxa"/>
            <w:shd w:val="clear" w:color="auto" w:fill="auto"/>
            <w:vAlign w:val="center"/>
          </w:tcPr>
          <w:p w14:paraId="3E35E243">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高级1人，中级1人，三年以上面点工作经验，熟悉各类面点制作工艺和技能；工作认真，具有较强的产品创新能力，能够熟练制作各种面食；工作责任心强，爱岗敬业，持健康证上岗。</w:t>
            </w:r>
          </w:p>
        </w:tc>
      </w:tr>
      <w:tr w14:paraId="4D24F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8" w:hRule="atLeast"/>
        </w:trPr>
        <w:tc>
          <w:tcPr>
            <w:tcW w:w="605" w:type="dxa"/>
            <w:vMerge w:val="continue"/>
            <w:shd w:val="clear" w:color="auto" w:fill="auto"/>
            <w:vAlign w:val="center"/>
          </w:tcPr>
          <w:p w14:paraId="26ECACAA">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39AF6D40">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服务员</w:t>
            </w:r>
          </w:p>
        </w:tc>
        <w:tc>
          <w:tcPr>
            <w:tcW w:w="650" w:type="dxa"/>
            <w:shd w:val="clear" w:color="auto" w:fill="auto"/>
            <w:vAlign w:val="center"/>
          </w:tcPr>
          <w:p w14:paraId="524CAA52">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4</w:t>
            </w:r>
          </w:p>
        </w:tc>
        <w:tc>
          <w:tcPr>
            <w:tcW w:w="1675" w:type="dxa"/>
            <w:shd w:val="clear" w:color="auto" w:fill="auto"/>
            <w:vAlign w:val="center"/>
          </w:tcPr>
          <w:p w14:paraId="4861F53B">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2100</w:t>
            </w:r>
          </w:p>
        </w:tc>
        <w:tc>
          <w:tcPr>
            <w:tcW w:w="1425" w:type="dxa"/>
            <w:shd w:val="clear" w:color="auto" w:fill="auto"/>
            <w:vAlign w:val="center"/>
          </w:tcPr>
          <w:p w14:paraId="787FD929">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8400</w:t>
            </w:r>
          </w:p>
        </w:tc>
        <w:tc>
          <w:tcPr>
            <w:tcW w:w="1238" w:type="dxa"/>
            <w:shd w:val="clear" w:color="auto" w:fill="auto"/>
            <w:vAlign w:val="center"/>
          </w:tcPr>
          <w:p w14:paraId="39493E7E">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100800</w:t>
            </w:r>
          </w:p>
        </w:tc>
        <w:tc>
          <w:tcPr>
            <w:tcW w:w="3181" w:type="dxa"/>
            <w:shd w:val="clear" w:color="auto" w:fill="auto"/>
            <w:vAlign w:val="center"/>
          </w:tcPr>
          <w:p w14:paraId="24A8A0DF">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18-45岁，具有初中及以上学历，受过专业培训，有餐厅服务工作经验；口齿清楚，持健康证上岗</w:t>
            </w:r>
          </w:p>
        </w:tc>
      </w:tr>
      <w:tr w14:paraId="50D037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7" w:hRule="atLeast"/>
        </w:trPr>
        <w:tc>
          <w:tcPr>
            <w:tcW w:w="605" w:type="dxa"/>
            <w:vMerge w:val="continue"/>
            <w:shd w:val="clear" w:color="auto" w:fill="auto"/>
            <w:vAlign w:val="center"/>
          </w:tcPr>
          <w:p w14:paraId="331466B0">
            <w:pPr>
              <w:widowControl w:val="0"/>
              <w:spacing w:line="320" w:lineRule="exact"/>
              <w:jc w:val="center"/>
              <w:rPr>
                <w:rFonts w:hint="eastAsia" w:ascii="宋体" w:hAnsi="宋体" w:eastAsia="宋体" w:cs="宋体"/>
                <w:color w:val="auto"/>
                <w:sz w:val="21"/>
                <w:szCs w:val="21"/>
                <w:lang w:bidi="zh-CN"/>
              </w:rPr>
            </w:pPr>
          </w:p>
        </w:tc>
        <w:tc>
          <w:tcPr>
            <w:tcW w:w="687" w:type="dxa"/>
            <w:shd w:val="clear" w:color="auto" w:fill="auto"/>
            <w:vAlign w:val="center"/>
          </w:tcPr>
          <w:p w14:paraId="233E657C">
            <w:pPr>
              <w:widowControl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洗消</w:t>
            </w:r>
          </w:p>
        </w:tc>
        <w:tc>
          <w:tcPr>
            <w:tcW w:w="650" w:type="dxa"/>
            <w:shd w:val="clear" w:color="auto" w:fill="auto"/>
            <w:vAlign w:val="center"/>
          </w:tcPr>
          <w:p w14:paraId="6230F87C">
            <w:pPr>
              <w:widowControl w:val="0"/>
              <w:spacing w:line="320" w:lineRule="exact"/>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2</w:t>
            </w:r>
          </w:p>
        </w:tc>
        <w:tc>
          <w:tcPr>
            <w:tcW w:w="1675" w:type="dxa"/>
            <w:shd w:val="clear" w:color="auto" w:fill="auto"/>
            <w:vAlign w:val="center"/>
          </w:tcPr>
          <w:p w14:paraId="1CD6899F">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1650</w:t>
            </w:r>
          </w:p>
        </w:tc>
        <w:tc>
          <w:tcPr>
            <w:tcW w:w="1425" w:type="dxa"/>
            <w:shd w:val="clear" w:color="auto" w:fill="auto"/>
            <w:vAlign w:val="center"/>
          </w:tcPr>
          <w:p w14:paraId="176E8ED7">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3300</w:t>
            </w:r>
          </w:p>
        </w:tc>
        <w:tc>
          <w:tcPr>
            <w:tcW w:w="1238" w:type="dxa"/>
            <w:shd w:val="clear" w:color="auto" w:fill="auto"/>
            <w:vAlign w:val="center"/>
          </w:tcPr>
          <w:p w14:paraId="6F6FCA78">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39600</w:t>
            </w:r>
          </w:p>
        </w:tc>
        <w:tc>
          <w:tcPr>
            <w:tcW w:w="3181" w:type="dxa"/>
            <w:shd w:val="clear" w:color="auto" w:fill="auto"/>
            <w:vAlign w:val="center"/>
          </w:tcPr>
          <w:p w14:paraId="76954803">
            <w:pPr>
              <w:widowControl w:val="0"/>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18-50岁，工作勤恳，认真负责,吃苦耐劳，持健康证上岗。</w:t>
            </w:r>
          </w:p>
        </w:tc>
      </w:tr>
      <w:tr w14:paraId="55048B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7" w:hRule="atLeast"/>
        </w:trPr>
        <w:tc>
          <w:tcPr>
            <w:tcW w:w="1292" w:type="dxa"/>
            <w:gridSpan w:val="2"/>
            <w:shd w:val="clear" w:color="auto" w:fill="auto"/>
            <w:vAlign w:val="center"/>
          </w:tcPr>
          <w:p w14:paraId="7A3E995C">
            <w:pPr>
              <w:widowControl w:val="0"/>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650" w:type="dxa"/>
            <w:shd w:val="clear" w:color="auto" w:fill="auto"/>
            <w:vAlign w:val="center"/>
          </w:tcPr>
          <w:p w14:paraId="5685733E">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15</w:t>
            </w:r>
          </w:p>
        </w:tc>
        <w:tc>
          <w:tcPr>
            <w:tcW w:w="1675" w:type="dxa"/>
            <w:shd w:val="clear" w:color="auto" w:fill="auto"/>
            <w:vAlign w:val="center"/>
          </w:tcPr>
          <w:p w14:paraId="5F630CE6">
            <w:pPr>
              <w:widowControl w:val="0"/>
              <w:spacing w:line="320" w:lineRule="exact"/>
              <w:jc w:val="center"/>
              <w:rPr>
                <w:rFonts w:hint="eastAsia" w:ascii="宋体" w:hAnsi="宋体" w:eastAsia="宋体" w:cs="宋体"/>
                <w:color w:val="auto"/>
                <w:sz w:val="21"/>
                <w:szCs w:val="21"/>
                <w:lang w:val="en-US" w:bidi="zh-CN"/>
              </w:rPr>
            </w:pPr>
          </w:p>
        </w:tc>
        <w:tc>
          <w:tcPr>
            <w:tcW w:w="1425" w:type="dxa"/>
            <w:shd w:val="clear" w:color="auto" w:fill="auto"/>
            <w:vAlign w:val="center"/>
          </w:tcPr>
          <w:p w14:paraId="7787BA0D">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35300</w:t>
            </w:r>
          </w:p>
        </w:tc>
        <w:tc>
          <w:tcPr>
            <w:tcW w:w="1238" w:type="dxa"/>
            <w:shd w:val="clear" w:color="auto" w:fill="auto"/>
            <w:vAlign w:val="center"/>
          </w:tcPr>
          <w:p w14:paraId="689A118D">
            <w:pPr>
              <w:widowControl w:val="0"/>
              <w:spacing w:line="320" w:lineRule="exact"/>
              <w:jc w:val="center"/>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val="en-US" w:bidi="zh-CN"/>
              </w:rPr>
              <w:t>423800</w:t>
            </w:r>
          </w:p>
        </w:tc>
        <w:tc>
          <w:tcPr>
            <w:tcW w:w="3181" w:type="dxa"/>
            <w:shd w:val="clear" w:color="auto" w:fill="auto"/>
            <w:vAlign w:val="center"/>
          </w:tcPr>
          <w:p w14:paraId="04B6E7CF">
            <w:pPr>
              <w:widowControl w:val="0"/>
              <w:spacing w:line="320" w:lineRule="exact"/>
              <w:jc w:val="left"/>
              <w:rPr>
                <w:rFonts w:hint="eastAsia" w:ascii="宋体" w:hAnsi="宋体" w:eastAsia="宋体" w:cs="宋体"/>
                <w:color w:val="auto"/>
                <w:sz w:val="18"/>
                <w:szCs w:val="18"/>
              </w:rPr>
            </w:pPr>
          </w:p>
        </w:tc>
      </w:tr>
    </w:tbl>
    <w:p w14:paraId="4B82D8FF">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4"/>
          <w:szCs w:val="24"/>
          <w:highlight w:val="none"/>
          <w:lang w:val="en-US" w:eastAsia="zh-CN"/>
        </w:rPr>
      </w:pPr>
    </w:p>
    <w:p w14:paraId="5228C286">
      <w:pPr>
        <w:rPr>
          <w:rFonts w:hint="eastAsia" w:ascii="宋体" w:hAnsi="宋体" w:eastAsia="宋体" w:cs="宋体"/>
          <w:color w:val="auto"/>
          <w:lang w:val="en-US" w:eastAsia="zh-CN"/>
        </w:rPr>
      </w:pPr>
    </w:p>
    <w:p w14:paraId="648DAFA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4"/>
          <w:szCs w:val="24"/>
          <w:highlight w:val="none"/>
          <w:lang w:val="en-US" w:eastAsia="zh-CN"/>
        </w:rPr>
      </w:pPr>
    </w:p>
    <w:p w14:paraId="2B87E22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4"/>
          <w:szCs w:val="24"/>
          <w:highlight w:val="none"/>
          <w:lang w:val="en-US" w:eastAsia="zh-CN"/>
        </w:rPr>
      </w:pPr>
    </w:p>
    <w:p w14:paraId="19A00A0E">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10"/>
          <w:szCs w:val="10"/>
          <w:lang w:val="en-US" w:eastAsia="zh-CN"/>
        </w:rPr>
      </w:pPr>
      <w:r>
        <w:rPr>
          <w:rFonts w:hint="eastAsia" w:ascii="宋体" w:hAnsi="宋体" w:eastAsia="宋体" w:cs="宋体"/>
          <w:b/>
          <w:bCs w:val="0"/>
          <w:color w:val="auto"/>
          <w:sz w:val="24"/>
          <w:szCs w:val="24"/>
          <w:highlight w:val="none"/>
          <w:lang w:val="en-US" w:eastAsia="zh-CN"/>
        </w:rPr>
        <w:t>4、质量要求</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60"/>
        <w:gridCol w:w="1305"/>
        <w:gridCol w:w="5167"/>
      </w:tblGrid>
      <w:tr w14:paraId="2E7E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Align w:val="center"/>
          </w:tcPr>
          <w:p w14:paraId="412D2A78">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60" w:type="dxa"/>
            <w:vAlign w:val="center"/>
          </w:tcPr>
          <w:p w14:paraId="256AA60F">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名称</w:t>
            </w:r>
          </w:p>
        </w:tc>
        <w:tc>
          <w:tcPr>
            <w:tcW w:w="1305" w:type="dxa"/>
            <w:vAlign w:val="center"/>
          </w:tcPr>
          <w:p w14:paraId="4207FBCE">
            <w:pPr>
              <w:pStyle w:val="2"/>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质量要求</w:t>
            </w:r>
          </w:p>
        </w:tc>
        <w:tc>
          <w:tcPr>
            <w:tcW w:w="5167" w:type="dxa"/>
            <w:vAlign w:val="center"/>
          </w:tcPr>
          <w:p w14:paraId="44F3F1A5">
            <w:pPr>
              <w:pStyle w:val="2"/>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服务内容</w:t>
            </w:r>
          </w:p>
        </w:tc>
      </w:tr>
      <w:tr w14:paraId="5880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restart"/>
            <w:vAlign w:val="center"/>
          </w:tcPr>
          <w:p w14:paraId="263B62CE">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60" w:type="dxa"/>
            <w:vMerge w:val="restart"/>
            <w:vAlign w:val="center"/>
          </w:tcPr>
          <w:p w14:paraId="7DFE6151">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r>
              <w:rPr>
                <w:rFonts w:hint="eastAsia" w:ascii="宋体" w:hAnsi="宋体" w:eastAsia="宋体" w:cs="宋体"/>
                <w:color w:val="auto"/>
                <w:sz w:val="21"/>
                <w:szCs w:val="21"/>
                <w:vertAlign w:val="baseline"/>
                <w:lang w:val="en-US" w:eastAsia="zh-CN"/>
              </w:rPr>
              <w:t>餐厅管理</w:t>
            </w:r>
          </w:p>
        </w:tc>
        <w:tc>
          <w:tcPr>
            <w:tcW w:w="1305" w:type="dxa"/>
            <w:vMerge w:val="restart"/>
            <w:vAlign w:val="center"/>
          </w:tcPr>
          <w:p w14:paraId="10995089">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考核管理</w:t>
            </w:r>
          </w:p>
        </w:tc>
        <w:tc>
          <w:tcPr>
            <w:tcW w:w="5167" w:type="dxa"/>
            <w:vAlign w:val="center"/>
          </w:tcPr>
          <w:p w14:paraId="3F86DE96">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严格遵守国家有关安全生产的法律法规，认真执行合同中的有关安全要求。严格遵守采购人所制定的餐厅考核制度。</w:t>
            </w:r>
          </w:p>
        </w:tc>
      </w:tr>
      <w:tr w14:paraId="0F65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5A386B0A">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540B4C03">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73B4AAFC">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46742FB9">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服从采购人对生产场地、工作及生活环境的安排和要求，严格执行采购现场标准的相关管理规定。</w:t>
            </w:r>
          </w:p>
        </w:tc>
      </w:tr>
      <w:tr w14:paraId="3A54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303BD296">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5A6960D1">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055F5E09">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1B7D6C54">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供应商应定期检查安全设施，发现隐患及时上报，配合采购及时处理各类隐患。</w:t>
            </w:r>
          </w:p>
        </w:tc>
      </w:tr>
      <w:tr w14:paraId="649C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48E942FD">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12AC7FB3">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restart"/>
            <w:vAlign w:val="center"/>
          </w:tcPr>
          <w:p w14:paraId="37C37723">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设备设施</w:t>
            </w:r>
          </w:p>
        </w:tc>
        <w:tc>
          <w:tcPr>
            <w:tcW w:w="5167" w:type="dxa"/>
            <w:vAlign w:val="center"/>
          </w:tcPr>
          <w:p w14:paraId="4F1DA515">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供应商对采购所配设备及餐具用品需要更换或报废时，报采购人许可，设备完好率 100%。</w:t>
            </w:r>
          </w:p>
        </w:tc>
      </w:tr>
      <w:tr w14:paraId="52DC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69F39C03">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704527F7">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293320BA">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79106217">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餐具保持完好率（指餐具无裂缝、豁口或破损）在 98%以上。</w:t>
            </w:r>
          </w:p>
        </w:tc>
      </w:tr>
      <w:tr w14:paraId="4359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49494FE4">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636E3141">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4AFDE8A0">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12621FC8">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餐具所用筷子每三个月必须更换一次，所更换碗、筷子质量必须按采购人要求和规格进行更换，所需费用均由供应商承担。</w:t>
            </w:r>
          </w:p>
        </w:tc>
      </w:tr>
      <w:tr w14:paraId="43C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35B47F17">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5AECC354">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358FB679">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28EF244A">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厨具中菜刀、铁锅、菜墩、炒勺等小件厨具补充更新，必须按采购要求进行同质量、同品牌进行更换，所需费用均由供应商承担。</w:t>
            </w:r>
          </w:p>
        </w:tc>
      </w:tr>
      <w:tr w14:paraId="2D0E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2B20A2B7">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52527019">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restart"/>
            <w:vAlign w:val="center"/>
          </w:tcPr>
          <w:p w14:paraId="42F6F20B">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岗位培训</w:t>
            </w:r>
          </w:p>
        </w:tc>
        <w:tc>
          <w:tcPr>
            <w:tcW w:w="5167" w:type="dxa"/>
            <w:vAlign w:val="center"/>
          </w:tcPr>
          <w:p w14:paraId="65929833">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加强安全生产宣传教育，建立健全各项安全生产的管理机制和安全生产管理制度。</w:t>
            </w:r>
          </w:p>
        </w:tc>
      </w:tr>
      <w:tr w14:paraId="7D60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76DF80EE">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47DE9601">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7F793DAB">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70280F0C">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严格遵守安全操作规程，由此引发的一切安全事故及安全责任，由供应商承担。</w:t>
            </w:r>
          </w:p>
        </w:tc>
      </w:tr>
      <w:tr w14:paraId="6274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2699D00F">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486C9FC8">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4518F622">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5167" w:type="dxa"/>
            <w:vAlign w:val="center"/>
          </w:tcPr>
          <w:p w14:paraId="0663D228">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制订生产安全事故应急救援预案及紧急事故应急预案，定期组织应急预案演练活动。</w:t>
            </w:r>
          </w:p>
        </w:tc>
      </w:tr>
      <w:tr w14:paraId="748F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restart"/>
            <w:vAlign w:val="center"/>
          </w:tcPr>
          <w:p w14:paraId="2F738A51">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260" w:type="dxa"/>
            <w:vMerge w:val="restart"/>
            <w:vAlign w:val="center"/>
          </w:tcPr>
          <w:p w14:paraId="085B6D7D">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r>
              <w:rPr>
                <w:rFonts w:hint="eastAsia" w:ascii="宋体" w:hAnsi="宋体" w:eastAsia="宋体" w:cs="宋体"/>
                <w:color w:val="auto"/>
                <w:sz w:val="21"/>
                <w:szCs w:val="21"/>
                <w:vertAlign w:val="baseline"/>
                <w:lang w:val="en-US" w:eastAsia="zh-CN"/>
              </w:rPr>
              <w:t>菜品采购</w:t>
            </w:r>
          </w:p>
        </w:tc>
        <w:tc>
          <w:tcPr>
            <w:tcW w:w="1305" w:type="dxa"/>
            <w:vMerge w:val="restart"/>
            <w:vAlign w:val="center"/>
          </w:tcPr>
          <w:p w14:paraId="3121CDFB">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采购要求</w:t>
            </w:r>
          </w:p>
        </w:tc>
        <w:tc>
          <w:tcPr>
            <w:tcW w:w="5167" w:type="dxa"/>
            <w:vAlign w:val="center"/>
          </w:tcPr>
          <w:p w14:paraId="3715CE56">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采购带包装的食品时，禁止采购“ 三无”产品，即无“ 生产日期、保质期或有效食用截止日期、生产厂家”，三者缺一不可。</w:t>
            </w:r>
          </w:p>
        </w:tc>
      </w:tr>
      <w:tr w14:paraId="53CF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777C6C77">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2B9AFCA4">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57FE4B99">
            <w:pPr>
              <w:pStyle w:val="2"/>
              <w:ind w:left="0" w:leftChars="0" w:firstLine="0" w:firstLineChars="0"/>
              <w:jc w:val="left"/>
              <w:rPr>
                <w:rFonts w:hint="eastAsia" w:ascii="宋体" w:hAnsi="宋体" w:eastAsia="宋体" w:cs="宋体"/>
                <w:color w:val="auto"/>
                <w:sz w:val="21"/>
                <w:szCs w:val="21"/>
                <w:vertAlign w:val="baseline"/>
                <w:lang w:val="en-US" w:eastAsia="zh-CN"/>
              </w:rPr>
            </w:pPr>
          </w:p>
        </w:tc>
        <w:tc>
          <w:tcPr>
            <w:tcW w:w="5167" w:type="dxa"/>
            <w:vAlign w:val="center"/>
          </w:tcPr>
          <w:p w14:paraId="3A770F36">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禁止采购无食品生产许可证、编号的产品。</w:t>
            </w:r>
          </w:p>
        </w:tc>
      </w:tr>
      <w:tr w14:paraId="5F09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560CDE49">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39C53312">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54B379EA">
            <w:pPr>
              <w:pStyle w:val="2"/>
              <w:ind w:left="0" w:leftChars="0" w:firstLine="0" w:firstLineChars="0"/>
              <w:jc w:val="left"/>
              <w:rPr>
                <w:rFonts w:hint="eastAsia" w:ascii="宋体" w:hAnsi="宋体" w:eastAsia="宋体" w:cs="宋体"/>
                <w:color w:val="auto"/>
                <w:sz w:val="21"/>
                <w:szCs w:val="21"/>
                <w:vertAlign w:val="baseline"/>
                <w:lang w:val="en-US" w:eastAsia="zh-CN"/>
              </w:rPr>
            </w:pPr>
          </w:p>
        </w:tc>
        <w:tc>
          <w:tcPr>
            <w:tcW w:w="5167" w:type="dxa"/>
            <w:vAlign w:val="center"/>
          </w:tcPr>
          <w:p w14:paraId="46B84850">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根据采购人对膳食的要求,按照合理和营养的原则来确定。</w:t>
            </w:r>
          </w:p>
        </w:tc>
      </w:tr>
      <w:tr w14:paraId="7EE7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5513BD1E">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0A97FD51">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305" w:type="dxa"/>
            <w:vMerge w:val="continue"/>
            <w:vAlign w:val="center"/>
          </w:tcPr>
          <w:p w14:paraId="35E0E0DC">
            <w:pPr>
              <w:pStyle w:val="2"/>
              <w:ind w:left="0" w:leftChars="0" w:firstLine="0" w:firstLineChars="0"/>
              <w:jc w:val="left"/>
              <w:rPr>
                <w:rFonts w:hint="eastAsia" w:ascii="宋体" w:hAnsi="宋体" w:eastAsia="宋体" w:cs="宋体"/>
                <w:color w:val="auto"/>
                <w:sz w:val="21"/>
                <w:szCs w:val="21"/>
                <w:vertAlign w:val="baseline"/>
                <w:lang w:val="en-US" w:eastAsia="zh-CN"/>
              </w:rPr>
            </w:pPr>
          </w:p>
        </w:tc>
        <w:tc>
          <w:tcPr>
            <w:tcW w:w="5167" w:type="dxa"/>
            <w:vAlign w:val="center"/>
          </w:tcPr>
          <w:p w14:paraId="797D4A35">
            <w:pPr>
              <w:pStyle w:val="2"/>
              <w:ind w:left="0" w:leftChars="0" w:firstLine="0" w:firstLineChars="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按照采购方就餐者对原料的食用习惯和食用价值确定</w:t>
            </w:r>
          </w:p>
        </w:tc>
      </w:tr>
      <w:tr w14:paraId="2ED3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2FA506F8">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2795D6BB">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01D01102">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蔬菜类</w:t>
            </w:r>
          </w:p>
        </w:tc>
        <w:tc>
          <w:tcPr>
            <w:tcW w:w="5167" w:type="dxa"/>
            <w:vAlign w:val="center"/>
          </w:tcPr>
          <w:p w14:paraId="7AACC60A">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蔬菜农残要求符合农产品安全质量无公害蔬菜安全要求中最大限量标准。</w:t>
            </w:r>
          </w:p>
        </w:tc>
      </w:tr>
      <w:tr w14:paraId="585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75BCAC43">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69C589D0">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24500782">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猪肉类</w:t>
            </w:r>
          </w:p>
        </w:tc>
        <w:tc>
          <w:tcPr>
            <w:tcW w:w="5167" w:type="dxa"/>
            <w:vAlign w:val="center"/>
          </w:tcPr>
          <w:p w14:paraId="470D2666">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猪肉类标准:每批次必须有兽医检疫合格证明,首次供货前提供兽药残留达标、无禁用药物保证函,每年提供至少一次当年官方检验报告。印章清晰清楚可查。</w:t>
            </w:r>
          </w:p>
        </w:tc>
      </w:tr>
      <w:tr w14:paraId="1FD0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05F672FC">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54EDFBF5">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51A9A205">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牛肉类</w:t>
            </w:r>
          </w:p>
        </w:tc>
        <w:tc>
          <w:tcPr>
            <w:tcW w:w="5167" w:type="dxa"/>
            <w:vAlign w:val="center"/>
          </w:tcPr>
          <w:p w14:paraId="22F48C62">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每批次必须有兽医检疫合格证明,首次供货前提供兽药残留达标、无禁用药物保证函,每年提供至少一次当年官方检验报告。印章清晰清楚可查。</w:t>
            </w:r>
          </w:p>
        </w:tc>
      </w:tr>
      <w:tr w14:paraId="69CF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38AA6119">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032DD5A3">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3E1D47CB">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畜禽类</w:t>
            </w:r>
          </w:p>
        </w:tc>
        <w:tc>
          <w:tcPr>
            <w:tcW w:w="5167" w:type="dxa"/>
            <w:vAlign w:val="center"/>
          </w:tcPr>
          <w:p w14:paraId="0E362B2E">
            <w:pPr>
              <w:widowControl w:val="0"/>
              <w:spacing w:line="320" w:lineRule="exact"/>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每批次必须有兽医检疫合格证明，首次供货前提供兽药残留达标、无禁用药物保证函，每年提供至少一次当年官方检验报告。</w:t>
            </w:r>
          </w:p>
          <w:p w14:paraId="62BACC59">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印章清晰清楚可查。</w:t>
            </w:r>
          </w:p>
        </w:tc>
      </w:tr>
      <w:tr w14:paraId="41A0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136AD62A">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5D001955">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2B585917">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禽蛋类</w:t>
            </w:r>
          </w:p>
        </w:tc>
        <w:tc>
          <w:tcPr>
            <w:tcW w:w="5167" w:type="dxa"/>
            <w:vAlign w:val="center"/>
          </w:tcPr>
          <w:p w14:paraId="6032092E">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蛋外壳有层霜状粉末,壳表面比较粗糙，但有光泽;用光照,能透光,呈桔红色,气室小而透亮,蛋黄轮廓，将蛋轻轻摇动,听不到声音或感觉不到振动的为新鲜蛋</w:t>
            </w:r>
          </w:p>
        </w:tc>
      </w:tr>
      <w:tr w14:paraId="2DCC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0C32512A">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49A562EE">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2D47A27C">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鱼类</w:t>
            </w:r>
          </w:p>
        </w:tc>
        <w:tc>
          <w:tcPr>
            <w:tcW w:w="5167" w:type="dxa"/>
            <w:vAlign w:val="center"/>
          </w:tcPr>
          <w:p w14:paraId="22B24E26">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首次供货前提供保证函、每一年至少提供一次当年官方检验报告。</w:t>
            </w:r>
          </w:p>
        </w:tc>
      </w:tr>
      <w:tr w14:paraId="5BD9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4EBAE58C">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1EF379F1">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21A69C6F">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冻品类</w:t>
            </w:r>
          </w:p>
        </w:tc>
        <w:tc>
          <w:tcPr>
            <w:tcW w:w="5167" w:type="dxa"/>
            <w:vAlign w:val="center"/>
          </w:tcPr>
          <w:p w14:paraId="3286323C">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首次供货前提供保证函、每一年至少提供一次当年官方检验报告。查验合格服务商名录,来源于合格服务商。</w:t>
            </w:r>
          </w:p>
        </w:tc>
      </w:tr>
      <w:tr w14:paraId="25F0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0" w:type="dxa"/>
            <w:vMerge w:val="continue"/>
            <w:vAlign w:val="center"/>
          </w:tcPr>
          <w:p w14:paraId="07B931E1">
            <w:pPr>
              <w:pStyle w:val="2"/>
              <w:ind w:left="0" w:leftChars="0" w:firstLine="0" w:firstLineChars="0"/>
              <w:jc w:val="center"/>
              <w:rPr>
                <w:rFonts w:hint="eastAsia" w:ascii="宋体" w:hAnsi="宋体" w:eastAsia="宋体" w:cs="宋体"/>
                <w:color w:val="auto"/>
                <w:sz w:val="21"/>
                <w:szCs w:val="21"/>
                <w:vertAlign w:val="baseline"/>
                <w:lang w:val="en-US" w:eastAsia="zh-CN"/>
              </w:rPr>
            </w:pPr>
          </w:p>
        </w:tc>
        <w:tc>
          <w:tcPr>
            <w:tcW w:w="1260" w:type="dxa"/>
            <w:vMerge w:val="continue"/>
            <w:vAlign w:val="center"/>
          </w:tcPr>
          <w:p w14:paraId="0517478D">
            <w:pPr>
              <w:pStyle w:val="2"/>
              <w:ind w:left="0" w:leftChars="0" w:firstLine="0" w:firstLineChars="0"/>
              <w:jc w:val="center"/>
              <w:rPr>
                <w:rFonts w:hint="eastAsia" w:ascii="宋体" w:hAnsi="宋体" w:eastAsia="宋体" w:cs="宋体"/>
                <w:color w:val="auto"/>
                <w:kern w:val="2"/>
                <w:sz w:val="21"/>
                <w:szCs w:val="21"/>
                <w:vertAlign w:val="baseline"/>
                <w:lang w:val="en-US" w:eastAsia="zh-CN" w:bidi="zh-CN"/>
              </w:rPr>
            </w:pPr>
          </w:p>
        </w:tc>
        <w:tc>
          <w:tcPr>
            <w:tcW w:w="1305" w:type="dxa"/>
            <w:vAlign w:val="center"/>
          </w:tcPr>
          <w:p w14:paraId="37EA8C26">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米面类</w:t>
            </w:r>
          </w:p>
        </w:tc>
        <w:tc>
          <w:tcPr>
            <w:tcW w:w="5167" w:type="dxa"/>
            <w:vAlign w:val="center"/>
          </w:tcPr>
          <w:p w14:paraId="1830F829">
            <w:pPr>
              <w:widowControl w:val="0"/>
              <w:spacing w:line="32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zh-CN"/>
              </w:rPr>
              <w:t>面粉含水量在 12 - 13 %之间,有正常气味，颜色较淡。</w:t>
            </w:r>
          </w:p>
        </w:tc>
      </w:tr>
      <w:tr w14:paraId="4051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90" w:type="dxa"/>
            <w:vAlign w:val="center"/>
          </w:tcPr>
          <w:p w14:paraId="3B1A45EE">
            <w:pPr>
              <w:pStyle w:val="2"/>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60" w:type="dxa"/>
            <w:vAlign w:val="center"/>
          </w:tcPr>
          <w:p w14:paraId="7895D435">
            <w:pPr>
              <w:widowControl w:val="0"/>
              <w:spacing w:line="320" w:lineRule="exact"/>
              <w:rPr>
                <w:rFonts w:hint="eastAsia" w:ascii="宋体" w:hAnsi="宋体" w:eastAsia="宋体" w:cs="宋体"/>
                <w:color w:val="auto"/>
                <w:kern w:val="2"/>
                <w:sz w:val="21"/>
                <w:szCs w:val="21"/>
                <w:vertAlign w:val="baseline"/>
                <w:lang w:val="en-US" w:eastAsia="zh-CN" w:bidi="zh-CN"/>
              </w:rPr>
            </w:pPr>
            <w:r>
              <w:rPr>
                <w:rFonts w:hint="eastAsia" w:ascii="宋体" w:hAnsi="宋体" w:eastAsia="宋体" w:cs="宋体"/>
                <w:color w:val="auto"/>
                <w:sz w:val="21"/>
                <w:szCs w:val="21"/>
                <w:lang w:bidi="zh-CN"/>
              </w:rPr>
              <w:t>反餐饮浪费</w:t>
            </w:r>
          </w:p>
        </w:tc>
        <w:tc>
          <w:tcPr>
            <w:tcW w:w="1305" w:type="dxa"/>
            <w:vAlign w:val="center"/>
          </w:tcPr>
          <w:p w14:paraId="66810153">
            <w:pPr>
              <w:widowControl w:val="0"/>
              <w:spacing w:line="320" w:lineRule="exact"/>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光盘行动；</w:t>
            </w:r>
          </w:p>
          <w:p w14:paraId="048F1D80">
            <w:pPr>
              <w:widowControl w:val="0"/>
              <w:spacing w:line="320" w:lineRule="exact"/>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厨余垃圾分类</w:t>
            </w:r>
          </w:p>
        </w:tc>
        <w:tc>
          <w:tcPr>
            <w:tcW w:w="5167" w:type="dxa"/>
            <w:vAlign w:val="center"/>
          </w:tcPr>
          <w:p w14:paraId="742BEC4C">
            <w:pPr>
              <w:widowControl w:val="0"/>
              <w:spacing w:line="320" w:lineRule="exact"/>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按照《中华人民共和国反食品浪费法》，做好食堂反餐饮浪费工作，安排督导员巡查；按照厨余垃圾进行分类存放，每日及时清理。</w:t>
            </w:r>
          </w:p>
        </w:tc>
      </w:tr>
    </w:tbl>
    <w:p w14:paraId="6DE4EC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lang w:val="en-US" w:eastAsia="zh-CN"/>
        </w:rPr>
      </w:pPr>
    </w:p>
    <w:p w14:paraId="1D89DDAA">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kern w:val="2"/>
          <w:sz w:val="24"/>
          <w:szCs w:val="24"/>
          <w:highlight w:val="none"/>
          <w:lang w:val="en-US" w:eastAsia="zh-CN" w:bidi="ar-SA"/>
        </w:rPr>
        <w:t>考核</w:t>
      </w:r>
    </w:p>
    <w:p w14:paraId="64B1B2BE">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考核的</w:t>
      </w:r>
      <w:r>
        <w:rPr>
          <w:rFonts w:hint="eastAsia" w:ascii="宋体" w:hAnsi="宋体" w:eastAsia="宋体" w:cs="宋体"/>
          <w:b/>
          <w:bCs/>
          <w:color w:val="auto"/>
          <w:sz w:val="28"/>
          <w:szCs w:val="28"/>
          <w:lang w:val="en-US" w:eastAsia="zh-CN"/>
        </w:rPr>
        <w:t>内容</w:t>
      </w:r>
    </w:p>
    <w:p w14:paraId="47EBC54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考核</w:t>
      </w:r>
      <w:r>
        <w:rPr>
          <w:rFonts w:hint="eastAsia" w:ascii="宋体" w:hAnsi="宋体" w:eastAsia="宋体" w:cs="宋体"/>
          <w:color w:val="auto"/>
          <w:sz w:val="28"/>
          <w:szCs w:val="28"/>
          <w:lang w:val="en-US" w:eastAsia="zh-CN"/>
        </w:rPr>
        <w:t>内容</w:t>
      </w:r>
      <w:r>
        <w:rPr>
          <w:rFonts w:hint="eastAsia" w:ascii="宋体" w:hAnsi="宋体" w:eastAsia="宋体" w:cs="宋体"/>
          <w:color w:val="auto"/>
          <w:sz w:val="28"/>
          <w:szCs w:val="28"/>
        </w:rPr>
        <w:t>主要指</w:t>
      </w:r>
      <w:r>
        <w:rPr>
          <w:rFonts w:hint="eastAsia" w:ascii="宋体" w:hAnsi="宋体" w:eastAsia="宋体" w:cs="宋体"/>
          <w:color w:val="auto"/>
          <w:sz w:val="28"/>
          <w:szCs w:val="28"/>
          <w:lang w:val="en-US" w:eastAsia="zh-CN"/>
        </w:rPr>
        <w:t>西安市信访局餐饮服务等的餐饮服务内容。</w:t>
      </w:r>
    </w:p>
    <w:p w14:paraId="41F0B702">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考核</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lang w:val="en-US" w:eastAsia="zh-CN"/>
        </w:rPr>
        <w:t>方法和实施</w:t>
      </w:r>
    </w:p>
    <w:p w14:paraId="4B0A6D2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月度</w:t>
      </w:r>
      <w:r>
        <w:rPr>
          <w:rFonts w:hint="eastAsia" w:ascii="宋体" w:hAnsi="宋体" w:eastAsia="宋体" w:cs="宋体"/>
          <w:color w:val="auto"/>
          <w:sz w:val="28"/>
          <w:szCs w:val="28"/>
          <w:lang w:val="en-US" w:eastAsia="zh-CN"/>
        </w:rPr>
        <w:t>定期检查</w:t>
      </w:r>
      <w:r>
        <w:rPr>
          <w:rFonts w:hint="eastAsia" w:ascii="宋体" w:hAnsi="宋体" w:eastAsia="宋体" w:cs="宋体"/>
          <w:color w:val="auto"/>
          <w:sz w:val="28"/>
          <w:szCs w:val="28"/>
        </w:rPr>
        <w:t>：每月按照服务质量检查表，进行不少于</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xml:space="preserve">次的定期检查，每次检查范围不少于相关区域服务面积的25%。 </w:t>
      </w:r>
      <w:r>
        <w:rPr>
          <w:rFonts w:hint="eastAsia" w:ascii="宋体" w:hAnsi="宋体" w:eastAsia="宋体" w:cs="宋体"/>
          <w:color w:val="auto"/>
          <w:sz w:val="28"/>
          <w:szCs w:val="28"/>
          <w:lang w:val="en-US" w:eastAsia="zh-CN"/>
        </w:rPr>
        <w:t xml:space="preserve">  </w:t>
      </w:r>
    </w:p>
    <w:p w14:paraId="3CF1F16B">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val="en-US" w:eastAsia="zh-CN"/>
        </w:rPr>
        <w:t xml:space="preserve">平日抽查：平日根据干部职工反馈的问题进行抽查，抽查结果记入当月考核中。   </w:t>
      </w:r>
    </w:p>
    <w:p w14:paraId="7F41FF2E">
      <w:pPr>
        <w:spacing w:before="15" w:line="587" w:lineRule="exact"/>
        <w:ind w:right="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西安市信访局餐饮月度</w:t>
      </w:r>
      <w:r>
        <w:rPr>
          <w:rFonts w:hint="eastAsia" w:ascii="宋体" w:hAnsi="宋体" w:eastAsia="宋体" w:cs="宋体"/>
          <w:b/>
          <w:color w:val="auto"/>
          <w:sz w:val="28"/>
          <w:szCs w:val="28"/>
        </w:rPr>
        <w:t>考评表</w:t>
      </w:r>
    </w:p>
    <w:tbl>
      <w:tblPr>
        <w:tblStyle w:val="30"/>
        <w:tblpPr w:leftFromText="180" w:rightFromText="180" w:vertAnchor="text" w:horzAnchor="page" w:tblpX="1123" w:tblpY="616"/>
        <w:tblOverlap w:val="never"/>
        <w:tblW w:w="99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5984"/>
        <w:gridCol w:w="617"/>
        <w:gridCol w:w="648"/>
        <w:gridCol w:w="725"/>
        <w:gridCol w:w="679"/>
      </w:tblGrid>
      <w:tr w14:paraId="75E8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tcPr>
          <w:p w14:paraId="0A2D9847">
            <w:pPr>
              <w:pStyle w:val="96"/>
              <w:tabs>
                <w:tab w:val="left" w:pos="760"/>
              </w:tabs>
              <w:spacing w:before="86"/>
              <w:ind w:left="278"/>
              <w:rPr>
                <w:rFonts w:hint="eastAsia" w:ascii="宋体" w:hAnsi="宋体" w:eastAsia="宋体" w:cs="宋体"/>
                <w:b/>
                <w:color w:val="auto"/>
                <w:sz w:val="18"/>
                <w:szCs w:val="18"/>
              </w:rPr>
            </w:pPr>
            <w:r>
              <w:rPr>
                <w:rFonts w:hint="eastAsia" w:ascii="宋体" w:hAnsi="宋体" w:eastAsia="宋体" w:cs="宋体"/>
                <w:b/>
                <w:color w:val="auto"/>
                <w:sz w:val="18"/>
                <w:szCs w:val="18"/>
              </w:rPr>
              <w:t>类</w:t>
            </w:r>
            <w:r>
              <w:rPr>
                <w:rFonts w:hint="eastAsia" w:ascii="宋体" w:hAnsi="宋体" w:eastAsia="宋体" w:cs="宋体"/>
                <w:b/>
                <w:color w:val="auto"/>
                <w:sz w:val="18"/>
                <w:szCs w:val="18"/>
              </w:rPr>
              <w:tab/>
            </w:r>
            <w:r>
              <w:rPr>
                <w:rFonts w:hint="eastAsia" w:ascii="宋体" w:hAnsi="宋体" w:eastAsia="宋体" w:cs="宋体"/>
                <w:b/>
                <w:color w:val="auto"/>
                <w:sz w:val="18"/>
                <w:szCs w:val="18"/>
              </w:rPr>
              <w:t>别</w:t>
            </w:r>
          </w:p>
        </w:tc>
        <w:tc>
          <w:tcPr>
            <w:tcW w:w="5984" w:type="dxa"/>
          </w:tcPr>
          <w:p w14:paraId="1564FF2C">
            <w:pPr>
              <w:pStyle w:val="96"/>
              <w:spacing w:before="86"/>
              <w:ind w:left="2488" w:right="2486"/>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检查内容</w:t>
            </w:r>
          </w:p>
        </w:tc>
        <w:tc>
          <w:tcPr>
            <w:tcW w:w="617" w:type="dxa"/>
          </w:tcPr>
          <w:p w14:paraId="45808D20">
            <w:pPr>
              <w:pStyle w:val="96"/>
              <w:spacing w:line="301" w:lineRule="exact"/>
              <w:ind w:left="187"/>
              <w:rPr>
                <w:rFonts w:hint="eastAsia" w:ascii="宋体" w:hAnsi="宋体" w:eastAsia="宋体" w:cs="宋体"/>
                <w:b/>
                <w:color w:val="auto"/>
                <w:sz w:val="18"/>
                <w:szCs w:val="18"/>
              </w:rPr>
            </w:pPr>
            <w:r>
              <w:rPr>
                <w:rFonts w:hint="eastAsia" w:ascii="宋体" w:hAnsi="宋体" w:eastAsia="宋体" w:cs="宋体"/>
                <w:b/>
                <w:color w:val="auto"/>
                <w:sz w:val="18"/>
                <w:szCs w:val="18"/>
              </w:rPr>
              <w:t>分</w:t>
            </w:r>
          </w:p>
          <w:p w14:paraId="6F07E38E">
            <w:pPr>
              <w:pStyle w:val="96"/>
              <w:spacing w:line="281" w:lineRule="exact"/>
              <w:ind w:left="187"/>
              <w:rPr>
                <w:rFonts w:hint="eastAsia" w:ascii="宋体" w:hAnsi="宋体" w:eastAsia="宋体" w:cs="宋体"/>
                <w:b/>
                <w:color w:val="auto"/>
                <w:sz w:val="18"/>
                <w:szCs w:val="18"/>
              </w:rPr>
            </w:pPr>
            <w:r>
              <w:rPr>
                <w:rFonts w:hint="eastAsia" w:ascii="宋体" w:hAnsi="宋体" w:eastAsia="宋体" w:cs="宋体"/>
                <w:b/>
                <w:color w:val="auto"/>
                <w:sz w:val="18"/>
                <w:szCs w:val="18"/>
              </w:rPr>
              <w:t>值</w:t>
            </w:r>
          </w:p>
        </w:tc>
        <w:tc>
          <w:tcPr>
            <w:tcW w:w="648" w:type="dxa"/>
          </w:tcPr>
          <w:p w14:paraId="1FC1FAF1">
            <w:pPr>
              <w:pStyle w:val="96"/>
              <w:spacing w:line="301" w:lineRule="exact"/>
              <w:ind w:left="201"/>
              <w:rPr>
                <w:rFonts w:hint="eastAsia" w:ascii="宋体" w:hAnsi="宋体" w:eastAsia="宋体" w:cs="宋体"/>
                <w:b/>
                <w:color w:val="auto"/>
                <w:sz w:val="18"/>
                <w:szCs w:val="18"/>
              </w:rPr>
            </w:pPr>
            <w:r>
              <w:rPr>
                <w:rFonts w:hint="eastAsia" w:ascii="宋体" w:hAnsi="宋体" w:eastAsia="宋体" w:cs="宋体"/>
                <w:b/>
                <w:color w:val="auto"/>
                <w:sz w:val="18"/>
                <w:szCs w:val="18"/>
              </w:rPr>
              <w:t>得</w:t>
            </w:r>
          </w:p>
          <w:p w14:paraId="1E583E89">
            <w:pPr>
              <w:pStyle w:val="96"/>
              <w:spacing w:line="281" w:lineRule="exact"/>
              <w:ind w:left="201"/>
              <w:rPr>
                <w:rFonts w:hint="eastAsia" w:ascii="宋体" w:hAnsi="宋体" w:eastAsia="宋体" w:cs="宋体"/>
                <w:b/>
                <w:color w:val="auto"/>
                <w:sz w:val="18"/>
                <w:szCs w:val="18"/>
              </w:rPr>
            </w:pPr>
            <w:r>
              <w:rPr>
                <w:rFonts w:hint="eastAsia" w:ascii="宋体" w:hAnsi="宋体" w:eastAsia="宋体" w:cs="宋体"/>
                <w:b/>
                <w:color w:val="auto"/>
                <w:sz w:val="18"/>
                <w:szCs w:val="18"/>
              </w:rPr>
              <w:t>分</w:t>
            </w:r>
          </w:p>
        </w:tc>
        <w:tc>
          <w:tcPr>
            <w:tcW w:w="725" w:type="dxa"/>
          </w:tcPr>
          <w:p w14:paraId="0110ABE1">
            <w:pPr>
              <w:pStyle w:val="96"/>
              <w:spacing w:line="301" w:lineRule="exact"/>
              <w:ind w:left="120"/>
              <w:rPr>
                <w:rFonts w:hint="eastAsia" w:ascii="宋体" w:hAnsi="宋体" w:eastAsia="宋体" w:cs="宋体"/>
                <w:b/>
                <w:color w:val="auto"/>
                <w:sz w:val="18"/>
                <w:szCs w:val="18"/>
              </w:rPr>
            </w:pPr>
            <w:r>
              <w:rPr>
                <w:rFonts w:hint="eastAsia" w:ascii="宋体" w:hAnsi="宋体" w:eastAsia="宋体" w:cs="宋体"/>
                <w:b/>
                <w:color w:val="auto"/>
                <w:sz w:val="18"/>
                <w:szCs w:val="18"/>
              </w:rPr>
              <w:t>罚款</w:t>
            </w:r>
          </w:p>
          <w:p w14:paraId="4DC8978C">
            <w:pPr>
              <w:pStyle w:val="96"/>
              <w:spacing w:line="281" w:lineRule="exact"/>
              <w:ind w:left="120"/>
              <w:rPr>
                <w:rFonts w:hint="eastAsia" w:ascii="宋体" w:hAnsi="宋体" w:eastAsia="宋体" w:cs="宋体"/>
                <w:b/>
                <w:color w:val="auto"/>
                <w:sz w:val="18"/>
                <w:szCs w:val="18"/>
              </w:rPr>
            </w:pPr>
            <w:r>
              <w:rPr>
                <w:rFonts w:hint="eastAsia" w:ascii="宋体" w:hAnsi="宋体" w:eastAsia="宋体" w:cs="宋体"/>
                <w:b/>
                <w:color w:val="auto"/>
                <w:sz w:val="18"/>
                <w:szCs w:val="18"/>
              </w:rPr>
              <w:t>标准</w:t>
            </w:r>
          </w:p>
        </w:tc>
        <w:tc>
          <w:tcPr>
            <w:tcW w:w="679" w:type="dxa"/>
          </w:tcPr>
          <w:p w14:paraId="3253D729">
            <w:pPr>
              <w:pStyle w:val="96"/>
              <w:spacing w:line="301" w:lineRule="exact"/>
              <w:ind w:left="218"/>
              <w:rPr>
                <w:rFonts w:hint="eastAsia" w:ascii="宋体" w:hAnsi="宋体" w:eastAsia="宋体" w:cs="宋体"/>
                <w:b/>
                <w:color w:val="auto"/>
                <w:sz w:val="18"/>
                <w:szCs w:val="18"/>
              </w:rPr>
            </w:pPr>
            <w:r>
              <w:rPr>
                <w:rFonts w:hint="eastAsia" w:ascii="宋体" w:hAnsi="宋体" w:eastAsia="宋体" w:cs="宋体"/>
                <w:b/>
                <w:color w:val="auto"/>
                <w:sz w:val="18"/>
                <w:szCs w:val="18"/>
              </w:rPr>
              <w:t>备</w:t>
            </w:r>
          </w:p>
          <w:p w14:paraId="098B2D4F">
            <w:pPr>
              <w:pStyle w:val="96"/>
              <w:spacing w:line="281" w:lineRule="exact"/>
              <w:ind w:left="218"/>
              <w:rPr>
                <w:rFonts w:hint="eastAsia" w:ascii="宋体" w:hAnsi="宋体" w:eastAsia="宋体" w:cs="宋体"/>
                <w:b/>
                <w:color w:val="auto"/>
                <w:sz w:val="18"/>
                <w:szCs w:val="18"/>
              </w:rPr>
            </w:pPr>
            <w:r>
              <w:rPr>
                <w:rFonts w:hint="eastAsia" w:ascii="宋体" w:hAnsi="宋体" w:eastAsia="宋体" w:cs="宋体"/>
                <w:b/>
                <w:color w:val="auto"/>
                <w:sz w:val="18"/>
                <w:szCs w:val="18"/>
              </w:rPr>
              <w:t>注</w:t>
            </w:r>
          </w:p>
        </w:tc>
      </w:tr>
      <w:tr w14:paraId="7432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restart"/>
            <w:vAlign w:val="center"/>
          </w:tcPr>
          <w:p w14:paraId="6679F9E7">
            <w:pPr>
              <w:pStyle w:val="96"/>
              <w:spacing w:before="165" w:line="304" w:lineRule="exact"/>
              <w:ind w:left="158"/>
              <w:jc w:val="center"/>
              <w:rPr>
                <w:rFonts w:hint="eastAsia" w:ascii="宋体" w:hAnsi="宋体" w:eastAsia="宋体" w:cs="宋体"/>
                <w:color w:val="auto"/>
                <w:sz w:val="18"/>
                <w:szCs w:val="18"/>
              </w:rPr>
            </w:pPr>
            <w:r>
              <w:rPr>
                <w:rFonts w:hint="eastAsia" w:ascii="宋体" w:hAnsi="宋体" w:eastAsia="宋体" w:cs="宋体"/>
                <w:color w:val="auto"/>
                <w:sz w:val="18"/>
                <w:szCs w:val="18"/>
              </w:rPr>
              <w:t>环境卫生</w:t>
            </w:r>
          </w:p>
          <w:p w14:paraId="5ECF765A">
            <w:pPr>
              <w:pStyle w:val="96"/>
              <w:spacing w:before="165" w:line="304" w:lineRule="exact"/>
              <w:ind w:left="158" w:firstLine="172" w:firstLineChars="100"/>
              <w:jc w:val="left"/>
              <w:rPr>
                <w:rFonts w:hint="eastAsia" w:ascii="宋体" w:hAnsi="宋体" w:eastAsia="宋体" w:cs="宋体"/>
                <w:color w:val="auto"/>
                <w:sz w:val="18"/>
                <w:szCs w:val="18"/>
              </w:rPr>
            </w:pPr>
            <w:r>
              <w:rPr>
                <w:rFonts w:hint="eastAsia" w:ascii="宋体" w:hAnsi="宋体" w:eastAsia="宋体" w:cs="宋体"/>
                <w:color w:val="auto"/>
                <w:spacing w:val="-4"/>
                <w:sz w:val="18"/>
                <w:szCs w:val="18"/>
              </w:rPr>
              <w:t>（</w:t>
            </w:r>
            <w:r>
              <w:rPr>
                <w:rFonts w:hint="eastAsia" w:ascii="宋体" w:hAnsi="宋体" w:eastAsia="宋体" w:cs="宋体"/>
                <w:color w:val="auto"/>
                <w:spacing w:val="-4"/>
                <w:sz w:val="18"/>
                <w:szCs w:val="18"/>
                <w:lang w:val="en-US" w:eastAsia="zh-CN"/>
              </w:rPr>
              <w:t>30</w:t>
            </w:r>
            <w:r>
              <w:rPr>
                <w:rFonts w:hint="eastAsia" w:ascii="宋体" w:hAnsi="宋体" w:eastAsia="宋体" w:cs="宋体"/>
                <w:color w:val="auto"/>
                <w:spacing w:val="-4"/>
                <w:sz w:val="18"/>
                <w:szCs w:val="18"/>
              </w:rPr>
              <w:t>）</w:t>
            </w:r>
            <w:r>
              <w:rPr>
                <w:rFonts w:hint="eastAsia" w:ascii="宋体" w:hAnsi="宋体" w:eastAsia="宋体" w:cs="宋体"/>
                <w:color w:val="auto"/>
                <w:spacing w:val="-17"/>
                <w:sz w:val="18"/>
                <w:szCs w:val="18"/>
              </w:rPr>
              <w:t>分</w:t>
            </w:r>
          </w:p>
        </w:tc>
        <w:tc>
          <w:tcPr>
            <w:tcW w:w="5984" w:type="dxa"/>
          </w:tcPr>
          <w:p w14:paraId="364A518A">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墙壁、屋顶无挂灰、无蛛网等，门窗、玻璃完好无损、无油腻</w:t>
            </w:r>
          </w:p>
        </w:tc>
        <w:tc>
          <w:tcPr>
            <w:tcW w:w="617" w:type="dxa"/>
          </w:tcPr>
          <w:p w14:paraId="5E417AB3">
            <w:pPr>
              <w:pStyle w:val="96"/>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4E25E260">
            <w:pPr>
              <w:pStyle w:val="96"/>
              <w:rPr>
                <w:rFonts w:hint="eastAsia" w:ascii="宋体" w:hAnsi="宋体" w:eastAsia="宋体" w:cs="宋体"/>
                <w:color w:val="auto"/>
                <w:sz w:val="18"/>
                <w:szCs w:val="18"/>
              </w:rPr>
            </w:pPr>
          </w:p>
        </w:tc>
        <w:tc>
          <w:tcPr>
            <w:tcW w:w="725" w:type="dxa"/>
          </w:tcPr>
          <w:p w14:paraId="31DF9ACB">
            <w:pPr>
              <w:pStyle w:val="96"/>
              <w:rPr>
                <w:rFonts w:hint="eastAsia" w:ascii="宋体" w:hAnsi="宋体" w:eastAsia="宋体" w:cs="宋体"/>
                <w:color w:val="auto"/>
                <w:sz w:val="18"/>
                <w:szCs w:val="18"/>
              </w:rPr>
            </w:pPr>
          </w:p>
        </w:tc>
        <w:tc>
          <w:tcPr>
            <w:tcW w:w="679" w:type="dxa"/>
          </w:tcPr>
          <w:p w14:paraId="06008DA3">
            <w:pPr>
              <w:pStyle w:val="96"/>
              <w:rPr>
                <w:rFonts w:hint="eastAsia" w:ascii="宋体" w:hAnsi="宋体" w:eastAsia="宋体" w:cs="宋体"/>
                <w:color w:val="auto"/>
                <w:sz w:val="18"/>
                <w:szCs w:val="18"/>
              </w:rPr>
            </w:pPr>
          </w:p>
        </w:tc>
      </w:tr>
      <w:tr w14:paraId="5E52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149C33F2">
            <w:pPr>
              <w:jc w:val="center"/>
              <w:rPr>
                <w:rFonts w:hint="eastAsia" w:ascii="宋体" w:hAnsi="宋体" w:eastAsia="宋体" w:cs="宋体"/>
                <w:color w:val="auto"/>
                <w:sz w:val="18"/>
                <w:szCs w:val="18"/>
              </w:rPr>
            </w:pPr>
          </w:p>
        </w:tc>
        <w:tc>
          <w:tcPr>
            <w:tcW w:w="5984" w:type="dxa"/>
          </w:tcPr>
          <w:p w14:paraId="0EE67F56">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操作间、走廊等场所桌椅摆放整齐、无污渍</w:t>
            </w:r>
          </w:p>
        </w:tc>
        <w:tc>
          <w:tcPr>
            <w:tcW w:w="617" w:type="dxa"/>
          </w:tcPr>
          <w:p w14:paraId="46BF1E06">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37538E09">
            <w:pPr>
              <w:pStyle w:val="96"/>
              <w:rPr>
                <w:rFonts w:hint="eastAsia" w:ascii="宋体" w:hAnsi="宋体" w:eastAsia="宋体" w:cs="宋体"/>
                <w:color w:val="auto"/>
                <w:sz w:val="18"/>
                <w:szCs w:val="18"/>
              </w:rPr>
            </w:pPr>
          </w:p>
        </w:tc>
        <w:tc>
          <w:tcPr>
            <w:tcW w:w="725" w:type="dxa"/>
          </w:tcPr>
          <w:p w14:paraId="4D181FAF">
            <w:pPr>
              <w:pStyle w:val="96"/>
              <w:rPr>
                <w:rFonts w:hint="eastAsia" w:ascii="宋体" w:hAnsi="宋体" w:eastAsia="宋体" w:cs="宋体"/>
                <w:color w:val="auto"/>
                <w:sz w:val="18"/>
                <w:szCs w:val="18"/>
              </w:rPr>
            </w:pPr>
          </w:p>
        </w:tc>
        <w:tc>
          <w:tcPr>
            <w:tcW w:w="679" w:type="dxa"/>
          </w:tcPr>
          <w:p w14:paraId="443A508C">
            <w:pPr>
              <w:pStyle w:val="96"/>
              <w:rPr>
                <w:rFonts w:hint="eastAsia" w:ascii="宋体" w:hAnsi="宋体" w:eastAsia="宋体" w:cs="宋体"/>
                <w:color w:val="auto"/>
                <w:sz w:val="18"/>
                <w:szCs w:val="18"/>
              </w:rPr>
            </w:pPr>
          </w:p>
        </w:tc>
      </w:tr>
      <w:tr w14:paraId="0346B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5D3D9F73">
            <w:pPr>
              <w:jc w:val="center"/>
              <w:rPr>
                <w:rFonts w:hint="eastAsia" w:ascii="宋体" w:hAnsi="宋体" w:eastAsia="宋体" w:cs="宋体"/>
                <w:color w:val="auto"/>
                <w:sz w:val="18"/>
                <w:szCs w:val="18"/>
              </w:rPr>
            </w:pPr>
          </w:p>
        </w:tc>
        <w:tc>
          <w:tcPr>
            <w:tcW w:w="5984" w:type="dxa"/>
          </w:tcPr>
          <w:p w14:paraId="3C0BC809">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下水沟无堵塞、无污水、无积物</w:t>
            </w:r>
          </w:p>
        </w:tc>
        <w:tc>
          <w:tcPr>
            <w:tcW w:w="617" w:type="dxa"/>
          </w:tcPr>
          <w:p w14:paraId="670885AE">
            <w:pPr>
              <w:spacing w:line="280" w:lineRule="exact"/>
              <w:ind w:right="177"/>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648" w:type="dxa"/>
          </w:tcPr>
          <w:p w14:paraId="6D9BEF7B">
            <w:pPr>
              <w:pStyle w:val="96"/>
              <w:rPr>
                <w:rFonts w:hint="eastAsia" w:ascii="宋体" w:hAnsi="宋体" w:eastAsia="宋体" w:cs="宋体"/>
                <w:color w:val="auto"/>
                <w:sz w:val="18"/>
                <w:szCs w:val="18"/>
              </w:rPr>
            </w:pPr>
          </w:p>
        </w:tc>
        <w:tc>
          <w:tcPr>
            <w:tcW w:w="725" w:type="dxa"/>
          </w:tcPr>
          <w:p w14:paraId="6F5985E6">
            <w:pPr>
              <w:pStyle w:val="96"/>
              <w:rPr>
                <w:rFonts w:hint="eastAsia" w:ascii="宋体" w:hAnsi="宋体" w:eastAsia="宋体" w:cs="宋体"/>
                <w:color w:val="auto"/>
                <w:sz w:val="18"/>
                <w:szCs w:val="18"/>
              </w:rPr>
            </w:pPr>
          </w:p>
        </w:tc>
        <w:tc>
          <w:tcPr>
            <w:tcW w:w="679" w:type="dxa"/>
          </w:tcPr>
          <w:p w14:paraId="67500A09">
            <w:pPr>
              <w:pStyle w:val="96"/>
              <w:rPr>
                <w:rFonts w:hint="eastAsia" w:ascii="宋体" w:hAnsi="宋体" w:eastAsia="宋体" w:cs="宋体"/>
                <w:color w:val="auto"/>
                <w:sz w:val="18"/>
                <w:szCs w:val="18"/>
              </w:rPr>
            </w:pPr>
          </w:p>
        </w:tc>
      </w:tr>
      <w:tr w14:paraId="1F50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275865A2">
            <w:pPr>
              <w:jc w:val="center"/>
              <w:rPr>
                <w:rFonts w:hint="eastAsia" w:ascii="宋体" w:hAnsi="宋体" w:eastAsia="宋体" w:cs="宋体"/>
                <w:color w:val="auto"/>
                <w:sz w:val="18"/>
                <w:szCs w:val="18"/>
              </w:rPr>
            </w:pPr>
          </w:p>
        </w:tc>
        <w:tc>
          <w:tcPr>
            <w:tcW w:w="5984" w:type="dxa"/>
          </w:tcPr>
          <w:p w14:paraId="0A061F86">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更衣间、包间物品摆放整齐，地面干净无杂物</w:t>
            </w:r>
          </w:p>
        </w:tc>
        <w:tc>
          <w:tcPr>
            <w:tcW w:w="617" w:type="dxa"/>
          </w:tcPr>
          <w:p w14:paraId="00F968F2">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394DA08C">
            <w:pPr>
              <w:pStyle w:val="96"/>
              <w:rPr>
                <w:rFonts w:hint="eastAsia" w:ascii="宋体" w:hAnsi="宋体" w:eastAsia="宋体" w:cs="宋体"/>
                <w:color w:val="auto"/>
                <w:sz w:val="18"/>
                <w:szCs w:val="18"/>
              </w:rPr>
            </w:pPr>
          </w:p>
        </w:tc>
        <w:tc>
          <w:tcPr>
            <w:tcW w:w="725" w:type="dxa"/>
          </w:tcPr>
          <w:p w14:paraId="7E4F5067">
            <w:pPr>
              <w:pStyle w:val="96"/>
              <w:rPr>
                <w:rFonts w:hint="eastAsia" w:ascii="宋体" w:hAnsi="宋体" w:eastAsia="宋体" w:cs="宋体"/>
                <w:color w:val="auto"/>
                <w:sz w:val="18"/>
                <w:szCs w:val="18"/>
              </w:rPr>
            </w:pPr>
          </w:p>
        </w:tc>
        <w:tc>
          <w:tcPr>
            <w:tcW w:w="679" w:type="dxa"/>
          </w:tcPr>
          <w:p w14:paraId="3890B108">
            <w:pPr>
              <w:pStyle w:val="96"/>
              <w:rPr>
                <w:rFonts w:hint="eastAsia" w:ascii="宋体" w:hAnsi="宋体" w:eastAsia="宋体" w:cs="宋体"/>
                <w:color w:val="auto"/>
                <w:sz w:val="18"/>
                <w:szCs w:val="18"/>
              </w:rPr>
            </w:pPr>
          </w:p>
        </w:tc>
      </w:tr>
      <w:tr w14:paraId="4F5C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48E05D29">
            <w:pPr>
              <w:jc w:val="center"/>
              <w:rPr>
                <w:rFonts w:hint="eastAsia" w:ascii="宋体" w:hAnsi="宋体" w:eastAsia="宋体" w:cs="宋体"/>
                <w:color w:val="auto"/>
                <w:sz w:val="18"/>
                <w:szCs w:val="18"/>
              </w:rPr>
            </w:pPr>
          </w:p>
        </w:tc>
        <w:tc>
          <w:tcPr>
            <w:tcW w:w="5984" w:type="dxa"/>
          </w:tcPr>
          <w:p w14:paraId="315DB93E">
            <w:pPr>
              <w:pStyle w:val="96"/>
              <w:spacing w:before="1" w:line="300" w:lineRule="atLeast"/>
              <w:ind w:left="105" w:right="-15"/>
              <w:rPr>
                <w:rFonts w:hint="eastAsia" w:ascii="宋体" w:hAnsi="宋体" w:eastAsia="宋体" w:cs="宋体"/>
                <w:color w:val="auto"/>
                <w:sz w:val="18"/>
                <w:szCs w:val="18"/>
              </w:rPr>
            </w:pPr>
            <w:r>
              <w:rPr>
                <w:rFonts w:hint="eastAsia" w:ascii="宋体" w:hAnsi="宋体" w:eastAsia="宋体" w:cs="宋体"/>
                <w:color w:val="auto"/>
                <w:spacing w:val="-4"/>
                <w:sz w:val="18"/>
                <w:szCs w:val="18"/>
              </w:rPr>
              <w:t>自助餐台、吧台、明档台面干净、东西摆放整齐，台面无灰尘、</w:t>
            </w:r>
            <w:r>
              <w:rPr>
                <w:rFonts w:hint="eastAsia" w:ascii="宋体" w:hAnsi="宋体" w:eastAsia="宋体" w:cs="宋体"/>
                <w:color w:val="auto"/>
                <w:spacing w:val="-3"/>
                <w:sz w:val="18"/>
                <w:szCs w:val="18"/>
              </w:rPr>
              <w:t>无油腻</w:t>
            </w:r>
          </w:p>
        </w:tc>
        <w:tc>
          <w:tcPr>
            <w:tcW w:w="617" w:type="dxa"/>
          </w:tcPr>
          <w:p w14:paraId="51CBEA8B">
            <w:pPr>
              <w:spacing w:before="151"/>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6A5950CF">
            <w:pPr>
              <w:pStyle w:val="96"/>
              <w:rPr>
                <w:rFonts w:hint="eastAsia" w:ascii="宋体" w:hAnsi="宋体" w:eastAsia="宋体" w:cs="宋体"/>
                <w:color w:val="auto"/>
                <w:sz w:val="18"/>
                <w:szCs w:val="18"/>
              </w:rPr>
            </w:pPr>
          </w:p>
        </w:tc>
        <w:tc>
          <w:tcPr>
            <w:tcW w:w="725" w:type="dxa"/>
          </w:tcPr>
          <w:p w14:paraId="4B134123">
            <w:pPr>
              <w:pStyle w:val="96"/>
              <w:rPr>
                <w:rFonts w:hint="eastAsia" w:ascii="宋体" w:hAnsi="宋体" w:eastAsia="宋体" w:cs="宋体"/>
                <w:color w:val="auto"/>
                <w:sz w:val="18"/>
                <w:szCs w:val="18"/>
              </w:rPr>
            </w:pPr>
          </w:p>
        </w:tc>
        <w:tc>
          <w:tcPr>
            <w:tcW w:w="679" w:type="dxa"/>
          </w:tcPr>
          <w:p w14:paraId="131DE9AA">
            <w:pPr>
              <w:pStyle w:val="96"/>
              <w:rPr>
                <w:rFonts w:hint="eastAsia" w:ascii="宋体" w:hAnsi="宋体" w:eastAsia="宋体" w:cs="宋体"/>
                <w:color w:val="auto"/>
                <w:sz w:val="18"/>
                <w:szCs w:val="18"/>
              </w:rPr>
            </w:pPr>
          </w:p>
        </w:tc>
      </w:tr>
      <w:tr w14:paraId="2BC7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0B4995A4">
            <w:pPr>
              <w:jc w:val="center"/>
              <w:rPr>
                <w:rFonts w:hint="eastAsia" w:ascii="宋体" w:hAnsi="宋体" w:eastAsia="宋体" w:cs="宋体"/>
                <w:color w:val="auto"/>
                <w:sz w:val="18"/>
                <w:szCs w:val="18"/>
              </w:rPr>
            </w:pPr>
          </w:p>
        </w:tc>
        <w:tc>
          <w:tcPr>
            <w:tcW w:w="5984" w:type="dxa"/>
          </w:tcPr>
          <w:p w14:paraId="21CEE9DD">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无苍蝇、蟑螂、老鼠、鼠迹</w:t>
            </w:r>
          </w:p>
        </w:tc>
        <w:tc>
          <w:tcPr>
            <w:tcW w:w="617" w:type="dxa"/>
          </w:tcPr>
          <w:p w14:paraId="78E2E8D7">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7938E185">
            <w:pPr>
              <w:pStyle w:val="96"/>
              <w:rPr>
                <w:rFonts w:hint="eastAsia" w:ascii="宋体" w:hAnsi="宋体" w:eastAsia="宋体" w:cs="宋体"/>
                <w:color w:val="auto"/>
                <w:sz w:val="18"/>
                <w:szCs w:val="18"/>
              </w:rPr>
            </w:pPr>
          </w:p>
        </w:tc>
        <w:tc>
          <w:tcPr>
            <w:tcW w:w="725" w:type="dxa"/>
          </w:tcPr>
          <w:p w14:paraId="5BA5FCF5">
            <w:pPr>
              <w:pStyle w:val="96"/>
              <w:rPr>
                <w:rFonts w:hint="eastAsia" w:ascii="宋体" w:hAnsi="宋体" w:eastAsia="宋体" w:cs="宋体"/>
                <w:color w:val="auto"/>
                <w:sz w:val="18"/>
                <w:szCs w:val="18"/>
              </w:rPr>
            </w:pPr>
          </w:p>
        </w:tc>
        <w:tc>
          <w:tcPr>
            <w:tcW w:w="679" w:type="dxa"/>
          </w:tcPr>
          <w:p w14:paraId="0E8ECA14">
            <w:pPr>
              <w:pStyle w:val="96"/>
              <w:rPr>
                <w:rFonts w:hint="eastAsia" w:ascii="宋体" w:hAnsi="宋体" w:eastAsia="宋体" w:cs="宋体"/>
                <w:color w:val="auto"/>
                <w:sz w:val="18"/>
                <w:szCs w:val="18"/>
              </w:rPr>
            </w:pPr>
          </w:p>
        </w:tc>
      </w:tr>
      <w:tr w14:paraId="18AA0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1A9D341A">
            <w:pPr>
              <w:jc w:val="center"/>
              <w:rPr>
                <w:rFonts w:hint="eastAsia" w:ascii="宋体" w:hAnsi="宋体" w:eastAsia="宋体" w:cs="宋体"/>
                <w:color w:val="auto"/>
                <w:sz w:val="18"/>
                <w:szCs w:val="18"/>
              </w:rPr>
            </w:pPr>
          </w:p>
        </w:tc>
        <w:tc>
          <w:tcPr>
            <w:tcW w:w="5984" w:type="dxa"/>
          </w:tcPr>
          <w:p w14:paraId="6589E23C">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手纸、洗手液配置齐备不断档</w:t>
            </w:r>
          </w:p>
        </w:tc>
        <w:tc>
          <w:tcPr>
            <w:tcW w:w="617" w:type="dxa"/>
          </w:tcPr>
          <w:p w14:paraId="692D0895">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7FF79F72">
            <w:pPr>
              <w:pStyle w:val="96"/>
              <w:rPr>
                <w:rFonts w:hint="eastAsia" w:ascii="宋体" w:hAnsi="宋体" w:eastAsia="宋体" w:cs="宋体"/>
                <w:color w:val="auto"/>
                <w:sz w:val="18"/>
                <w:szCs w:val="18"/>
              </w:rPr>
            </w:pPr>
          </w:p>
        </w:tc>
        <w:tc>
          <w:tcPr>
            <w:tcW w:w="725" w:type="dxa"/>
          </w:tcPr>
          <w:p w14:paraId="3F786AF5">
            <w:pPr>
              <w:pStyle w:val="96"/>
              <w:rPr>
                <w:rFonts w:hint="eastAsia" w:ascii="宋体" w:hAnsi="宋体" w:eastAsia="宋体" w:cs="宋体"/>
                <w:color w:val="auto"/>
                <w:sz w:val="18"/>
                <w:szCs w:val="18"/>
              </w:rPr>
            </w:pPr>
          </w:p>
        </w:tc>
        <w:tc>
          <w:tcPr>
            <w:tcW w:w="679" w:type="dxa"/>
          </w:tcPr>
          <w:p w14:paraId="590AE0DD">
            <w:pPr>
              <w:pStyle w:val="96"/>
              <w:rPr>
                <w:rFonts w:hint="eastAsia" w:ascii="宋体" w:hAnsi="宋体" w:eastAsia="宋体" w:cs="宋体"/>
                <w:color w:val="auto"/>
                <w:sz w:val="18"/>
                <w:szCs w:val="18"/>
              </w:rPr>
            </w:pPr>
          </w:p>
        </w:tc>
      </w:tr>
      <w:tr w14:paraId="5D2C0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1DAF7163">
            <w:pPr>
              <w:jc w:val="center"/>
              <w:rPr>
                <w:rFonts w:hint="eastAsia" w:ascii="宋体" w:hAnsi="宋体" w:eastAsia="宋体" w:cs="宋体"/>
                <w:color w:val="auto"/>
                <w:sz w:val="18"/>
                <w:szCs w:val="18"/>
              </w:rPr>
            </w:pPr>
          </w:p>
        </w:tc>
        <w:tc>
          <w:tcPr>
            <w:tcW w:w="5984" w:type="dxa"/>
          </w:tcPr>
          <w:p w14:paraId="12527DE7">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严格落实垃圾分类，垃圾处理及时无堆积</w:t>
            </w:r>
          </w:p>
        </w:tc>
        <w:tc>
          <w:tcPr>
            <w:tcW w:w="617" w:type="dxa"/>
          </w:tcPr>
          <w:p w14:paraId="44E37EF5">
            <w:pPr>
              <w:spacing w:line="280" w:lineRule="exact"/>
              <w:ind w:right="177"/>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648" w:type="dxa"/>
          </w:tcPr>
          <w:p w14:paraId="020B83C4">
            <w:pPr>
              <w:pStyle w:val="96"/>
              <w:rPr>
                <w:rFonts w:hint="eastAsia" w:ascii="宋体" w:hAnsi="宋体" w:eastAsia="宋体" w:cs="宋体"/>
                <w:color w:val="auto"/>
                <w:sz w:val="18"/>
                <w:szCs w:val="18"/>
              </w:rPr>
            </w:pPr>
          </w:p>
        </w:tc>
        <w:tc>
          <w:tcPr>
            <w:tcW w:w="725" w:type="dxa"/>
          </w:tcPr>
          <w:p w14:paraId="64E5AFC5">
            <w:pPr>
              <w:pStyle w:val="96"/>
              <w:rPr>
                <w:rFonts w:hint="eastAsia" w:ascii="宋体" w:hAnsi="宋体" w:eastAsia="宋体" w:cs="宋体"/>
                <w:color w:val="auto"/>
                <w:sz w:val="18"/>
                <w:szCs w:val="18"/>
              </w:rPr>
            </w:pPr>
          </w:p>
        </w:tc>
        <w:tc>
          <w:tcPr>
            <w:tcW w:w="679" w:type="dxa"/>
          </w:tcPr>
          <w:p w14:paraId="4909D696">
            <w:pPr>
              <w:pStyle w:val="96"/>
              <w:rPr>
                <w:rFonts w:hint="eastAsia" w:ascii="宋体" w:hAnsi="宋体" w:eastAsia="宋体" w:cs="宋体"/>
                <w:color w:val="auto"/>
                <w:sz w:val="18"/>
                <w:szCs w:val="18"/>
              </w:rPr>
            </w:pPr>
          </w:p>
        </w:tc>
      </w:tr>
      <w:tr w14:paraId="31354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5628286D">
            <w:pPr>
              <w:pStyle w:val="96"/>
              <w:spacing w:before="165" w:line="304" w:lineRule="exact"/>
              <w:ind w:left="158"/>
              <w:jc w:val="center"/>
              <w:rPr>
                <w:rFonts w:hint="eastAsia" w:ascii="宋体" w:hAnsi="宋体" w:eastAsia="宋体" w:cs="宋体"/>
                <w:color w:val="auto"/>
                <w:sz w:val="18"/>
                <w:szCs w:val="18"/>
              </w:rPr>
            </w:pPr>
          </w:p>
        </w:tc>
        <w:tc>
          <w:tcPr>
            <w:tcW w:w="5984" w:type="dxa"/>
          </w:tcPr>
          <w:p w14:paraId="1A34485D">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采购来源有登记可追溯</w:t>
            </w:r>
          </w:p>
        </w:tc>
        <w:tc>
          <w:tcPr>
            <w:tcW w:w="617" w:type="dxa"/>
          </w:tcPr>
          <w:p w14:paraId="2B2093EC">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639B6E25">
            <w:pPr>
              <w:pStyle w:val="96"/>
              <w:rPr>
                <w:rFonts w:hint="eastAsia" w:ascii="宋体" w:hAnsi="宋体" w:eastAsia="宋体" w:cs="宋体"/>
                <w:color w:val="auto"/>
                <w:sz w:val="18"/>
                <w:szCs w:val="18"/>
              </w:rPr>
            </w:pPr>
          </w:p>
        </w:tc>
        <w:tc>
          <w:tcPr>
            <w:tcW w:w="725" w:type="dxa"/>
          </w:tcPr>
          <w:p w14:paraId="114CFF66">
            <w:pPr>
              <w:pStyle w:val="96"/>
              <w:rPr>
                <w:rFonts w:hint="eastAsia" w:ascii="宋体" w:hAnsi="宋体" w:eastAsia="宋体" w:cs="宋体"/>
                <w:color w:val="auto"/>
                <w:sz w:val="18"/>
                <w:szCs w:val="18"/>
              </w:rPr>
            </w:pPr>
          </w:p>
        </w:tc>
        <w:tc>
          <w:tcPr>
            <w:tcW w:w="679" w:type="dxa"/>
          </w:tcPr>
          <w:p w14:paraId="5A247B19">
            <w:pPr>
              <w:pStyle w:val="96"/>
              <w:rPr>
                <w:rFonts w:hint="eastAsia" w:ascii="宋体" w:hAnsi="宋体" w:eastAsia="宋体" w:cs="宋体"/>
                <w:color w:val="auto"/>
                <w:sz w:val="18"/>
                <w:szCs w:val="18"/>
              </w:rPr>
            </w:pPr>
          </w:p>
        </w:tc>
      </w:tr>
      <w:tr w14:paraId="2672F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82" w:type="dxa"/>
            <w:vMerge w:val="continue"/>
            <w:tcBorders>
              <w:top w:val="nil"/>
            </w:tcBorders>
            <w:vAlign w:val="center"/>
          </w:tcPr>
          <w:p w14:paraId="3A63F043">
            <w:pPr>
              <w:pStyle w:val="96"/>
              <w:spacing w:before="165" w:line="304" w:lineRule="exact"/>
              <w:ind w:left="158"/>
              <w:jc w:val="center"/>
              <w:rPr>
                <w:rFonts w:hint="eastAsia" w:ascii="宋体" w:hAnsi="宋体" w:eastAsia="宋体" w:cs="宋体"/>
                <w:color w:val="auto"/>
                <w:sz w:val="18"/>
                <w:szCs w:val="18"/>
              </w:rPr>
            </w:pPr>
          </w:p>
        </w:tc>
        <w:tc>
          <w:tcPr>
            <w:tcW w:w="5984" w:type="dxa"/>
          </w:tcPr>
          <w:p w14:paraId="312D139C">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食材新鲜、质量好，无腐烂变质</w:t>
            </w:r>
          </w:p>
        </w:tc>
        <w:tc>
          <w:tcPr>
            <w:tcW w:w="617" w:type="dxa"/>
          </w:tcPr>
          <w:p w14:paraId="2F310EC4">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27323EE3">
            <w:pPr>
              <w:pStyle w:val="96"/>
              <w:rPr>
                <w:rFonts w:hint="eastAsia" w:ascii="宋体" w:hAnsi="宋体" w:eastAsia="宋体" w:cs="宋体"/>
                <w:color w:val="auto"/>
                <w:sz w:val="18"/>
                <w:szCs w:val="18"/>
              </w:rPr>
            </w:pPr>
          </w:p>
        </w:tc>
        <w:tc>
          <w:tcPr>
            <w:tcW w:w="725" w:type="dxa"/>
          </w:tcPr>
          <w:p w14:paraId="1B4438AB">
            <w:pPr>
              <w:pStyle w:val="96"/>
              <w:rPr>
                <w:rFonts w:hint="eastAsia" w:ascii="宋体" w:hAnsi="宋体" w:eastAsia="宋体" w:cs="宋体"/>
                <w:color w:val="auto"/>
                <w:sz w:val="18"/>
                <w:szCs w:val="18"/>
              </w:rPr>
            </w:pPr>
          </w:p>
        </w:tc>
        <w:tc>
          <w:tcPr>
            <w:tcW w:w="679" w:type="dxa"/>
          </w:tcPr>
          <w:p w14:paraId="79AD333C">
            <w:pPr>
              <w:pStyle w:val="96"/>
              <w:rPr>
                <w:rFonts w:hint="eastAsia" w:ascii="宋体" w:hAnsi="宋体" w:eastAsia="宋体" w:cs="宋体"/>
                <w:color w:val="auto"/>
                <w:sz w:val="18"/>
                <w:szCs w:val="18"/>
              </w:rPr>
            </w:pPr>
          </w:p>
        </w:tc>
      </w:tr>
      <w:tr w14:paraId="5C03A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17837AE2">
            <w:pPr>
              <w:pStyle w:val="96"/>
              <w:spacing w:before="165" w:line="304" w:lineRule="exact"/>
              <w:ind w:left="158"/>
              <w:jc w:val="center"/>
              <w:rPr>
                <w:rFonts w:hint="eastAsia" w:ascii="宋体" w:hAnsi="宋体" w:eastAsia="宋体" w:cs="宋体"/>
                <w:color w:val="auto"/>
                <w:sz w:val="18"/>
                <w:szCs w:val="18"/>
              </w:rPr>
            </w:pPr>
          </w:p>
        </w:tc>
        <w:tc>
          <w:tcPr>
            <w:tcW w:w="5984" w:type="dxa"/>
          </w:tcPr>
          <w:p w14:paraId="382B3A25">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食材存放生熟分开、落实先进先出</w:t>
            </w:r>
          </w:p>
        </w:tc>
        <w:tc>
          <w:tcPr>
            <w:tcW w:w="617" w:type="dxa"/>
          </w:tcPr>
          <w:p w14:paraId="13C081B3">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197DD961">
            <w:pPr>
              <w:pStyle w:val="96"/>
              <w:rPr>
                <w:rFonts w:hint="eastAsia" w:ascii="宋体" w:hAnsi="宋体" w:eastAsia="宋体" w:cs="宋体"/>
                <w:color w:val="auto"/>
                <w:sz w:val="18"/>
                <w:szCs w:val="18"/>
              </w:rPr>
            </w:pPr>
          </w:p>
        </w:tc>
        <w:tc>
          <w:tcPr>
            <w:tcW w:w="725" w:type="dxa"/>
          </w:tcPr>
          <w:p w14:paraId="2B8BFB27">
            <w:pPr>
              <w:pStyle w:val="96"/>
              <w:rPr>
                <w:rFonts w:hint="eastAsia" w:ascii="宋体" w:hAnsi="宋体" w:eastAsia="宋体" w:cs="宋体"/>
                <w:color w:val="auto"/>
                <w:sz w:val="18"/>
                <w:szCs w:val="18"/>
              </w:rPr>
            </w:pPr>
          </w:p>
        </w:tc>
        <w:tc>
          <w:tcPr>
            <w:tcW w:w="679" w:type="dxa"/>
          </w:tcPr>
          <w:p w14:paraId="038E5835">
            <w:pPr>
              <w:pStyle w:val="96"/>
              <w:rPr>
                <w:rFonts w:hint="eastAsia" w:ascii="宋体" w:hAnsi="宋体" w:eastAsia="宋体" w:cs="宋体"/>
                <w:color w:val="auto"/>
                <w:sz w:val="18"/>
                <w:szCs w:val="18"/>
              </w:rPr>
            </w:pPr>
          </w:p>
        </w:tc>
      </w:tr>
      <w:tr w14:paraId="3DC0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70882D79">
            <w:pPr>
              <w:pStyle w:val="96"/>
              <w:spacing w:before="165" w:line="304" w:lineRule="exact"/>
              <w:ind w:left="158"/>
              <w:jc w:val="center"/>
              <w:rPr>
                <w:rFonts w:hint="eastAsia" w:ascii="宋体" w:hAnsi="宋体" w:eastAsia="宋体" w:cs="宋体"/>
                <w:color w:val="auto"/>
                <w:sz w:val="18"/>
                <w:szCs w:val="18"/>
              </w:rPr>
            </w:pPr>
          </w:p>
        </w:tc>
        <w:tc>
          <w:tcPr>
            <w:tcW w:w="5984" w:type="dxa"/>
          </w:tcPr>
          <w:p w14:paraId="45470686">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采购原辅材料能索取对方卫生许可证和检验报告等有效证件</w:t>
            </w:r>
          </w:p>
        </w:tc>
        <w:tc>
          <w:tcPr>
            <w:tcW w:w="617" w:type="dxa"/>
          </w:tcPr>
          <w:p w14:paraId="0328AFC1">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718DF4FD">
            <w:pPr>
              <w:pStyle w:val="96"/>
              <w:rPr>
                <w:rFonts w:hint="eastAsia" w:ascii="宋体" w:hAnsi="宋体" w:eastAsia="宋体" w:cs="宋体"/>
                <w:color w:val="auto"/>
                <w:sz w:val="18"/>
                <w:szCs w:val="18"/>
              </w:rPr>
            </w:pPr>
          </w:p>
        </w:tc>
        <w:tc>
          <w:tcPr>
            <w:tcW w:w="725" w:type="dxa"/>
          </w:tcPr>
          <w:p w14:paraId="3CFB89A3">
            <w:pPr>
              <w:pStyle w:val="96"/>
              <w:rPr>
                <w:rFonts w:hint="eastAsia" w:ascii="宋体" w:hAnsi="宋体" w:eastAsia="宋体" w:cs="宋体"/>
                <w:color w:val="auto"/>
                <w:sz w:val="18"/>
                <w:szCs w:val="18"/>
              </w:rPr>
            </w:pPr>
          </w:p>
        </w:tc>
        <w:tc>
          <w:tcPr>
            <w:tcW w:w="679" w:type="dxa"/>
          </w:tcPr>
          <w:p w14:paraId="596904FD">
            <w:pPr>
              <w:pStyle w:val="96"/>
              <w:rPr>
                <w:rFonts w:hint="eastAsia" w:ascii="宋体" w:hAnsi="宋体" w:eastAsia="宋体" w:cs="宋体"/>
                <w:color w:val="auto"/>
                <w:sz w:val="18"/>
                <w:szCs w:val="18"/>
              </w:rPr>
            </w:pPr>
          </w:p>
        </w:tc>
      </w:tr>
      <w:tr w14:paraId="5302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75E41AF7">
            <w:pPr>
              <w:pStyle w:val="96"/>
              <w:spacing w:before="165" w:line="304" w:lineRule="exact"/>
              <w:ind w:left="158"/>
              <w:jc w:val="center"/>
              <w:rPr>
                <w:rFonts w:hint="eastAsia" w:ascii="宋体" w:hAnsi="宋体" w:eastAsia="宋体" w:cs="宋体"/>
                <w:color w:val="auto"/>
                <w:sz w:val="18"/>
                <w:szCs w:val="18"/>
              </w:rPr>
            </w:pPr>
          </w:p>
        </w:tc>
        <w:tc>
          <w:tcPr>
            <w:tcW w:w="5984" w:type="dxa"/>
          </w:tcPr>
          <w:p w14:paraId="49D614F6">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食品原材料色泽、气味、手感等应符合感官卫生指标</w:t>
            </w:r>
          </w:p>
        </w:tc>
        <w:tc>
          <w:tcPr>
            <w:tcW w:w="617" w:type="dxa"/>
          </w:tcPr>
          <w:p w14:paraId="07E23A05">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5A45C8CF">
            <w:pPr>
              <w:pStyle w:val="96"/>
              <w:rPr>
                <w:rFonts w:hint="eastAsia" w:ascii="宋体" w:hAnsi="宋体" w:eastAsia="宋体" w:cs="宋体"/>
                <w:color w:val="auto"/>
                <w:sz w:val="18"/>
                <w:szCs w:val="18"/>
              </w:rPr>
            </w:pPr>
          </w:p>
        </w:tc>
        <w:tc>
          <w:tcPr>
            <w:tcW w:w="725" w:type="dxa"/>
          </w:tcPr>
          <w:p w14:paraId="7A0B922A">
            <w:pPr>
              <w:pStyle w:val="96"/>
              <w:rPr>
                <w:rFonts w:hint="eastAsia" w:ascii="宋体" w:hAnsi="宋体" w:eastAsia="宋体" w:cs="宋体"/>
                <w:color w:val="auto"/>
                <w:sz w:val="18"/>
                <w:szCs w:val="18"/>
              </w:rPr>
            </w:pPr>
          </w:p>
        </w:tc>
        <w:tc>
          <w:tcPr>
            <w:tcW w:w="679" w:type="dxa"/>
          </w:tcPr>
          <w:p w14:paraId="6D6F5B26">
            <w:pPr>
              <w:pStyle w:val="96"/>
              <w:rPr>
                <w:rFonts w:hint="eastAsia" w:ascii="宋体" w:hAnsi="宋体" w:eastAsia="宋体" w:cs="宋体"/>
                <w:color w:val="auto"/>
                <w:sz w:val="18"/>
                <w:szCs w:val="18"/>
              </w:rPr>
            </w:pPr>
          </w:p>
        </w:tc>
      </w:tr>
      <w:tr w14:paraId="1740D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82" w:type="dxa"/>
            <w:vMerge w:val="continue"/>
            <w:tcBorders>
              <w:top w:val="nil"/>
            </w:tcBorders>
            <w:vAlign w:val="center"/>
          </w:tcPr>
          <w:p w14:paraId="7A0A42A3">
            <w:pPr>
              <w:pStyle w:val="96"/>
              <w:spacing w:before="165" w:line="304" w:lineRule="exact"/>
              <w:ind w:left="158"/>
              <w:jc w:val="center"/>
              <w:rPr>
                <w:rFonts w:hint="eastAsia" w:ascii="宋体" w:hAnsi="宋体" w:eastAsia="宋体" w:cs="宋体"/>
                <w:color w:val="auto"/>
                <w:sz w:val="18"/>
                <w:szCs w:val="18"/>
              </w:rPr>
            </w:pPr>
          </w:p>
        </w:tc>
        <w:tc>
          <w:tcPr>
            <w:tcW w:w="5984" w:type="dxa"/>
          </w:tcPr>
          <w:p w14:paraId="050B6F8F">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食材无“三无”和过期现象</w:t>
            </w:r>
          </w:p>
        </w:tc>
        <w:tc>
          <w:tcPr>
            <w:tcW w:w="617" w:type="dxa"/>
          </w:tcPr>
          <w:p w14:paraId="6949086D">
            <w:pPr>
              <w:spacing w:before="2"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721E6927">
            <w:pPr>
              <w:pStyle w:val="96"/>
              <w:rPr>
                <w:rFonts w:hint="eastAsia" w:ascii="宋体" w:hAnsi="宋体" w:eastAsia="宋体" w:cs="宋体"/>
                <w:color w:val="auto"/>
                <w:sz w:val="18"/>
                <w:szCs w:val="18"/>
              </w:rPr>
            </w:pPr>
          </w:p>
        </w:tc>
        <w:tc>
          <w:tcPr>
            <w:tcW w:w="725" w:type="dxa"/>
          </w:tcPr>
          <w:p w14:paraId="1DC9BD79">
            <w:pPr>
              <w:pStyle w:val="96"/>
              <w:rPr>
                <w:rFonts w:hint="eastAsia" w:ascii="宋体" w:hAnsi="宋体" w:eastAsia="宋体" w:cs="宋体"/>
                <w:color w:val="auto"/>
                <w:sz w:val="18"/>
                <w:szCs w:val="18"/>
              </w:rPr>
            </w:pPr>
          </w:p>
        </w:tc>
        <w:tc>
          <w:tcPr>
            <w:tcW w:w="679" w:type="dxa"/>
          </w:tcPr>
          <w:p w14:paraId="37853559">
            <w:pPr>
              <w:pStyle w:val="96"/>
              <w:rPr>
                <w:rFonts w:hint="eastAsia" w:ascii="宋体" w:hAnsi="宋体" w:eastAsia="宋体" w:cs="宋体"/>
                <w:color w:val="auto"/>
                <w:sz w:val="18"/>
                <w:szCs w:val="18"/>
              </w:rPr>
            </w:pPr>
          </w:p>
        </w:tc>
      </w:tr>
      <w:tr w14:paraId="205E9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2070722F">
            <w:pPr>
              <w:pStyle w:val="96"/>
              <w:spacing w:before="165" w:line="304" w:lineRule="exact"/>
              <w:ind w:left="158"/>
              <w:jc w:val="center"/>
              <w:rPr>
                <w:rFonts w:hint="eastAsia" w:ascii="宋体" w:hAnsi="宋体" w:eastAsia="宋体" w:cs="宋体"/>
                <w:color w:val="auto"/>
                <w:sz w:val="18"/>
                <w:szCs w:val="18"/>
              </w:rPr>
            </w:pPr>
          </w:p>
        </w:tc>
        <w:tc>
          <w:tcPr>
            <w:tcW w:w="5984" w:type="dxa"/>
          </w:tcPr>
          <w:p w14:paraId="3BD4F668">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食材采买可溯源</w:t>
            </w:r>
          </w:p>
        </w:tc>
        <w:tc>
          <w:tcPr>
            <w:tcW w:w="617" w:type="dxa"/>
          </w:tcPr>
          <w:p w14:paraId="5FBA9503">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59EAE506">
            <w:pPr>
              <w:pStyle w:val="96"/>
              <w:rPr>
                <w:rFonts w:hint="eastAsia" w:ascii="宋体" w:hAnsi="宋体" w:eastAsia="宋体" w:cs="宋体"/>
                <w:color w:val="auto"/>
                <w:sz w:val="18"/>
                <w:szCs w:val="18"/>
              </w:rPr>
            </w:pPr>
          </w:p>
        </w:tc>
        <w:tc>
          <w:tcPr>
            <w:tcW w:w="725" w:type="dxa"/>
          </w:tcPr>
          <w:p w14:paraId="0A55FD7A">
            <w:pPr>
              <w:pStyle w:val="96"/>
              <w:rPr>
                <w:rFonts w:hint="eastAsia" w:ascii="宋体" w:hAnsi="宋体" w:eastAsia="宋体" w:cs="宋体"/>
                <w:color w:val="auto"/>
                <w:sz w:val="18"/>
                <w:szCs w:val="18"/>
              </w:rPr>
            </w:pPr>
          </w:p>
        </w:tc>
        <w:tc>
          <w:tcPr>
            <w:tcW w:w="679" w:type="dxa"/>
          </w:tcPr>
          <w:p w14:paraId="118F0F2D">
            <w:pPr>
              <w:pStyle w:val="96"/>
              <w:rPr>
                <w:rFonts w:hint="eastAsia" w:ascii="宋体" w:hAnsi="宋体" w:eastAsia="宋体" w:cs="宋体"/>
                <w:color w:val="auto"/>
                <w:sz w:val="18"/>
                <w:szCs w:val="18"/>
              </w:rPr>
            </w:pPr>
          </w:p>
        </w:tc>
      </w:tr>
      <w:tr w14:paraId="142E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783F02F7">
            <w:pPr>
              <w:pStyle w:val="96"/>
              <w:spacing w:before="165" w:line="304" w:lineRule="exact"/>
              <w:ind w:left="158"/>
              <w:jc w:val="center"/>
              <w:rPr>
                <w:rFonts w:hint="eastAsia" w:ascii="宋体" w:hAnsi="宋体" w:eastAsia="宋体" w:cs="宋体"/>
                <w:color w:val="auto"/>
                <w:sz w:val="18"/>
                <w:szCs w:val="18"/>
              </w:rPr>
            </w:pPr>
          </w:p>
        </w:tc>
        <w:tc>
          <w:tcPr>
            <w:tcW w:w="5984" w:type="dxa"/>
          </w:tcPr>
          <w:p w14:paraId="0CAFB48E">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食材存放落实安全措施，保洁卫生</w:t>
            </w:r>
          </w:p>
        </w:tc>
        <w:tc>
          <w:tcPr>
            <w:tcW w:w="617" w:type="dxa"/>
          </w:tcPr>
          <w:p w14:paraId="18EECBDF">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128AF111">
            <w:pPr>
              <w:pStyle w:val="96"/>
              <w:rPr>
                <w:rFonts w:hint="eastAsia" w:ascii="宋体" w:hAnsi="宋体" w:eastAsia="宋体" w:cs="宋体"/>
                <w:color w:val="auto"/>
                <w:sz w:val="18"/>
                <w:szCs w:val="18"/>
              </w:rPr>
            </w:pPr>
          </w:p>
        </w:tc>
        <w:tc>
          <w:tcPr>
            <w:tcW w:w="725" w:type="dxa"/>
          </w:tcPr>
          <w:p w14:paraId="51330802">
            <w:pPr>
              <w:pStyle w:val="96"/>
              <w:rPr>
                <w:rFonts w:hint="eastAsia" w:ascii="宋体" w:hAnsi="宋体" w:eastAsia="宋体" w:cs="宋体"/>
                <w:color w:val="auto"/>
                <w:sz w:val="18"/>
                <w:szCs w:val="18"/>
              </w:rPr>
            </w:pPr>
          </w:p>
        </w:tc>
        <w:tc>
          <w:tcPr>
            <w:tcW w:w="679" w:type="dxa"/>
          </w:tcPr>
          <w:p w14:paraId="461198F4">
            <w:pPr>
              <w:pStyle w:val="96"/>
              <w:rPr>
                <w:rFonts w:hint="eastAsia" w:ascii="宋体" w:hAnsi="宋体" w:eastAsia="宋体" w:cs="宋体"/>
                <w:color w:val="auto"/>
                <w:sz w:val="18"/>
                <w:szCs w:val="18"/>
              </w:rPr>
            </w:pPr>
          </w:p>
        </w:tc>
      </w:tr>
      <w:tr w14:paraId="62610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restart"/>
            <w:vAlign w:val="center"/>
          </w:tcPr>
          <w:p w14:paraId="2AF53743">
            <w:pPr>
              <w:pStyle w:val="96"/>
              <w:spacing w:before="165" w:line="304" w:lineRule="exact"/>
              <w:ind w:left="158"/>
              <w:jc w:val="center"/>
              <w:rPr>
                <w:rFonts w:hint="eastAsia" w:ascii="宋体" w:hAnsi="宋体" w:eastAsia="宋体" w:cs="宋体"/>
                <w:color w:val="auto"/>
                <w:sz w:val="18"/>
                <w:szCs w:val="18"/>
              </w:rPr>
            </w:pPr>
            <w:r>
              <w:rPr>
                <w:rFonts w:hint="eastAsia" w:ascii="宋体" w:hAnsi="宋体" w:eastAsia="宋体" w:cs="宋体"/>
                <w:color w:val="auto"/>
                <w:sz w:val="18"/>
                <w:szCs w:val="18"/>
              </w:rPr>
              <w:t>库房管理</w:t>
            </w:r>
          </w:p>
          <w:p w14:paraId="403B023D">
            <w:pPr>
              <w:pStyle w:val="96"/>
              <w:spacing w:before="165" w:line="304" w:lineRule="exact"/>
              <w:ind w:left="158"/>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26</w:t>
            </w:r>
            <w:r>
              <w:rPr>
                <w:rFonts w:hint="eastAsia" w:ascii="宋体" w:hAnsi="宋体" w:eastAsia="宋体" w:cs="宋体"/>
                <w:color w:val="auto"/>
                <w:sz w:val="18"/>
                <w:szCs w:val="18"/>
              </w:rPr>
              <w:t>分）</w:t>
            </w:r>
          </w:p>
        </w:tc>
        <w:tc>
          <w:tcPr>
            <w:tcW w:w="5984" w:type="dxa"/>
          </w:tcPr>
          <w:p w14:paraId="4F9E3DF1">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原材料出库登记手续齐全，无过期材料</w:t>
            </w:r>
          </w:p>
        </w:tc>
        <w:tc>
          <w:tcPr>
            <w:tcW w:w="617" w:type="dxa"/>
          </w:tcPr>
          <w:p w14:paraId="3DB9BE23">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76B7ECD0">
            <w:pPr>
              <w:pStyle w:val="96"/>
              <w:rPr>
                <w:rFonts w:hint="eastAsia" w:ascii="宋体" w:hAnsi="宋体" w:eastAsia="宋体" w:cs="宋体"/>
                <w:color w:val="auto"/>
                <w:sz w:val="18"/>
                <w:szCs w:val="18"/>
              </w:rPr>
            </w:pPr>
          </w:p>
        </w:tc>
        <w:tc>
          <w:tcPr>
            <w:tcW w:w="725" w:type="dxa"/>
          </w:tcPr>
          <w:p w14:paraId="12A411A4">
            <w:pPr>
              <w:pStyle w:val="96"/>
              <w:rPr>
                <w:rFonts w:hint="eastAsia" w:ascii="宋体" w:hAnsi="宋体" w:eastAsia="宋体" w:cs="宋体"/>
                <w:color w:val="auto"/>
                <w:sz w:val="18"/>
                <w:szCs w:val="18"/>
              </w:rPr>
            </w:pPr>
          </w:p>
        </w:tc>
        <w:tc>
          <w:tcPr>
            <w:tcW w:w="679" w:type="dxa"/>
          </w:tcPr>
          <w:p w14:paraId="6651829A">
            <w:pPr>
              <w:pStyle w:val="96"/>
              <w:rPr>
                <w:rFonts w:hint="eastAsia" w:ascii="宋体" w:hAnsi="宋体" w:eastAsia="宋体" w:cs="宋体"/>
                <w:color w:val="auto"/>
                <w:sz w:val="18"/>
                <w:szCs w:val="18"/>
              </w:rPr>
            </w:pPr>
          </w:p>
        </w:tc>
      </w:tr>
      <w:tr w14:paraId="3CA6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185EAB21">
            <w:pPr>
              <w:pStyle w:val="96"/>
              <w:spacing w:before="165" w:line="304" w:lineRule="exact"/>
              <w:ind w:left="158"/>
              <w:jc w:val="center"/>
              <w:rPr>
                <w:rFonts w:hint="eastAsia" w:ascii="宋体" w:hAnsi="宋体" w:eastAsia="宋体" w:cs="宋体"/>
                <w:color w:val="auto"/>
                <w:sz w:val="18"/>
                <w:szCs w:val="18"/>
              </w:rPr>
            </w:pPr>
          </w:p>
        </w:tc>
        <w:tc>
          <w:tcPr>
            <w:tcW w:w="5984" w:type="dxa"/>
          </w:tcPr>
          <w:p w14:paraId="2E02D346">
            <w:pPr>
              <w:pStyle w:val="96"/>
              <w:spacing w:before="29"/>
              <w:ind w:left="105"/>
              <w:rPr>
                <w:rFonts w:hint="eastAsia" w:ascii="宋体" w:hAnsi="宋体" w:eastAsia="宋体" w:cs="宋体"/>
                <w:color w:val="auto"/>
                <w:sz w:val="18"/>
                <w:szCs w:val="18"/>
              </w:rPr>
            </w:pPr>
            <w:r>
              <w:rPr>
                <w:rFonts w:hint="eastAsia" w:ascii="宋体" w:hAnsi="宋体" w:eastAsia="宋体" w:cs="宋体"/>
                <w:color w:val="auto"/>
                <w:sz w:val="18"/>
                <w:szCs w:val="18"/>
              </w:rPr>
              <w:t>库存物品摆放整齐有序、标签化、架子化、框子化，材料不着地</w:t>
            </w:r>
          </w:p>
        </w:tc>
        <w:tc>
          <w:tcPr>
            <w:tcW w:w="617" w:type="dxa"/>
          </w:tcPr>
          <w:p w14:paraId="2D1B1820">
            <w:pPr>
              <w:spacing w:before="151"/>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790B08DA">
            <w:pPr>
              <w:pStyle w:val="96"/>
              <w:rPr>
                <w:rFonts w:hint="eastAsia" w:ascii="宋体" w:hAnsi="宋体" w:eastAsia="宋体" w:cs="宋体"/>
                <w:color w:val="auto"/>
                <w:sz w:val="18"/>
                <w:szCs w:val="18"/>
              </w:rPr>
            </w:pPr>
          </w:p>
        </w:tc>
        <w:tc>
          <w:tcPr>
            <w:tcW w:w="725" w:type="dxa"/>
          </w:tcPr>
          <w:p w14:paraId="0A4D25FB">
            <w:pPr>
              <w:pStyle w:val="96"/>
              <w:rPr>
                <w:rFonts w:hint="eastAsia" w:ascii="宋体" w:hAnsi="宋体" w:eastAsia="宋体" w:cs="宋体"/>
                <w:color w:val="auto"/>
                <w:sz w:val="18"/>
                <w:szCs w:val="18"/>
              </w:rPr>
            </w:pPr>
          </w:p>
        </w:tc>
        <w:tc>
          <w:tcPr>
            <w:tcW w:w="679" w:type="dxa"/>
          </w:tcPr>
          <w:p w14:paraId="0C77E8A4">
            <w:pPr>
              <w:pStyle w:val="96"/>
              <w:rPr>
                <w:rFonts w:hint="eastAsia" w:ascii="宋体" w:hAnsi="宋体" w:eastAsia="宋体" w:cs="宋体"/>
                <w:color w:val="auto"/>
                <w:sz w:val="18"/>
                <w:szCs w:val="18"/>
              </w:rPr>
            </w:pPr>
          </w:p>
        </w:tc>
      </w:tr>
      <w:tr w14:paraId="0637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82" w:type="dxa"/>
            <w:vMerge w:val="continue"/>
            <w:tcBorders>
              <w:top w:val="nil"/>
            </w:tcBorders>
            <w:vAlign w:val="center"/>
          </w:tcPr>
          <w:p w14:paraId="029DA955">
            <w:pPr>
              <w:pStyle w:val="96"/>
              <w:spacing w:before="165" w:line="304" w:lineRule="exact"/>
              <w:ind w:left="158"/>
              <w:jc w:val="center"/>
              <w:rPr>
                <w:rFonts w:hint="eastAsia" w:ascii="宋体" w:hAnsi="宋体" w:eastAsia="宋体" w:cs="宋体"/>
                <w:color w:val="auto"/>
                <w:sz w:val="18"/>
                <w:szCs w:val="18"/>
              </w:rPr>
            </w:pPr>
          </w:p>
        </w:tc>
        <w:tc>
          <w:tcPr>
            <w:tcW w:w="5984" w:type="dxa"/>
          </w:tcPr>
          <w:p w14:paraId="3084A766">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食品在存放时按规定做到分类分架离墙离地</w:t>
            </w:r>
          </w:p>
        </w:tc>
        <w:tc>
          <w:tcPr>
            <w:tcW w:w="617" w:type="dxa"/>
          </w:tcPr>
          <w:p w14:paraId="7B9F1674">
            <w:pPr>
              <w:spacing w:before="2" w:line="280" w:lineRule="exact"/>
              <w:ind w:right="177"/>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648" w:type="dxa"/>
          </w:tcPr>
          <w:p w14:paraId="7C28C646">
            <w:pPr>
              <w:pStyle w:val="96"/>
              <w:rPr>
                <w:rFonts w:hint="eastAsia" w:ascii="宋体" w:hAnsi="宋体" w:eastAsia="宋体" w:cs="宋体"/>
                <w:color w:val="auto"/>
                <w:sz w:val="18"/>
                <w:szCs w:val="18"/>
              </w:rPr>
            </w:pPr>
          </w:p>
        </w:tc>
        <w:tc>
          <w:tcPr>
            <w:tcW w:w="725" w:type="dxa"/>
          </w:tcPr>
          <w:p w14:paraId="0FE63186">
            <w:pPr>
              <w:pStyle w:val="96"/>
              <w:rPr>
                <w:rFonts w:hint="eastAsia" w:ascii="宋体" w:hAnsi="宋体" w:eastAsia="宋体" w:cs="宋体"/>
                <w:color w:val="auto"/>
                <w:sz w:val="18"/>
                <w:szCs w:val="18"/>
              </w:rPr>
            </w:pPr>
          </w:p>
        </w:tc>
        <w:tc>
          <w:tcPr>
            <w:tcW w:w="679" w:type="dxa"/>
          </w:tcPr>
          <w:p w14:paraId="37B724E5">
            <w:pPr>
              <w:pStyle w:val="96"/>
              <w:rPr>
                <w:rFonts w:hint="eastAsia" w:ascii="宋体" w:hAnsi="宋体" w:eastAsia="宋体" w:cs="宋体"/>
                <w:color w:val="auto"/>
                <w:sz w:val="18"/>
                <w:szCs w:val="18"/>
              </w:rPr>
            </w:pPr>
          </w:p>
        </w:tc>
      </w:tr>
      <w:tr w14:paraId="4D7F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3A435EC4">
            <w:pPr>
              <w:pStyle w:val="96"/>
              <w:spacing w:before="165" w:line="304" w:lineRule="exact"/>
              <w:ind w:left="158"/>
              <w:jc w:val="center"/>
              <w:rPr>
                <w:rFonts w:hint="eastAsia" w:ascii="宋体" w:hAnsi="宋体" w:eastAsia="宋体" w:cs="宋体"/>
                <w:color w:val="auto"/>
                <w:sz w:val="18"/>
                <w:szCs w:val="18"/>
              </w:rPr>
            </w:pPr>
          </w:p>
        </w:tc>
        <w:tc>
          <w:tcPr>
            <w:tcW w:w="5984" w:type="dxa"/>
          </w:tcPr>
          <w:p w14:paraId="1854000B">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食品存放严禁与有毒有害物品共同存放</w:t>
            </w:r>
          </w:p>
        </w:tc>
        <w:tc>
          <w:tcPr>
            <w:tcW w:w="617" w:type="dxa"/>
          </w:tcPr>
          <w:p w14:paraId="6374C174">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1E23E85D">
            <w:pPr>
              <w:pStyle w:val="96"/>
              <w:rPr>
                <w:rFonts w:hint="eastAsia" w:ascii="宋体" w:hAnsi="宋体" w:eastAsia="宋体" w:cs="宋体"/>
                <w:color w:val="auto"/>
                <w:sz w:val="18"/>
                <w:szCs w:val="18"/>
              </w:rPr>
            </w:pPr>
          </w:p>
        </w:tc>
        <w:tc>
          <w:tcPr>
            <w:tcW w:w="725" w:type="dxa"/>
          </w:tcPr>
          <w:p w14:paraId="71B798F0">
            <w:pPr>
              <w:pStyle w:val="96"/>
              <w:rPr>
                <w:rFonts w:hint="eastAsia" w:ascii="宋体" w:hAnsi="宋体" w:eastAsia="宋体" w:cs="宋体"/>
                <w:color w:val="auto"/>
                <w:sz w:val="18"/>
                <w:szCs w:val="18"/>
              </w:rPr>
            </w:pPr>
          </w:p>
        </w:tc>
        <w:tc>
          <w:tcPr>
            <w:tcW w:w="679" w:type="dxa"/>
          </w:tcPr>
          <w:p w14:paraId="2A652459">
            <w:pPr>
              <w:pStyle w:val="96"/>
              <w:rPr>
                <w:rFonts w:hint="eastAsia" w:ascii="宋体" w:hAnsi="宋体" w:eastAsia="宋体" w:cs="宋体"/>
                <w:color w:val="auto"/>
                <w:sz w:val="18"/>
                <w:szCs w:val="18"/>
              </w:rPr>
            </w:pPr>
          </w:p>
        </w:tc>
      </w:tr>
      <w:tr w14:paraId="6A13D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82" w:type="dxa"/>
            <w:vMerge w:val="continue"/>
            <w:tcBorders>
              <w:top w:val="nil"/>
            </w:tcBorders>
            <w:vAlign w:val="center"/>
          </w:tcPr>
          <w:p w14:paraId="7338F4A4">
            <w:pPr>
              <w:pStyle w:val="96"/>
              <w:spacing w:before="165" w:line="304" w:lineRule="exact"/>
              <w:ind w:left="158"/>
              <w:jc w:val="center"/>
              <w:rPr>
                <w:rFonts w:hint="eastAsia" w:ascii="宋体" w:hAnsi="宋体" w:eastAsia="宋体" w:cs="宋体"/>
                <w:color w:val="auto"/>
                <w:sz w:val="18"/>
                <w:szCs w:val="18"/>
              </w:rPr>
            </w:pPr>
          </w:p>
        </w:tc>
        <w:tc>
          <w:tcPr>
            <w:tcW w:w="5984" w:type="dxa"/>
          </w:tcPr>
          <w:p w14:paraId="5EEDDE00">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仓库物品干净有序、无变质、虫咬、鼠迹等</w:t>
            </w:r>
          </w:p>
        </w:tc>
        <w:tc>
          <w:tcPr>
            <w:tcW w:w="617" w:type="dxa"/>
          </w:tcPr>
          <w:p w14:paraId="519A13DD">
            <w:pPr>
              <w:spacing w:line="280" w:lineRule="exact"/>
              <w:ind w:right="177"/>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06502ED5">
            <w:pPr>
              <w:pStyle w:val="96"/>
              <w:rPr>
                <w:rFonts w:hint="eastAsia" w:ascii="宋体" w:hAnsi="宋体" w:eastAsia="宋体" w:cs="宋体"/>
                <w:color w:val="auto"/>
                <w:sz w:val="18"/>
                <w:szCs w:val="18"/>
              </w:rPr>
            </w:pPr>
          </w:p>
        </w:tc>
        <w:tc>
          <w:tcPr>
            <w:tcW w:w="725" w:type="dxa"/>
          </w:tcPr>
          <w:p w14:paraId="10D0392C">
            <w:pPr>
              <w:pStyle w:val="96"/>
              <w:rPr>
                <w:rFonts w:hint="eastAsia" w:ascii="宋体" w:hAnsi="宋体" w:eastAsia="宋体" w:cs="宋体"/>
                <w:color w:val="auto"/>
                <w:sz w:val="18"/>
                <w:szCs w:val="18"/>
              </w:rPr>
            </w:pPr>
          </w:p>
        </w:tc>
        <w:tc>
          <w:tcPr>
            <w:tcW w:w="679" w:type="dxa"/>
          </w:tcPr>
          <w:p w14:paraId="2AB168B4">
            <w:pPr>
              <w:pStyle w:val="96"/>
              <w:rPr>
                <w:rFonts w:hint="eastAsia" w:ascii="宋体" w:hAnsi="宋体" w:eastAsia="宋体" w:cs="宋体"/>
                <w:color w:val="auto"/>
                <w:sz w:val="18"/>
                <w:szCs w:val="18"/>
              </w:rPr>
            </w:pPr>
          </w:p>
        </w:tc>
      </w:tr>
      <w:tr w14:paraId="5748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Pr>
          <w:p w14:paraId="342F776A">
            <w:pPr>
              <w:rPr>
                <w:rFonts w:hint="eastAsia" w:ascii="宋体" w:hAnsi="宋体" w:eastAsia="宋体" w:cs="宋体"/>
                <w:color w:val="auto"/>
                <w:sz w:val="18"/>
                <w:szCs w:val="18"/>
              </w:rPr>
            </w:pPr>
          </w:p>
        </w:tc>
        <w:tc>
          <w:tcPr>
            <w:tcW w:w="5984" w:type="dxa"/>
          </w:tcPr>
          <w:p w14:paraId="65112182">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后厨设施设备出现故障维修及时、定期保养</w:t>
            </w:r>
          </w:p>
        </w:tc>
        <w:tc>
          <w:tcPr>
            <w:tcW w:w="617" w:type="dxa"/>
          </w:tcPr>
          <w:p w14:paraId="75515A64">
            <w:pPr>
              <w:spacing w:line="280" w:lineRule="exact"/>
              <w:ind w:right="23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5B1DE432">
            <w:pPr>
              <w:pStyle w:val="96"/>
              <w:rPr>
                <w:rFonts w:hint="eastAsia" w:ascii="宋体" w:hAnsi="宋体" w:eastAsia="宋体" w:cs="宋体"/>
                <w:color w:val="auto"/>
                <w:sz w:val="18"/>
                <w:szCs w:val="18"/>
              </w:rPr>
            </w:pPr>
          </w:p>
        </w:tc>
        <w:tc>
          <w:tcPr>
            <w:tcW w:w="725" w:type="dxa"/>
          </w:tcPr>
          <w:p w14:paraId="3D2DB492">
            <w:pPr>
              <w:pStyle w:val="96"/>
              <w:rPr>
                <w:rFonts w:hint="eastAsia" w:ascii="宋体" w:hAnsi="宋体" w:eastAsia="宋体" w:cs="宋体"/>
                <w:color w:val="auto"/>
                <w:sz w:val="18"/>
                <w:szCs w:val="18"/>
              </w:rPr>
            </w:pPr>
          </w:p>
        </w:tc>
        <w:tc>
          <w:tcPr>
            <w:tcW w:w="679" w:type="dxa"/>
          </w:tcPr>
          <w:p w14:paraId="701F32FF">
            <w:pPr>
              <w:pStyle w:val="96"/>
              <w:rPr>
                <w:rFonts w:hint="eastAsia" w:ascii="宋体" w:hAnsi="宋体" w:eastAsia="宋体" w:cs="宋体"/>
                <w:color w:val="auto"/>
                <w:sz w:val="18"/>
                <w:szCs w:val="18"/>
              </w:rPr>
            </w:pPr>
          </w:p>
        </w:tc>
      </w:tr>
      <w:tr w14:paraId="38AAE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Pr>
          <w:p w14:paraId="5726A4D5">
            <w:pPr>
              <w:rPr>
                <w:rFonts w:hint="eastAsia" w:ascii="宋体" w:hAnsi="宋体" w:eastAsia="宋体" w:cs="宋体"/>
                <w:color w:val="auto"/>
                <w:sz w:val="18"/>
                <w:szCs w:val="18"/>
              </w:rPr>
            </w:pPr>
          </w:p>
        </w:tc>
        <w:tc>
          <w:tcPr>
            <w:tcW w:w="5984" w:type="dxa"/>
          </w:tcPr>
          <w:p w14:paraId="2BE7EB27">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设备使用后清理及时，无残渣，无污垢</w:t>
            </w:r>
          </w:p>
        </w:tc>
        <w:tc>
          <w:tcPr>
            <w:tcW w:w="617" w:type="dxa"/>
          </w:tcPr>
          <w:p w14:paraId="6C9881F2">
            <w:pPr>
              <w:spacing w:line="280" w:lineRule="exact"/>
              <w:ind w:right="23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4CECDAF4">
            <w:pPr>
              <w:pStyle w:val="96"/>
              <w:rPr>
                <w:rFonts w:hint="eastAsia" w:ascii="宋体" w:hAnsi="宋体" w:eastAsia="宋体" w:cs="宋体"/>
                <w:color w:val="auto"/>
                <w:sz w:val="18"/>
                <w:szCs w:val="18"/>
              </w:rPr>
            </w:pPr>
          </w:p>
        </w:tc>
        <w:tc>
          <w:tcPr>
            <w:tcW w:w="725" w:type="dxa"/>
          </w:tcPr>
          <w:p w14:paraId="0287EB97">
            <w:pPr>
              <w:pStyle w:val="96"/>
              <w:rPr>
                <w:rFonts w:hint="eastAsia" w:ascii="宋体" w:hAnsi="宋体" w:eastAsia="宋体" w:cs="宋体"/>
                <w:color w:val="auto"/>
                <w:sz w:val="18"/>
                <w:szCs w:val="18"/>
              </w:rPr>
            </w:pPr>
          </w:p>
        </w:tc>
        <w:tc>
          <w:tcPr>
            <w:tcW w:w="679" w:type="dxa"/>
          </w:tcPr>
          <w:p w14:paraId="65DF8E90">
            <w:pPr>
              <w:pStyle w:val="96"/>
              <w:rPr>
                <w:rFonts w:hint="eastAsia" w:ascii="宋体" w:hAnsi="宋体" w:eastAsia="宋体" w:cs="宋体"/>
                <w:color w:val="auto"/>
                <w:sz w:val="18"/>
                <w:szCs w:val="18"/>
              </w:rPr>
            </w:pPr>
          </w:p>
        </w:tc>
      </w:tr>
      <w:tr w14:paraId="11C47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Pr>
          <w:p w14:paraId="59C7AACC">
            <w:pPr>
              <w:rPr>
                <w:rFonts w:hint="eastAsia" w:ascii="宋体" w:hAnsi="宋体" w:eastAsia="宋体" w:cs="宋体"/>
                <w:color w:val="auto"/>
                <w:sz w:val="18"/>
                <w:szCs w:val="18"/>
              </w:rPr>
            </w:pPr>
          </w:p>
        </w:tc>
        <w:tc>
          <w:tcPr>
            <w:tcW w:w="5984" w:type="dxa"/>
          </w:tcPr>
          <w:p w14:paraId="5BF7A096">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冰箱除霜及时，擦拭干净，无残渣</w:t>
            </w:r>
          </w:p>
        </w:tc>
        <w:tc>
          <w:tcPr>
            <w:tcW w:w="617" w:type="dxa"/>
          </w:tcPr>
          <w:p w14:paraId="498C6509">
            <w:pPr>
              <w:spacing w:before="2" w:line="280" w:lineRule="exact"/>
              <w:ind w:right="23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45AC4675">
            <w:pPr>
              <w:pStyle w:val="96"/>
              <w:rPr>
                <w:rFonts w:hint="eastAsia" w:ascii="宋体" w:hAnsi="宋体" w:eastAsia="宋体" w:cs="宋体"/>
                <w:color w:val="auto"/>
                <w:sz w:val="18"/>
                <w:szCs w:val="18"/>
              </w:rPr>
            </w:pPr>
          </w:p>
        </w:tc>
        <w:tc>
          <w:tcPr>
            <w:tcW w:w="725" w:type="dxa"/>
          </w:tcPr>
          <w:p w14:paraId="2B325254">
            <w:pPr>
              <w:pStyle w:val="96"/>
              <w:rPr>
                <w:rFonts w:hint="eastAsia" w:ascii="宋体" w:hAnsi="宋体" w:eastAsia="宋体" w:cs="宋体"/>
                <w:color w:val="auto"/>
                <w:sz w:val="18"/>
                <w:szCs w:val="18"/>
              </w:rPr>
            </w:pPr>
          </w:p>
        </w:tc>
        <w:tc>
          <w:tcPr>
            <w:tcW w:w="679" w:type="dxa"/>
          </w:tcPr>
          <w:p w14:paraId="192EDF49">
            <w:pPr>
              <w:pStyle w:val="96"/>
              <w:rPr>
                <w:rFonts w:hint="eastAsia" w:ascii="宋体" w:hAnsi="宋体" w:eastAsia="宋体" w:cs="宋体"/>
                <w:color w:val="auto"/>
                <w:sz w:val="18"/>
                <w:szCs w:val="18"/>
              </w:rPr>
            </w:pPr>
          </w:p>
        </w:tc>
      </w:tr>
      <w:tr w14:paraId="4A9F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282" w:type="dxa"/>
            <w:vMerge w:val="continue"/>
          </w:tcPr>
          <w:p w14:paraId="5B78C98E">
            <w:pPr>
              <w:rPr>
                <w:rFonts w:hint="eastAsia" w:ascii="宋体" w:hAnsi="宋体" w:eastAsia="宋体" w:cs="宋体"/>
                <w:color w:val="auto"/>
                <w:sz w:val="18"/>
                <w:szCs w:val="18"/>
              </w:rPr>
            </w:pPr>
          </w:p>
        </w:tc>
        <w:tc>
          <w:tcPr>
            <w:tcW w:w="5984" w:type="dxa"/>
          </w:tcPr>
          <w:p w14:paraId="0D0FA8A9">
            <w:pPr>
              <w:pStyle w:val="96"/>
              <w:spacing w:before="29"/>
              <w:ind w:left="105"/>
              <w:rPr>
                <w:rFonts w:hint="eastAsia" w:ascii="宋体" w:hAnsi="宋体" w:eastAsia="宋体" w:cs="宋体"/>
                <w:color w:val="auto"/>
                <w:sz w:val="18"/>
                <w:szCs w:val="18"/>
              </w:rPr>
            </w:pPr>
            <w:r>
              <w:rPr>
                <w:rFonts w:hint="eastAsia" w:ascii="宋体" w:hAnsi="宋体" w:eastAsia="宋体" w:cs="宋体"/>
                <w:color w:val="auto"/>
                <w:sz w:val="18"/>
                <w:szCs w:val="18"/>
              </w:rPr>
              <w:t>盛装食品的容器在冰箱存放时加盖，在叠放、堆放时必须有其它防护措施</w:t>
            </w:r>
          </w:p>
        </w:tc>
        <w:tc>
          <w:tcPr>
            <w:tcW w:w="617" w:type="dxa"/>
          </w:tcPr>
          <w:p w14:paraId="6C8848A5">
            <w:pPr>
              <w:spacing w:before="148"/>
              <w:ind w:right="237"/>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2B866E47">
            <w:pPr>
              <w:pStyle w:val="96"/>
              <w:rPr>
                <w:rFonts w:hint="eastAsia" w:ascii="宋体" w:hAnsi="宋体" w:eastAsia="宋体" w:cs="宋体"/>
                <w:color w:val="auto"/>
                <w:sz w:val="18"/>
                <w:szCs w:val="18"/>
              </w:rPr>
            </w:pPr>
          </w:p>
        </w:tc>
        <w:tc>
          <w:tcPr>
            <w:tcW w:w="725" w:type="dxa"/>
          </w:tcPr>
          <w:p w14:paraId="1A0DD542">
            <w:pPr>
              <w:pStyle w:val="96"/>
              <w:rPr>
                <w:rFonts w:hint="eastAsia" w:ascii="宋体" w:hAnsi="宋体" w:eastAsia="宋体" w:cs="宋体"/>
                <w:color w:val="auto"/>
                <w:sz w:val="18"/>
                <w:szCs w:val="18"/>
              </w:rPr>
            </w:pPr>
          </w:p>
        </w:tc>
        <w:tc>
          <w:tcPr>
            <w:tcW w:w="679" w:type="dxa"/>
          </w:tcPr>
          <w:p w14:paraId="40DFCD7C">
            <w:pPr>
              <w:pStyle w:val="96"/>
              <w:rPr>
                <w:rFonts w:hint="eastAsia" w:ascii="宋体" w:hAnsi="宋体" w:eastAsia="宋体" w:cs="宋体"/>
                <w:color w:val="auto"/>
                <w:sz w:val="18"/>
                <w:szCs w:val="18"/>
              </w:rPr>
            </w:pPr>
          </w:p>
        </w:tc>
      </w:tr>
      <w:tr w14:paraId="36745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282" w:type="dxa"/>
            <w:vMerge w:val="continue"/>
          </w:tcPr>
          <w:p w14:paraId="19200F20">
            <w:pPr>
              <w:rPr>
                <w:rFonts w:hint="eastAsia" w:ascii="宋体" w:hAnsi="宋体" w:eastAsia="宋体" w:cs="宋体"/>
                <w:color w:val="auto"/>
                <w:sz w:val="18"/>
                <w:szCs w:val="18"/>
              </w:rPr>
            </w:pPr>
          </w:p>
        </w:tc>
        <w:tc>
          <w:tcPr>
            <w:tcW w:w="5984" w:type="dxa"/>
            <w:vAlign w:val="top"/>
          </w:tcPr>
          <w:p w14:paraId="63D7681C">
            <w:pPr>
              <w:pStyle w:val="96"/>
              <w:spacing w:before="29"/>
              <w:ind w:left="105" w:leftChars="0"/>
              <w:rPr>
                <w:rFonts w:hint="eastAsia" w:ascii="宋体" w:hAnsi="宋体" w:eastAsia="宋体" w:cs="宋体"/>
                <w:color w:val="auto"/>
                <w:sz w:val="18"/>
                <w:szCs w:val="18"/>
              </w:rPr>
            </w:pPr>
            <w:r>
              <w:rPr>
                <w:rFonts w:hint="eastAsia" w:ascii="宋体" w:hAnsi="宋体" w:eastAsia="宋体" w:cs="宋体"/>
                <w:color w:val="auto"/>
                <w:sz w:val="18"/>
                <w:szCs w:val="18"/>
              </w:rPr>
              <w:t>食品容器、炊具、刀具做到无锈斑、砧板无霉点、加工台干净整洁</w:t>
            </w:r>
          </w:p>
        </w:tc>
        <w:tc>
          <w:tcPr>
            <w:tcW w:w="617" w:type="dxa"/>
            <w:vAlign w:val="top"/>
          </w:tcPr>
          <w:p w14:paraId="7A3911C6">
            <w:pPr>
              <w:spacing w:before="148"/>
              <w:ind w:right="237"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45290AEA">
            <w:pPr>
              <w:pStyle w:val="96"/>
              <w:rPr>
                <w:rFonts w:hint="eastAsia" w:ascii="宋体" w:hAnsi="宋体" w:eastAsia="宋体" w:cs="宋体"/>
                <w:color w:val="auto"/>
                <w:sz w:val="18"/>
                <w:szCs w:val="18"/>
              </w:rPr>
            </w:pPr>
          </w:p>
        </w:tc>
        <w:tc>
          <w:tcPr>
            <w:tcW w:w="725" w:type="dxa"/>
          </w:tcPr>
          <w:p w14:paraId="6537E808">
            <w:pPr>
              <w:pStyle w:val="96"/>
              <w:rPr>
                <w:rFonts w:hint="eastAsia" w:ascii="宋体" w:hAnsi="宋体" w:eastAsia="宋体" w:cs="宋体"/>
                <w:color w:val="auto"/>
                <w:sz w:val="18"/>
                <w:szCs w:val="18"/>
              </w:rPr>
            </w:pPr>
          </w:p>
        </w:tc>
        <w:tc>
          <w:tcPr>
            <w:tcW w:w="679" w:type="dxa"/>
          </w:tcPr>
          <w:p w14:paraId="3D97C6E8">
            <w:pPr>
              <w:pStyle w:val="96"/>
              <w:rPr>
                <w:rFonts w:hint="eastAsia" w:ascii="宋体" w:hAnsi="宋体" w:eastAsia="宋体" w:cs="宋体"/>
                <w:color w:val="auto"/>
                <w:sz w:val="18"/>
                <w:szCs w:val="18"/>
              </w:rPr>
            </w:pPr>
          </w:p>
        </w:tc>
      </w:tr>
      <w:tr w14:paraId="1F35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282" w:type="dxa"/>
            <w:vMerge w:val="continue"/>
          </w:tcPr>
          <w:p w14:paraId="4E9BD419">
            <w:pPr>
              <w:rPr>
                <w:rFonts w:hint="eastAsia" w:ascii="宋体" w:hAnsi="宋体" w:eastAsia="宋体" w:cs="宋体"/>
                <w:color w:val="auto"/>
                <w:sz w:val="18"/>
                <w:szCs w:val="18"/>
              </w:rPr>
            </w:pPr>
          </w:p>
        </w:tc>
        <w:tc>
          <w:tcPr>
            <w:tcW w:w="5984" w:type="dxa"/>
            <w:vAlign w:val="top"/>
          </w:tcPr>
          <w:p w14:paraId="2258F25D">
            <w:pPr>
              <w:pStyle w:val="96"/>
              <w:spacing w:before="29"/>
              <w:ind w:left="105" w:leftChars="0"/>
              <w:rPr>
                <w:rFonts w:hint="eastAsia" w:ascii="宋体" w:hAnsi="宋体" w:eastAsia="宋体" w:cs="宋体"/>
                <w:color w:val="auto"/>
                <w:sz w:val="18"/>
                <w:szCs w:val="18"/>
              </w:rPr>
            </w:pPr>
            <w:r>
              <w:rPr>
                <w:rFonts w:hint="eastAsia" w:ascii="宋体" w:hAnsi="宋体" w:eastAsia="宋体" w:cs="宋体"/>
                <w:color w:val="auto"/>
                <w:sz w:val="18"/>
                <w:szCs w:val="18"/>
              </w:rPr>
              <w:t>刀具、菜墩、水池等按要求标注其用途，并按要求使用，不生熟混用、乱用</w:t>
            </w:r>
          </w:p>
        </w:tc>
        <w:tc>
          <w:tcPr>
            <w:tcW w:w="617" w:type="dxa"/>
            <w:vAlign w:val="top"/>
          </w:tcPr>
          <w:p w14:paraId="3E5DA85E">
            <w:pPr>
              <w:spacing w:before="151"/>
              <w:ind w:right="237"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755C1CF8">
            <w:pPr>
              <w:pStyle w:val="96"/>
              <w:rPr>
                <w:rFonts w:hint="eastAsia" w:ascii="宋体" w:hAnsi="宋体" w:eastAsia="宋体" w:cs="宋体"/>
                <w:color w:val="auto"/>
                <w:sz w:val="18"/>
                <w:szCs w:val="18"/>
              </w:rPr>
            </w:pPr>
          </w:p>
        </w:tc>
        <w:tc>
          <w:tcPr>
            <w:tcW w:w="725" w:type="dxa"/>
          </w:tcPr>
          <w:p w14:paraId="10561CF2">
            <w:pPr>
              <w:pStyle w:val="96"/>
              <w:rPr>
                <w:rFonts w:hint="eastAsia" w:ascii="宋体" w:hAnsi="宋体" w:eastAsia="宋体" w:cs="宋体"/>
                <w:color w:val="auto"/>
                <w:sz w:val="18"/>
                <w:szCs w:val="18"/>
              </w:rPr>
            </w:pPr>
          </w:p>
        </w:tc>
        <w:tc>
          <w:tcPr>
            <w:tcW w:w="679" w:type="dxa"/>
          </w:tcPr>
          <w:p w14:paraId="6BE4AC7A">
            <w:pPr>
              <w:pStyle w:val="96"/>
              <w:rPr>
                <w:rFonts w:hint="eastAsia" w:ascii="宋体" w:hAnsi="宋体" w:eastAsia="宋体" w:cs="宋体"/>
                <w:color w:val="auto"/>
                <w:sz w:val="18"/>
                <w:szCs w:val="18"/>
              </w:rPr>
            </w:pPr>
          </w:p>
        </w:tc>
      </w:tr>
      <w:tr w14:paraId="4A59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82" w:type="dxa"/>
            <w:vMerge w:val="continue"/>
          </w:tcPr>
          <w:p w14:paraId="18204C5B">
            <w:pPr>
              <w:rPr>
                <w:rFonts w:hint="eastAsia" w:ascii="宋体" w:hAnsi="宋体" w:eastAsia="宋体" w:cs="宋体"/>
                <w:color w:val="auto"/>
                <w:sz w:val="18"/>
                <w:szCs w:val="18"/>
              </w:rPr>
            </w:pPr>
          </w:p>
        </w:tc>
        <w:tc>
          <w:tcPr>
            <w:tcW w:w="5984" w:type="dxa"/>
            <w:vAlign w:val="top"/>
          </w:tcPr>
          <w:p w14:paraId="1E216BC0">
            <w:pPr>
              <w:pStyle w:val="96"/>
              <w:spacing w:before="30" w:line="250" w:lineRule="exact"/>
              <w:ind w:left="105" w:leftChars="0"/>
              <w:rPr>
                <w:rFonts w:hint="eastAsia" w:ascii="宋体" w:hAnsi="宋体" w:eastAsia="宋体" w:cs="宋体"/>
                <w:color w:val="auto"/>
                <w:sz w:val="18"/>
                <w:szCs w:val="18"/>
              </w:rPr>
            </w:pPr>
            <w:r>
              <w:rPr>
                <w:rFonts w:hint="eastAsia" w:ascii="宋体" w:hAnsi="宋体" w:eastAsia="宋体" w:cs="宋体"/>
                <w:color w:val="auto"/>
                <w:sz w:val="18"/>
                <w:szCs w:val="18"/>
              </w:rPr>
              <w:t>食品用具做到用前用后清洗，定期消毒</w:t>
            </w:r>
          </w:p>
        </w:tc>
        <w:tc>
          <w:tcPr>
            <w:tcW w:w="617" w:type="dxa"/>
            <w:vAlign w:val="top"/>
          </w:tcPr>
          <w:p w14:paraId="176E86FE">
            <w:pPr>
              <w:spacing w:line="280" w:lineRule="exact"/>
              <w:ind w:right="237"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5</w:t>
            </w:r>
          </w:p>
        </w:tc>
        <w:tc>
          <w:tcPr>
            <w:tcW w:w="648" w:type="dxa"/>
          </w:tcPr>
          <w:p w14:paraId="17E40257">
            <w:pPr>
              <w:pStyle w:val="96"/>
              <w:rPr>
                <w:rFonts w:hint="eastAsia" w:ascii="宋体" w:hAnsi="宋体" w:eastAsia="宋体" w:cs="宋体"/>
                <w:color w:val="auto"/>
                <w:sz w:val="18"/>
                <w:szCs w:val="18"/>
              </w:rPr>
            </w:pPr>
          </w:p>
        </w:tc>
        <w:tc>
          <w:tcPr>
            <w:tcW w:w="725" w:type="dxa"/>
          </w:tcPr>
          <w:p w14:paraId="2C1E29B1">
            <w:pPr>
              <w:pStyle w:val="96"/>
              <w:rPr>
                <w:rFonts w:hint="eastAsia" w:ascii="宋体" w:hAnsi="宋体" w:eastAsia="宋体" w:cs="宋体"/>
                <w:color w:val="auto"/>
                <w:sz w:val="18"/>
                <w:szCs w:val="18"/>
              </w:rPr>
            </w:pPr>
          </w:p>
        </w:tc>
        <w:tc>
          <w:tcPr>
            <w:tcW w:w="679" w:type="dxa"/>
          </w:tcPr>
          <w:p w14:paraId="5FBD9A9B">
            <w:pPr>
              <w:pStyle w:val="96"/>
              <w:rPr>
                <w:rFonts w:hint="eastAsia" w:ascii="宋体" w:hAnsi="宋体" w:eastAsia="宋体" w:cs="宋体"/>
                <w:color w:val="auto"/>
                <w:sz w:val="18"/>
                <w:szCs w:val="18"/>
              </w:rPr>
            </w:pPr>
          </w:p>
        </w:tc>
      </w:tr>
      <w:tr w14:paraId="67C7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82" w:type="dxa"/>
            <w:vMerge w:val="continue"/>
          </w:tcPr>
          <w:p w14:paraId="789F7EDF">
            <w:pPr>
              <w:rPr>
                <w:rFonts w:hint="eastAsia" w:ascii="宋体" w:hAnsi="宋体" w:eastAsia="宋体" w:cs="宋体"/>
                <w:color w:val="auto"/>
                <w:sz w:val="18"/>
                <w:szCs w:val="18"/>
              </w:rPr>
            </w:pPr>
          </w:p>
        </w:tc>
        <w:tc>
          <w:tcPr>
            <w:tcW w:w="5984" w:type="dxa"/>
            <w:vAlign w:val="top"/>
          </w:tcPr>
          <w:p w14:paraId="00A3FEFD">
            <w:pPr>
              <w:pStyle w:val="96"/>
              <w:spacing w:before="32" w:line="250" w:lineRule="exact"/>
              <w:ind w:left="105" w:leftChars="0" w:right="-15" w:rightChars="0"/>
              <w:rPr>
                <w:rFonts w:hint="eastAsia" w:ascii="宋体" w:hAnsi="宋体" w:eastAsia="宋体" w:cs="宋体"/>
                <w:color w:val="auto"/>
                <w:sz w:val="18"/>
                <w:szCs w:val="18"/>
              </w:rPr>
            </w:pPr>
            <w:r>
              <w:rPr>
                <w:rFonts w:hint="eastAsia" w:ascii="宋体" w:hAnsi="宋体" w:eastAsia="宋体" w:cs="宋体"/>
                <w:color w:val="auto"/>
                <w:spacing w:val="-4"/>
                <w:sz w:val="18"/>
                <w:szCs w:val="18"/>
              </w:rPr>
              <w:t>原材料清洗加工按规定程序，出售饭菜无夹生，没有任何异物</w:t>
            </w:r>
          </w:p>
        </w:tc>
        <w:tc>
          <w:tcPr>
            <w:tcW w:w="617" w:type="dxa"/>
            <w:vAlign w:val="top"/>
          </w:tcPr>
          <w:p w14:paraId="7B8D2B30">
            <w:pPr>
              <w:spacing w:before="2" w:line="280" w:lineRule="exact"/>
              <w:ind w:right="237"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5</w:t>
            </w:r>
          </w:p>
        </w:tc>
        <w:tc>
          <w:tcPr>
            <w:tcW w:w="648" w:type="dxa"/>
          </w:tcPr>
          <w:p w14:paraId="1777F1D2">
            <w:pPr>
              <w:pStyle w:val="96"/>
              <w:rPr>
                <w:rFonts w:hint="eastAsia" w:ascii="宋体" w:hAnsi="宋体" w:eastAsia="宋体" w:cs="宋体"/>
                <w:color w:val="auto"/>
                <w:sz w:val="18"/>
                <w:szCs w:val="18"/>
              </w:rPr>
            </w:pPr>
          </w:p>
        </w:tc>
        <w:tc>
          <w:tcPr>
            <w:tcW w:w="725" w:type="dxa"/>
          </w:tcPr>
          <w:p w14:paraId="3C4145D6">
            <w:pPr>
              <w:pStyle w:val="96"/>
              <w:rPr>
                <w:rFonts w:hint="eastAsia" w:ascii="宋体" w:hAnsi="宋体" w:eastAsia="宋体" w:cs="宋体"/>
                <w:color w:val="auto"/>
                <w:sz w:val="18"/>
                <w:szCs w:val="18"/>
              </w:rPr>
            </w:pPr>
          </w:p>
        </w:tc>
        <w:tc>
          <w:tcPr>
            <w:tcW w:w="679" w:type="dxa"/>
          </w:tcPr>
          <w:p w14:paraId="68B4E0B5">
            <w:pPr>
              <w:pStyle w:val="96"/>
              <w:rPr>
                <w:rFonts w:hint="eastAsia" w:ascii="宋体" w:hAnsi="宋体" w:eastAsia="宋体" w:cs="宋体"/>
                <w:color w:val="auto"/>
                <w:sz w:val="18"/>
                <w:szCs w:val="18"/>
              </w:rPr>
            </w:pPr>
          </w:p>
        </w:tc>
      </w:tr>
    </w:tbl>
    <w:p w14:paraId="762C5974">
      <w:pPr>
        <w:spacing w:after="0"/>
        <w:rPr>
          <w:rFonts w:hint="eastAsia" w:ascii="宋体" w:hAnsi="宋体" w:eastAsia="宋体" w:cs="宋体"/>
          <w:color w:val="auto"/>
          <w:sz w:val="18"/>
          <w:szCs w:val="18"/>
        </w:rPr>
      </w:pPr>
    </w:p>
    <w:p w14:paraId="0C15D06A">
      <w:pPr>
        <w:tabs>
          <w:tab w:val="left" w:pos="7805"/>
          <w:tab w:val="left" w:pos="8405"/>
          <w:tab w:val="left" w:pos="9005"/>
        </w:tabs>
        <w:spacing w:before="0" w:after="12" w:line="306" w:lineRule="exact"/>
        <w:ind w:left="423" w:leftChars="0" w:right="0" w:hanging="423" w:hangingChars="235"/>
        <w:jc w:val="right"/>
        <w:rPr>
          <w:rFonts w:hint="eastAsia" w:ascii="宋体" w:hAnsi="宋体" w:eastAsia="宋体" w:cs="宋体"/>
          <w:color w:val="auto"/>
          <w:sz w:val="28"/>
          <w:szCs w:val="28"/>
        </w:rPr>
      </w:pP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24"/>
          <w:szCs w:val="24"/>
        </w:rPr>
        <w:t>检查时间：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5D7132D8">
      <w:pPr>
        <w:spacing w:after="0"/>
        <w:rPr>
          <w:rFonts w:hint="eastAsia" w:ascii="宋体" w:hAnsi="宋体" w:eastAsia="宋体" w:cs="宋体"/>
          <w:color w:val="auto"/>
          <w:sz w:val="18"/>
          <w:szCs w:val="18"/>
          <w:lang w:val="en-US" w:eastAsia="zh-CN"/>
        </w:rPr>
        <w:sectPr>
          <w:pgSz w:w="11910" w:h="16840"/>
          <w:pgMar w:top="1340" w:right="1470" w:bottom="1180" w:left="1400" w:header="877" w:footer="999" w:gutter="0"/>
          <w:cols w:space="720" w:num="1"/>
        </w:sectPr>
      </w:pPr>
    </w:p>
    <w:tbl>
      <w:tblPr>
        <w:tblStyle w:val="30"/>
        <w:tblpPr w:leftFromText="180" w:rightFromText="180" w:vertAnchor="text" w:horzAnchor="page" w:tblpX="1524" w:tblpY="301"/>
        <w:tblOverlap w:val="never"/>
        <w:tblW w:w="99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5984"/>
        <w:gridCol w:w="617"/>
        <w:gridCol w:w="648"/>
        <w:gridCol w:w="725"/>
        <w:gridCol w:w="679"/>
      </w:tblGrid>
      <w:tr w14:paraId="7327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1282" w:type="dxa"/>
            <w:vMerge w:val="restart"/>
            <w:tcBorders>
              <w:top w:val="nil"/>
            </w:tcBorders>
            <w:vAlign w:val="center"/>
          </w:tcPr>
          <w:p w14:paraId="2D109998">
            <w:pPr>
              <w:jc w:val="center"/>
              <w:rPr>
                <w:rFonts w:hint="eastAsia" w:ascii="宋体" w:hAnsi="宋体" w:eastAsia="宋体" w:cs="宋体"/>
                <w:color w:val="auto"/>
                <w:sz w:val="18"/>
                <w:szCs w:val="18"/>
              </w:rPr>
            </w:pPr>
          </w:p>
        </w:tc>
        <w:tc>
          <w:tcPr>
            <w:tcW w:w="5984" w:type="dxa"/>
          </w:tcPr>
          <w:p w14:paraId="31B352FA">
            <w:pPr>
              <w:pStyle w:val="96"/>
              <w:spacing w:before="29"/>
              <w:ind w:left="105"/>
              <w:rPr>
                <w:rFonts w:hint="eastAsia" w:ascii="宋体" w:hAnsi="宋体" w:eastAsia="宋体" w:cs="宋体"/>
                <w:color w:val="auto"/>
                <w:sz w:val="18"/>
                <w:szCs w:val="18"/>
              </w:rPr>
            </w:pPr>
            <w:r>
              <w:rPr>
                <w:rFonts w:hint="eastAsia" w:ascii="宋体" w:hAnsi="宋体" w:eastAsia="宋体" w:cs="宋体"/>
                <w:color w:val="auto"/>
                <w:spacing w:val="-10"/>
                <w:sz w:val="18"/>
                <w:szCs w:val="18"/>
              </w:rPr>
              <w:t>食品加工过程中原材料、 半成品、成品的加工、 存放没有交叉</w:t>
            </w:r>
            <w:r>
              <w:rPr>
                <w:rFonts w:hint="eastAsia" w:ascii="宋体" w:hAnsi="宋体" w:eastAsia="宋体" w:cs="宋体"/>
                <w:color w:val="auto"/>
                <w:sz w:val="18"/>
                <w:szCs w:val="18"/>
              </w:rPr>
              <w:t>污染现象</w:t>
            </w:r>
          </w:p>
        </w:tc>
        <w:tc>
          <w:tcPr>
            <w:tcW w:w="617" w:type="dxa"/>
          </w:tcPr>
          <w:p w14:paraId="375245F0">
            <w:pPr>
              <w:pStyle w:val="96"/>
              <w:spacing w:before="148"/>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48" w:type="dxa"/>
          </w:tcPr>
          <w:p w14:paraId="787065BD">
            <w:pPr>
              <w:pStyle w:val="96"/>
              <w:rPr>
                <w:rFonts w:hint="eastAsia" w:ascii="宋体" w:hAnsi="宋体" w:eastAsia="宋体" w:cs="宋体"/>
                <w:color w:val="auto"/>
                <w:sz w:val="18"/>
                <w:szCs w:val="18"/>
              </w:rPr>
            </w:pPr>
          </w:p>
        </w:tc>
        <w:tc>
          <w:tcPr>
            <w:tcW w:w="725" w:type="dxa"/>
          </w:tcPr>
          <w:p w14:paraId="12E633B3">
            <w:pPr>
              <w:pStyle w:val="96"/>
              <w:rPr>
                <w:rFonts w:hint="eastAsia" w:ascii="宋体" w:hAnsi="宋体" w:eastAsia="宋体" w:cs="宋体"/>
                <w:color w:val="auto"/>
                <w:sz w:val="18"/>
                <w:szCs w:val="18"/>
              </w:rPr>
            </w:pPr>
          </w:p>
        </w:tc>
        <w:tc>
          <w:tcPr>
            <w:tcW w:w="679" w:type="dxa"/>
          </w:tcPr>
          <w:p w14:paraId="1F363DCC">
            <w:pPr>
              <w:pStyle w:val="96"/>
              <w:rPr>
                <w:rFonts w:hint="eastAsia" w:ascii="宋体" w:hAnsi="宋体" w:eastAsia="宋体" w:cs="宋体"/>
                <w:color w:val="auto"/>
                <w:sz w:val="18"/>
                <w:szCs w:val="18"/>
              </w:rPr>
            </w:pPr>
          </w:p>
        </w:tc>
      </w:tr>
      <w:tr w14:paraId="0E17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36F9A31A">
            <w:pPr>
              <w:jc w:val="center"/>
              <w:rPr>
                <w:rFonts w:hint="eastAsia" w:ascii="宋体" w:hAnsi="宋体" w:eastAsia="宋体" w:cs="宋体"/>
                <w:color w:val="auto"/>
                <w:sz w:val="18"/>
                <w:szCs w:val="18"/>
              </w:rPr>
            </w:pPr>
          </w:p>
        </w:tc>
        <w:tc>
          <w:tcPr>
            <w:tcW w:w="5984" w:type="dxa"/>
          </w:tcPr>
          <w:p w14:paraId="681B90A7">
            <w:pPr>
              <w:pStyle w:val="96"/>
              <w:spacing w:before="29" w:line="266" w:lineRule="auto"/>
              <w:ind w:left="105" w:right="86"/>
              <w:rPr>
                <w:rFonts w:hint="eastAsia" w:ascii="宋体" w:hAnsi="宋体" w:eastAsia="宋体" w:cs="宋体"/>
                <w:color w:val="auto"/>
                <w:sz w:val="18"/>
                <w:szCs w:val="18"/>
              </w:rPr>
            </w:pPr>
            <w:r>
              <w:rPr>
                <w:rFonts w:hint="eastAsia" w:ascii="宋体" w:hAnsi="宋体" w:eastAsia="宋体" w:cs="宋体"/>
                <w:color w:val="auto"/>
                <w:sz w:val="18"/>
                <w:szCs w:val="18"/>
              </w:rPr>
              <w:t>蔬菜类食材要按“一择二洗三切”的顺序操作，彻底浸泡清洗干净，做到无泥沙、无杂草、无烂叶;待炒的蔬菜中没有枯叶、霉斑、虫蛀腐烂等现象</w:t>
            </w:r>
          </w:p>
        </w:tc>
        <w:tc>
          <w:tcPr>
            <w:tcW w:w="617" w:type="dxa"/>
          </w:tcPr>
          <w:p w14:paraId="31C79106">
            <w:pPr>
              <w:pStyle w:val="96"/>
              <w:rPr>
                <w:rFonts w:hint="eastAsia" w:ascii="宋体" w:hAnsi="宋体" w:eastAsia="宋体" w:cs="宋体"/>
                <w:color w:val="auto"/>
                <w:sz w:val="18"/>
                <w:szCs w:val="18"/>
              </w:rPr>
            </w:pPr>
          </w:p>
          <w:p w14:paraId="6CCD16F4">
            <w:pPr>
              <w:pStyle w:val="96"/>
              <w:spacing w:before="1"/>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75ABD900">
            <w:pPr>
              <w:pStyle w:val="96"/>
              <w:rPr>
                <w:rFonts w:hint="eastAsia" w:ascii="宋体" w:hAnsi="宋体" w:eastAsia="宋体" w:cs="宋体"/>
                <w:color w:val="auto"/>
                <w:sz w:val="18"/>
                <w:szCs w:val="18"/>
              </w:rPr>
            </w:pPr>
          </w:p>
        </w:tc>
        <w:tc>
          <w:tcPr>
            <w:tcW w:w="725" w:type="dxa"/>
          </w:tcPr>
          <w:p w14:paraId="628B041A">
            <w:pPr>
              <w:pStyle w:val="96"/>
              <w:rPr>
                <w:rFonts w:hint="eastAsia" w:ascii="宋体" w:hAnsi="宋体" w:eastAsia="宋体" w:cs="宋体"/>
                <w:color w:val="auto"/>
                <w:sz w:val="18"/>
                <w:szCs w:val="18"/>
              </w:rPr>
            </w:pPr>
          </w:p>
        </w:tc>
        <w:tc>
          <w:tcPr>
            <w:tcW w:w="679" w:type="dxa"/>
          </w:tcPr>
          <w:p w14:paraId="62B6B162">
            <w:pPr>
              <w:pStyle w:val="96"/>
              <w:rPr>
                <w:rFonts w:hint="eastAsia" w:ascii="宋体" w:hAnsi="宋体" w:eastAsia="宋体" w:cs="宋体"/>
                <w:color w:val="auto"/>
                <w:sz w:val="18"/>
                <w:szCs w:val="18"/>
              </w:rPr>
            </w:pPr>
          </w:p>
        </w:tc>
      </w:tr>
      <w:tr w14:paraId="692FE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6E9C82FB">
            <w:pPr>
              <w:jc w:val="center"/>
              <w:rPr>
                <w:rFonts w:hint="eastAsia" w:ascii="宋体" w:hAnsi="宋体" w:eastAsia="宋体" w:cs="宋体"/>
                <w:color w:val="auto"/>
                <w:sz w:val="18"/>
                <w:szCs w:val="18"/>
              </w:rPr>
            </w:pPr>
          </w:p>
        </w:tc>
        <w:tc>
          <w:tcPr>
            <w:tcW w:w="5984" w:type="dxa"/>
          </w:tcPr>
          <w:p w14:paraId="2DEE5EB3">
            <w:pPr>
              <w:pStyle w:val="96"/>
              <w:spacing w:before="29" w:line="250" w:lineRule="exact"/>
              <w:ind w:left="105" w:right="-15"/>
              <w:rPr>
                <w:rFonts w:hint="eastAsia" w:ascii="宋体" w:hAnsi="宋体" w:eastAsia="宋体" w:cs="宋体"/>
                <w:color w:val="auto"/>
                <w:sz w:val="18"/>
                <w:szCs w:val="18"/>
              </w:rPr>
            </w:pPr>
            <w:r>
              <w:rPr>
                <w:rFonts w:hint="eastAsia" w:ascii="宋体" w:hAnsi="宋体" w:eastAsia="宋体" w:cs="宋体"/>
                <w:color w:val="auto"/>
                <w:spacing w:val="-4"/>
                <w:sz w:val="18"/>
                <w:szCs w:val="18"/>
              </w:rPr>
              <w:t>原料储存不能出现虫咬、变质，更不能使用变质物品加工食品</w:t>
            </w:r>
          </w:p>
        </w:tc>
        <w:tc>
          <w:tcPr>
            <w:tcW w:w="617" w:type="dxa"/>
          </w:tcPr>
          <w:p w14:paraId="50D32A5B">
            <w:pPr>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48" w:type="dxa"/>
          </w:tcPr>
          <w:p w14:paraId="77171F85">
            <w:pPr>
              <w:pStyle w:val="96"/>
              <w:rPr>
                <w:rFonts w:hint="eastAsia" w:ascii="宋体" w:hAnsi="宋体" w:eastAsia="宋体" w:cs="宋体"/>
                <w:color w:val="auto"/>
                <w:sz w:val="18"/>
                <w:szCs w:val="18"/>
              </w:rPr>
            </w:pPr>
          </w:p>
        </w:tc>
        <w:tc>
          <w:tcPr>
            <w:tcW w:w="725" w:type="dxa"/>
          </w:tcPr>
          <w:p w14:paraId="6A3DA53C">
            <w:pPr>
              <w:pStyle w:val="96"/>
              <w:rPr>
                <w:rFonts w:hint="eastAsia" w:ascii="宋体" w:hAnsi="宋体" w:eastAsia="宋体" w:cs="宋体"/>
                <w:color w:val="auto"/>
                <w:sz w:val="18"/>
                <w:szCs w:val="18"/>
              </w:rPr>
            </w:pPr>
          </w:p>
        </w:tc>
        <w:tc>
          <w:tcPr>
            <w:tcW w:w="679" w:type="dxa"/>
          </w:tcPr>
          <w:p w14:paraId="471AAC8E">
            <w:pPr>
              <w:pStyle w:val="96"/>
              <w:rPr>
                <w:rFonts w:hint="eastAsia" w:ascii="宋体" w:hAnsi="宋体" w:eastAsia="宋体" w:cs="宋体"/>
                <w:color w:val="auto"/>
                <w:sz w:val="18"/>
                <w:szCs w:val="18"/>
              </w:rPr>
            </w:pPr>
          </w:p>
        </w:tc>
      </w:tr>
      <w:tr w14:paraId="55CF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6D08A501">
            <w:pPr>
              <w:jc w:val="center"/>
              <w:rPr>
                <w:rFonts w:hint="eastAsia" w:ascii="宋体" w:hAnsi="宋体" w:eastAsia="宋体" w:cs="宋体"/>
                <w:color w:val="auto"/>
                <w:sz w:val="18"/>
                <w:szCs w:val="18"/>
              </w:rPr>
            </w:pPr>
          </w:p>
        </w:tc>
        <w:tc>
          <w:tcPr>
            <w:tcW w:w="5984" w:type="dxa"/>
          </w:tcPr>
          <w:p w14:paraId="72B9E876">
            <w:pPr>
              <w:pStyle w:val="96"/>
              <w:spacing w:before="29"/>
              <w:ind w:left="105"/>
              <w:rPr>
                <w:rFonts w:hint="eastAsia" w:ascii="宋体" w:hAnsi="宋体" w:eastAsia="宋体" w:cs="宋体"/>
                <w:color w:val="auto"/>
                <w:sz w:val="18"/>
                <w:szCs w:val="18"/>
              </w:rPr>
            </w:pPr>
            <w:r>
              <w:rPr>
                <w:rFonts w:hint="eastAsia" w:ascii="宋体" w:hAnsi="宋体" w:eastAsia="宋体" w:cs="宋体"/>
                <w:color w:val="auto"/>
                <w:sz w:val="18"/>
                <w:szCs w:val="18"/>
              </w:rPr>
              <w:t>未加工、供应超过保质期、腐败变质或其他不符合卫生要求的食品</w:t>
            </w:r>
          </w:p>
        </w:tc>
        <w:tc>
          <w:tcPr>
            <w:tcW w:w="617" w:type="dxa"/>
          </w:tcPr>
          <w:p w14:paraId="2BB3B715">
            <w:pPr>
              <w:spacing w:before="151"/>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648" w:type="dxa"/>
          </w:tcPr>
          <w:p w14:paraId="7DB60ED4">
            <w:pPr>
              <w:pStyle w:val="96"/>
              <w:rPr>
                <w:rFonts w:hint="eastAsia" w:ascii="宋体" w:hAnsi="宋体" w:eastAsia="宋体" w:cs="宋体"/>
                <w:color w:val="auto"/>
                <w:sz w:val="18"/>
                <w:szCs w:val="18"/>
              </w:rPr>
            </w:pPr>
          </w:p>
        </w:tc>
        <w:tc>
          <w:tcPr>
            <w:tcW w:w="725" w:type="dxa"/>
          </w:tcPr>
          <w:p w14:paraId="614AD4BB">
            <w:pPr>
              <w:pStyle w:val="96"/>
              <w:rPr>
                <w:rFonts w:hint="eastAsia" w:ascii="宋体" w:hAnsi="宋体" w:eastAsia="宋体" w:cs="宋体"/>
                <w:color w:val="auto"/>
                <w:sz w:val="18"/>
                <w:szCs w:val="18"/>
              </w:rPr>
            </w:pPr>
          </w:p>
        </w:tc>
        <w:tc>
          <w:tcPr>
            <w:tcW w:w="679" w:type="dxa"/>
          </w:tcPr>
          <w:p w14:paraId="20254E1D">
            <w:pPr>
              <w:pStyle w:val="96"/>
              <w:rPr>
                <w:rFonts w:hint="eastAsia" w:ascii="宋体" w:hAnsi="宋体" w:eastAsia="宋体" w:cs="宋体"/>
                <w:color w:val="auto"/>
                <w:sz w:val="18"/>
                <w:szCs w:val="18"/>
              </w:rPr>
            </w:pPr>
          </w:p>
        </w:tc>
      </w:tr>
      <w:tr w14:paraId="432C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682C242F">
            <w:pPr>
              <w:jc w:val="center"/>
              <w:rPr>
                <w:rFonts w:hint="eastAsia" w:ascii="宋体" w:hAnsi="宋体" w:eastAsia="宋体" w:cs="宋体"/>
                <w:color w:val="auto"/>
                <w:sz w:val="18"/>
                <w:szCs w:val="18"/>
              </w:rPr>
            </w:pPr>
          </w:p>
        </w:tc>
        <w:tc>
          <w:tcPr>
            <w:tcW w:w="5984" w:type="dxa"/>
          </w:tcPr>
          <w:p w14:paraId="7DF82D4F">
            <w:pPr>
              <w:pStyle w:val="96"/>
              <w:spacing w:before="1" w:line="300" w:lineRule="atLeast"/>
              <w:ind w:left="105" w:right="101"/>
              <w:rPr>
                <w:rFonts w:hint="eastAsia" w:ascii="宋体" w:hAnsi="宋体" w:eastAsia="宋体" w:cs="宋体"/>
                <w:color w:val="auto"/>
                <w:sz w:val="18"/>
                <w:szCs w:val="18"/>
              </w:rPr>
            </w:pPr>
            <w:r>
              <w:rPr>
                <w:rFonts w:hint="eastAsia" w:ascii="宋体" w:hAnsi="宋体" w:eastAsia="宋体" w:cs="宋体"/>
                <w:color w:val="auto"/>
                <w:sz w:val="18"/>
                <w:szCs w:val="18"/>
              </w:rPr>
              <w:t>后厨从业人员品尝菜肴使用专用工具，不用炒莱勺或直接用手拿取. 保洁柜内不存放个人餐具、水杯等物品</w:t>
            </w:r>
          </w:p>
        </w:tc>
        <w:tc>
          <w:tcPr>
            <w:tcW w:w="617" w:type="dxa"/>
          </w:tcPr>
          <w:p w14:paraId="459166E8">
            <w:pPr>
              <w:spacing w:before="151"/>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648" w:type="dxa"/>
          </w:tcPr>
          <w:p w14:paraId="2CDC5C11">
            <w:pPr>
              <w:pStyle w:val="96"/>
              <w:rPr>
                <w:rFonts w:hint="eastAsia" w:ascii="宋体" w:hAnsi="宋体" w:eastAsia="宋体" w:cs="宋体"/>
                <w:color w:val="auto"/>
                <w:sz w:val="18"/>
                <w:szCs w:val="18"/>
              </w:rPr>
            </w:pPr>
          </w:p>
        </w:tc>
        <w:tc>
          <w:tcPr>
            <w:tcW w:w="725" w:type="dxa"/>
          </w:tcPr>
          <w:p w14:paraId="6ACC2E8E">
            <w:pPr>
              <w:pStyle w:val="96"/>
              <w:rPr>
                <w:rFonts w:hint="eastAsia" w:ascii="宋体" w:hAnsi="宋体" w:eastAsia="宋体" w:cs="宋体"/>
                <w:color w:val="auto"/>
                <w:sz w:val="18"/>
                <w:szCs w:val="18"/>
              </w:rPr>
            </w:pPr>
          </w:p>
        </w:tc>
        <w:tc>
          <w:tcPr>
            <w:tcW w:w="679" w:type="dxa"/>
          </w:tcPr>
          <w:p w14:paraId="56441223">
            <w:pPr>
              <w:pStyle w:val="96"/>
              <w:rPr>
                <w:rFonts w:hint="eastAsia" w:ascii="宋体" w:hAnsi="宋体" w:eastAsia="宋体" w:cs="宋体"/>
                <w:color w:val="auto"/>
                <w:sz w:val="18"/>
                <w:szCs w:val="18"/>
              </w:rPr>
            </w:pPr>
          </w:p>
        </w:tc>
      </w:tr>
      <w:tr w14:paraId="2A2E9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2AB139E2">
            <w:pPr>
              <w:jc w:val="center"/>
              <w:rPr>
                <w:rFonts w:hint="eastAsia" w:ascii="宋体" w:hAnsi="宋体" w:eastAsia="宋体" w:cs="宋体"/>
                <w:color w:val="auto"/>
                <w:sz w:val="18"/>
                <w:szCs w:val="18"/>
              </w:rPr>
            </w:pPr>
          </w:p>
        </w:tc>
        <w:tc>
          <w:tcPr>
            <w:tcW w:w="5984" w:type="dxa"/>
          </w:tcPr>
          <w:p w14:paraId="30A0EC07">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食品留样种类齐全，每份份量不少于 100 克</w:t>
            </w:r>
          </w:p>
        </w:tc>
        <w:tc>
          <w:tcPr>
            <w:tcW w:w="617" w:type="dxa"/>
          </w:tcPr>
          <w:p w14:paraId="299325E6">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6115B8C4">
            <w:pPr>
              <w:pStyle w:val="96"/>
              <w:rPr>
                <w:rFonts w:hint="eastAsia" w:ascii="宋体" w:hAnsi="宋体" w:eastAsia="宋体" w:cs="宋体"/>
                <w:color w:val="auto"/>
                <w:sz w:val="18"/>
                <w:szCs w:val="18"/>
              </w:rPr>
            </w:pPr>
          </w:p>
        </w:tc>
        <w:tc>
          <w:tcPr>
            <w:tcW w:w="725" w:type="dxa"/>
          </w:tcPr>
          <w:p w14:paraId="23740156">
            <w:pPr>
              <w:pStyle w:val="96"/>
              <w:rPr>
                <w:rFonts w:hint="eastAsia" w:ascii="宋体" w:hAnsi="宋体" w:eastAsia="宋体" w:cs="宋体"/>
                <w:color w:val="auto"/>
                <w:sz w:val="18"/>
                <w:szCs w:val="18"/>
              </w:rPr>
            </w:pPr>
          </w:p>
        </w:tc>
        <w:tc>
          <w:tcPr>
            <w:tcW w:w="679" w:type="dxa"/>
          </w:tcPr>
          <w:p w14:paraId="30A76A68">
            <w:pPr>
              <w:pStyle w:val="96"/>
              <w:rPr>
                <w:rFonts w:hint="eastAsia" w:ascii="宋体" w:hAnsi="宋体" w:eastAsia="宋体" w:cs="宋体"/>
                <w:color w:val="auto"/>
                <w:sz w:val="18"/>
                <w:szCs w:val="18"/>
              </w:rPr>
            </w:pPr>
          </w:p>
        </w:tc>
      </w:tr>
      <w:tr w14:paraId="0C5D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1371FECD">
            <w:pPr>
              <w:jc w:val="center"/>
              <w:rPr>
                <w:rFonts w:hint="eastAsia" w:ascii="宋体" w:hAnsi="宋体" w:eastAsia="宋体" w:cs="宋体"/>
                <w:color w:val="auto"/>
                <w:sz w:val="18"/>
                <w:szCs w:val="18"/>
              </w:rPr>
            </w:pPr>
          </w:p>
        </w:tc>
        <w:tc>
          <w:tcPr>
            <w:tcW w:w="5984" w:type="dxa"/>
          </w:tcPr>
          <w:p w14:paraId="523C0DF3">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在冷藏条件下存放 48 小时，严格按规定要求销毁</w:t>
            </w:r>
          </w:p>
        </w:tc>
        <w:tc>
          <w:tcPr>
            <w:tcW w:w="617" w:type="dxa"/>
          </w:tcPr>
          <w:p w14:paraId="1007A5E5">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006031E9">
            <w:pPr>
              <w:pStyle w:val="96"/>
              <w:rPr>
                <w:rFonts w:hint="eastAsia" w:ascii="宋体" w:hAnsi="宋体" w:eastAsia="宋体" w:cs="宋体"/>
                <w:color w:val="auto"/>
                <w:sz w:val="18"/>
                <w:szCs w:val="18"/>
              </w:rPr>
            </w:pPr>
          </w:p>
        </w:tc>
        <w:tc>
          <w:tcPr>
            <w:tcW w:w="725" w:type="dxa"/>
          </w:tcPr>
          <w:p w14:paraId="0098850E">
            <w:pPr>
              <w:pStyle w:val="96"/>
              <w:rPr>
                <w:rFonts w:hint="eastAsia" w:ascii="宋体" w:hAnsi="宋体" w:eastAsia="宋体" w:cs="宋体"/>
                <w:color w:val="auto"/>
                <w:sz w:val="18"/>
                <w:szCs w:val="18"/>
              </w:rPr>
            </w:pPr>
          </w:p>
        </w:tc>
        <w:tc>
          <w:tcPr>
            <w:tcW w:w="679" w:type="dxa"/>
          </w:tcPr>
          <w:p w14:paraId="5F61C9EE">
            <w:pPr>
              <w:pStyle w:val="96"/>
              <w:rPr>
                <w:rFonts w:hint="eastAsia" w:ascii="宋体" w:hAnsi="宋体" w:eastAsia="宋体" w:cs="宋体"/>
                <w:color w:val="auto"/>
                <w:sz w:val="18"/>
                <w:szCs w:val="18"/>
              </w:rPr>
            </w:pPr>
          </w:p>
        </w:tc>
      </w:tr>
      <w:tr w14:paraId="12E6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restart"/>
            <w:vAlign w:val="center"/>
          </w:tcPr>
          <w:p w14:paraId="4DA7361B">
            <w:pPr>
              <w:pStyle w:val="96"/>
              <w:spacing w:line="235" w:lineRule="auto"/>
              <w:ind w:right="391"/>
              <w:jc w:val="right"/>
              <w:rPr>
                <w:rFonts w:hint="eastAsia" w:ascii="宋体" w:hAnsi="宋体" w:eastAsia="宋体" w:cs="宋体"/>
                <w:color w:val="auto"/>
                <w:sz w:val="18"/>
                <w:szCs w:val="18"/>
              </w:rPr>
            </w:pPr>
            <w:r>
              <w:rPr>
                <w:rFonts w:hint="eastAsia" w:ascii="宋体" w:hAnsi="宋体" w:eastAsia="宋体" w:cs="宋体"/>
                <w:color w:val="auto"/>
                <w:sz w:val="18"/>
                <w:szCs w:val="18"/>
              </w:rPr>
              <w:t>员工管理</w:t>
            </w:r>
          </w:p>
          <w:p w14:paraId="435361AC">
            <w:pPr>
              <w:pStyle w:val="96"/>
              <w:spacing w:line="300" w:lineRule="exact"/>
              <w:ind w:right="3" w:firstLine="180" w:firstLineChars="100"/>
              <w:jc w:val="both"/>
              <w:rPr>
                <w:rFonts w:hint="eastAsia" w:ascii="宋体" w:hAnsi="宋体" w:eastAsia="宋体" w:cs="宋体"/>
                <w:color w:val="auto"/>
                <w:sz w:val="18"/>
                <w:szCs w:val="18"/>
              </w:rPr>
            </w:pPr>
            <w:r>
              <w:rPr>
                <w:rFonts w:hint="eastAsia" w:ascii="宋体" w:hAnsi="宋体" w:eastAsia="宋体" w:cs="宋体"/>
                <w:color w:val="auto"/>
                <w:sz w:val="18"/>
                <w:szCs w:val="18"/>
              </w:rPr>
              <w:t>（9）分</w:t>
            </w:r>
          </w:p>
        </w:tc>
        <w:tc>
          <w:tcPr>
            <w:tcW w:w="5984" w:type="dxa"/>
          </w:tcPr>
          <w:p w14:paraId="4C004519">
            <w:pPr>
              <w:pStyle w:val="96"/>
              <w:spacing w:before="29"/>
              <w:ind w:left="105" w:right="-15"/>
              <w:rPr>
                <w:rFonts w:hint="eastAsia" w:ascii="宋体" w:hAnsi="宋体" w:eastAsia="宋体" w:cs="宋体"/>
                <w:color w:val="auto"/>
                <w:sz w:val="18"/>
                <w:szCs w:val="18"/>
              </w:rPr>
            </w:pPr>
            <w:r>
              <w:rPr>
                <w:rFonts w:hint="eastAsia" w:ascii="宋体" w:hAnsi="宋体" w:eastAsia="宋体" w:cs="宋体"/>
                <w:color w:val="auto"/>
                <w:spacing w:val="-5"/>
                <w:sz w:val="18"/>
                <w:szCs w:val="18"/>
              </w:rPr>
              <w:t>上岗期间按规定着装，不佩戴首饰，不涂染指甲，不披散头发，</w:t>
            </w:r>
            <w:r>
              <w:rPr>
                <w:rFonts w:hint="eastAsia" w:ascii="宋体" w:hAnsi="宋体" w:eastAsia="宋体" w:cs="宋体"/>
                <w:color w:val="auto"/>
                <w:sz w:val="18"/>
                <w:szCs w:val="18"/>
              </w:rPr>
              <w:t>工作服干净、无污渍</w:t>
            </w:r>
          </w:p>
        </w:tc>
        <w:tc>
          <w:tcPr>
            <w:tcW w:w="617" w:type="dxa"/>
          </w:tcPr>
          <w:p w14:paraId="591E0422">
            <w:pPr>
              <w:pStyle w:val="96"/>
              <w:spacing w:before="151"/>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3783504B">
            <w:pPr>
              <w:pStyle w:val="96"/>
              <w:rPr>
                <w:rFonts w:hint="eastAsia" w:ascii="宋体" w:hAnsi="宋体" w:eastAsia="宋体" w:cs="宋体"/>
                <w:color w:val="auto"/>
                <w:sz w:val="18"/>
                <w:szCs w:val="18"/>
              </w:rPr>
            </w:pPr>
          </w:p>
        </w:tc>
        <w:tc>
          <w:tcPr>
            <w:tcW w:w="725" w:type="dxa"/>
          </w:tcPr>
          <w:p w14:paraId="45A30468">
            <w:pPr>
              <w:pStyle w:val="96"/>
              <w:rPr>
                <w:rFonts w:hint="eastAsia" w:ascii="宋体" w:hAnsi="宋体" w:eastAsia="宋体" w:cs="宋体"/>
                <w:color w:val="auto"/>
                <w:sz w:val="18"/>
                <w:szCs w:val="18"/>
              </w:rPr>
            </w:pPr>
          </w:p>
        </w:tc>
        <w:tc>
          <w:tcPr>
            <w:tcW w:w="679" w:type="dxa"/>
          </w:tcPr>
          <w:p w14:paraId="2BBF135D">
            <w:pPr>
              <w:pStyle w:val="96"/>
              <w:rPr>
                <w:rFonts w:hint="eastAsia" w:ascii="宋体" w:hAnsi="宋体" w:eastAsia="宋体" w:cs="宋体"/>
                <w:color w:val="auto"/>
                <w:sz w:val="18"/>
                <w:szCs w:val="18"/>
              </w:rPr>
            </w:pPr>
          </w:p>
        </w:tc>
      </w:tr>
      <w:tr w14:paraId="00F7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55310B3B">
            <w:pPr>
              <w:jc w:val="center"/>
              <w:rPr>
                <w:rFonts w:hint="eastAsia" w:ascii="宋体" w:hAnsi="宋体" w:eastAsia="宋体" w:cs="宋体"/>
                <w:color w:val="auto"/>
                <w:sz w:val="18"/>
                <w:szCs w:val="18"/>
              </w:rPr>
            </w:pPr>
          </w:p>
        </w:tc>
        <w:tc>
          <w:tcPr>
            <w:tcW w:w="5984" w:type="dxa"/>
          </w:tcPr>
          <w:p w14:paraId="488E175B">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操作前接触不洁物后能做到勤洗手，上卫生间前更换工作服</w:t>
            </w:r>
          </w:p>
        </w:tc>
        <w:tc>
          <w:tcPr>
            <w:tcW w:w="617" w:type="dxa"/>
          </w:tcPr>
          <w:p w14:paraId="68989F8D">
            <w:pPr>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44ADBBF8">
            <w:pPr>
              <w:pStyle w:val="96"/>
              <w:rPr>
                <w:rFonts w:hint="eastAsia" w:ascii="宋体" w:hAnsi="宋体" w:eastAsia="宋体" w:cs="宋体"/>
                <w:color w:val="auto"/>
                <w:sz w:val="18"/>
                <w:szCs w:val="18"/>
              </w:rPr>
            </w:pPr>
          </w:p>
        </w:tc>
        <w:tc>
          <w:tcPr>
            <w:tcW w:w="725" w:type="dxa"/>
          </w:tcPr>
          <w:p w14:paraId="4121DD95">
            <w:pPr>
              <w:pStyle w:val="96"/>
              <w:rPr>
                <w:rFonts w:hint="eastAsia" w:ascii="宋体" w:hAnsi="宋体" w:eastAsia="宋体" w:cs="宋体"/>
                <w:color w:val="auto"/>
                <w:sz w:val="18"/>
                <w:szCs w:val="18"/>
              </w:rPr>
            </w:pPr>
          </w:p>
        </w:tc>
        <w:tc>
          <w:tcPr>
            <w:tcW w:w="679" w:type="dxa"/>
          </w:tcPr>
          <w:p w14:paraId="5491E9E8">
            <w:pPr>
              <w:pStyle w:val="96"/>
              <w:rPr>
                <w:rFonts w:hint="eastAsia" w:ascii="宋体" w:hAnsi="宋体" w:eastAsia="宋体" w:cs="宋体"/>
                <w:color w:val="auto"/>
                <w:sz w:val="18"/>
                <w:szCs w:val="18"/>
              </w:rPr>
            </w:pPr>
          </w:p>
        </w:tc>
      </w:tr>
      <w:tr w14:paraId="0BFD6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82" w:type="dxa"/>
            <w:vMerge w:val="continue"/>
            <w:tcBorders>
              <w:top w:val="nil"/>
            </w:tcBorders>
            <w:vAlign w:val="center"/>
          </w:tcPr>
          <w:p w14:paraId="5E375E77">
            <w:pPr>
              <w:jc w:val="center"/>
              <w:rPr>
                <w:rFonts w:hint="eastAsia" w:ascii="宋体" w:hAnsi="宋体" w:eastAsia="宋体" w:cs="宋体"/>
                <w:color w:val="auto"/>
                <w:sz w:val="18"/>
                <w:szCs w:val="18"/>
              </w:rPr>
            </w:pPr>
          </w:p>
        </w:tc>
        <w:tc>
          <w:tcPr>
            <w:tcW w:w="5984" w:type="dxa"/>
          </w:tcPr>
          <w:p w14:paraId="283E3227">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食堂工作人员坚持洗、消制度，不能出现“三长”现象</w:t>
            </w:r>
          </w:p>
        </w:tc>
        <w:tc>
          <w:tcPr>
            <w:tcW w:w="617" w:type="dxa"/>
          </w:tcPr>
          <w:p w14:paraId="38077FAA">
            <w:pPr>
              <w:spacing w:before="2"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5AC4ADBF">
            <w:pPr>
              <w:pStyle w:val="96"/>
              <w:rPr>
                <w:rFonts w:hint="eastAsia" w:ascii="宋体" w:hAnsi="宋体" w:eastAsia="宋体" w:cs="宋体"/>
                <w:color w:val="auto"/>
                <w:sz w:val="18"/>
                <w:szCs w:val="18"/>
              </w:rPr>
            </w:pPr>
          </w:p>
        </w:tc>
        <w:tc>
          <w:tcPr>
            <w:tcW w:w="725" w:type="dxa"/>
          </w:tcPr>
          <w:p w14:paraId="131F8B5A">
            <w:pPr>
              <w:pStyle w:val="96"/>
              <w:rPr>
                <w:rFonts w:hint="eastAsia" w:ascii="宋体" w:hAnsi="宋体" w:eastAsia="宋体" w:cs="宋体"/>
                <w:color w:val="auto"/>
                <w:sz w:val="18"/>
                <w:szCs w:val="18"/>
              </w:rPr>
            </w:pPr>
          </w:p>
        </w:tc>
        <w:tc>
          <w:tcPr>
            <w:tcW w:w="679" w:type="dxa"/>
          </w:tcPr>
          <w:p w14:paraId="43F24A06">
            <w:pPr>
              <w:pStyle w:val="96"/>
              <w:rPr>
                <w:rFonts w:hint="eastAsia" w:ascii="宋体" w:hAnsi="宋体" w:eastAsia="宋体" w:cs="宋体"/>
                <w:color w:val="auto"/>
                <w:sz w:val="18"/>
                <w:szCs w:val="18"/>
              </w:rPr>
            </w:pPr>
          </w:p>
        </w:tc>
      </w:tr>
      <w:tr w14:paraId="3BB1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82" w:type="dxa"/>
            <w:vMerge w:val="continue"/>
            <w:tcBorders>
              <w:top w:val="nil"/>
            </w:tcBorders>
            <w:vAlign w:val="center"/>
          </w:tcPr>
          <w:p w14:paraId="72455BE5">
            <w:pPr>
              <w:jc w:val="center"/>
              <w:rPr>
                <w:rFonts w:hint="eastAsia" w:ascii="宋体" w:hAnsi="宋体" w:eastAsia="宋体" w:cs="宋体"/>
                <w:color w:val="auto"/>
                <w:sz w:val="18"/>
                <w:szCs w:val="18"/>
              </w:rPr>
            </w:pPr>
          </w:p>
        </w:tc>
        <w:tc>
          <w:tcPr>
            <w:tcW w:w="5984" w:type="dxa"/>
          </w:tcPr>
          <w:p w14:paraId="5DE8CF25">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所有食堂工作人员须持健康证上岗，并每年一次体检。</w:t>
            </w:r>
          </w:p>
        </w:tc>
        <w:tc>
          <w:tcPr>
            <w:tcW w:w="617" w:type="dxa"/>
          </w:tcPr>
          <w:p w14:paraId="71DE1981">
            <w:pPr>
              <w:spacing w:line="280" w:lineRule="exact"/>
              <w:ind w:right="177"/>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648" w:type="dxa"/>
          </w:tcPr>
          <w:p w14:paraId="09CA6850">
            <w:pPr>
              <w:pStyle w:val="96"/>
              <w:rPr>
                <w:rFonts w:hint="eastAsia" w:ascii="宋体" w:hAnsi="宋体" w:eastAsia="宋体" w:cs="宋体"/>
                <w:color w:val="auto"/>
                <w:sz w:val="18"/>
                <w:szCs w:val="18"/>
              </w:rPr>
            </w:pPr>
          </w:p>
        </w:tc>
        <w:tc>
          <w:tcPr>
            <w:tcW w:w="725" w:type="dxa"/>
          </w:tcPr>
          <w:p w14:paraId="5370AB50">
            <w:pPr>
              <w:pStyle w:val="96"/>
              <w:rPr>
                <w:rFonts w:hint="eastAsia" w:ascii="宋体" w:hAnsi="宋体" w:eastAsia="宋体" w:cs="宋体"/>
                <w:color w:val="auto"/>
                <w:sz w:val="18"/>
                <w:szCs w:val="18"/>
              </w:rPr>
            </w:pPr>
          </w:p>
        </w:tc>
        <w:tc>
          <w:tcPr>
            <w:tcW w:w="679" w:type="dxa"/>
          </w:tcPr>
          <w:p w14:paraId="482700C0">
            <w:pPr>
              <w:pStyle w:val="96"/>
              <w:rPr>
                <w:rFonts w:hint="eastAsia" w:ascii="宋体" w:hAnsi="宋体" w:eastAsia="宋体" w:cs="宋体"/>
                <w:color w:val="auto"/>
                <w:sz w:val="18"/>
                <w:szCs w:val="18"/>
              </w:rPr>
            </w:pPr>
          </w:p>
        </w:tc>
      </w:tr>
      <w:tr w14:paraId="2B3B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038C285B">
            <w:pPr>
              <w:jc w:val="center"/>
              <w:rPr>
                <w:rFonts w:hint="eastAsia" w:ascii="宋体" w:hAnsi="宋体" w:eastAsia="宋体" w:cs="宋体"/>
                <w:color w:val="auto"/>
                <w:sz w:val="18"/>
                <w:szCs w:val="18"/>
              </w:rPr>
            </w:pPr>
          </w:p>
        </w:tc>
        <w:tc>
          <w:tcPr>
            <w:tcW w:w="5984" w:type="dxa"/>
          </w:tcPr>
          <w:p w14:paraId="67903642">
            <w:pPr>
              <w:pStyle w:val="96"/>
              <w:spacing w:before="29"/>
              <w:ind w:left="105"/>
              <w:rPr>
                <w:rFonts w:hint="eastAsia" w:ascii="宋体" w:hAnsi="宋体" w:eastAsia="宋体" w:cs="宋体"/>
                <w:color w:val="auto"/>
                <w:sz w:val="18"/>
                <w:szCs w:val="18"/>
              </w:rPr>
            </w:pPr>
            <w:r>
              <w:rPr>
                <w:rFonts w:hint="eastAsia" w:ascii="宋体" w:hAnsi="宋体" w:eastAsia="宋体" w:cs="宋体"/>
                <w:color w:val="auto"/>
                <w:sz w:val="18"/>
                <w:szCs w:val="18"/>
              </w:rPr>
              <w:t>操作间工作人员佩戴帽子、口罩、一次性手套，使用食品夹或筷子夹取食物</w:t>
            </w:r>
          </w:p>
        </w:tc>
        <w:tc>
          <w:tcPr>
            <w:tcW w:w="617" w:type="dxa"/>
          </w:tcPr>
          <w:p w14:paraId="4E56E0A9">
            <w:pPr>
              <w:spacing w:before="148"/>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62216165">
            <w:pPr>
              <w:pStyle w:val="96"/>
              <w:rPr>
                <w:rFonts w:hint="eastAsia" w:ascii="宋体" w:hAnsi="宋体" w:eastAsia="宋体" w:cs="宋体"/>
                <w:color w:val="auto"/>
                <w:sz w:val="18"/>
                <w:szCs w:val="18"/>
              </w:rPr>
            </w:pPr>
          </w:p>
        </w:tc>
        <w:tc>
          <w:tcPr>
            <w:tcW w:w="725" w:type="dxa"/>
          </w:tcPr>
          <w:p w14:paraId="20941918">
            <w:pPr>
              <w:pStyle w:val="96"/>
              <w:rPr>
                <w:rFonts w:hint="eastAsia" w:ascii="宋体" w:hAnsi="宋体" w:eastAsia="宋体" w:cs="宋体"/>
                <w:color w:val="auto"/>
                <w:sz w:val="18"/>
                <w:szCs w:val="18"/>
              </w:rPr>
            </w:pPr>
          </w:p>
        </w:tc>
        <w:tc>
          <w:tcPr>
            <w:tcW w:w="679" w:type="dxa"/>
          </w:tcPr>
          <w:p w14:paraId="41CE5380">
            <w:pPr>
              <w:pStyle w:val="96"/>
              <w:rPr>
                <w:rFonts w:hint="eastAsia" w:ascii="宋体" w:hAnsi="宋体" w:eastAsia="宋体" w:cs="宋体"/>
                <w:color w:val="auto"/>
                <w:sz w:val="18"/>
                <w:szCs w:val="18"/>
              </w:rPr>
            </w:pPr>
          </w:p>
        </w:tc>
      </w:tr>
      <w:tr w14:paraId="6B2E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restart"/>
            <w:vAlign w:val="center"/>
          </w:tcPr>
          <w:p w14:paraId="51A3E3A8">
            <w:pPr>
              <w:pStyle w:val="96"/>
              <w:tabs>
                <w:tab w:val="left" w:pos="840"/>
              </w:tabs>
              <w:spacing w:before="4" w:line="235" w:lineRule="auto"/>
              <w:ind w:right="12"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餐具清洗消毒</w:t>
            </w:r>
          </w:p>
          <w:p w14:paraId="3CA311AF">
            <w:pPr>
              <w:pStyle w:val="96"/>
              <w:tabs>
                <w:tab w:val="left" w:pos="840"/>
              </w:tabs>
              <w:spacing w:before="4" w:line="235" w:lineRule="auto"/>
              <w:ind w:right="12"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保洁更换</w:t>
            </w:r>
          </w:p>
          <w:p w14:paraId="20B70569">
            <w:pPr>
              <w:pStyle w:val="96"/>
              <w:spacing w:line="268" w:lineRule="exact"/>
              <w:ind w:left="158" w:firstLine="180" w:firstLineChars="100"/>
              <w:jc w:val="both"/>
              <w:rPr>
                <w:rFonts w:hint="eastAsia" w:ascii="宋体" w:hAnsi="宋体" w:eastAsia="宋体" w:cs="宋体"/>
                <w:color w:val="auto"/>
                <w:sz w:val="18"/>
                <w:szCs w:val="18"/>
              </w:rPr>
            </w:pPr>
            <w:r>
              <w:rPr>
                <w:rFonts w:hint="eastAsia" w:ascii="宋体" w:hAnsi="宋体" w:eastAsia="宋体" w:cs="宋体"/>
                <w:color w:val="auto"/>
                <w:sz w:val="18"/>
                <w:szCs w:val="18"/>
              </w:rPr>
              <w:t>（6）分</w:t>
            </w:r>
          </w:p>
        </w:tc>
        <w:tc>
          <w:tcPr>
            <w:tcW w:w="5984" w:type="dxa"/>
          </w:tcPr>
          <w:p w14:paraId="3DBF34DB">
            <w:pPr>
              <w:pStyle w:val="96"/>
              <w:spacing w:before="29"/>
              <w:ind w:left="105"/>
              <w:rPr>
                <w:rFonts w:hint="eastAsia" w:ascii="宋体" w:hAnsi="宋体" w:eastAsia="宋体" w:cs="宋体"/>
                <w:color w:val="auto"/>
                <w:sz w:val="18"/>
                <w:szCs w:val="18"/>
              </w:rPr>
            </w:pPr>
            <w:r>
              <w:rPr>
                <w:rFonts w:hint="eastAsia" w:ascii="宋体" w:hAnsi="宋体" w:eastAsia="宋体" w:cs="宋体"/>
                <w:color w:val="auto"/>
                <w:sz w:val="18"/>
                <w:szCs w:val="18"/>
              </w:rPr>
              <w:t>餐具按食品安全规定程序进行清洗后放入干净卫生的消毒柜、筷子机内消毒</w:t>
            </w:r>
          </w:p>
        </w:tc>
        <w:tc>
          <w:tcPr>
            <w:tcW w:w="617" w:type="dxa"/>
          </w:tcPr>
          <w:p w14:paraId="00E12B90">
            <w:pPr>
              <w:spacing w:before="151"/>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4A08C3AF">
            <w:pPr>
              <w:pStyle w:val="96"/>
              <w:rPr>
                <w:rFonts w:hint="eastAsia" w:ascii="宋体" w:hAnsi="宋体" w:eastAsia="宋体" w:cs="宋体"/>
                <w:color w:val="auto"/>
                <w:sz w:val="18"/>
                <w:szCs w:val="18"/>
              </w:rPr>
            </w:pPr>
          </w:p>
        </w:tc>
        <w:tc>
          <w:tcPr>
            <w:tcW w:w="725" w:type="dxa"/>
          </w:tcPr>
          <w:p w14:paraId="1A1332FC">
            <w:pPr>
              <w:pStyle w:val="96"/>
              <w:rPr>
                <w:rFonts w:hint="eastAsia" w:ascii="宋体" w:hAnsi="宋体" w:eastAsia="宋体" w:cs="宋体"/>
                <w:color w:val="auto"/>
                <w:sz w:val="18"/>
                <w:szCs w:val="18"/>
              </w:rPr>
            </w:pPr>
          </w:p>
        </w:tc>
        <w:tc>
          <w:tcPr>
            <w:tcW w:w="679" w:type="dxa"/>
          </w:tcPr>
          <w:p w14:paraId="3A9E6ADE">
            <w:pPr>
              <w:pStyle w:val="96"/>
              <w:rPr>
                <w:rFonts w:hint="eastAsia" w:ascii="宋体" w:hAnsi="宋体" w:eastAsia="宋体" w:cs="宋体"/>
                <w:color w:val="auto"/>
                <w:sz w:val="18"/>
                <w:szCs w:val="18"/>
              </w:rPr>
            </w:pPr>
          </w:p>
        </w:tc>
      </w:tr>
      <w:tr w14:paraId="2847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5B9590D8">
            <w:pPr>
              <w:jc w:val="center"/>
              <w:rPr>
                <w:rFonts w:hint="eastAsia" w:ascii="宋体" w:hAnsi="宋体" w:eastAsia="宋体" w:cs="宋体"/>
                <w:color w:val="auto"/>
                <w:sz w:val="18"/>
                <w:szCs w:val="18"/>
              </w:rPr>
            </w:pPr>
          </w:p>
        </w:tc>
        <w:tc>
          <w:tcPr>
            <w:tcW w:w="5984" w:type="dxa"/>
          </w:tcPr>
          <w:p w14:paraId="37DAB33D">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清洗、消毒后的餐具及时存放于保洁柜内保洁</w:t>
            </w:r>
          </w:p>
        </w:tc>
        <w:tc>
          <w:tcPr>
            <w:tcW w:w="617" w:type="dxa"/>
          </w:tcPr>
          <w:p w14:paraId="2B7C703C">
            <w:pPr>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0F6B4690">
            <w:pPr>
              <w:pStyle w:val="96"/>
              <w:rPr>
                <w:rFonts w:hint="eastAsia" w:ascii="宋体" w:hAnsi="宋体" w:eastAsia="宋体" w:cs="宋体"/>
                <w:color w:val="auto"/>
                <w:sz w:val="18"/>
                <w:szCs w:val="18"/>
              </w:rPr>
            </w:pPr>
          </w:p>
        </w:tc>
        <w:tc>
          <w:tcPr>
            <w:tcW w:w="725" w:type="dxa"/>
          </w:tcPr>
          <w:p w14:paraId="07EB102E">
            <w:pPr>
              <w:pStyle w:val="96"/>
              <w:rPr>
                <w:rFonts w:hint="eastAsia" w:ascii="宋体" w:hAnsi="宋体" w:eastAsia="宋体" w:cs="宋体"/>
                <w:color w:val="auto"/>
                <w:sz w:val="18"/>
                <w:szCs w:val="18"/>
              </w:rPr>
            </w:pPr>
          </w:p>
        </w:tc>
        <w:tc>
          <w:tcPr>
            <w:tcW w:w="679" w:type="dxa"/>
          </w:tcPr>
          <w:p w14:paraId="0556B3B4">
            <w:pPr>
              <w:pStyle w:val="96"/>
              <w:rPr>
                <w:rFonts w:hint="eastAsia" w:ascii="宋体" w:hAnsi="宋体" w:eastAsia="宋体" w:cs="宋体"/>
                <w:color w:val="auto"/>
                <w:sz w:val="18"/>
                <w:szCs w:val="18"/>
              </w:rPr>
            </w:pPr>
          </w:p>
        </w:tc>
      </w:tr>
      <w:tr w14:paraId="660F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82" w:type="dxa"/>
            <w:vMerge w:val="continue"/>
            <w:tcBorders>
              <w:top w:val="nil"/>
            </w:tcBorders>
            <w:vAlign w:val="center"/>
          </w:tcPr>
          <w:p w14:paraId="443EE6E7">
            <w:pPr>
              <w:jc w:val="center"/>
              <w:rPr>
                <w:rFonts w:hint="eastAsia" w:ascii="宋体" w:hAnsi="宋体" w:eastAsia="宋体" w:cs="宋体"/>
                <w:color w:val="auto"/>
                <w:sz w:val="18"/>
                <w:szCs w:val="18"/>
              </w:rPr>
            </w:pPr>
          </w:p>
        </w:tc>
        <w:tc>
          <w:tcPr>
            <w:tcW w:w="5984" w:type="dxa"/>
          </w:tcPr>
          <w:p w14:paraId="5B452409">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经热力消毒后的餐具表面无水迹、无肉眼可见不洁物</w:t>
            </w:r>
          </w:p>
        </w:tc>
        <w:tc>
          <w:tcPr>
            <w:tcW w:w="617" w:type="dxa"/>
          </w:tcPr>
          <w:p w14:paraId="3649F67C">
            <w:pPr>
              <w:spacing w:before="2"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47E1C781">
            <w:pPr>
              <w:pStyle w:val="96"/>
              <w:rPr>
                <w:rFonts w:hint="eastAsia" w:ascii="宋体" w:hAnsi="宋体" w:eastAsia="宋体" w:cs="宋体"/>
                <w:color w:val="auto"/>
                <w:sz w:val="18"/>
                <w:szCs w:val="18"/>
              </w:rPr>
            </w:pPr>
          </w:p>
        </w:tc>
        <w:tc>
          <w:tcPr>
            <w:tcW w:w="725" w:type="dxa"/>
          </w:tcPr>
          <w:p w14:paraId="6144870A">
            <w:pPr>
              <w:pStyle w:val="96"/>
              <w:rPr>
                <w:rFonts w:hint="eastAsia" w:ascii="宋体" w:hAnsi="宋体" w:eastAsia="宋体" w:cs="宋体"/>
                <w:color w:val="auto"/>
                <w:sz w:val="18"/>
                <w:szCs w:val="18"/>
              </w:rPr>
            </w:pPr>
          </w:p>
        </w:tc>
        <w:tc>
          <w:tcPr>
            <w:tcW w:w="679" w:type="dxa"/>
          </w:tcPr>
          <w:p w14:paraId="3E22085F">
            <w:pPr>
              <w:pStyle w:val="96"/>
              <w:rPr>
                <w:rFonts w:hint="eastAsia" w:ascii="宋体" w:hAnsi="宋体" w:eastAsia="宋体" w:cs="宋体"/>
                <w:color w:val="auto"/>
                <w:sz w:val="18"/>
                <w:szCs w:val="18"/>
              </w:rPr>
            </w:pPr>
          </w:p>
        </w:tc>
      </w:tr>
      <w:tr w14:paraId="6388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tcBorders>
              <w:top w:val="nil"/>
            </w:tcBorders>
            <w:vAlign w:val="center"/>
          </w:tcPr>
          <w:p w14:paraId="3C4428E2">
            <w:pPr>
              <w:jc w:val="center"/>
              <w:rPr>
                <w:rFonts w:hint="eastAsia" w:ascii="宋体" w:hAnsi="宋体" w:eastAsia="宋体" w:cs="宋体"/>
                <w:color w:val="auto"/>
                <w:sz w:val="18"/>
                <w:szCs w:val="18"/>
              </w:rPr>
            </w:pPr>
          </w:p>
        </w:tc>
        <w:tc>
          <w:tcPr>
            <w:tcW w:w="5984" w:type="dxa"/>
          </w:tcPr>
          <w:p w14:paraId="7240894E">
            <w:pPr>
              <w:pStyle w:val="96"/>
              <w:spacing w:before="164"/>
              <w:ind w:left="105"/>
              <w:rPr>
                <w:rFonts w:hint="eastAsia" w:ascii="宋体" w:hAnsi="宋体" w:eastAsia="宋体" w:cs="宋体"/>
                <w:color w:val="auto"/>
                <w:sz w:val="18"/>
                <w:szCs w:val="18"/>
              </w:rPr>
            </w:pPr>
            <w:r>
              <w:rPr>
                <w:rFonts w:hint="eastAsia" w:ascii="宋体" w:hAnsi="宋体" w:eastAsia="宋体" w:cs="宋体"/>
                <w:color w:val="auto"/>
                <w:sz w:val="18"/>
                <w:szCs w:val="18"/>
              </w:rPr>
              <w:t>对残损餐具更换及时</w:t>
            </w:r>
          </w:p>
        </w:tc>
        <w:tc>
          <w:tcPr>
            <w:tcW w:w="617" w:type="dxa"/>
          </w:tcPr>
          <w:p w14:paraId="4B970DA0">
            <w:pPr>
              <w:spacing w:before="134"/>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5</w:t>
            </w:r>
          </w:p>
        </w:tc>
        <w:tc>
          <w:tcPr>
            <w:tcW w:w="648" w:type="dxa"/>
          </w:tcPr>
          <w:p w14:paraId="4F8D869A">
            <w:pPr>
              <w:pStyle w:val="96"/>
              <w:rPr>
                <w:rFonts w:hint="eastAsia" w:ascii="宋体" w:hAnsi="宋体" w:eastAsia="宋体" w:cs="宋体"/>
                <w:color w:val="auto"/>
                <w:sz w:val="18"/>
                <w:szCs w:val="18"/>
              </w:rPr>
            </w:pPr>
          </w:p>
        </w:tc>
        <w:tc>
          <w:tcPr>
            <w:tcW w:w="725" w:type="dxa"/>
          </w:tcPr>
          <w:p w14:paraId="42350120">
            <w:pPr>
              <w:pStyle w:val="96"/>
              <w:rPr>
                <w:rFonts w:hint="eastAsia" w:ascii="宋体" w:hAnsi="宋体" w:eastAsia="宋体" w:cs="宋体"/>
                <w:color w:val="auto"/>
                <w:sz w:val="18"/>
                <w:szCs w:val="18"/>
              </w:rPr>
            </w:pPr>
          </w:p>
        </w:tc>
        <w:tc>
          <w:tcPr>
            <w:tcW w:w="679" w:type="dxa"/>
          </w:tcPr>
          <w:p w14:paraId="3F347048">
            <w:pPr>
              <w:pStyle w:val="96"/>
              <w:rPr>
                <w:rFonts w:hint="eastAsia" w:ascii="宋体" w:hAnsi="宋体" w:eastAsia="宋体" w:cs="宋体"/>
                <w:color w:val="auto"/>
                <w:sz w:val="18"/>
                <w:szCs w:val="18"/>
              </w:rPr>
            </w:pPr>
          </w:p>
        </w:tc>
      </w:tr>
      <w:tr w14:paraId="0D55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restart"/>
            <w:vAlign w:val="center"/>
          </w:tcPr>
          <w:p w14:paraId="23266CA1">
            <w:pPr>
              <w:pStyle w:val="96"/>
              <w:spacing w:line="304" w:lineRule="exact"/>
              <w:ind w:left="158" w:firstLine="180" w:firstLineChars="100"/>
              <w:jc w:val="both"/>
              <w:rPr>
                <w:rFonts w:hint="eastAsia" w:ascii="宋体" w:hAnsi="宋体" w:eastAsia="宋体" w:cs="宋体"/>
                <w:color w:val="auto"/>
                <w:sz w:val="18"/>
                <w:szCs w:val="18"/>
              </w:rPr>
            </w:pPr>
            <w:r>
              <w:rPr>
                <w:rFonts w:hint="eastAsia" w:ascii="宋体" w:hAnsi="宋体" w:eastAsia="宋体" w:cs="宋体"/>
                <w:color w:val="auto"/>
                <w:sz w:val="18"/>
                <w:szCs w:val="18"/>
              </w:rPr>
              <w:t>膳食质量</w:t>
            </w:r>
          </w:p>
          <w:p w14:paraId="2BB835E7">
            <w:pPr>
              <w:pStyle w:val="96"/>
              <w:spacing w:line="304" w:lineRule="exact"/>
              <w:ind w:left="124"/>
              <w:jc w:val="center"/>
              <w:rPr>
                <w:rFonts w:hint="eastAsia" w:ascii="宋体" w:hAnsi="宋体" w:eastAsia="宋体" w:cs="宋体"/>
                <w:color w:val="auto"/>
                <w:sz w:val="18"/>
                <w:szCs w:val="18"/>
              </w:rPr>
            </w:pPr>
            <w:r>
              <w:rPr>
                <w:rFonts w:hint="eastAsia" w:ascii="宋体" w:hAnsi="宋体" w:eastAsia="宋体" w:cs="宋体"/>
                <w:color w:val="auto"/>
                <w:sz w:val="18"/>
                <w:szCs w:val="18"/>
              </w:rPr>
              <w:t>（12）分</w:t>
            </w:r>
          </w:p>
        </w:tc>
        <w:tc>
          <w:tcPr>
            <w:tcW w:w="5984" w:type="dxa"/>
          </w:tcPr>
          <w:p w14:paraId="2BCA1661">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数量品种不能少于菜谱所列的数量品种;</w:t>
            </w:r>
          </w:p>
        </w:tc>
        <w:tc>
          <w:tcPr>
            <w:tcW w:w="617" w:type="dxa"/>
          </w:tcPr>
          <w:p w14:paraId="5FC8B433">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4D9CAB64">
            <w:pPr>
              <w:pStyle w:val="96"/>
              <w:rPr>
                <w:rFonts w:hint="eastAsia" w:ascii="宋体" w:hAnsi="宋体" w:eastAsia="宋体" w:cs="宋体"/>
                <w:color w:val="auto"/>
                <w:sz w:val="18"/>
                <w:szCs w:val="18"/>
              </w:rPr>
            </w:pPr>
          </w:p>
        </w:tc>
        <w:tc>
          <w:tcPr>
            <w:tcW w:w="725" w:type="dxa"/>
          </w:tcPr>
          <w:p w14:paraId="40273A9A">
            <w:pPr>
              <w:pStyle w:val="96"/>
              <w:rPr>
                <w:rFonts w:hint="eastAsia" w:ascii="宋体" w:hAnsi="宋体" w:eastAsia="宋体" w:cs="宋体"/>
                <w:color w:val="auto"/>
                <w:sz w:val="18"/>
                <w:szCs w:val="18"/>
              </w:rPr>
            </w:pPr>
          </w:p>
        </w:tc>
        <w:tc>
          <w:tcPr>
            <w:tcW w:w="679" w:type="dxa"/>
          </w:tcPr>
          <w:p w14:paraId="37D5A26C">
            <w:pPr>
              <w:pStyle w:val="96"/>
              <w:rPr>
                <w:rFonts w:hint="eastAsia" w:ascii="宋体" w:hAnsi="宋体" w:eastAsia="宋体" w:cs="宋体"/>
                <w:color w:val="auto"/>
                <w:sz w:val="18"/>
                <w:szCs w:val="18"/>
              </w:rPr>
            </w:pPr>
          </w:p>
        </w:tc>
      </w:tr>
      <w:tr w14:paraId="2971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82" w:type="dxa"/>
            <w:vMerge w:val="continue"/>
            <w:tcBorders>
              <w:top w:val="nil"/>
            </w:tcBorders>
            <w:vAlign w:val="center"/>
          </w:tcPr>
          <w:p w14:paraId="5EAA5AD4">
            <w:pPr>
              <w:jc w:val="center"/>
              <w:rPr>
                <w:rFonts w:hint="eastAsia" w:ascii="宋体" w:hAnsi="宋体" w:eastAsia="宋体" w:cs="宋体"/>
                <w:color w:val="auto"/>
                <w:sz w:val="18"/>
                <w:szCs w:val="18"/>
              </w:rPr>
            </w:pPr>
          </w:p>
        </w:tc>
        <w:tc>
          <w:tcPr>
            <w:tcW w:w="5984" w:type="dxa"/>
          </w:tcPr>
          <w:p w14:paraId="5E199FA5">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饭菜保持温热、无凉菜凉饭。</w:t>
            </w:r>
          </w:p>
        </w:tc>
        <w:tc>
          <w:tcPr>
            <w:tcW w:w="617" w:type="dxa"/>
          </w:tcPr>
          <w:p w14:paraId="42B3AB80">
            <w:pPr>
              <w:pStyle w:val="96"/>
              <w:spacing w:before="2"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22DFF980">
            <w:pPr>
              <w:pStyle w:val="96"/>
              <w:rPr>
                <w:rFonts w:hint="eastAsia" w:ascii="宋体" w:hAnsi="宋体" w:eastAsia="宋体" w:cs="宋体"/>
                <w:color w:val="auto"/>
                <w:sz w:val="18"/>
                <w:szCs w:val="18"/>
              </w:rPr>
            </w:pPr>
          </w:p>
        </w:tc>
        <w:tc>
          <w:tcPr>
            <w:tcW w:w="725" w:type="dxa"/>
          </w:tcPr>
          <w:p w14:paraId="09272626">
            <w:pPr>
              <w:pStyle w:val="96"/>
              <w:rPr>
                <w:rFonts w:hint="eastAsia" w:ascii="宋体" w:hAnsi="宋体" w:eastAsia="宋体" w:cs="宋体"/>
                <w:color w:val="auto"/>
                <w:sz w:val="18"/>
                <w:szCs w:val="18"/>
              </w:rPr>
            </w:pPr>
          </w:p>
        </w:tc>
        <w:tc>
          <w:tcPr>
            <w:tcW w:w="679" w:type="dxa"/>
          </w:tcPr>
          <w:p w14:paraId="3BCA7B02">
            <w:pPr>
              <w:pStyle w:val="96"/>
              <w:rPr>
                <w:rFonts w:hint="eastAsia" w:ascii="宋体" w:hAnsi="宋体" w:eastAsia="宋体" w:cs="宋体"/>
                <w:color w:val="auto"/>
                <w:sz w:val="18"/>
                <w:szCs w:val="18"/>
              </w:rPr>
            </w:pPr>
          </w:p>
        </w:tc>
      </w:tr>
      <w:tr w14:paraId="6969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82" w:type="dxa"/>
            <w:vMerge w:val="continue"/>
            <w:tcBorders>
              <w:top w:val="nil"/>
            </w:tcBorders>
            <w:vAlign w:val="center"/>
          </w:tcPr>
          <w:p w14:paraId="542C690E">
            <w:pPr>
              <w:jc w:val="center"/>
              <w:rPr>
                <w:rFonts w:hint="eastAsia" w:ascii="宋体" w:hAnsi="宋体" w:eastAsia="宋体" w:cs="宋体"/>
                <w:color w:val="auto"/>
                <w:sz w:val="18"/>
                <w:szCs w:val="18"/>
              </w:rPr>
            </w:pPr>
          </w:p>
        </w:tc>
        <w:tc>
          <w:tcPr>
            <w:tcW w:w="5984" w:type="dxa"/>
          </w:tcPr>
          <w:p w14:paraId="25EE090B">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供餐过程中续菜是否及时</w:t>
            </w:r>
          </w:p>
        </w:tc>
        <w:tc>
          <w:tcPr>
            <w:tcW w:w="617" w:type="dxa"/>
          </w:tcPr>
          <w:p w14:paraId="77B62832">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7A5CD256">
            <w:pPr>
              <w:pStyle w:val="96"/>
              <w:rPr>
                <w:rFonts w:hint="eastAsia" w:ascii="宋体" w:hAnsi="宋体" w:eastAsia="宋体" w:cs="宋体"/>
                <w:color w:val="auto"/>
                <w:sz w:val="18"/>
                <w:szCs w:val="18"/>
              </w:rPr>
            </w:pPr>
          </w:p>
        </w:tc>
        <w:tc>
          <w:tcPr>
            <w:tcW w:w="725" w:type="dxa"/>
          </w:tcPr>
          <w:p w14:paraId="1EDB32AB">
            <w:pPr>
              <w:pStyle w:val="96"/>
              <w:rPr>
                <w:rFonts w:hint="eastAsia" w:ascii="宋体" w:hAnsi="宋体" w:eastAsia="宋体" w:cs="宋体"/>
                <w:color w:val="auto"/>
                <w:sz w:val="18"/>
                <w:szCs w:val="18"/>
              </w:rPr>
            </w:pPr>
          </w:p>
        </w:tc>
        <w:tc>
          <w:tcPr>
            <w:tcW w:w="679" w:type="dxa"/>
          </w:tcPr>
          <w:p w14:paraId="035F74E6">
            <w:pPr>
              <w:pStyle w:val="96"/>
              <w:rPr>
                <w:rFonts w:hint="eastAsia" w:ascii="宋体" w:hAnsi="宋体" w:eastAsia="宋体" w:cs="宋体"/>
                <w:color w:val="auto"/>
                <w:sz w:val="18"/>
                <w:szCs w:val="18"/>
              </w:rPr>
            </w:pPr>
          </w:p>
        </w:tc>
      </w:tr>
      <w:tr w14:paraId="5C5C5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74559EE8">
            <w:pPr>
              <w:jc w:val="center"/>
              <w:rPr>
                <w:rFonts w:hint="eastAsia" w:ascii="宋体" w:hAnsi="宋体" w:eastAsia="宋体" w:cs="宋体"/>
                <w:color w:val="auto"/>
                <w:sz w:val="18"/>
                <w:szCs w:val="18"/>
              </w:rPr>
            </w:pPr>
          </w:p>
        </w:tc>
        <w:tc>
          <w:tcPr>
            <w:tcW w:w="5984" w:type="dxa"/>
          </w:tcPr>
          <w:p w14:paraId="4AD5AD20">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饭菜营养配置合理、色、形、味符合要求，干净卫生无异物。</w:t>
            </w:r>
          </w:p>
        </w:tc>
        <w:tc>
          <w:tcPr>
            <w:tcW w:w="617" w:type="dxa"/>
          </w:tcPr>
          <w:p w14:paraId="619FF341">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774647CF">
            <w:pPr>
              <w:pStyle w:val="96"/>
              <w:rPr>
                <w:rFonts w:hint="eastAsia" w:ascii="宋体" w:hAnsi="宋体" w:eastAsia="宋体" w:cs="宋体"/>
                <w:color w:val="auto"/>
                <w:sz w:val="18"/>
                <w:szCs w:val="18"/>
              </w:rPr>
            </w:pPr>
          </w:p>
        </w:tc>
        <w:tc>
          <w:tcPr>
            <w:tcW w:w="725" w:type="dxa"/>
          </w:tcPr>
          <w:p w14:paraId="1A2B7196">
            <w:pPr>
              <w:pStyle w:val="96"/>
              <w:rPr>
                <w:rFonts w:hint="eastAsia" w:ascii="宋体" w:hAnsi="宋体" w:eastAsia="宋体" w:cs="宋体"/>
                <w:color w:val="auto"/>
                <w:sz w:val="18"/>
                <w:szCs w:val="18"/>
              </w:rPr>
            </w:pPr>
          </w:p>
        </w:tc>
        <w:tc>
          <w:tcPr>
            <w:tcW w:w="679" w:type="dxa"/>
          </w:tcPr>
          <w:p w14:paraId="038C090A">
            <w:pPr>
              <w:pStyle w:val="96"/>
              <w:rPr>
                <w:rFonts w:hint="eastAsia" w:ascii="宋体" w:hAnsi="宋体" w:eastAsia="宋体" w:cs="宋体"/>
                <w:color w:val="auto"/>
                <w:sz w:val="18"/>
                <w:szCs w:val="18"/>
              </w:rPr>
            </w:pPr>
          </w:p>
        </w:tc>
      </w:tr>
      <w:tr w14:paraId="445F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1B0AD58A">
            <w:pPr>
              <w:jc w:val="center"/>
              <w:rPr>
                <w:rFonts w:hint="eastAsia" w:ascii="宋体" w:hAnsi="宋体" w:eastAsia="宋体" w:cs="宋体"/>
                <w:color w:val="auto"/>
                <w:sz w:val="18"/>
                <w:szCs w:val="18"/>
              </w:rPr>
            </w:pPr>
          </w:p>
        </w:tc>
        <w:tc>
          <w:tcPr>
            <w:tcW w:w="5984" w:type="dxa"/>
          </w:tcPr>
          <w:p w14:paraId="14A2F591">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满意度不能低于稳定后就餐人数的 90%。</w:t>
            </w:r>
          </w:p>
        </w:tc>
        <w:tc>
          <w:tcPr>
            <w:tcW w:w="617" w:type="dxa"/>
          </w:tcPr>
          <w:p w14:paraId="48A60944">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07A4C39F">
            <w:pPr>
              <w:pStyle w:val="96"/>
              <w:rPr>
                <w:rFonts w:hint="eastAsia" w:ascii="宋体" w:hAnsi="宋体" w:eastAsia="宋体" w:cs="宋体"/>
                <w:color w:val="auto"/>
                <w:sz w:val="18"/>
                <w:szCs w:val="18"/>
              </w:rPr>
            </w:pPr>
          </w:p>
        </w:tc>
        <w:tc>
          <w:tcPr>
            <w:tcW w:w="725" w:type="dxa"/>
          </w:tcPr>
          <w:p w14:paraId="393F404E">
            <w:pPr>
              <w:pStyle w:val="96"/>
              <w:rPr>
                <w:rFonts w:hint="eastAsia" w:ascii="宋体" w:hAnsi="宋体" w:eastAsia="宋体" w:cs="宋体"/>
                <w:color w:val="auto"/>
                <w:sz w:val="18"/>
                <w:szCs w:val="18"/>
              </w:rPr>
            </w:pPr>
          </w:p>
        </w:tc>
        <w:tc>
          <w:tcPr>
            <w:tcW w:w="679" w:type="dxa"/>
          </w:tcPr>
          <w:p w14:paraId="618024CE">
            <w:pPr>
              <w:pStyle w:val="96"/>
              <w:rPr>
                <w:rFonts w:hint="eastAsia" w:ascii="宋体" w:hAnsi="宋体" w:eastAsia="宋体" w:cs="宋体"/>
                <w:color w:val="auto"/>
                <w:sz w:val="18"/>
                <w:szCs w:val="18"/>
              </w:rPr>
            </w:pPr>
          </w:p>
        </w:tc>
      </w:tr>
      <w:tr w14:paraId="0F61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restart"/>
            <w:vAlign w:val="center"/>
          </w:tcPr>
          <w:p w14:paraId="04D9C301">
            <w:pPr>
              <w:pStyle w:val="96"/>
              <w:spacing w:before="12" w:line="235" w:lineRule="auto"/>
              <w:ind w:right="166"/>
              <w:jc w:val="center"/>
              <w:rPr>
                <w:rFonts w:hint="eastAsia" w:ascii="宋体" w:hAnsi="宋体" w:eastAsia="宋体" w:cs="宋体"/>
                <w:color w:val="auto"/>
                <w:sz w:val="18"/>
                <w:szCs w:val="18"/>
              </w:rPr>
            </w:pPr>
            <w:r>
              <w:rPr>
                <w:rFonts w:hint="eastAsia" w:ascii="宋体" w:hAnsi="宋体" w:eastAsia="宋体" w:cs="宋体"/>
                <w:color w:val="auto"/>
                <w:sz w:val="18"/>
                <w:szCs w:val="18"/>
              </w:rPr>
              <w:t>安全管理考核</w:t>
            </w:r>
          </w:p>
          <w:p w14:paraId="4BDBDB6E">
            <w:pPr>
              <w:pStyle w:val="96"/>
              <w:spacing w:line="277" w:lineRule="exact"/>
              <w:ind w:left="7" w:right="3"/>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分</w:t>
            </w:r>
          </w:p>
        </w:tc>
        <w:tc>
          <w:tcPr>
            <w:tcW w:w="5984" w:type="dxa"/>
          </w:tcPr>
          <w:p w14:paraId="04A5BE6D">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操作间必须有安全用电、用气、用设备 “三防”制度及措施。</w:t>
            </w:r>
          </w:p>
        </w:tc>
        <w:tc>
          <w:tcPr>
            <w:tcW w:w="617" w:type="dxa"/>
          </w:tcPr>
          <w:p w14:paraId="480E236C">
            <w:pPr>
              <w:pStyle w:val="96"/>
              <w:spacing w:line="280" w:lineRule="exact"/>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775E189F">
            <w:pPr>
              <w:pStyle w:val="96"/>
              <w:rPr>
                <w:rFonts w:hint="eastAsia" w:ascii="宋体" w:hAnsi="宋体" w:eastAsia="宋体" w:cs="宋体"/>
                <w:color w:val="auto"/>
                <w:sz w:val="18"/>
                <w:szCs w:val="18"/>
              </w:rPr>
            </w:pPr>
          </w:p>
        </w:tc>
        <w:tc>
          <w:tcPr>
            <w:tcW w:w="725" w:type="dxa"/>
          </w:tcPr>
          <w:p w14:paraId="5D97E71C">
            <w:pPr>
              <w:pStyle w:val="96"/>
              <w:rPr>
                <w:rFonts w:hint="eastAsia" w:ascii="宋体" w:hAnsi="宋体" w:eastAsia="宋体" w:cs="宋体"/>
                <w:color w:val="auto"/>
                <w:sz w:val="18"/>
                <w:szCs w:val="18"/>
              </w:rPr>
            </w:pPr>
          </w:p>
        </w:tc>
        <w:tc>
          <w:tcPr>
            <w:tcW w:w="679" w:type="dxa"/>
          </w:tcPr>
          <w:p w14:paraId="14AAEE3D">
            <w:pPr>
              <w:pStyle w:val="96"/>
              <w:rPr>
                <w:rFonts w:hint="eastAsia" w:ascii="宋体" w:hAnsi="宋体" w:eastAsia="宋体" w:cs="宋体"/>
                <w:color w:val="auto"/>
                <w:sz w:val="18"/>
                <w:szCs w:val="18"/>
              </w:rPr>
            </w:pPr>
          </w:p>
        </w:tc>
      </w:tr>
      <w:tr w14:paraId="5505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2" w:type="dxa"/>
            <w:vMerge w:val="continue"/>
            <w:vAlign w:val="center"/>
          </w:tcPr>
          <w:p w14:paraId="703DFC91">
            <w:pPr>
              <w:jc w:val="center"/>
              <w:rPr>
                <w:rFonts w:hint="eastAsia" w:ascii="宋体" w:hAnsi="宋体" w:eastAsia="宋体" w:cs="宋体"/>
                <w:color w:val="auto"/>
                <w:sz w:val="18"/>
                <w:szCs w:val="18"/>
              </w:rPr>
            </w:pPr>
          </w:p>
        </w:tc>
        <w:tc>
          <w:tcPr>
            <w:tcW w:w="5984" w:type="dxa"/>
          </w:tcPr>
          <w:p w14:paraId="138035AE">
            <w:pPr>
              <w:pStyle w:val="96"/>
              <w:spacing w:before="1" w:line="300" w:lineRule="atLeast"/>
              <w:ind w:left="105" w:right="101"/>
              <w:rPr>
                <w:rFonts w:hint="eastAsia" w:ascii="宋体" w:hAnsi="宋体" w:eastAsia="宋体" w:cs="宋体"/>
                <w:color w:val="auto"/>
                <w:sz w:val="18"/>
                <w:szCs w:val="18"/>
              </w:rPr>
            </w:pPr>
            <w:r>
              <w:rPr>
                <w:rFonts w:hint="eastAsia" w:ascii="宋体" w:hAnsi="宋体" w:eastAsia="宋体" w:cs="宋体"/>
                <w:color w:val="auto"/>
                <w:sz w:val="18"/>
                <w:szCs w:val="18"/>
              </w:rPr>
              <w:t>严格执行班后关闭操作间电气总阀、班前检查电气管线的安全工作程序。</w:t>
            </w:r>
          </w:p>
        </w:tc>
        <w:tc>
          <w:tcPr>
            <w:tcW w:w="617" w:type="dxa"/>
          </w:tcPr>
          <w:p w14:paraId="2821DA85">
            <w:pPr>
              <w:pStyle w:val="96"/>
              <w:spacing w:before="151"/>
              <w:ind w:right="177"/>
              <w:jc w:val="righ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1CDEFD7E">
            <w:pPr>
              <w:pStyle w:val="96"/>
              <w:rPr>
                <w:rFonts w:hint="eastAsia" w:ascii="宋体" w:hAnsi="宋体" w:eastAsia="宋体" w:cs="宋体"/>
                <w:color w:val="auto"/>
                <w:sz w:val="18"/>
                <w:szCs w:val="18"/>
              </w:rPr>
            </w:pPr>
          </w:p>
        </w:tc>
        <w:tc>
          <w:tcPr>
            <w:tcW w:w="725" w:type="dxa"/>
          </w:tcPr>
          <w:p w14:paraId="1ABCE3E0">
            <w:pPr>
              <w:pStyle w:val="96"/>
              <w:rPr>
                <w:rFonts w:hint="eastAsia" w:ascii="宋体" w:hAnsi="宋体" w:eastAsia="宋体" w:cs="宋体"/>
                <w:color w:val="auto"/>
                <w:sz w:val="18"/>
                <w:szCs w:val="18"/>
              </w:rPr>
            </w:pPr>
          </w:p>
        </w:tc>
        <w:tc>
          <w:tcPr>
            <w:tcW w:w="679" w:type="dxa"/>
          </w:tcPr>
          <w:p w14:paraId="740BCE14">
            <w:pPr>
              <w:pStyle w:val="96"/>
              <w:rPr>
                <w:rFonts w:hint="eastAsia" w:ascii="宋体" w:hAnsi="宋体" w:eastAsia="宋体" w:cs="宋体"/>
                <w:color w:val="auto"/>
                <w:sz w:val="18"/>
                <w:szCs w:val="18"/>
              </w:rPr>
            </w:pPr>
          </w:p>
        </w:tc>
      </w:tr>
      <w:tr w14:paraId="0BDD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vAlign w:val="center"/>
          </w:tcPr>
          <w:p w14:paraId="5A670252">
            <w:pPr>
              <w:pStyle w:val="96"/>
              <w:jc w:val="center"/>
              <w:rPr>
                <w:rFonts w:hint="eastAsia" w:ascii="宋体" w:hAnsi="宋体" w:eastAsia="宋体" w:cs="宋体"/>
                <w:color w:val="auto"/>
                <w:sz w:val="18"/>
                <w:szCs w:val="18"/>
              </w:rPr>
            </w:pPr>
          </w:p>
        </w:tc>
        <w:tc>
          <w:tcPr>
            <w:tcW w:w="5984" w:type="dxa"/>
          </w:tcPr>
          <w:p w14:paraId="464D7F7C">
            <w:pPr>
              <w:pStyle w:val="96"/>
              <w:spacing w:before="29"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各操作间设专人主抓安全和“三防”工作并详实记录。</w:t>
            </w:r>
          </w:p>
        </w:tc>
        <w:tc>
          <w:tcPr>
            <w:tcW w:w="617" w:type="dxa"/>
          </w:tcPr>
          <w:p w14:paraId="29BF3E69">
            <w:pPr>
              <w:pStyle w:val="96"/>
              <w:spacing w:line="280" w:lineRule="exact"/>
              <w:ind w:left="187"/>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40D54029">
            <w:pPr>
              <w:pStyle w:val="96"/>
              <w:rPr>
                <w:rFonts w:hint="eastAsia" w:ascii="宋体" w:hAnsi="宋体" w:eastAsia="宋体" w:cs="宋体"/>
                <w:color w:val="auto"/>
                <w:sz w:val="18"/>
                <w:szCs w:val="18"/>
              </w:rPr>
            </w:pPr>
          </w:p>
        </w:tc>
        <w:tc>
          <w:tcPr>
            <w:tcW w:w="725" w:type="dxa"/>
          </w:tcPr>
          <w:p w14:paraId="060E222E">
            <w:pPr>
              <w:pStyle w:val="96"/>
              <w:rPr>
                <w:rFonts w:hint="eastAsia" w:ascii="宋体" w:hAnsi="宋体" w:eastAsia="宋体" w:cs="宋体"/>
                <w:color w:val="auto"/>
                <w:sz w:val="18"/>
                <w:szCs w:val="18"/>
              </w:rPr>
            </w:pPr>
          </w:p>
        </w:tc>
        <w:tc>
          <w:tcPr>
            <w:tcW w:w="679" w:type="dxa"/>
          </w:tcPr>
          <w:p w14:paraId="5E788490">
            <w:pPr>
              <w:pStyle w:val="96"/>
              <w:rPr>
                <w:rFonts w:hint="eastAsia" w:ascii="宋体" w:hAnsi="宋体" w:eastAsia="宋体" w:cs="宋体"/>
                <w:color w:val="auto"/>
                <w:sz w:val="18"/>
                <w:szCs w:val="18"/>
              </w:rPr>
            </w:pPr>
          </w:p>
        </w:tc>
      </w:tr>
      <w:tr w14:paraId="2EA16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82" w:type="dxa"/>
            <w:vMerge w:val="continue"/>
            <w:vAlign w:val="center"/>
          </w:tcPr>
          <w:p w14:paraId="39F9F0DD">
            <w:pPr>
              <w:jc w:val="center"/>
              <w:rPr>
                <w:rFonts w:hint="eastAsia" w:ascii="宋体" w:hAnsi="宋体" w:eastAsia="宋体" w:cs="宋体"/>
                <w:color w:val="auto"/>
                <w:sz w:val="18"/>
                <w:szCs w:val="18"/>
              </w:rPr>
            </w:pPr>
          </w:p>
        </w:tc>
        <w:tc>
          <w:tcPr>
            <w:tcW w:w="5984" w:type="dxa"/>
          </w:tcPr>
          <w:p w14:paraId="44C8C01C">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水、电、气随用随关，无浪费。</w:t>
            </w:r>
          </w:p>
        </w:tc>
        <w:tc>
          <w:tcPr>
            <w:tcW w:w="617" w:type="dxa"/>
          </w:tcPr>
          <w:p w14:paraId="7F1A0F27">
            <w:pPr>
              <w:pStyle w:val="96"/>
              <w:spacing w:line="280" w:lineRule="exact"/>
              <w:ind w:left="187"/>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157DFAB4">
            <w:pPr>
              <w:pStyle w:val="96"/>
              <w:rPr>
                <w:rFonts w:hint="eastAsia" w:ascii="宋体" w:hAnsi="宋体" w:eastAsia="宋体" w:cs="宋体"/>
                <w:color w:val="auto"/>
                <w:sz w:val="18"/>
                <w:szCs w:val="18"/>
              </w:rPr>
            </w:pPr>
          </w:p>
        </w:tc>
        <w:tc>
          <w:tcPr>
            <w:tcW w:w="725" w:type="dxa"/>
          </w:tcPr>
          <w:p w14:paraId="7C9C7DDB">
            <w:pPr>
              <w:pStyle w:val="96"/>
              <w:rPr>
                <w:rFonts w:hint="eastAsia" w:ascii="宋体" w:hAnsi="宋体" w:eastAsia="宋体" w:cs="宋体"/>
                <w:color w:val="auto"/>
                <w:sz w:val="18"/>
                <w:szCs w:val="18"/>
              </w:rPr>
            </w:pPr>
          </w:p>
        </w:tc>
        <w:tc>
          <w:tcPr>
            <w:tcW w:w="679" w:type="dxa"/>
          </w:tcPr>
          <w:p w14:paraId="146D678E">
            <w:pPr>
              <w:pStyle w:val="96"/>
              <w:rPr>
                <w:rFonts w:hint="eastAsia" w:ascii="宋体" w:hAnsi="宋体" w:eastAsia="宋体" w:cs="宋体"/>
                <w:color w:val="auto"/>
                <w:sz w:val="18"/>
                <w:szCs w:val="18"/>
              </w:rPr>
            </w:pPr>
          </w:p>
        </w:tc>
      </w:tr>
      <w:tr w14:paraId="26FCA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6513E2C9">
            <w:pPr>
              <w:jc w:val="center"/>
              <w:rPr>
                <w:rFonts w:hint="eastAsia" w:ascii="宋体" w:hAnsi="宋体" w:eastAsia="宋体" w:cs="宋体"/>
                <w:color w:val="auto"/>
                <w:sz w:val="18"/>
                <w:szCs w:val="18"/>
              </w:rPr>
            </w:pPr>
          </w:p>
        </w:tc>
        <w:tc>
          <w:tcPr>
            <w:tcW w:w="5984" w:type="dxa"/>
          </w:tcPr>
          <w:p w14:paraId="30727068">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餐具干净，消毒彻底，配量齐全，无严重缺损或破裂。</w:t>
            </w:r>
          </w:p>
        </w:tc>
        <w:tc>
          <w:tcPr>
            <w:tcW w:w="617" w:type="dxa"/>
          </w:tcPr>
          <w:p w14:paraId="08CE31C7">
            <w:pPr>
              <w:pStyle w:val="96"/>
              <w:spacing w:line="280" w:lineRule="exact"/>
              <w:ind w:left="187"/>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074CAD11">
            <w:pPr>
              <w:pStyle w:val="96"/>
              <w:rPr>
                <w:rFonts w:hint="eastAsia" w:ascii="宋体" w:hAnsi="宋体" w:eastAsia="宋体" w:cs="宋体"/>
                <w:color w:val="auto"/>
                <w:sz w:val="18"/>
                <w:szCs w:val="18"/>
              </w:rPr>
            </w:pPr>
          </w:p>
        </w:tc>
        <w:tc>
          <w:tcPr>
            <w:tcW w:w="725" w:type="dxa"/>
          </w:tcPr>
          <w:p w14:paraId="0903EF2B">
            <w:pPr>
              <w:pStyle w:val="96"/>
              <w:rPr>
                <w:rFonts w:hint="eastAsia" w:ascii="宋体" w:hAnsi="宋体" w:eastAsia="宋体" w:cs="宋体"/>
                <w:color w:val="auto"/>
                <w:sz w:val="18"/>
                <w:szCs w:val="18"/>
              </w:rPr>
            </w:pPr>
          </w:p>
        </w:tc>
        <w:tc>
          <w:tcPr>
            <w:tcW w:w="679" w:type="dxa"/>
          </w:tcPr>
          <w:p w14:paraId="51FEEAE9">
            <w:pPr>
              <w:pStyle w:val="96"/>
              <w:rPr>
                <w:rFonts w:hint="eastAsia" w:ascii="宋体" w:hAnsi="宋体" w:eastAsia="宋体" w:cs="宋体"/>
                <w:color w:val="auto"/>
                <w:sz w:val="18"/>
                <w:szCs w:val="18"/>
              </w:rPr>
            </w:pPr>
          </w:p>
        </w:tc>
      </w:tr>
      <w:tr w14:paraId="4EAE8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82" w:type="dxa"/>
            <w:vMerge w:val="continue"/>
            <w:tcBorders>
              <w:top w:val="nil"/>
            </w:tcBorders>
            <w:vAlign w:val="center"/>
          </w:tcPr>
          <w:p w14:paraId="0B7E2D9D">
            <w:pPr>
              <w:jc w:val="center"/>
              <w:rPr>
                <w:rFonts w:hint="eastAsia" w:ascii="宋体" w:hAnsi="宋体" w:eastAsia="宋体" w:cs="宋体"/>
                <w:color w:val="auto"/>
                <w:sz w:val="18"/>
                <w:szCs w:val="18"/>
              </w:rPr>
            </w:pPr>
          </w:p>
        </w:tc>
        <w:tc>
          <w:tcPr>
            <w:tcW w:w="5984" w:type="dxa"/>
          </w:tcPr>
          <w:p w14:paraId="223DDA6E">
            <w:pPr>
              <w:pStyle w:val="96"/>
              <w:spacing w:before="32"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态度和蔼热情，售饭时必须戴口罩和卫生手套。</w:t>
            </w:r>
          </w:p>
        </w:tc>
        <w:tc>
          <w:tcPr>
            <w:tcW w:w="617" w:type="dxa"/>
          </w:tcPr>
          <w:p w14:paraId="076026B6">
            <w:pPr>
              <w:pStyle w:val="96"/>
              <w:spacing w:before="2" w:line="280" w:lineRule="exact"/>
              <w:ind w:left="187"/>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74ECE978">
            <w:pPr>
              <w:pStyle w:val="96"/>
              <w:rPr>
                <w:rFonts w:hint="eastAsia" w:ascii="宋体" w:hAnsi="宋体" w:eastAsia="宋体" w:cs="宋体"/>
                <w:color w:val="auto"/>
                <w:sz w:val="18"/>
                <w:szCs w:val="18"/>
              </w:rPr>
            </w:pPr>
          </w:p>
        </w:tc>
        <w:tc>
          <w:tcPr>
            <w:tcW w:w="725" w:type="dxa"/>
          </w:tcPr>
          <w:p w14:paraId="299D02F5">
            <w:pPr>
              <w:pStyle w:val="96"/>
              <w:rPr>
                <w:rFonts w:hint="eastAsia" w:ascii="宋体" w:hAnsi="宋体" w:eastAsia="宋体" w:cs="宋体"/>
                <w:color w:val="auto"/>
                <w:sz w:val="18"/>
                <w:szCs w:val="18"/>
              </w:rPr>
            </w:pPr>
          </w:p>
        </w:tc>
        <w:tc>
          <w:tcPr>
            <w:tcW w:w="679" w:type="dxa"/>
          </w:tcPr>
          <w:p w14:paraId="7D33FCA1">
            <w:pPr>
              <w:pStyle w:val="96"/>
              <w:rPr>
                <w:rFonts w:hint="eastAsia" w:ascii="宋体" w:hAnsi="宋体" w:eastAsia="宋体" w:cs="宋体"/>
                <w:color w:val="auto"/>
                <w:sz w:val="18"/>
                <w:szCs w:val="18"/>
              </w:rPr>
            </w:pPr>
          </w:p>
        </w:tc>
      </w:tr>
      <w:tr w14:paraId="6857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82" w:type="dxa"/>
            <w:vMerge w:val="continue"/>
            <w:tcBorders>
              <w:top w:val="nil"/>
            </w:tcBorders>
            <w:vAlign w:val="center"/>
          </w:tcPr>
          <w:p w14:paraId="743D8590">
            <w:pPr>
              <w:jc w:val="center"/>
              <w:rPr>
                <w:rFonts w:hint="eastAsia" w:ascii="宋体" w:hAnsi="宋体" w:eastAsia="宋体" w:cs="宋体"/>
                <w:color w:val="auto"/>
                <w:sz w:val="18"/>
                <w:szCs w:val="18"/>
              </w:rPr>
            </w:pPr>
          </w:p>
        </w:tc>
        <w:tc>
          <w:tcPr>
            <w:tcW w:w="5984" w:type="dxa"/>
          </w:tcPr>
          <w:p w14:paraId="67C93DA1">
            <w:pPr>
              <w:pStyle w:val="96"/>
              <w:spacing w:before="30" w:line="250"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对待投诉能正确处理，无争执和抵触情绪</w:t>
            </w:r>
          </w:p>
        </w:tc>
        <w:tc>
          <w:tcPr>
            <w:tcW w:w="617" w:type="dxa"/>
          </w:tcPr>
          <w:p w14:paraId="635C4F25">
            <w:pPr>
              <w:pStyle w:val="96"/>
              <w:spacing w:line="280" w:lineRule="exact"/>
              <w:ind w:left="187"/>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5</w:t>
            </w:r>
          </w:p>
        </w:tc>
        <w:tc>
          <w:tcPr>
            <w:tcW w:w="648" w:type="dxa"/>
          </w:tcPr>
          <w:p w14:paraId="15ACD0D8">
            <w:pPr>
              <w:pStyle w:val="96"/>
              <w:rPr>
                <w:rFonts w:hint="eastAsia" w:ascii="宋体" w:hAnsi="宋体" w:eastAsia="宋体" w:cs="宋体"/>
                <w:color w:val="auto"/>
                <w:sz w:val="18"/>
                <w:szCs w:val="18"/>
              </w:rPr>
            </w:pPr>
          </w:p>
        </w:tc>
        <w:tc>
          <w:tcPr>
            <w:tcW w:w="725" w:type="dxa"/>
          </w:tcPr>
          <w:p w14:paraId="044EE46C">
            <w:pPr>
              <w:pStyle w:val="96"/>
              <w:rPr>
                <w:rFonts w:hint="eastAsia" w:ascii="宋体" w:hAnsi="宋体" w:eastAsia="宋体" w:cs="宋体"/>
                <w:color w:val="auto"/>
                <w:sz w:val="18"/>
                <w:szCs w:val="18"/>
              </w:rPr>
            </w:pPr>
          </w:p>
        </w:tc>
        <w:tc>
          <w:tcPr>
            <w:tcW w:w="679" w:type="dxa"/>
          </w:tcPr>
          <w:p w14:paraId="709CEA8B">
            <w:pPr>
              <w:pStyle w:val="96"/>
              <w:rPr>
                <w:rFonts w:hint="eastAsia" w:ascii="宋体" w:hAnsi="宋体" w:eastAsia="宋体" w:cs="宋体"/>
                <w:color w:val="auto"/>
                <w:sz w:val="18"/>
                <w:szCs w:val="18"/>
              </w:rPr>
            </w:pPr>
          </w:p>
        </w:tc>
      </w:tr>
      <w:tr w14:paraId="7B118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82" w:type="dxa"/>
            <w:vAlign w:val="center"/>
          </w:tcPr>
          <w:p w14:paraId="65BDD95D">
            <w:pPr>
              <w:pStyle w:val="96"/>
              <w:spacing w:line="300" w:lineRule="exact"/>
              <w:ind w:right="-29"/>
              <w:jc w:val="center"/>
              <w:rPr>
                <w:rFonts w:hint="eastAsia" w:ascii="宋体" w:hAnsi="宋体" w:eastAsia="宋体" w:cs="宋体"/>
                <w:color w:val="auto"/>
                <w:sz w:val="18"/>
                <w:szCs w:val="18"/>
              </w:rPr>
            </w:pPr>
            <w:r>
              <w:rPr>
                <w:rFonts w:hint="eastAsia" w:ascii="宋体" w:hAnsi="宋体" w:eastAsia="宋体" w:cs="宋体"/>
                <w:color w:val="auto"/>
                <w:sz w:val="18"/>
                <w:szCs w:val="18"/>
              </w:rPr>
              <w:t>日常资料管理（2）</w:t>
            </w:r>
            <w:r>
              <w:rPr>
                <w:rFonts w:hint="eastAsia" w:ascii="宋体" w:hAnsi="宋体" w:eastAsia="宋体" w:cs="宋体"/>
                <w:color w:val="auto"/>
                <w:spacing w:val="-14"/>
                <w:sz w:val="18"/>
                <w:szCs w:val="18"/>
              </w:rPr>
              <w:t>分</w:t>
            </w:r>
          </w:p>
        </w:tc>
        <w:tc>
          <w:tcPr>
            <w:tcW w:w="5984" w:type="dxa"/>
          </w:tcPr>
          <w:p w14:paraId="797FD497">
            <w:pPr>
              <w:pStyle w:val="96"/>
              <w:spacing w:before="178"/>
              <w:ind w:left="105"/>
              <w:rPr>
                <w:rFonts w:hint="eastAsia" w:ascii="宋体" w:hAnsi="宋体" w:eastAsia="宋体" w:cs="宋体"/>
                <w:color w:val="auto"/>
                <w:sz w:val="18"/>
                <w:szCs w:val="18"/>
              </w:rPr>
            </w:pPr>
            <w:r>
              <w:rPr>
                <w:rFonts w:hint="eastAsia" w:ascii="宋体" w:hAnsi="宋体" w:eastAsia="宋体" w:cs="宋体"/>
                <w:color w:val="auto"/>
                <w:sz w:val="18"/>
                <w:szCs w:val="18"/>
              </w:rPr>
              <w:t>各类资料完整齐全、登记记录填写规范</w:t>
            </w:r>
          </w:p>
        </w:tc>
        <w:tc>
          <w:tcPr>
            <w:tcW w:w="617" w:type="dxa"/>
          </w:tcPr>
          <w:p w14:paraId="16AC52B8">
            <w:pPr>
              <w:pStyle w:val="96"/>
              <w:spacing w:before="148"/>
              <w:ind w:left="187"/>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0</w:t>
            </w:r>
          </w:p>
        </w:tc>
        <w:tc>
          <w:tcPr>
            <w:tcW w:w="648" w:type="dxa"/>
          </w:tcPr>
          <w:p w14:paraId="7A28B3AC">
            <w:pPr>
              <w:pStyle w:val="96"/>
              <w:rPr>
                <w:rFonts w:hint="eastAsia" w:ascii="宋体" w:hAnsi="宋体" w:eastAsia="宋体" w:cs="宋体"/>
                <w:color w:val="auto"/>
                <w:sz w:val="18"/>
                <w:szCs w:val="18"/>
              </w:rPr>
            </w:pPr>
          </w:p>
        </w:tc>
        <w:tc>
          <w:tcPr>
            <w:tcW w:w="725" w:type="dxa"/>
          </w:tcPr>
          <w:p w14:paraId="34A98AD2">
            <w:pPr>
              <w:pStyle w:val="96"/>
              <w:rPr>
                <w:rFonts w:hint="eastAsia" w:ascii="宋体" w:hAnsi="宋体" w:eastAsia="宋体" w:cs="宋体"/>
                <w:color w:val="auto"/>
                <w:sz w:val="18"/>
                <w:szCs w:val="18"/>
              </w:rPr>
            </w:pPr>
          </w:p>
        </w:tc>
        <w:tc>
          <w:tcPr>
            <w:tcW w:w="679" w:type="dxa"/>
          </w:tcPr>
          <w:p w14:paraId="49BDE756">
            <w:pPr>
              <w:pStyle w:val="96"/>
              <w:rPr>
                <w:rFonts w:hint="eastAsia" w:ascii="宋体" w:hAnsi="宋体" w:eastAsia="宋体" w:cs="宋体"/>
                <w:color w:val="auto"/>
                <w:sz w:val="18"/>
                <w:szCs w:val="18"/>
              </w:rPr>
            </w:pPr>
          </w:p>
        </w:tc>
      </w:tr>
      <w:tr w14:paraId="2CB5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282" w:type="dxa"/>
          </w:tcPr>
          <w:p w14:paraId="26BE2611">
            <w:pPr>
              <w:pStyle w:val="96"/>
              <w:rPr>
                <w:rFonts w:hint="eastAsia" w:ascii="宋体" w:hAnsi="宋体" w:eastAsia="宋体" w:cs="宋体"/>
                <w:color w:val="auto"/>
                <w:sz w:val="18"/>
                <w:szCs w:val="18"/>
              </w:rPr>
            </w:pPr>
          </w:p>
          <w:p w14:paraId="3C7AA341">
            <w:pPr>
              <w:pStyle w:val="96"/>
              <w:spacing w:before="198"/>
              <w:ind w:right="24"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rPr>
              <w:t>说明</w:t>
            </w:r>
          </w:p>
        </w:tc>
        <w:tc>
          <w:tcPr>
            <w:tcW w:w="8653" w:type="dxa"/>
            <w:gridSpan w:val="5"/>
          </w:tcPr>
          <w:p w14:paraId="16FA10B4">
            <w:pPr>
              <w:pStyle w:val="96"/>
              <w:spacing w:line="303" w:lineRule="exact"/>
              <w:ind w:left="105"/>
              <w:rPr>
                <w:rFonts w:hint="eastAsia" w:ascii="宋体" w:hAnsi="宋体" w:eastAsia="宋体" w:cs="宋体"/>
                <w:color w:val="auto"/>
                <w:sz w:val="18"/>
                <w:szCs w:val="18"/>
              </w:rPr>
            </w:pPr>
            <w:r>
              <w:rPr>
                <w:rFonts w:hint="eastAsia" w:ascii="宋体" w:hAnsi="宋体" w:eastAsia="宋体" w:cs="宋体"/>
                <w:color w:val="auto"/>
                <w:sz w:val="18"/>
                <w:szCs w:val="18"/>
              </w:rPr>
              <w:t>1、考核内容十一项，满分为100分。</w:t>
            </w:r>
          </w:p>
          <w:p w14:paraId="18C7FFFC">
            <w:pPr>
              <w:pStyle w:val="96"/>
              <w:spacing w:line="296"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pacing w:val="-15"/>
                <w:sz w:val="18"/>
                <w:szCs w:val="18"/>
              </w:rPr>
              <w:t>、、</w:t>
            </w:r>
            <w:r>
              <w:rPr>
                <w:rFonts w:hint="eastAsia" w:ascii="宋体" w:hAnsi="宋体" w:eastAsia="宋体" w:cs="宋体"/>
                <w:color w:val="auto"/>
                <w:spacing w:val="-15"/>
                <w:sz w:val="18"/>
                <w:szCs w:val="18"/>
                <w:lang w:val="en-US" w:eastAsia="zh-CN"/>
              </w:rPr>
              <w:t>考核得分90分以上（包含90分）为合格；考核得分80-90分（包含80分）为一般；考核得分低于80分为不合格。</w:t>
            </w:r>
          </w:p>
          <w:p w14:paraId="3D1ECA51">
            <w:pPr>
              <w:pStyle w:val="96"/>
              <w:spacing w:line="277" w:lineRule="exact"/>
              <w:ind w:left="8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、日常考核得分表由</w:t>
            </w:r>
            <w:r>
              <w:rPr>
                <w:rFonts w:hint="eastAsia" w:ascii="宋体" w:hAnsi="宋体" w:eastAsia="宋体" w:cs="宋体"/>
                <w:color w:val="auto"/>
                <w:sz w:val="18"/>
                <w:szCs w:val="18"/>
                <w:lang w:eastAsia="zh-CN"/>
              </w:rPr>
              <w:t>办公室</w:t>
            </w:r>
            <w:r>
              <w:rPr>
                <w:rFonts w:hint="eastAsia" w:ascii="宋体" w:hAnsi="宋体" w:eastAsia="宋体" w:cs="宋体"/>
                <w:color w:val="auto"/>
                <w:sz w:val="18"/>
                <w:szCs w:val="18"/>
              </w:rPr>
              <w:t>存档，作为年度考核依据。</w:t>
            </w:r>
          </w:p>
        </w:tc>
      </w:tr>
      <w:tr w14:paraId="6B5F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82" w:type="dxa"/>
          </w:tcPr>
          <w:p w14:paraId="24EF9BB9">
            <w:pPr>
              <w:pStyle w:val="96"/>
              <w:spacing w:line="280" w:lineRule="exact"/>
              <w:ind w:left="7" w:right="24"/>
              <w:jc w:val="center"/>
              <w:rPr>
                <w:rFonts w:hint="eastAsia" w:ascii="宋体" w:hAnsi="宋体" w:eastAsia="宋体" w:cs="宋体"/>
                <w:color w:val="auto"/>
                <w:sz w:val="18"/>
                <w:szCs w:val="18"/>
              </w:rPr>
            </w:pPr>
            <w:r>
              <w:rPr>
                <w:rFonts w:hint="eastAsia" w:ascii="宋体" w:hAnsi="宋体" w:eastAsia="宋体" w:cs="宋体"/>
                <w:color w:val="auto"/>
                <w:sz w:val="18"/>
                <w:szCs w:val="18"/>
              </w:rPr>
              <w:t>总分：</w:t>
            </w:r>
          </w:p>
        </w:tc>
        <w:tc>
          <w:tcPr>
            <w:tcW w:w="5984" w:type="dxa"/>
          </w:tcPr>
          <w:p w14:paraId="37AA6D50">
            <w:pPr>
              <w:pStyle w:val="96"/>
              <w:rPr>
                <w:rFonts w:hint="eastAsia" w:ascii="宋体" w:hAnsi="宋体" w:eastAsia="宋体" w:cs="宋体"/>
                <w:color w:val="auto"/>
                <w:sz w:val="18"/>
                <w:szCs w:val="18"/>
              </w:rPr>
            </w:pPr>
          </w:p>
        </w:tc>
        <w:tc>
          <w:tcPr>
            <w:tcW w:w="2669" w:type="dxa"/>
            <w:gridSpan w:val="4"/>
          </w:tcPr>
          <w:p w14:paraId="4C40DA93">
            <w:pPr>
              <w:pStyle w:val="96"/>
              <w:rPr>
                <w:rFonts w:hint="eastAsia" w:ascii="宋体" w:hAnsi="宋体" w:eastAsia="宋体" w:cs="宋体"/>
                <w:color w:val="auto"/>
                <w:sz w:val="18"/>
                <w:szCs w:val="18"/>
              </w:rPr>
            </w:pPr>
          </w:p>
        </w:tc>
      </w:tr>
    </w:tbl>
    <w:p w14:paraId="7A23E9A2">
      <w:pPr>
        <w:pStyle w:val="49"/>
        <w:keepNext w:val="0"/>
        <w:keepLines w:val="0"/>
        <w:pageBreakBefore w:val="0"/>
        <w:widowControl w:val="0"/>
        <w:numPr>
          <w:ilvl w:val="0"/>
          <w:numId w:val="0"/>
        </w:numPr>
        <w:tabs>
          <w:tab w:val="left" w:pos="2123"/>
        </w:tabs>
        <w:kinsoku/>
        <w:wordWrap/>
        <w:overflowPunct/>
        <w:topLinePunct w:val="0"/>
        <w:autoSpaceDE/>
        <w:autoSpaceDN/>
        <w:bidi w:val="0"/>
        <w:adjustRightInd w:val="0"/>
        <w:snapToGrid w:val="0"/>
        <w:spacing w:after="0" w:line="360" w:lineRule="auto"/>
        <w:ind w:right="0" w:rightChars="0"/>
        <w:jc w:val="left"/>
        <w:textAlignment w:val="auto"/>
        <w:rPr>
          <w:rFonts w:hint="eastAsia" w:ascii="宋体" w:hAnsi="宋体" w:eastAsia="宋体" w:cs="宋体"/>
          <w:b w:val="0"/>
          <w:bCs w:val="0"/>
          <w:color w:val="auto"/>
          <w:kern w:val="2"/>
          <w:sz w:val="28"/>
          <w:szCs w:val="28"/>
          <w:lang w:val="en-US" w:eastAsia="zh-CN" w:bidi="ar-SA"/>
        </w:rPr>
      </w:pPr>
    </w:p>
    <w:p w14:paraId="06BE115F">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340A943F">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4086C1FD">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4E194372">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611731D5">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7ACF8A20">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23A476F7">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6B799893">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46008749">
      <w:pPr>
        <w:widowControl/>
        <w:spacing w:line="360" w:lineRule="auto"/>
        <w:ind w:firstLine="723" w:firstLineChars="200"/>
        <w:jc w:val="center"/>
        <w:outlineLvl w:val="0"/>
        <w:rPr>
          <w:rFonts w:hint="eastAsia" w:ascii="宋体" w:hAnsi="宋体" w:eastAsia="宋体" w:cs="宋体"/>
          <w:b/>
          <w:bCs/>
          <w:color w:val="auto"/>
          <w:sz w:val="36"/>
          <w:szCs w:val="36"/>
          <w:highlight w:val="none"/>
        </w:rPr>
      </w:pPr>
    </w:p>
    <w:p w14:paraId="7564B23D">
      <w:pPr>
        <w:rPr>
          <w:rFonts w:hint="eastAsia" w:ascii="宋体" w:hAnsi="宋体" w:eastAsia="宋体" w:cs="宋体"/>
          <w:b/>
          <w:bCs/>
          <w:color w:val="auto"/>
          <w:sz w:val="36"/>
          <w:szCs w:val="36"/>
          <w:highlight w:val="none"/>
        </w:rPr>
      </w:pPr>
      <w:bookmarkStart w:id="80" w:name="_Toc20986"/>
      <w:r>
        <w:rPr>
          <w:rFonts w:hint="eastAsia" w:ascii="宋体" w:hAnsi="宋体" w:eastAsia="宋体" w:cs="宋体"/>
          <w:b/>
          <w:bCs/>
          <w:color w:val="auto"/>
          <w:sz w:val="36"/>
          <w:szCs w:val="36"/>
          <w:highlight w:val="none"/>
        </w:rPr>
        <w:br w:type="page"/>
      </w:r>
    </w:p>
    <w:p w14:paraId="1769D298">
      <w:pPr>
        <w:widowControl/>
        <w:spacing w:line="360" w:lineRule="auto"/>
        <w:ind w:firstLine="723" w:firstLineChars="200"/>
        <w:jc w:val="center"/>
        <w:outlineLvl w:val="0"/>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章  商务及合同主要条款</w:t>
      </w:r>
      <w:bookmarkEnd w:id="80"/>
    </w:p>
    <w:p w14:paraId="67D55A4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本表是对合同条款的具体补充和修改，如有矛盾，应以本资料表为准。</w:t>
      </w:r>
    </w:p>
    <w:tbl>
      <w:tblPr>
        <w:tblStyle w:val="30"/>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7834B7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084A3C5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8305" w:type="dxa"/>
            <w:vAlign w:val="center"/>
          </w:tcPr>
          <w:p w14:paraId="31FDAA0F">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内      容</w:t>
            </w:r>
          </w:p>
        </w:tc>
      </w:tr>
      <w:tr w14:paraId="62921B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06D462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305" w:type="dxa"/>
            <w:vAlign w:val="center"/>
          </w:tcPr>
          <w:p w14:paraId="1161A544">
            <w:pPr>
              <w:spacing w:line="500" w:lineRule="exact"/>
              <w:rPr>
                <w:rFonts w:hint="eastAsia" w:ascii="宋体" w:hAnsi="宋体" w:eastAsia="宋体" w:cs="宋体"/>
                <w:color w:val="auto"/>
                <w:kern w:val="0"/>
                <w:highlight w:val="none"/>
                <w:lang w:bidi="zh-CN"/>
              </w:rPr>
            </w:pPr>
            <w:r>
              <w:rPr>
                <w:rFonts w:hint="eastAsia" w:ascii="宋体" w:hAnsi="宋体" w:eastAsia="宋体" w:cs="宋体"/>
                <w:b/>
                <w:bCs/>
                <w:color w:val="auto"/>
                <w:highlight w:val="none"/>
              </w:rPr>
              <w:t>购人名称：</w:t>
            </w:r>
            <w:r>
              <w:rPr>
                <w:rFonts w:hint="eastAsia" w:ascii="宋体" w:hAnsi="宋体" w:eastAsia="宋体" w:cs="宋体"/>
                <w:color w:val="auto"/>
                <w:kern w:val="0"/>
                <w:highlight w:val="none"/>
                <w:lang w:bidi="zh-CN"/>
              </w:rPr>
              <w:t>西安市信访局</w:t>
            </w:r>
          </w:p>
          <w:p w14:paraId="3719E9AD">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地  址：</w:t>
            </w:r>
            <w:r>
              <w:rPr>
                <w:rFonts w:hint="eastAsia" w:ascii="宋体" w:hAnsi="宋体" w:eastAsia="宋体" w:cs="宋体"/>
                <w:color w:val="auto"/>
                <w:kern w:val="0"/>
                <w:sz w:val="24"/>
                <w:szCs w:val="24"/>
                <w:highlight w:val="none"/>
                <w:lang w:eastAsia="zh-CN"/>
              </w:rPr>
              <w:t>西安市盐店街19号</w:t>
            </w:r>
          </w:p>
        </w:tc>
      </w:tr>
      <w:tr w14:paraId="549AD6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895789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305" w:type="dxa"/>
            <w:vAlign w:val="center"/>
          </w:tcPr>
          <w:p w14:paraId="462D143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供应商（乙方）：成交人</w:t>
            </w:r>
          </w:p>
        </w:tc>
      </w:tr>
      <w:tr w14:paraId="4AF114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0E2B09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305" w:type="dxa"/>
            <w:vAlign w:val="center"/>
          </w:tcPr>
          <w:p w14:paraId="345F716E">
            <w:pPr>
              <w:adjustRightInd w:val="0"/>
              <w:snapToGrid w:val="0"/>
              <w:spacing w:line="4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w:t>
            </w:r>
            <w:r>
              <w:rPr>
                <w:rFonts w:hint="eastAsia" w:ascii="宋体" w:hAnsi="宋体" w:eastAsia="宋体" w:cs="宋体"/>
                <w:color w:val="auto"/>
                <w:sz w:val="22"/>
                <w:highlight w:val="none"/>
                <w:lang w:val="en-US" w:eastAsia="zh-CN"/>
              </w:rPr>
              <w:t>合同签订后一年</w:t>
            </w:r>
            <w:r>
              <w:rPr>
                <w:rFonts w:hint="eastAsia" w:ascii="宋体" w:hAnsi="宋体" w:eastAsia="宋体" w:cs="宋体"/>
                <w:color w:val="auto"/>
                <w:sz w:val="22"/>
                <w:highlight w:val="none"/>
              </w:rPr>
              <w:t>。</w:t>
            </w:r>
          </w:p>
        </w:tc>
      </w:tr>
      <w:tr w14:paraId="347C5D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B7F22C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305" w:type="dxa"/>
            <w:vAlign w:val="center"/>
          </w:tcPr>
          <w:p w14:paraId="17C1EB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1.合同总价即成交价，磋商供应商应在报价表中标明完成本次磋商所要求责任范围和合同条件进行报价。磋商报价是指完成本项目的所有费用。</w:t>
            </w:r>
          </w:p>
          <w:p w14:paraId="26D1EB1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2.合同总价一次包死，不受市场价变化或实际工作量变化的影响。</w:t>
            </w:r>
          </w:p>
          <w:p w14:paraId="660662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3.付款方式和程序：</w:t>
            </w:r>
          </w:p>
          <w:p w14:paraId="0B91D4D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（1）1.结算单位：银行转账，由采购人负责结算。在付款前，供应商必须开具与合同金额相应的发票给采购人。</w:t>
            </w:r>
          </w:p>
          <w:p w14:paraId="092E8DD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（2）付款方式：</w:t>
            </w:r>
          </w:p>
          <w:p w14:paraId="712FA7F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合同签订后付合同总价款的50%，服务期半年后支付合同剩余价款50%</w:t>
            </w:r>
            <w:r>
              <w:rPr>
                <w:rFonts w:hint="eastAsia" w:ascii="宋体" w:hAnsi="宋体" w:eastAsia="宋体" w:cs="宋体"/>
                <w:color w:val="auto"/>
                <w:highlight w:val="none"/>
              </w:rPr>
              <w:t>。</w:t>
            </w:r>
          </w:p>
        </w:tc>
      </w:tr>
      <w:tr w14:paraId="703BA8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07160A4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305" w:type="dxa"/>
            <w:vAlign w:val="center"/>
          </w:tcPr>
          <w:p w14:paraId="5F6543DD">
            <w:pPr>
              <w:tabs>
                <w:tab w:val="left" w:pos="1746"/>
                <w:tab w:val="left" w:pos="3570"/>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合作方式</w:t>
            </w:r>
            <w:r>
              <w:rPr>
                <w:rFonts w:hint="eastAsia" w:ascii="宋体" w:hAnsi="宋体" w:eastAsia="宋体" w:cs="宋体"/>
                <w:color w:val="auto"/>
                <w:sz w:val="24"/>
                <w:szCs w:val="24"/>
                <w:highlight w:val="none"/>
                <w:lang w:eastAsia="zh-CN"/>
              </w:rPr>
              <w:t>：</w:t>
            </w:r>
          </w:p>
          <w:p w14:paraId="73417A7B">
            <w:pPr>
              <w:tabs>
                <w:tab w:val="left" w:pos="1746"/>
                <w:tab w:val="left" w:pos="3570"/>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（1）由甲方按本合同约定向乙方支付承包费用；</w:t>
            </w:r>
          </w:p>
          <w:p w14:paraId="09EF7852">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（2）餐厅整体运营工作乙方全部负责，由乙方负责餐厅人员招聘、</w:t>
            </w:r>
            <w:r>
              <w:rPr>
                <w:rFonts w:hint="eastAsia" w:ascii="宋体" w:hAnsi="宋体" w:eastAsia="宋体" w:cs="宋体"/>
                <w:color w:val="auto"/>
                <w:sz w:val="24"/>
                <w:szCs w:val="24"/>
                <w:highlight w:val="none"/>
              </w:rPr>
              <w:t>录用、低值易耗品及日常行政管理等具体运营工作，甲方指派一名监管人员与乙方餐厅负责人对接日常工作事务。</w:t>
            </w:r>
          </w:p>
        </w:tc>
      </w:tr>
      <w:tr w14:paraId="16F66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7EA476D4">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8305" w:type="dxa"/>
            <w:vAlign w:val="center"/>
          </w:tcPr>
          <w:p w14:paraId="73E80F7D">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局级餐厅（早餐：菜品不少于 6 种，其中半荤菜不少于 1 种；开口小菜不少于4种；稀饭不少于 2 种；奶制品不少 1 种；主食不少于4种；鸡蛋（蒸煮或煎）；豆浆或豆腐脑。能够满足部分回民饮食习惯。午餐：菜品不少于6 种，其中主荤 1 种，半荤 2 种，素菜 4 种；开口小菜不少于 4种；小吃不少于4种；主食不少于 3 种；水果不少于 1 种、汤品不少于 2 种（一荤一素）；酸奶。能够满足部分回民饮食习惯。晚餐：根据采购方需要提供。</w:t>
            </w:r>
            <w:r>
              <w:rPr>
                <w:rFonts w:hint="eastAsia" w:ascii="宋体" w:hAnsi="宋体" w:eastAsia="宋体" w:cs="宋体"/>
                <w:kern w:val="2"/>
                <w:sz w:val="24"/>
                <w:szCs w:val="24"/>
                <w:vertAlign w:val="baseline"/>
                <w:lang w:val="en-US" w:eastAsia="zh-CN" w:bidi="ar-SA"/>
              </w:rPr>
              <w:t>实行工作日正常供餐和采购方要求桌餐或指定时间供餐，供餐模式为自助式供餐，桌餐：按采购方指定菜品供餐</w:t>
            </w:r>
            <w:r>
              <w:rPr>
                <w:rFonts w:hint="eastAsia" w:cs="宋体"/>
                <w:kern w:val="2"/>
                <w:sz w:val="24"/>
                <w:szCs w:val="24"/>
                <w:vertAlign w:val="baseline"/>
                <w:lang w:val="en-US" w:eastAsia="zh-CN" w:bidi="ar-SA"/>
              </w:rPr>
              <w:t>。</w:t>
            </w:r>
            <w:r>
              <w:rPr>
                <w:rFonts w:hint="eastAsia" w:ascii="宋体" w:hAnsi="宋体" w:eastAsia="宋体" w:cs="宋体"/>
                <w:color w:val="auto"/>
                <w:highlight w:val="none"/>
              </w:rPr>
              <w:t>）</w:t>
            </w:r>
          </w:p>
          <w:p w14:paraId="5AFD9467">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干部餐厅（早餐：菜品不少于4种；馒头、包子、花卷、油饼、油条等主食不少于 4 种；稀饭、豆腐脑、油茶等汤品类主食不少于 3种；酸奶（或牛奶） 和鸡蛋为除主副食之外的每日早餐标配；午餐：菜品不少于 5种，其中主荤主菜 1 种、半荤菜品 2 种、素菜 2 种；小吃和面食必须搭配开口菜和杂粮，开口菜数量不少于2种；杂粮数量不少于 2 种；餐厅免费供应的米饭品种不少于 2 种； 汤品品种不少于 1 种；水果 1 种为每日中餐标配。晚餐：根据采购方需要提供。</w:t>
            </w:r>
            <w:r>
              <w:rPr>
                <w:rFonts w:hint="eastAsia" w:ascii="宋体" w:hAnsi="宋体" w:eastAsia="宋体" w:cs="宋体"/>
                <w:kern w:val="2"/>
                <w:sz w:val="24"/>
                <w:szCs w:val="24"/>
                <w:vertAlign w:val="baseline"/>
                <w:lang w:val="en-US" w:eastAsia="zh-CN" w:bidi="ar-SA"/>
              </w:rPr>
              <w:t>实行工作</w:t>
            </w:r>
            <w:r>
              <w:rPr>
                <w:rFonts w:hint="eastAsia" w:cs="宋体"/>
                <w:kern w:val="2"/>
                <w:sz w:val="24"/>
                <w:szCs w:val="24"/>
                <w:vertAlign w:val="baseline"/>
                <w:lang w:val="en-US" w:eastAsia="zh-CN" w:bidi="ar-SA"/>
              </w:rPr>
              <w:t>日</w:t>
            </w:r>
            <w:r>
              <w:rPr>
                <w:rFonts w:hint="eastAsia" w:ascii="宋体" w:hAnsi="宋体" w:eastAsia="宋体" w:cs="宋体"/>
                <w:kern w:val="2"/>
                <w:sz w:val="24"/>
                <w:szCs w:val="24"/>
                <w:vertAlign w:val="baseline"/>
                <w:lang w:val="en-US" w:eastAsia="zh-CN" w:bidi="ar-SA"/>
              </w:rPr>
              <w:t>正常供餐</w:t>
            </w:r>
            <w:r>
              <w:rPr>
                <w:rFonts w:hint="eastAsia" w:cs="宋体"/>
                <w:kern w:val="2"/>
                <w:sz w:val="24"/>
                <w:szCs w:val="24"/>
                <w:vertAlign w:val="baseline"/>
                <w:lang w:val="en-US" w:eastAsia="zh-CN" w:bidi="ar-SA"/>
              </w:rPr>
              <w:t>、少数接待用餐及节假日采购方要求供餐。</w:t>
            </w:r>
            <w:r>
              <w:rPr>
                <w:rFonts w:hint="eastAsia" w:ascii="宋体" w:hAnsi="宋体" w:eastAsia="宋体" w:cs="宋体"/>
                <w:color w:val="auto"/>
                <w:highlight w:val="none"/>
              </w:rPr>
              <w:t>）</w:t>
            </w:r>
          </w:p>
          <w:p w14:paraId="5AF4DD27">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接待餐标准：主要用于公务接待餐和工作餐。开餐标准根据甲方提供的餐标制定。</w:t>
            </w:r>
          </w:p>
          <w:p w14:paraId="4AB01686">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文化建设：传统节日的特色食品及加餐。</w:t>
            </w:r>
          </w:p>
          <w:p w14:paraId="4CB02104">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注：所供应食品质量、种类只能比以上标准高、多，不能低、少。</w:t>
            </w:r>
          </w:p>
        </w:tc>
      </w:tr>
      <w:tr w14:paraId="5E9DF0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45E8230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8305" w:type="dxa"/>
            <w:vAlign w:val="center"/>
          </w:tcPr>
          <w:p w14:paraId="1096B305">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验收方式及验收依据：</w:t>
            </w:r>
          </w:p>
          <w:p w14:paraId="2DDD3923">
            <w:pPr>
              <w:spacing w:line="360" w:lineRule="auto"/>
              <w:ind w:left="17" w:hanging="16" w:hangingChars="7"/>
              <w:rPr>
                <w:rFonts w:hint="eastAsia" w:ascii="宋体" w:hAnsi="宋体" w:eastAsia="宋体" w:cs="宋体"/>
                <w:color w:val="auto"/>
                <w:highlight w:val="none"/>
              </w:rPr>
            </w:pPr>
            <w:r>
              <w:rPr>
                <w:rFonts w:hint="eastAsia" w:ascii="宋体" w:hAnsi="宋体" w:eastAsia="宋体" w:cs="宋体"/>
                <w:color w:val="auto"/>
                <w:highlight w:val="none"/>
              </w:rPr>
              <w:t>（1）由供应商进行自检合格后，准备验收文件，并书面通知采购人。</w:t>
            </w:r>
          </w:p>
          <w:p w14:paraId="5E72A247">
            <w:pPr>
              <w:spacing w:line="360" w:lineRule="auto"/>
              <w:ind w:left="17" w:hanging="16" w:hangingChars="7"/>
              <w:rPr>
                <w:rFonts w:hint="eastAsia" w:ascii="宋体" w:hAnsi="宋体" w:eastAsia="宋体" w:cs="宋体"/>
                <w:color w:val="auto"/>
                <w:highlight w:val="none"/>
              </w:rPr>
            </w:pPr>
            <w:r>
              <w:rPr>
                <w:rFonts w:hint="eastAsia" w:ascii="宋体" w:hAnsi="宋体" w:eastAsia="宋体" w:cs="宋体"/>
                <w:color w:val="auto"/>
                <w:highlight w:val="none"/>
              </w:rPr>
              <w:t>（2）采购人确认供应商设备能够达到采购要求后，组织供应商（必要时请有关专家）进行项目验收，验收合格后，填写项目验收单作为对项目的最终认可。</w:t>
            </w:r>
          </w:p>
          <w:p w14:paraId="2D338587">
            <w:pPr>
              <w:spacing w:line="360" w:lineRule="auto"/>
              <w:ind w:left="17" w:hanging="16" w:hangingChars="7"/>
              <w:rPr>
                <w:rFonts w:hint="eastAsia" w:ascii="宋体" w:hAnsi="宋体" w:eastAsia="宋体" w:cs="宋体"/>
                <w:color w:val="auto"/>
                <w:highlight w:val="none"/>
              </w:rPr>
            </w:pPr>
            <w:r>
              <w:rPr>
                <w:rFonts w:hint="eastAsia" w:ascii="宋体" w:hAnsi="宋体" w:eastAsia="宋体" w:cs="宋体"/>
                <w:color w:val="auto"/>
                <w:highlight w:val="none"/>
              </w:rPr>
              <w:t>（3）供应商向采购人提交项目实施过程中的所有资料,以便采购人日后管理和维护该项目。</w:t>
            </w:r>
          </w:p>
          <w:p w14:paraId="06065E83">
            <w:pPr>
              <w:spacing w:line="360" w:lineRule="auto"/>
              <w:ind w:left="17" w:hanging="16" w:hangingChars="7"/>
              <w:rPr>
                <w:rFonts w:hint="eastAsia" w:ascii="宋体" w:hAnsi="宋体" w:eastAsia="宋体" w:cs="宋体"/>
                <w:color w:val="auto"/>
                <w:highlight w:val="none"/>
              </w:rPr>
            </w:pPr>
            <w:r>
              <w:rPr>
                <w:rFonts w:hint="eastAsia" w:ascii="宋体" w:hAnsi="宋体" w:eastAsia="宋体" w:cs="宋体"/>
                <w:color w:val="auto"/>
                <w:highlight w:val="none"/>
              </w:rPr>
              <w:t>（4）验收依据</w:t>
            </w:r>
          </w:p>
          <w:p w14:paraId="4CF5F370">
            <w:pPr>
              <w:spacing w:line="360" w:lineRule="auto"/>
              <w:ind w:left="17" w:hanging="16" w:hangingChars="7"/>
              <w:rPr>
                <w:rFonts w:hint="eastAsia" w:ascii="宋体" w:hAnsi="宋体" w:eastAsia="宋体" w:cs="宋体"/>
                <w:color w:val="auto"/>
                <w:highlight w:val="none"/>
              </w:rPr>
            </w:pPr>
            <w:r>
              <w:rPr>
                <w:rFonts w:hint="eastAsia" w:ascii="宋体" w:hAnsi="宋体" w:eastAsia="宋体" w:cs="宋体"/>
                <w:color w:val="auto"/>
                <w:highlight w:val="none"/>
              </w:rPr>
              <w:t>①竞争性磋商文件、磋商响应文件、澄清表（函）；</w:t>
            </w:r>
          </w:p>
          <w:p w14:paraId="51FE3D9C">
            <w:pPr>
              <w:spacing w:line="360" w:lineRule="auto"/>
              <w:ind w:left="17" w:hanging="16" w:hangingChars="7"/>
              <w:rPr>
                <w:rFonts w:hint="eastAsia" w:ascii="宋体" w:hAnsi="宋体" w:eastAsia="宋体" w:cs="宋体"/>
                <w:color w:val="auto"/>
                <w:highlight w:val="none"/>
              </w:rPr>
            </w:pPr>
            <w:r>
              <w:rPr>
                <w:rFonts w:hint="eastAsia" w:ascii="宋体" w:hAnsi="宋体" w:eastAsia="宋体" w:cs="宋体"/>
                <w:color w:val="auto"/>
                <w:highlight w:val="none"/>
              </w:rPr>
              <w:t>②本合同及附件文本；</w:t>
            </w:r>
          </w:p>
          <w:p w14:paraId="45C30B1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③国家相应的标准、规范。</w:t>
            </w:r>
          </w:p>
        </w:tc>
      </w:tr>
      <w:tr w14:paraId="1A127B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182E0E0C">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8305" w:type="dxa"/>
            <w:vAlign w:val="center"/>
          </w:tcPr>
          <w:p w14:paraId="7019D3C6">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违约责任：</w:t>
            </w:r>
          </w:p>
          <w:p w14:paraId="7E858719">
            <w:pPr>
              <w:spacing w:line="360" w:lineRule="auto"/>
              <w:ind w:left="360" w:hanging="360" w:hangingChars="15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（1）按《</w:t>
            </w:r>
            <w:r>
              <w:rPr>
                <w:rFonts w:hint="eastAsia" w:ascii="宋体" w:hAnsi="宋体" w:eastAsia="宋体" w:cs="宋体"/>
                <w:color w:val="auto"/>
                <w:highlight w:val="none"/>
              </w:rPr>
              <w:t>民法典</w:t>
            </w:r>
            <w:r>
              <w:rPr>
                <w:rFonts w:hint="eastAsia" w:ascii="宋体" w:hAnsi="宋体" w:eastAsia="宋体" w:cs="宋体"/>
                <w:color w:val="auto"/>
                <w:highlight w:val="none"/>
                <w:lang w:val="zh-CN"/>
              </w:rPr>
              <w:t>》中的相关条款执行。</w:t>
            </w:r>
          </w:p>
          <w:p w14:paraId="147EBD46">
            <w:pPr>
              <w:spacing w:line="360" w:lineRule="auto"/>
              <w:ind w:left="360" w:hanging="360" w:hangingChars="15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（2）未按合同要求提供的服务，采购人会同招标组织机构有权终止合同和对供应商的违约行为进行追究。</w:t>
            </w:r>
          </w:p>
          <w:p w14:paraId="5C3AA270">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lang w:val="zh-CN"/>
              </w:rPr>
              <w:t>（3）乙方不能按期完成工作任务，乙方须按甲方已支付金额的双倍金额，返还于甲方，作为赔偿。如因甲方原因导致产品不能按计划完成，乙方不用承担赔偿责任。</w:t>
            </w:r>
          </w:p>
        </w:tc>
      </w:tr>
    </w:tbl>
    <w:p w14:paraId="36260D4F">
      <w:pPr>
        <w:pStyle w:val="4"/>
        <w:jc w:val="both"/>
        <w:rPr>
          <w:rFonts w:hint="eastAsia" w:ascii="宋体" w:hAnsi="宋体" w:eastAsia="宋体" w:cs="宋体"/>
          <w:color w:val="auto"/>
          <w:sz w:val="36"/>
          <w:szCs w:val="36"/>
          <w:highlight w:val="none"/>
        </w:rPr>
      </w:pPr>
    </w:p>
    <w:p w14:paraId="10D1BCED">
      <w:pPr>
        <w:rPr>
          <w:rFonts w:hint="eastAsia" w:ascii="宋体" w:hAnsi="宋体" w:eastAsia="宋体" w:cs="宋体"/>
          <w:color w:val="auto"/>
          <w:highlight w:val="none"/>
        </w:rPr>
      </w:pPr>
    </w:p>
    <w:p w14:paraId="3FE21F5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2825474">
      <w:pPr>
        <w:rPr>
          <w:rFonts w:hint="eastAsia" w:ascii="宋体" w:hAnsi="宋体" w:eastAsia="宋体" w:cs="宋体"/>
          <w:color w:val="auto"/>
          <w:sz w:val="22"/>
          <w:szCs w:val="28"/>
          <w:highlight w:val="none"/>
        </w:rPr>
      </w:pPr>
    </w:p>
    <w:p w14:paraId="6F18A609">
      <w:pPr>
        <w:jc w:val="left"/>
        <w:rPr>
          <w:rFonts w:hint="eastAsia" w:ascii="宋体" w:hAnsi="宋体" w:eastAsia="宋体" w:cs="宋体"/>
          <w:b/>
          <w:bCs/>
          <w:color w:val="auto"/>
          <w:sz w:val="30"/>
          <w:szCs w:val="30"/>
          <w:highlight w:val="none"/>
        </w:rPr>
      </w:pPr>
      <w:bookmarkStart w:id="81" w:name="_Toc27511"/>
      <w:bookmarkStart w:id="82" w:name="_Toc23166"/>
      <w:r>
        <w:rPr>
          <w:rFonts w:hint="eastAsia" w:ascii="宋体" w:hAnsi="宋体" w:eastAsia="宋体" w:cs="宋体"/>
          <w:b/>
          <w:bCs/>
          <w:color w:val="auto"/>
          <w:sz w:val="30"/>
          <w:szCs w:val="30"/>
          <w:highlight w:val="none"/>
        </w:rPr>
        <w:t>政府采购合同                        合同编号：</w:t>
      </w:r>
    </w:p>
    <w:p w14:paraId="1E71CED5">
      <w:pPr>
        <w:pStyle w:val="2"/>
        <w:rPr>
          <w:rFonts w:hint="eastAsia" w:ascii="宋体" w:hAnsi="宋体" w:eastAsia="宋体" w:cs="宋体"/>
          <w:b/>
          <w:bCs/>
          <w:color w:val="auto"/>
          <w:sz w:val="30"/>
          <w:szCs w:val="30"/>
          <w:highlight w:val="none"/>
        </w:rPr>
      </w:pPr>
    </w:p>
    <w:p w14:paraId="7A582E3E">
      <w:pPr>
        <w:pStyle w:val="2"/>
        <w:rPr>
          <w:rFonts w:hint="eastAsia" w:ascii="宋体" w:hAnsi="宋体" w:eastAsia="宋体" w:cs="宋体"/>
          <w:b/>
          <w:bCs/>
          <w:color w:val="auto"/>
          <w:sz w:val="30"/>
          <w:szCs w:val="30"/>
          <w:highlight w:val="none"/>
        </w:rPr>
      </w:pPr>
    </w:p>
    <w:p w14:paraId="0AE68CF6">
      <w:pPr>
        <w:pStyle w:val="2"/>
        <w:rPr>
          <w:rFonts w:hint="eastAsia" w:ascii="宋体" w:hAnsi="宋体" w:eastAsia="宋体" w:cs="宋体"/>
          <w:color w:val="auto"/>
          <w:highlight w:val="none"/>
        </w:rPr>
      </w:pPr>
    </w:p>
    <w:p w14:paraId="2F116576">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u w:val="single"/>
        </w:rPr>
        <w:t xml:space="preserve">                           </w:t>
      </w:r>
      <w:r>
        <w:rPr>
          <w:rFonts w:hint="eastAsia" w:ascii="宋体" w:hAnsi="宋体" w:eastAsia="宋体" w:cs="宋体"/>
          <w:b/>
          <w:bCs/>
          <w:color w:val="auto"/>
          <w:sz w:val="44"/>
          <w:szCs w:val="44"/>
          <w:highlight w:val="none"/>
        </w:rPr>
        <w:t>采购项目</w:t>
      </w:r>
    </w:p>
    <w:p w14:paraId="313EB9B1">
      <w:pPr>
        <w:rPr>
          <w:rFonts w:hint="eastAsia" w:ascii="宋体" w:hAnsi="宋体" w:eastAsia="宋体" w:cs="宋体"/>
          <w:color w:val="auto"/>
          <w:highlight w:val="none"/>
        </w:rPr>
      </w:pPr>
    </w:p>
    <w:p w14:paraId="6649A759">
      <w:pPr>
        <w:rPr>
          <w:rFonts w:hint="eastAsia" w:ascii="宋体" w:hAnsi="宋体" w:eastAsia="宋体" w:cs="宋体"/>
          <w:color w:val="auto"/>
          <w:highlight w:val="none"/>
        </w:rPr>
      </w:pPr>
    </w:p>
    <w:p w14:paraId="402153D5">
      <w:pPr>
        <w:pStyle w:val="2"/>
        <w:rPr>
          <w:rFonts w:hint="eastAsia" w:ascii="宋体" w:hAnsi="宋体" w:eastAsia="宋体" w:cs="宋体"/>
          <w:color w:val="auto"/>
          <w:highlight w:val="none"/>
        </w:rPr>
      </w:pPr>
    </w:p>
    <w:p w14:paraId="0CFF3D82">
      <w:pPr>
        <w:pStyle w:val="2"/>
        <w:rPr>
          <w:rFonts w:hint="eastAsia" w:ascii="宋体" w:hAnsi="宋体" w:eastAsia="宋体" w:cs="宋体"/>
          <w:color w:val="auto"/>
          <w:highlight w:val="none"/>
        </w:rPr>
      </w:pPr>
    </w:p>
    <w:p w14:paraId="07BD7669">
      <w:pPr>
        <w:rPr>
          <w:rFonts w:hint="eastAsia" w:ascii="宋体" w:hAnsi="宋体" w:eastAsia="宋体" w:cs="宋体"/>
          <w:color w:val="auto"/>
          <w:highlight w:val="none"/>
        </w:rPr>
      </w:pPr>
    </w:p>
    <w:p w14:paraId="5825E7B8">
      <w:pPr>
        <w:rPr>
          <w:rFonts w:hint="eastAsia" w:ascii="宋体" w:hAnsi="宋体" w:eastAsia="宋体" w:cs="宋体"/>
          <w:color w:val="auto"/>
          <w:highlight w:val="none"/>
        </w:rPr>
      </w:pPr>
    </w:p>
    <w:p w14:paraId="1D8D11D4">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（示范文本仅供参考）</w:t>
      </w:r>
    </w:p>
    <w:p w14:paraId="63D98708">
      <w:pPr>
        <w:jc w:val="center"/>
        <w:rPr>
          <w:rFonts w:hint="eastAsia" w:ascii="宋体" w:hAnsi="宋体" w:eastAsia="宋体" w:cs="宋体"/>
          <w:b/>
          <w:color w:val="auto"/>
          <w:sz w:val="36"/>
          <w:szCs w:val="36"/>
          <w:highlight w:val="none"/>
        </w:rPr>
      </w:pPr>
    </w:p>
    <w:p w14:paraId="29CB03A3">
      <w:pPr>
        <w:jc w:val="center"/>
        <w:rPr>
          <w:rFonts w:hint="eastAsia" w:ascii="宋体" w:hAnsi="宋体" w:eastAsia="宋体" w:cs="宋体"/>
          <w:b/>
          <w:color w:val="auto"/>
          <w:sz w:val="36"/>
          <w:szCs w:val="36"/>
          <w:highlight w:val="none"/>
        </w:rPr>
      </w:pPr>
    </w:p>
    <w:p w14:paraId="3F8DB5DA">
      <w:pPr>
        <w:jc w:val="center"/>
        <w:rPr>
          <w:rFonts w:hint="eastAsia" w:ascii="宋体" w:hAnsi="宋体" w:eastAsia="宋体" w:cs="宋体"/>
          <w:b/>
          <w:color w:val="auto"/>
          <w:sz w:val="36"/>
          <w:szCs w:val="36"/>
          <w:highlight w:val="none"/>
        </w:rPr>
      </w:pPr>
    </w:p>
    <w:p w14:paraId="27B22DFD">
      <w:pPr>
        <w:jc w:val="center"/>
        <w:rPr>
          <w:rFonts w:hint="eastAsia" w:ascii="宋体" w:hAnsi="宋体" w:eastAsia="宋体" w:cs="宋体"/>
          <w:b/>
          <w:color w:val="auto"/>
          <w:sz w:val="36"/>
          <w:szCs w:val="36"/>
          <w:highlight w:val="none"/>
        </w:rPr>
      </w:pPr>
    </w:p>
    <w:p w14:paraId="6FE402D6">
      <w:pPr>
        <w:jc w:val="center"/>
        <w:rPr>
          <w:rFonts w:hint="eastAsia" w:ascii="宋体" w:hAnsi="宋体" w:eastAsia="宋体" w:cs="宋体"/>
          <w:b/>
          <w:color w:val="auto"/>
          <w:sz w:val="36"/>
          <w:szCs w:val="36"/>
          <w:highlight w:val="none"/>
        </w:rPr>
      </w:pPr>
    </w:p>
    <w:p w14:paraId="3C779164">
      <w:pPr>
        <w:rPr>
          <w:rFonts w:hint="eastAsia" w:ascii="宋体" w:hAnsi="宋体" w:eastAsia="宋体" w:cs="宋体"/>
          <w:b/>
          <w:color w:val="auto"/>
          <w:sz w:val="36"/>
          <w:szCs w:val="36"/>
          <w:highlight w:val="none"/>
        </w:rPr>
      </w:pPr>
    </w:p>
    <w:p w14:paraId="281888C2">
      <w:pPr>
        <w:spacing w:before="158" w:beforeLines="50" w:line="360" w:lineRule="auto"/>
        <w:rPr>
          <w:rFonts w:hint="eastAsia" w:ascii="宋体" w:hAnsi="宋体" w:eastAsia="宋体" w:cs="宋体"/>
          <w:bCs/>
          <w:color w:val="auto"/>
          <w:sz w:val="48"/>
          <w:szCs w:val="48"/>
          <w:highlight w:val="none"/>
        </w:rPr>
      </w:pPr>
    </w:p>
    <w:p w14:paraId="47964723">
      <w:pPr>
        <w:spacing w:before="158" w:beforeLines="50" w:line="360" w:lineRule="auto"/>
        <w:ind w:firstLine="1584" w:firstLineChars="493"/>
        <w:jc w:val="left"/>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eastAsia="宋体" w:cs="宋体"/>
          <w:color w:val="auto"/>
          <w:sz w:val="32"/>
          <w:szCs w:val="32"/>
          <w:highlight w:val="none"/>
          <w:u w:val="single"/>
        </w:rPr>
        <w:t xml:space="preserve">                     </w:t>
      </w:r>
    </w:p>
    <w:p w14:paraId="5DA08AB1">
      <w:pPr>
        <w:spacing w:before="158" w:beforeLines="50" w:line="360" w:lineRule="auto"/>
        <w:ind w:firstLine="1584" w:firstLineChars="493"/>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b/>
          <w:bCs/>
          <w:color w:val="auto"/>
          <w:sz w:val="32"/>
          <w:szCs w:val="32"/>
          <w:highlight w:val="none"/>
        </w:rPr>
        <w:t xml:space="preserve">        </w:t>
      </w:r>
    </w:p>
    <w:p w14:paraId="51F05BD3">
      <w:pPr>
        <w:pStyle w:val="2"/>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6"/>
          <w:szCs w:val="36"/>
          <w:highlight w:val="none"/>
        </w:rPr>
        <w:br w:type="page"/>
      </w:r>
    </w:p>
    <w:p w14:paraId="0E7A981D">
      <w:pPr>
        <w:spacing w:before="158"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0"/>
          <w:szCs w:val="30"/>
          <w:highlight w:val="none"/>
        </w:rPr>
        <w:t>第一部分  协议书</w:t>
      </w:r>
    </w:p>
    <w:p w14:paraId="67586329">
      <w:pPr>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采购人（甲方）：</w:t>
      </w:r>
      <w:r>
        <w:rPr>
          <w:rFonts w:hint="eastAsia" w:ascii="宋体" w:hAnsi="宋体" w:eastAsia="宋体" w:cs="宋体"/>
          <w:b/>
          <w:color w:val="auto"/>
          <w:highlight w:val="none"/>
          <w:u w:val="single"/>
        </w:rPr>
        <w:t xml:space="preserve">                                  </w:t>
      </w:r>
    </w:p>
    <w:p w14:paraId="5A0C1D5E">
      <w:pPr>
        <w:adjustRightInd w:val="0"/>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供应商（乙方）：</w:t>
      </w:r>
      <w:r>
        <w:rPr>
          <w:rFonts w:hint="eastAsia" w:ascii="宋体" w:hAnsi="宋体" w:eastAsia="宋体" w:cs="宋体"/>
          <w:b/>
          <w:color w:val="auto"/>
          <w:highlight w:val="none"/>
          <w:u w:val="single"/>
        </w:rPr>
        <w:t xml:space="preserve">                                  </w:t>
      </w:r>
    </w:p>
    <w:p w14:paraId="4C96C76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》及其他法律、法规的有关规定，甲乙双方经友好协商，本着互惠互利、平等自愿的原则，就乙方承包甲方职工食堂的</w:t>
      </w:r>
      <w:r>
        <w:rPr>
          <w:rFonts w:hint="eastAsia" w:ascii="宋体" w:hAnsi="宋体" w:eastAsia="宋体" w:cs="宋体"/>
          <w:color w:val="auto"/>
          <w:sz w:val="24"/>
          <w:szCs w:val="24"/>
          <w:highlight w:val="none"/>
          <w:lang w:eastAsia="zh-CN"/>
        </w:rPr>
        <w:t>劳务外包</w:t>
      </w:r>
      <w:r>
        <w:rPr>
          <w:rFonts w:hint="eastAsia" w:ascii="宋体" w:hAnsi="宋体" w:eastAsia="宋体" w:cs="宋体"/>
          <w:color w:val="auto"/>
          <w:sz w:val="24"/>
          <w:szCs w:val="24"/>
          <w:highlight w:val="none"/>
        </w:rPr>
        <w:t>项目，达成如下</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，由双方共同遵守执行。</w:t>
      </w:r>
    </w:p>
    <w:p w14:paraId="0EDB54B8">
      <w:pPr>
        <w:tabs>
          <w:tab w:val="left" w:pos="1746"/>
          <w:tab w:val="left" w:pos="357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758675EB">
      <w:pPr>
        <w:tabs>
          <w:tab w:val="left" w:pos="1746"/>
          <w:tab w:val="left" w:pos="3570"/>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val="en-US" w:eastAsia="zh-CN"/>
        </w:rPr>
        <w:t xml:space="preserve">                                      </w:t>
      </w:r>
    </w:p>
    <w:p w14:paraId="4FCB7EB2">
      <w:pPr>
        <w:tabs>
          <w:tab w:val="left" w:pos="1746"/>
          <w:tab w:val="left" w:pos="3570"/>
        </w:tabs>
        <w:spacing w:line="360" w:lineRule="auto"/>
        <w:ind w:left="480" w:leftChars="20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2.项目概况：西安市信访局2025年度餐饮服务，餐饮服务内容包含：局级餐厅1个，干部职工餐厅1个，共2个餐厅，满足西安市信访局全体150余职工早、中（晚餐视情况而定）就餐需求。</w:t>
      </w:r>
    </w:p>
    <w:p w14:paraId="3DD70A34">
      <w:pPr>
        <w:tabs>
          <w:tab w:val="left" w:pos="1746"/>
          <w:tab w:val="left" w:pos="3570"/>
        </w:tabs>
        <w:spacing w:line="360" w:lineRule="auto"/>
        <w:ind w:left="480" w:leftChars="20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3.项目用途：机关员工就餐</w:t>
      </w:r>
    </w:p>
    <w:p w14:paraId="33E9E273">
      <w:pPr>
        <w:tabs>
          <w:tab w:val="left" w:pos="1746"/>
          <w:tab w:val="left" w:pos="357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4.服务期限：自合同签订后1年</w:t>
      </w:r>
    </w:p>
    <w:p w14:paraId="0C709D40">
      <w:pPr>
        <w:tabs>
          <w:tab w:val="left" w:pos="1746"/>
          <w:tab w:val="left" w:pos="357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5.服务地点：采购人指定地点 </w:t>
      </w:r>
    </w:p>
    <w:p w14:paraId="20C71556">
      <w:pPr>
        <w:numPr>
          <w:ilvl w:val="0"/>
          <w:numId w:val="0"/>
        </w:numPr>
        <w:tabs>
          <w:tab w:val="left" w:pos="1746"/>
          <w:tab w:val="left" w:pos="357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就餐模式及餐标</w:t>
      </w:r>
    </w:p>
    <w:p w14:paraId="6A10B66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1、供餐时间</w:t>
      </w:r>
    </w:p>
    <w:p w14:paraId="1D8B06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早餐：08：00 - 0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p w14:paraId="432C83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午餐：11：40 - 13：00</w:t>
      </w:r>
    </w:p>
    <w:p w14:paraId="6E525D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晚餐：18：00 - 19：00 </w:t>
      </w:r>
    </w:p>
    <w:p w14:paraId="784762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就餐形式：</w:t>
      </w:r>
      <w:r>
        <w:rPr>
          <w:rFonts w:hint="eastAsia" w:ascii="宋体" w:hAnsi="宋体" w:eastAsia="宋体" w:cs="宋体"/>
          <w:color w:val="auto"/>
          <w:sz w:val="24"/>
          <w:szCs w:val="24"/>
          <w:highlight w:val="none"/>
        </w:rPr>
        <w:t>餐厅为分餐形式，按需供应，在规定的开饭时间内供应不脱销、不断档。</w:t>
      </w:r>
    </w:p>
    <w:p w14:paraId="194B3F7A">
      <w:pPr>
        <w:tabs>
          <w:tab w:val="left" w:pos="1746"/>
          <w:tab w:val="left" w:pos="357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、合作方式</w:t>
      </w:r>
      <w:r>
        <w:rPr>
          <w:rFonts w:hint="eastAsia" w:ascii="宋体" w:hAnsi="宋体" w:eastAsia="宋体" w:cs="宋体"/>
          <w:color w:val="auto"/>
          <w:sz w:val="24"/>
          <w:szCs w:val="24"/>
          <w:highlight w:val="none"/>
          <w:lang w:eastAsia="zh-CN"/>
        </w:rPr>
        <w:t>：</w:t>
      </w:r>
    </w:p>
    <w:p w14:paraId="33F2B2AA">
      <w:pPr>
        <w:tabs>
          <w:tab w:val="left" w:pos="1746"/>
          <w:tab w:val="left" w:pos="357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（1）由甲方按本合同约定向乙方支付承包费用；</w:t>
      </w:r>
    </w:p>
    <w:p w14:paraId="19E137BF">
      <w:pPr>
        <w:tabs>
          <w:tab w:val="left" w:pos="1746"/>
          <w:tab w:val="left" w:pos="357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（2）餐厅整体运营工作乙方全部负责，由乙方负责餐厅人员招聘、</w:t>
      </w:r>
      <w:r>
        <w:rPr>
          <w:rFonts w:hint="eastAsia" w:ascii="宋体" w:hAnsi="宋体" w:eastAsia="宋体" w:cs="宋体"/>
          <w:color w:val="auto"/>
          <w:sz w:val="24"/>
          <w:szCs w:val="24"/>
          <w:highlight w:val="none"/>
        </w:rPr>
        <w:t>录用、低值易耗品及日常行政管理等具体运营工作，甲方指派一名监管人员与乙方餐厅负责人对接日常工作事务。</w:t>
      </w:r>
    </w:p>
    <w:p w14:paraId="5CBA5E00">
      <w:pPr>
        <w:tabs>
          <w:tab w:val="left" w:pos="1746"/>
          <w:tab w:val="left" w:pos="357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、就餐标准</w:t>
      </w:r>
      <w:r>
        <w:rPr>
          <w:rFonts w:hint="eastAsia" w:ascii="宋体" w:hAnsi="宋体" w:eastAsia="宋体" w:cs="宋体"/>
          <w:color w:val="auto"/>
          <w:sz w:val="24"/>
          <w:szCs w:val="24"/>
          <w:highlight w:val="none"/>
          <w:lang w:eastAsia="zh-CN"/>
        </w:rPr>
        <w:t>：</w:t>
      </w:r>
    </w:p>
    <w:p w14:paraId="5A350531">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局级餐厅（早餐：菜品不少于 6 种，其中半荤菜不少于 1 种；开口小菜不少于4种；稀饭不少于 2 种；奶制品不少 1 种；主食不少于4种；鸡蛋（蒸煮或煎）；豆浆或豆腐脑。能够满足部分回民饮食习惯。午餐：菜品不少于6 种，其中主荤 1 种，半荤 2 种，素菜 4 种；开口小菜不少于 4种；小吃不少于4种；主食不少于 3 种；水果不少于 1 种、汤品不少于 2 种（一荤一素）；酸奶。能够满足部分回民饮食习惯。晚餐：根据采购方需要提供。</w:t>
      </w:r>
      <w:r>
        <w:rPr>
          <w:rFonts w:hint="eastAsia" w:ascii="宋体" w:hAnsi="宋体" w:eastAsia="宋体" w:cs="宋体"/>
          <w:kern w:val="2"/>
          <w:sz w:val="24"/>
          <w:szCs w:val="24"/>
          <w:vertAlign w:val="baseline"/>
          <w:lang w:val="en-US" w:eastAsia="zh-CN" w:bidi="ar-SA"/>
        </w:rPr>
        <w:t>实行工作日正常供餐和采购方要求桌餐或指定时间供餐，供餐模式为自助式供餐，桌餐：按采购方指定菜品供餐</w:t>
      </w:r>
      <w:r>
        <w:rPr>
          <w:rFonts w:hint="eastAsia" w:cs="宋体"/>
          <w:kern w:val="2"/>
          <w:sz w:val="24"/>
          <w:szCs w:val="24"/>
          <w:vertAlign w:val="baseline"/>
          <w:lang w:val="en-US" w:eastAsia="zh-CN" w:bidi="ar-SA"/>
        </w:rPr>
        <w:t>。</w:t>
      </w:r>
      <w:r>
        <w:rPr>
          <w:rFonts w:hint="eastAsia" w:ascii="宋体" w:hAnsi="宋体" w:eastAsia="宋体" w:cs="宋体"/>
          <w:color w:val="auto"/>
          <w:highlight w:val="none"/>
        </w:rPr>
        <w:t>）</w:t>
      </w:r>
    </w:p>
    <w:p w14:paraId="690EB845">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干部餐厅（早餐：菜品不少于4种；馒头、包子、花卷、油饼、油条等主食不少于 4 种；稀饭、豆腐脑、油茶等汤品类主食不少于 3种；酸奶（或牛奶） 和鸡蛋为除主副食之外的每日早餐标配；午餐：菜品不少于 5种，其中主荤主菜 1 种、半荤菜品 2 种、素菜 2 种；小吃和面食必须搭配开口菜和杂粮，开口菜数量不少于2种；杂粮数量不少于 2 种；餐厅免费供应的米饭品种不少于 2 种； 汤品品种不少于 1 种；水果 1 种为每日中餐标配。晚餐：根据采购方需要提供。</w:t>
      </w:r>
      <w:r>
        <w:rPr>
          <w:rFonts w:hint="eastAsia" w:ascii="宋体" w:hAnsi="宋体" w:eastAsia="宋体" w:cs="宋体"/>
          <w:kern w:val="2"/>
          <w:sz w:val="24"/>
          <w:szCs w:val="24"/>
          <w:vertAlign w:val="baseline"/>
          <w:lang w:val="en-US" w:eastAsia="zh-CN" w:bidi="ar-SA"/>
        </w:rPr>
        <w:t>实行工作</w:t>
      </w:r>
      <w:r>
        <w:rPr>
          <w:rFonts w:hint="eastAsia" w:cs="宋体"/>
          <w:kern w:val="2"/>
          <w:sz w:val="24"/>
          <w:szCs w:val="24"/>
          <w:vertAlign w:val="baseline"/>
          <w:lang w:val="en-US" w:eastAsia="zh-CN" w:bidi="ar-SA"/>
        </w:rPr>
        <w:t>日</w:t>
      </w:r>
      <w:r>
        <w:rPr>
          <w:rFonts w:hint="eastAsia" w:ascii="宋体" w:hAnsi="宋体" w:eastAsia="宋体" w:cs="宋体"/>
          <w:kern w:val="2"/>
          <w:sz w:val="24"/>
          <w:szCs w:val="24"/>
          <w:vertAlign w:val="baseline"/>
          <w:lang w:val="en-US" w:eastAsia="zh-CN" w:bidi="ar-SA"/>
        </w:rPr>
        <w:t>正常供餐</w:t>
      </w:r>
      <w:r>
        <w:rPr>
          <w:rFonts w:hint="eastAsia" w:cs="宋体"/>
          <w:kern w:val="2"/>
          <w:sz w:val="24"/>
          <w:szCs w:val="24"/>
          <w:vertAlign w:val="baseline"/>
          <w:lang w:val="en-US" w:eastAsia="zh-CN" w:bidi="ar-SA"/>
        </w:rPr>
        <w:t>、少数接待用餐及节假日采购方要求供餐。</w:t>
      </w:r>
      <w:r>
        <w:rPr>
          <w:rFonts w:hint="eastAsia" w:ascii="宋体" w:hAnsi="宋体" w:eastAsia="宋体" w:cs="宋体"/>
          <w:color w:val="auto"/>
          <w:highlight w:val="none"/>
        </w:rPr>
        <w:t>）</w:t>
      </w:r>
    </w:p>
    <w:p w14:paraId="6205E07D">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接待餐标准：主要用于公务接待餐和工作餐。开餐标准根据甲方提供的餐标制定。</w:t>
      </w:r>
    </w:p>
    <w:p w14:paraId="4DD53A38">
      <w:pPr>
        <w:tabs>
          <w:tab w:val="left" w:pos="1746"/>
          <w:tab w:val="left" w:pos="357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文化建设：传统节日的特色食品及加餐。</w:t>
      </w:r>
    </w:p>
    <w:p w14:paraId="562B1AC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注：所供应食品质量、种类只能比以上标准高、多，不能低、少。</w:t>
      </w:r>
    </w:p>
    <w:p w14:paraId="2A2E55E2">
      <w:pPr>
        <w:spacing w:line="360" w:lineRule="auto"/>
        <w:rPr>
          <w:rFonts w:hint="eastAsia" w:ascii="宋体" w:hAnsi="宋体" w:eastAsia="宋体" w:cs="宋体"/>
          <w:b/>
          <w:color w:val="auto"/>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color w:val="auto"/>
          <w:highlight w:val="none"/>
        </w:rPr>
        <w:t>合同金额</w:t>
      </w:r>
    </w:p>
    <w:p w14:paraId="7CC3755A">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合同总价款（含税金额）：</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 219854 \* CHINESENUM4 \* MERGEFORMAT </w:instrText>
      </w:r>
      <w:r>
        <w:rPr>
          <w:rFonts w:hint="eastAsia" w:ascii="宋体" w:hAnsi="宋体" w:eastAsia="宋体" w:cs="宋体"/>
          <w:color w:val="auto"/>
          <w:highlight w:val="none"/>
          <w:u w:val="single"/>
        </w:rPr>
        <w:fldChar w:fldCharType="separate"/>
      </w:r>
      <w:r>
        <w:rPr>
          <w:rFonts w:hint="eastAsia" w:ascii="宋体" w:hAnsi="宋体" w:eastAsia="宋体" w:cs="宋体"/>
          <w:color w:val="auto"/>
          <w:highlight w:val="none"/>
          <w:u w:val="single"/>
        </w:rPr>
        <w:t xml:space="preserve">               元整</w: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966DA46">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合同总价即中标价，为一次性报价，不受市场价变化影响。合同价格为含税价，供应商（成交人）提供服务所发生的一切税（包括增值税）费等都已包含于合同价款中。</w:t>
      </w:r>
    </w:p>
    <w:p w14:paraId="21DA23E1">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结算方式</w:t>
      </w:r>
    </w:p>
    <w:p w14:paraId="4F6AA86F">
      <w:pPr>
        <w:spacing w:line="360" w:lineRule="auto"/>
        <w:ind w:firstLine="729" w:firstLineChars="304"/>
        <w:rPr>
          <w:rFonts w:hint="eastAsia" w:ascii="宋体" w:hAnsi="宋体" w:eastAsia="宋体" w:cs="宋体"/>
          <w:color w:val="auto"/>
          <w:highlight w:val="none"/>
        </w:rPr>
      </w:pPr>
      <w:r>
        <w:rPr>
          <w:rFonts w:hint="eastAsia" w:ascii="宋体" w:hAnsi="宋体" w:eastAsia="宋体" w:cs="宋体"/>
          <w:color w:val="auto"/>
          <w:highlight w:val="none"/>
        </w:rPr>
        <w:t>1.结算单位：银行转账，由采购人负责结算。在付款前，供应商必须开具与合同金额相应的发票给采购人，附详细清单。</w:t>
      </w:r>
    </w:p>
    <w:p w14:paraId="1F035E01">
      <w:pPr>
        <w:spacing w:line="360" w:lineRule="auto"/>
        <w:ind w:firstLine="729" w:firstLineChars="304"/>
        <w:rPr>
          <w:rFonts w:hint="eastAsia" w:ascii="宋体" w:hAnsi="宋体" w:eastAsia="宋体" w:cs="宋体"/>
          <w:color w:val="auto"/>
          <w:highlight w:val="none"/>
        </w:rPr>
      </w:pPr>
      <w:r>
        <w:rPr>
          <w:rFonts w:hint="eastAsia" w:ascii="宋体" w:hAnsi="宋体" w:eastAsia="宋体" w:cs="宋体"/>
          <w:color w:val="auto"/>
          <w:highlight w:val="none"/>
        </w:rPr>
        <w:t xml:space="preserve">2.付款方式： </w:t>
      </w:r>
    </w:p>
    <w:p w14:paraId="65266B9E">
      <w:pPr>
        <w:tabs>
          <w:tab w:val="left" w:pos="1746"/>
          <w:tab w:val="left" w:pos="3570"/>
        </w:tabs>
        <w:spacing w:line="360" w:lineRule="auto"/>
        <w:ind w:firstLine="49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position w:val="1"/>
          <w:sz w:val="23"/>
          <w:szCs w:val="23"/>
          <w:highlight w:val="none"/>
          <w:lang w:eastAsia="zh-CN"/>
        </w:rPr>
        <w:t>（</w:t>
      </w:r>
      <w:r>
        <w:rPr>
          <w:rFonts w:hint="eastAsia" w:ascii="宋体" w:hAnsi="宋体" w:eastAsia="宋体" w:cs="宋体"/>
          <w:color w:val="auto"/>
          <w:spacing w:val="9"/>
          <w:position w:val="1"/>
          <w:sz w:val="23"/>
          <w:szCs w:val="23"/>
          <w:highlight w:val="none"/>
          <w:lang w:val="en-US" w:eastAsia="zh-CN"/>
        </w:rPr>
        <w:t>1</w:t>
      </w:r>
      <w:r>
        <w:rPr>
          <w:rFonts w:hint="eastAsia" w:ascii="宋体" w:hAnsi="宋体" w:eastAsia="宋体" w:cs="宋体"/>
          <w:color w:val="auto"/>
          <w:spacing w:val="9"/>
          <w:position w:val="1"/>
          <w:sz w:val="23"/>
          <w:szCs w:val="23"/>
          <w:highlight w:val="none"/>
          <w:lang w:eastAsia="zh-CN"/>
        </w:rPr>
        <w:t>）</w:t>
      </w:r>
      <w:r>
        <w:rPr>
          <w:rFonts w:hint="eastAsia" w:ascii="宋体" w:hAnsi="宋体" w:eastAsia="宋体" w:cs="宋体"/>
          <w:color w:val="FF0000"/>
          <w:highlight w:val="none"/>
          <w:lang w:val="en-US" w:eastAsia="zh-CN"/>
        </w:rPr>
        <w:t>合同签订后</w:t>
      </w:r>
      <w:r>
        <w:rPr>
          <w:rFonts w:hint="eastAsia" w:ascii="宋体" w:hAnsi="宋体" w:cs="宋体"/>
          <w:color w:val="FF0000"/>
          <w:highlight w:val="none"/>
          <w:lang w:val="en-US" w:eastAsia="zh-CN"/>
        </w:rPr>
        <w:t>供应商按照服务合同和响应文件的相关内容与要求提供餐饮及相关服务，采购人在供应商提供服务后一个月按后每个自然月支付上一个自然月的相关餐饮费用。</w:t>
      </w:r>
    </w:p>
    <w:p w14:paraId="22F91B03">
      <w:pPr>
        <w:tabs>
          <w:tab w:val="left" w:pos="1746"/>
          <w:tab w:val="left" w:pos="357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五、双方权利和义务</w:t>
      </w:r>
    </w:p>
    <w:p w14:paraId="452AA6CA">
      <w:pPr>
        <w:tabs>
          <w:tab w:val="left" w:pos="1746"/>
          <w:tab w:val="left" w:pos="357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（一）甲方的权利和义务</w:t>
      </w:r>
    </w:p>
    <w:p w14:paraId="0F77D9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1、甲方无偿为乙方提供经营场所、办公场所和员工宿舍。</w:t>
      </w:r>
    </w:p>
    <w:p w14:paraId="7119FE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2、甲方职工食堂水、电、气应接入并能正常使用；主副食加工间、粗加工间、冷库、用具、厨房、凉菜间、更衣间等房间、设器具齐全并能正常使用。</w:t>
      </w:r>
    </w:p>
    <w:p w14:paraId="1832F9B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3、甲方有权审定乙方制定的餐饮管理制度，并监督乙方遵守；甲方有权对乙方的管理实施监督检查，并在此基础上进行考核。</w:t>
      </w:r>
    </w:p>
    <w:p w14:paraId="28E123E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4、甲方有责任积极指导和协助乙方做好饮食服务工作。合同期限内，乙方按照甲方要求负责职工餐厅经营管理，经营成果归甲方所有。</w:t>
      </w:r>
    </w:p>
    <w:p w14:paraId="424339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职工食堂各区域按要求配置全能设施器具和现有的设备、器具的所用权均属于甲方；乙方在工作中应当合理、谨慎的使用相关的设备、设施，乙方因人为原因导致甲方设备毁损的，乙方应当积极予以维修并承担设施、设备毁损所造成的全部费用。因乙方管理不善将设备、器具丢失的，乙方应当照价予以赔偿。</w:t>
      </w:r>
    </w:p>
    <w:p w14:paraId="3B974B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、职工食堂现有设备、设施清单由甲方负责向乙方提供，并于乙方进驻工作现场时由双方派人进行移交手续。</w:t>
      </w:r>
    </w:p>
    <w:p w14:paraId="13C5F1A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、职工食堂的各项设备、在正常使用中因机器本身正常耗损所产生故障，不能正常运转的，由甲方负责维修、更换。</w:t>
      </w:r>
    </w:p>
    <w:p w14:paraId="1FB3296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、甲方对乙方的采购工作有监督管理权。</w:t>
      </w:r>
    </w:p>
    <w:p w14:paraId="4CD3AFE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、甲方按照本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的约定向乙方支付</w:t>
      </w:r>
      <w:r>
        <w:rPr>
          <w:rFonts w:hint="eastAsia" w:ascii="宋体" w:hAnsi="宋体" w:eastAsia="宋体" w:cs="宋体"/>
          <w:color w:val="auto"/>
          <w:sz w:val="24"/>
          <w:szCs w:val="24"/>
          <w:highlight w:val="none"/>
          <w:lang w:eastAsia="zh-CN"/>
        </w:rPr>
        <w:t>劳务外包</w:t>
      </w:r>
      <w:r>
        <w:rPr>
          <w:rFonts w:hint="eastAsia" w:ascii="宋体" w:hAnsi="宋体" w:eastAsia="宋体" w:cs="宋体"/>
          <w:color w:val="auto"/>
          <w:sz w:val="24"/>
          <w:szCs w:val="24"/>
          <w:highlight w:val="none"/>
        </w:rPr>
        <w:t>项目费用。</w:t>
      </w:r>
    </w:p>
    <w:p w14:paraId="7A5F8E8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、双方在履行本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期间，因乙方的原因导致就餐延误30分钟及以上，如果在一个月内发生两次及以上的，甲方有权解除本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，乙方自行承担因本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解除所造成的一切后果和责任，给甲方造成损失的，乙方应当及时、足额的给予赔偿；甲方若有临时加班、放假以及大型接待等活动时，应提前一天告知乙方，若因就餐人员减少，甲方没有及时通知乙方，所造成的损失由甲方承担。如遇特殊情况需提前、延迟开餐或加餐时，甲方应提前一餐通知乙方，否则，造成的损失由甲方承担。</w:t>
      </w:r>
    </w:p>
    <w:p w14:paraId="0A94D77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、甲方在履行本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的过程中，乙方应该全力支持和配合。甲方有权要求乙方遵守甲方的规章制度，对于违反规章制度的乙方员工，甲方有权以书面形式告知乙方，限期乙方进行整改，乙方应当在甲方要求的期限内完成整改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否则甲方有权解除本合同。</w:t>
      </w:r>
    </w:p>
    <w:p w14:paraId="0F3D13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、甲方尊重乙方劳动和管理方式，除甲方领导和后勤管理人员外，其余人员一律不得随意出入乙方的后厨工作现场。</w:t>
      </w:r>
    </w:p>
    <w:p w14:paraId="20B908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、餐厅的日常管理：</w:t>
      </w:r>
    </w:p>
    <w:p w14:paraId="130041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.1甲方委托乙方进行日常食材、物料等原材料的保障工作。</w:t>
      </w:r>
    </w:p>
    <w:p w14:paraId="61BC4E4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乙方应该严格执行采购验收制度，确保验收食材、物料质量符合食品安全要求，杜绝不符合食品安全要求的食材、物料进入餐厅。如果因为乙方的原因，出现采购的食材、物料引发安全事故，乙方应当承担全部责任，并赔偿受害人因此造成的一切损失。</w:t>
      </w:r>
    </w:p>
    <w:p w14:paraId="56BA6E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.3双方应当严格入库验收制度，入库验收工作由甲方食堂管理员和乙方厨师长负责，对入库原材料过秤、清点数量进行质量检测。</w:t>
      </w:r>
    </w:p>
    <w:p w14:paraId="3C2EF2EE">
      <w:pPr>
        <w:numPr>
          <w:ilvl w:val="0"/>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甲方对乙方的食品加工过程、营养搭配、服务质量及安全管理、环境卫生等方面有检查和监督权，对指出的问题乙方要及时整改。</w:t>
      </w:r>
    </w:p>
    <w:p w14:paraId="066A677C">
      <w:pPr>
        <w:numPr>
          <w:ilvl w:val="0"/>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甲方无偿为乙方提供办公室及员工宿舍，以及洗澡设施，供服务保障人员休息和自身卫生清洁。</w:t>
      </w:r>
    </w:p>
    <w:p w14:paraId="624BEAEC">
      <w:pPr>
        <w:numPr>
          <w:ilvl w:val="0"/>
          <w:numId w:val="0"/>
        </w:num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甲方承担天然气管道检修、维护、改造及然气表维修更换、检测费用</w:t>
      </w:r>
      <w:r>
        <w:rPr>
          <w:rFonts w:hint="eastAsia" w:ascii="宋体" w:hAnsi="宋体" w:eastAsia="宋体" w:cs="宋体"/>
          <w:color w:val="auto"/>
          <w:sz w:val="24"/>
          <w:szCs w:val="24"/>
          <w:highlight w:val="none"/>
          <w:lang w:eastAsia="zh-CN"/>
        </w:rPr>
        <w:t>。</w:t>
      </w:r>
    </w:p>
    <w:p w14:paraId="338276C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17、为确保安全，甲方负责每半年对油烟管道进行一次</w:t>
      </w:r>
      <w:r>
        <w:rPr>
          <w:rFonts w:hint="eastAsia" w:ascii="宋体" w:hAnsi="宋体" w:eastAsia="宋体" w:cs="宋体"/>
          <w:color w:val="auto"/>
          <w:sz w:val="24"/>
          <w:szCs w:val="24"/>
          <w:highlight w:val="none"/>
        </w:rPr>
        <w:t>清理，</w:t>
      </w:r>
      <w:r>
        <w:rPr>
          <w:rFonts w:hint="eastAsia" w:ascii="宋体" w:hAnsi="宋体" w:eastAsia="宋体" w:cs="宋体"/>
          <w:color w:val="auto"/>
          <w:sz w:val="24"/>
          <w:szCs w:val="24"/>
          <w:highlight w:val="none"/>
          <w:lang w:val="en-US" w:eastAsia="zh-CN"/>
        </w:rPr>
        <w:t>费用由甲方承担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乙方负责餐厅日常卫生维护工作。</w:t>
      </w:r>
    </w:p>
    <w:p w14:paraId="5B0721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甲方对乙方制定的食谱每周进行审核确认，乙方对甲方提出的意见建议要及时改进，对暂时不能落实的问题要积极创造条件尽早落实，双方达成一致的食品要遵照执行，因原材料等特殊情况需要调整食谱时，调整量不超过20%。</w:t>
      </w:r>
    </w:p>
    <w:p w14:paraId="16AE3AFC">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19、甲方负责对乙方所加工的饭菜质量、成本、服务工作进行考核，并依据考核结果确定奖罚数额。</w:t>
      </w:r>
    </w:p>
    <w:p w14:paraId="1089D3BD">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自签订合同起，由就餐民主管理委员会每天派人监督原材料采购质量、每周统计反馈综合监督情况（菜品质量、伙食标准、卫生情况、服务态度等），每季度进行一次满意度测评，针对以上结果提出整改方案并限期整改，如更改不到位，每次扣除合同金额5%，确保餐饮质量不断提升。</w:t>
      </w:r>
    </w:p>
    <w:p w14:paraId="2DCEE80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（二）乙方的权利和义务</w:t>
      </w:r>
    </w:p>
    <w:p w14:paraId="17C13A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1、本着办好职工食堂，不断提高就餐满意率的共同目标，乙方应当积极配合甲方，按照甲方提出的建议，及时对食堂技术人员的工作进行调整。</w:t>
      </w:r>
    </w:p>
    <w:p w14:paraId="5BE1A9A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2、乙方承诺在日常工作中严格遵守《中华人民共和国食品安全法》及其他国家和地方制定的食品安全方面的法律、法规，并按照本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的约定进行日常工作。</w:t>
      </w:r>
    </w:p>
    <w:p w14:paraId="1E8A16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3、乙方承诺在</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期间保证食品安全率100%，工作人员的人身安全率100%和机械设备安全使用率100%。</w:t>
      </w:r>
    </w:p>
    <w:p w14:paraId="40D69539">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合同履行期间，发生食品卫生问题（包括但不限于发生饭菜有异物、食材变质），经抽检或就餐人员投诉情况属实的，发现一次扣除合同金额 5%， 连续或累计出现两次及以上的，甲方有权单方解除本协议，并按本合同第合 同金额第八条第 1 款要求乙方承担违约责任。</w:t>
      </w:r>
    </w:p>
    <w:p w14:paraId="468652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期间，若发生食品安全事故，乙方承诺承担全部责任，并赔偿受害人因此造成的一切损失；乙方自行承担其工作人员的人身安全责任，乙方工作人员发生的任何人身安全事故，均与甲方无关；机械设备由甲方负责安装防护装置，对于没有安全防护的设备，乙方有权拒绝使用，如因此甲方造成损失的，由甲方自行承担，除此外，乙方承担的因机械安全所造成的全部责任和全部费用。</w:t>
      </w:r>
    </w:p>
    <w:p w14:paraId="5026D1F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履行期间，因乙方原因所发生的食品安全、人身安全、机械安全事故，所产生的全部费用和相应的责任均由乙方承担。</w:t>
      </w:r>
    </w:p>
    <w:p w14:paraId="725796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4、乙方的工作人员应当符合国家食品药品监督部门和其他相关部门的要求，乙方工作人员均应当持有效的《健康证》。</w:t>
      </w:r>
    </w:p>
    <w:p w14:paraId="48D42F0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5、乙方应按时、保质、保量地完成</w:t>
      </w:r>
      <w:r>
        <w:rPr>
          <w:rFonts w:hint="eastAsia" w:ascii="宋体" w:hAnsi="宋体" w:eastAsia="宋体" w:cs="宋体"/>
          <w:color w:val="auto"/>
          <w:sz w:val="24"/>
          <w:szCs w:val="24"/>
          <w:highlight w:val="none"/>
          <w:lang w:eastAsia="zh-CN"/>
        </w:rPr>
        <w:t>劳务外包</w:t>
      </w:r>
      <w:r>
        <w:rPr>
          <w:rFonts w:hint="eastAsia" w:ascii="宋体" w:hAnsi="宋体" w:eastAsia="宋体" w:cs="宋体"/>
          <w:color w:val="auto"/>
          <w:sz w:val="24"/>
          <w:szCs w:val="24"/>
          <w:highlight w:val="none"/>
        </w:rPr>
        <w:t>项目工作任务，确保甲方节假日加班和日常延时工作的需求，确保日常工作正常运行。</w:t>
      </w:r>
    </w:p>
    <w:p w14:paraId="63AF2DA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6、乙方应当向所属员工提供符合《中华人民共和国食品安全法》要求的、印有乙方企业标识的工作服和出入证，乙方员工在工作区域时，必须穿着统一工作服。</w:t>
      </w:r>
    </w:p>
    <w:p w14:paraId="5AAD5F3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7、乙方应当保证其员工身份的真实性以及政审合格。</w:t>
      </w:r>
    </w:p>
    <w:p w14:paraId="0814B2E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根据伙食费标准做好伙食调剂，控制伙食成本，杜绝浪费。按照甲方提供的伙食标准进行成本核算，确因市场物价上涨幅度较大且持续时间较长时，乙方有权调整食谱或要求甲方适当提高餐标。乙方同时应妥善保管甲方仓库内食材，坚决杜绝人为损耗。否则，乙方应承担赔偿责任。</w:t>
      </w:r>
    </w:p>
    <w:p w14:paraId="1842DDC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9、按《食品安全法》相关规定，乙方所有出售的产品确保留样齐全，</w:t>
      </w:r>
      <w:r>
        <w:rPr>
          <w:rFonts w:hint="eastAsia" w:ascii="宋体" w:hAnsi="宋体" w:eastAsia="宋体" w:cs="宋体"/>
          <w:color w:val="auto"/>
          <w:sz w:val="24"/>
          <w:szCs w:val="24"/>
          <w:highlight w:val="none"/>
          <w:lang w:val="en-US" w:eastAsia="zh-CN"/>
        </w:rPr>
        <w:t>固体不少于</w:t>
      </w:r>
      <w:r>
        <w:rPr>
          <w:rFonts w:hint="eastAsia" w:ascii="宋体" w:hAnsi="宋体" w:eastAsia="宋体" w:cs="宋体"/>
          <w:color w:val="auto"/>
          <w:sz w:val="24"/>
          <w:szCs w:val="24"/>
          <w:highlight w:val="none"/>
        </w:rPr>
        <w:t>125克，</w:t>
      </w:r>
      <w:r>
        <w:rPr>
          <w:rFonts w:hint="eastAsia" w:ascii="宋体" w:hAnsi="宋体" w:eastAsia="宋体" w:cs="宋体"/>
          <w:color w:val="auto"/>
          <w:sz w:val="24"/>
          <w:szCs w:val="24"/>
          <w:highlight w:val="none"/>
          <w:lang w:val="en-US" w:eastAsia="zh-CN"/>
        </w:rPr>
        <w:t>液体不少于125毫升，</w:t>
      </w:r>
      <w:r>
        <w:rPr>
          <w:rFonts w:hint="eastAsia" w:ascii="宋体" w:hAnsi="宋体" w:eastAsia="宋体" w:cs="宋体"/>
          <w:color w:val="auto"/>
          <w:sz w:val="24"/>
          <w:szCs w:val="24"/>
          <w:highlight w:val="none"/>
        </w:rPr>
        <w:t>时间不低于48小时，以便发生食源性事故时追查原因。</w:t>
      </w:r>
    </w:p>
    <w:p w14:paraId="7D7E7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乙方须与员工签订正式劳动合同，负责员工的使用、管理、教育、培训、奖惩和调配工作；负责员工意外事故和劳动纠纷的处理工作；按时支付员工工资、保险及其他福利。负责所辖工作人员的安全工作。除甲方责任外，乙方员工及第三人出现人身伤亡、财产损失事故，由乙方负责，所有费用由乙方承担。乙方应当按照我国劳动法律法规的有关规定向所属员工发放工资、福利、劳保；同时建立、健全劳动安全制度，</w:t>
      </w:r>
      <w:r>
        <w:rPr>
          <w:rFonts w:hint="eastAsia" w:ascii="宋体" w:hAnsi="宋体" w:eastAsia="宋体" w:cs="宋体"/>
          <w:color w:val="auto"/>
          <w:sz w:val="24"/>
          <w:szCs w:val="24"/>
          <w:highlight w:val="none"/>
        </w:rPr>
        <w:t>严格执行国家劳动安全规程和标准；并对员工进行上岗前安全教育和技能等培训，使其符合上岗的要求，具备相应的职业技能和业务素质。</w:t>
      </w:r>
    </w:p>
    <w:p w14:paraId="1FD2BE4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11、定期征求就餐人员意见，根据甲方意见有针对性改定工作。乙方管理人员和厨师长须按甲方要求参与就餐民主管理委员会召开的有关餐厅问题的会议。</w:t>
      </w:r>
    </w:p>
    <w:p w14:paraId="0E99312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12、甲方配置的机械设备，乙方不得转让、转包、转租、变卖或擅自挪用其他用途。必须爱护甲方的设备和财产，由于违规操作造成的设施设备、炊具、餐具等的损坏，由乙方照价赔偿。</w:t>
      </w:r>
    </w:p>
    <w:p w14:paraId="4175A7B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13、乙方负责对餐厅水、电、燃气和设施设备的检查巡视，发现问题及时向甲方汇报。</w:t>
      </w:r>
    </w:p>
    <w:p w14:paraId="36BCAF7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14、遇到甲方有重大活动时，乙方必须按照甲方要求保障饮食供应，需提前或延后就餐时，由甲方负责提前通知乙方，乙方须配合并保证供应。</w:t>
      </w:r>
    </w:p>
    <w:p w14:paraId="13A5CE7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15、乙方需调整人员时，必须事先向甲方备案，应交健康证、在岗出入证、工作证等，并办理其他手续。</w:t>
      </w:r>
    </w:p>
    <w:p w14:paraId="06C64A7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16、乙方从事餐饮的所有人员必须办理卫生防疫部门发放的健康证，并承担办证费用。</w:t>
      </w:r>
    </w:p>
    <w:p w14:paraId="44ACCB1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17、乙方必须向甲方开具符合甲方要求的正规发票，税费由乙方承担。</w:t>
      </w:r>
    </w:p>
    <w:p w14:paraId="19AC8449">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六、检查与考核</w:t>
      </w:r>
    </w:p>
    <w:p w14:paraId="76BADAB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1、甲方成立就餐民主管理委员会并制定餐饮管理制度，定期或不定期对乙方进行检查，每月将汇总的考核结果作为本月合同款支付依据。</w:t>
      </w:r>
    </w:p>
    <w:p w14:paraId="082D28F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期内，就餐民主管理委员会成员代表甲方职工对餐厅饭菜质量、口味、环境卫生等方面每月进行投票评比，乙方现场参与投票评比结果统计。如果联系两个月有超出半数成员对乙方服务表现做出差评，甲方有权无条件解除合同。乙方人员恶意浪费或偷窃食材，经核查属实，乙方应承担相应损失，甲方有权进行考核处罚责令整改，情况严重者终止合同。</w:t>
      </w:r>
    </w:p>
    <w:p w14:paraId="5B4553D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合同</w:t>
      </w:r>
      <w:r>
        <w:rPr>
          <w:rFonts w:hint="eastAsia" w:ascii="宋体" w:hAnsi="宋体" w:eastAsia="宋体" w:cs="宋体"/>
          <w:b/>
          <w:bCs/>
          <w:color w:val="auto"/>
          <w:sz w:val="24"/>
          <w:szCs w:val="24"/>
          <w:highlight w:val="none"/>
        </w:rPr>
        <w:t>的履行、变更、解除、终止、续定</w:t>
      </w:r>
    </w:p>
    <w:p w14:paraId="2A3ECD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1、甲乙双方应按本合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的约定全面履行各自的义务；在本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履行过程中，若发生双方企业名称、法定代表人或者主要负责人、投资人变更以及双方企业合并或者分立等事项，本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的效力不受影响。</w:t>
      </w:r>
    </w:p>
    <w:p w14:paraId="1D8AE1D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在履行过程中，一方提出变更本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内容的，应当与对方进行协商，在双方协商一致的情况下，可对相关内容进行变更，并签订补充</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，与本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条款具有同等法律效力。</w:t>
      </w:r>
    </w:p>
    <w:p w14:paraId="440F0B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其他条款的约定外，如双方中任何一方提出终止本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，应当提前30日以前书面通知对方，并应说明终止本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的事实和理由，在收到向对方同意解除本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的书面通知之日起，本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终止。</w:t>
      </w:r>
    </w:p>
    <w:p w14:paraId="1FF74F8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在履行过程中，若出现国家重大政策改变或不可抗力等因素导致本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不能履行时，本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自行终止，但提出终止</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的一方应当及时告知对方国家重大政策改变的内容或不可抗力等因素的事实，并对终止</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的事由承担举证责任。</w:t>
      </w:r>
    </w:p>
    <w:p w14:paraId="0D674C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本合同终止后，由甲乙双方进行核算，核算无误后由甲方结清乙方的包厨项目所有费用，</w:t>
      </w:r>
      <w:r>
        <w:rPr>
          <w:rFonts w:hint="eastAsia" w:ascii="宋体" w:hAnsi="宋体" w:eastAsia="宋体" w:cs="宋体"/>
          <w:color w:val="auto"/>
          <w:sz w:val="24"/>
          <w:szCs w:val="24"/>
          <w:highlight w:val="none"/>
        </w:rPr>
        <w:t>乙方应当在</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终止之日起3日内从甲方撤离本公司相关人员。</w:t>
      </w:r>
    </w:p>
    <w:p w14:paraId="33D5C7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期满后，在同等条件下甲方优先考虑与乙方续签</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，续签</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的内容由双方另行</w:t>
      </w:r>
      <w:r>
        <w:rPr>
          <w:rFonts w:hint="eastAsia" w:ascii="宋体" w:hAnsi="宋体" w:eastAsia="宋体" w:cs="宋体"/>
          <w:color w:val="auto"/>
          <w:sz w:val="24"/>
          <w:szCs w:val="24"/>
          <w:highlight w:val="none"/>
          <w:lang w:val="en-US" w:eastAsia="zh-CN"/>
        </w:rPr>
        <w:t>商定</w:t>
      </w:r>
      <w:r>
        <w:rPr>
          <w:rFonts w:hint="eastAsia" w:ascii="宋体" w:hAnsi="宋体" w:eastAsia="宋体" w:cs="宋体"/>
          <w:color w:val="auto"/>
          <w:sz w:val="24"/>
          <w:szCs w:val="24"/>
          <w:highlight w:val="none"/>
        </w:rPr>
        <w:t>。</w:t>
      </w:r>
    </w:p>
    <w:p w14:paraId="4E98715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、违约责任及解决</w:t>
      </w:r>
      <w:r>
        <w:rPr>
          <w:rFonts w:hint="eastAsia" w:ascii="宋体" w:hAnsi="宋体" w:eastAsia="宋体" w:cs="宋体"/>
          <w:b/>
          <w:bCs/>
          <w:color w:val="auto"/>
          <w:sz w:val="24"/>
          <w:szCs w:val="24"/>
          <w:highlight w:val="none"/>
          <w:lang w:eastAsia="zh-CN"/>
        </w:rPr>
        <w:t>合同</w:t>
      </w:r>
      <w:r>
        <w:rPr>
          <w:rFonts w:hint="eastAsia" w:ascii="宋体" w:hAnsi="宋体" w:eastAsia="宋体" w:cs="宋体"/>
          <w:b/>
          <w:bCs/>
          <w:color w:val="auto"/>
          <w:sz w:val="24"/>
          <w:szCs w:val="24"/>
          <w:highlight w:val="none"/>
        </w:rPr>
        <w:t>纠纷的方式</w:t>
      </w:r>
    </w:p>
    <w:p w14:paraId="1C67972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1、双方任何一方违反本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任一条款即构成违约，违约方应当给守约方支付本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总金额20%违约金。</w:t>
      </w:r>
    </w:p>
    <w:p w14:paraId="55A539A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履行期间如产生争议，双方应当首先进行友好协商，若协商不成，可向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人民法院提起诉讼起诉。</w:t>
      </w:r>
    </w:p>
    <w:p w14:paraId="3AD4CCA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3、除因不可抗拒的事件外（如地震、水灾、旱灾、战争、政府禁令、罢工等），任何一方不得以任何理由不经协商而中断</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的有效执行。</w:t>
      </w:r>
    </w:p>
    <w:p w14:paraId="3E4C40B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4、为建立友好合作关系，确保双方权益和商业秘密不受侵犯，双方均负有保密责任和义务，未经任何一方允许，不得将对方商业信息、技术信息、经营信息及本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约定的相关内容转载或公开给第三方，若任何一方违反本条款，需承担违约金10万元，同时承担相应的法律责任。</w:t>
      </w:r>
    </w:p>
    <w:p w14:paraId="25160A7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5、为保证双方合作权益，甲方应按</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约定结算劳务费，逾期未付，在</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约定付款期的5个工作日后，甲方应按日向乙方支付</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分之五（5‱）的滞纳金，直至结算全部伙食费为止。</w:t>
      </w:r>
    </w:p>
    <w:p w14:paraId="3728AF3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6、无论因任何原因，双方不再合作，甲方不得以任何理由、任何形式雇佣乙方现有管理干部或员工，如违反规定，需承担赔偿20万元违约金并承担相关法律责任。</w:t>
      </w:r>
    </w:p>
    <w:p w14:paraId="1BDAD83B">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、其他</w:t>
      </w:r>
    </w:p>
    <w:p w14:paraId="394DEFE4">
      <w:pPr>
        <w:tabs>
          <w:tab w:val="left" w:pos="980"/>
        </w:tabs>
        <w:kinsoku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本合同一式</w:t>
      </w:r>
      <w:r>
        <w:rPr>
          <w:rFonts w:hint="eastAsia" w:ascii="宋体" w:hAnsi="宋体" w:eastAsia="宋体" w:cs="宋体"/>
          <w:color w:val="auto"/>
          <w:highlight w:val="none"/>
          <w:u w:val="single"/>
        </w:rPr>
        <w:t xml:space="preserve"> 八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四</w:t>
      </w:r>
      <w:r>
        <w:rPr>
          <w:rFonts w:hint="eastAsia" w:ascii="宋体" w:hAnsi="宋体" w:eastAsia="宋体" w:cs="宋体"/>
          <w:color w:val="auto"/>
          <w:highlight w:val="none"/>
        </w:rPr>
        <w:t>份，双方签字盖章后生效。未尽事宜，双方协商解决。</w:t>
      </w:r>
    </w:p>
    <w:p w14:paraId="6B09092B">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u w:val="single"/>
        </w:rPr>
        <w:t xml:space="preserve">   （盖章）      </w:t>
      </w:r>
      <w:r>
        <w:rPr>
          <w:rFonts w:hint="eastAsia" w:ascii="宋体" w:hAnsi="宋体" w:eastAsia="宋体" w:cs="宋体"/>
          <w:color w:val="auto"/>
          <w:highlight w:val="none"/>
        </w:rPr>
        <w:t xml:space="preserve">            供应商：</w:t>
      </w:r>
      <w:r>
        <w:rPr>
          <w:rFonts w:hint="eastAsia" w:ascii="宋体" w:hAnsi="宋体" w:eastAsia="宋体" w:cs="宋体"/>
          <w:color w:val="auto"/>
          <w:highlight w:val="none"/>
          <w:u w:val="single"/>
        </w:rPr>
        <w:t xml:space="preserve">   （盖章）         </w:t>
      </w:r>
    </w:p>
    <w:p w14:paraId="47585F5B">
      <w:pPr>
        <w:adjustRightInd w:val="0"/>
        <w:snapToGrid w:val="0"/>
        <w:spacing w:line="360" w:lineRule="auto"/>
        <w:ind w:firstLine="475" w:firstLineChars="198"/>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地 址：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p>
    <w:p w14:paraId="521E98A3">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法定代表人或其授权                   法定代表人或其授权 </w:t>
      </w:r>
    </w:p>
    <w:p w14:paraId="1F048E1A">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的代理人：</w:t>
      </w:r>
      <w:r>
        <w:rPr>
          <w:rFonts w:hint="eastAsia" w:ascii="宋体" w:hAnsi="宋体" w:eastAsia="宋体" w:cs="宋体"/>
          <w:color w:val="auto"/>
          <w:highlight w:val="none"/>
          <w:u w:val="single"/>
        </w:rPr>
        <w:t xml:space="preserve">（签字）      </w:t>
      </w:r>
      <w:r>
        <w:rPr>
          <w:rFonts w:hint="eastAsia" w:ascii="宋体" w:hAnsi="宋体" w:eastAsia="宋体" w:cs="宋体"/>
          <w:color w:val="auto"/>
          <w:highlight w:val="none"/>
        </w:rPr>
        <w:t xml:space="preserve">             的代理人：</w:t>
      </w:r>
      <w:r>
        <w:rPr>
          <w:rFonts w:hint="eastAsia" w:ascii="宋体" w:hAnsi="宋体" w:eastAsia="宋体" w:cs="宋体"/>
          <w:color w:val="auto"/>
          <w:highlight w:val="none"/>
          <w:u w:val="single"/>
        </w:rPr>
        <w:t xml:space="preserve">（签字）           </w:t>
      </w:r>
    </w:p>
    <w:p w14:paraId="4BD94588">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订立时间：</w:t>
      </w:r>
      <w:r>
        <w:rPr>
          <w:rFonts w:hint="eastAsia" w:ascii="宋体" w:hAnsi="宋体" w:eastAsia="宋体" w:cs="宋体"/>
          <w:color w:val="auto"/>
          <w:highlight w:val="none"/>
          <w:u w:val="single"/>
        </w:rPr>
        <w:t xml:space="preserve">                 </w:t>
      </w:r>
    </w:p>
    <w:p w14:paraId="670FAA6D">
      <w:pPr>
        <w:adjustRightInd w:val="0"/>
        <w:snapToGrid w:val="0"/>
        <w:spacing w:line="460" w:lineRule="exact"/>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bookmarkEnd w:id="77"/>
      <w:bookmarkEnd w:id="78"/>
      <w:bookmarkEnd w:id="79"/>
      <w:bookmarkEnd w:id="81"/>
      <w:bookmarkEnd w:id="82"/>
    </w:p>
    <w:p w14:paraId="6E8523D3">
      <w:pPr>
        <w:widowControl/>
        <w:spacing w:line="240" w:lineRule="auto"/>
        <w:jc w:val="center"/>
        <w:outlineLvl w:val="0"/>
        <w:rPr>
          <w:rFonts w:hint="eastAsia" w:ascii="宋体" w:hAnsi="宋体" w:eastAsia="宋体" w:cs="宋体"/>
          <w:b/>
          <w:bCs/>
          <w:color w:val="auto"/>
          <w:sz w:val="36"/>
          <w:szCs w:val="36"/>
          <w:highlight w:val="none"/>
        </w:rPr>
      </w:pPr>
      <w:bookmarkStart w:id="83" w:name="_Toc3901"/>
      <w:bookmarkStart w:id="84" w:name="_Toc13105"/>
      <w:r>
        <w:rPr>
          <w:rFonts w:hint="eastAsia" w:ascii="宋体" w:hAnsi="宋体" w:eastAsia="宋体" w:cs="宋体"/>
          <w:b/>
          <w:bCs/>
          <w:color w:val="auto"/>
          <w:sz w:val="36"/>
          <w:szCs w:val="36"/>
          <w:highlight w:val="none"/>
        </w:rPr>
        <w:t>第六章  竞争性磋商响应文件格式</w:t>
      </w:r>
      <w:bookmarkEnd w:id="83"/>
      <w:bookmarkEnd w:id="84"/>
    </w:p>
    <w:p w14:paraId="68E9BBB3">
      <w:pPr>
        <w:adjustRightInd w:val="0"/>
        <w:snapToGrid w:val="0"/>
        <w:spacing w:line="360" w:lineRule="auto"/>
        <w:ind w:right="600"/>
        <w:jc w:val="right"/>
        <w:rPr>
          <w:rFonts w:hint="eastAsia" w:ascii="宋体" w:hAnsi="宋体" w:eastAsia="宋体" w:cs="宋体"/>
          <w:b/>
          <w:color w:val="auto"/>
          <w:sz w:val="20"/>
          <w:szCs w:val="20"/>
          <w:highlight w:val="none"/>
        </w:rPr>
      </w:pPr>
      <w:bookmarkStart w:id="85" w:name="_Toc19196"/>
      <w:bookmarkStart w:id="86" w:name="_Toc25996_WPSOffice_Level1"/>
      <w:bookmarkStart w:id="87" w:name="_Toc10930_WPSOffice_Level1"/>
      <w:bookmarkStart w:id="88" w:name="_Toc5592_WPSOffice_Level1"/>
    </w:p>
    <w:p w14:paraId="14969DEA">
      <w:pPr>
        <w:adjustRightInd w:val="0"/>
        <w:snapToGrid w:val="0"/>
        <w:spacing w:line="360" w:lineRule="auto"/>
        <w:ind w:right="600"/>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（正本或副本）</w:t>
      </w:r>
    </w:p>
    <w:p w14:paraId="452B0814">
      <w:pPr>
        <w:wordWrap w:val="0"/>
        <w:spacing w:line="360" w:lineRule="auto"/>
        <w:ind w:right="980"/>
        <w:rPr>
          <w:rFonts w:hint="eastAsia" w:ascii="宋体" w:hAnsi="宋体" w:eastAsia="宋体" w:cs="宋体"/>
          <w:b/>
          <w:color w:val="auto"/>
          <w:sz w:val="28"/>
          <w:szCs w:val="28"/>
          <w:highlight w:val="none"/>
        </w:rPr>
      </w:pPr>
    </w:p>
    <w:p w14:paraId="6C3864C8">
      <w:pPr>
        <w:wordWrap w:val="0"/>
        <w:spacing w:line="360" w:lineRule="auto"/>
        <w:ind w:right="98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33442B1C">
      <w:pPr>
        <w:spacing w:line="360" w:lineRule="auto"/>
        <w:rPr>
          <w:rFonts w:hint="eastAsia" w:ascii="宋体" w:hAnsi="宋体" w:eastAsia="宋体" w:cs="宋体"/>
          <w:b/>
          <w:color w:val="auto"/>
          <w:highlight w:val="none"/>
        </w:rPr>
      </w:pPr>
    </w:p>
    <w:p w14:paraId="06B55981">
      <w:pPr>
        <w:adjustRightInd w:val="0"/>
        <w:snapToGrid w:val="0"/>
        <w:spacing w:line="360" w:lineRule="auto"/>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u w:val="single"/>
        </w:rPr>
        <w:t xml:space="preserve">                       </w:t>
      </w:r>
      <w:r>
        <w:rPr>
          <w:rFonts w:hint="eastAsia" w:ascii="宋体" w:hAnsi="宋体" w:eastAsia="宋体" w:cs="宋体"/>
          <w:bCs/>
          <w:color w:val="auto"/>
          <w:sz w:val="48"/>
          <w:szCs w:val="48"/>
          <w:highlight w:val="none"/>
        </w:rPr>
        <w:t>项目</w:t>
      </w:r>
    </w:p>
    <w:p w14:paraId="0F524122">
      <w:pPr>
        <w:adjustRightInd w:val="0"/>
        <w:snapToGrid w:val="0"/>
        <w:spacing w:line="360" w:lineRule="auto"/>
        <w:jc w:val="center"/>
        <w:rPr>
          <w:rFonts w:hint="eastAsia" w:ascii="宋体" w:hAnsi="宋体" w:eastAsia="宋体" w:cs="宋体"/>
          <w:bCs/>
          <w:color w:val="auto"/>
          <w:sz w:val="48"/>
          <w:szCs w:val="48"/>
          <w:highlight w:val="none"/>
        </w:rPr>
      </w:pPr>
    </w:p>
    <w:p w14:paraId="34C12408">
      <w:pPr>
        <w:adjustRightInd w:val="0"/>
        <w:snapToGrid w:val="0"/>
        <w:spacing w:line="360" w:lineRule="auto"/>
        <w:jc w:val="center"/>
        <w:rPr>
          <w:rFonts w:hint="eastAsia" w:ascii="宋体" w:hAnsi="宋体" w:eastAsia="宋体" w:cs="宋体"/>
          <w:bCs/>
          <w:color w:val="auto"/>
          <w:sz w:val="48"/>
          <w:szCs w:val="48"/>
          <w:highlight w:val="none"/>
        </w:rPr>
      </w:pPr>
    </w:p>
    <w:p w14:paraId="17C508B4">
      <w:pPr>
        <w:adjustRightInd w:val="0"/>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竞争性磋商响应文件</w:t>
      </w:r>
    </w:p>
    <w:p w14:paraId="49F08C1B">
      <w:pPr>
        <w:adjustRightInd w:val="0"/>
        <w:snapToGrid w:val="0"/>
        <w:spacing w:line="360" w:lineRule="auto"/>
        <w:jc w:val="center"/>
        <w:rPr>
          <w:rFonts w:hint="eastAsia" w:ascii="宋体" w:hAnsi="宋体" w:eastAsia="宋体" w:cs="宋体"/>
          <w:b/>
          <w:color w:val="auto"/>
          <w:sz w:val="28"/>
          <w:highlight w:val="none"/>
        </w:rPr>
      </w:pPr>
    </w:p>
    <w:p w14:paraId="79F40FBC">
      <w:pPr>
        <w:adjustRightInd w:val="0"/>
        <w:snapToGrid w:val="0"/>
        <w:spacing w:line="360" w:lineRule="auto"/>
        <w:rPr>
          <w:rFonts w:hint="eastAsia" w:ascii="宋体" w:hAnsi="宋体" w:eastAsia="宋体" w:cs="宋体"/>
          <w:b/>
          <w:color w:val="auto"/>
          <w:sz w:val="28"/>
          <w:highlight w:val="none"/>
        </w:rPr>
      </w:pPr>
    </w:p>
    <w:p w14:paraId="13A698D9">
      <w:pPr>
        <w:pStyle w:val="18"/>
        <w:rPr>
          <w:rFonts w:hint="eastAsia" w:ascii="宋体" w:hAnsi="宋体" w:eastAsia="宋体" w:cs="宋体"/>
          <w:b/>
          <w:color w:val="auto"/>
          <w:sz w:val="28"/>
          <w:highlight w:val="none"/>
        </w:rPr>
      </w:pPr>
    </w:p>
    <w:p w14:paraId="1C3CA972">
      <w:pPr>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（公章）</w:t>
      </w:r>
    </w:p>
    <w:p w14:paraId="23224CCC">
      <w:pPr>
        <w:spacing w:line="240" w:lineRule="auto"/>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w:t>
      </w:r>
    </w:p>
    <w:p w14:paraId="5CD46C54">
      <w:pPr>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或授权代表：</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（签字或盖章）</w:t>
      </w:r>
    </w:p>
    <w:p w14:paraId="59F5E19C">
      <w:pPr>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0A9D5B0D">
      <w:pPr>
        <w:adjustRightInd w:val="0"/>
        <w:snapToGrid w:val="0"/>
        <w:spacing w:line="360" w:lineRule="auto"/>
        <w:rPr>
          <w:rFonts w:hint="eastAsia" w:ascii="宋体" w:hAnsi="宋体" w:eastAsia="宋体" w:cs="宋体"/>
          <w:b/>
          <w:color w:val="auto"/>
          <w:sz w:val="20"/>
          <w:szCs w:val="28"/>
          <w:highlight w:val="none"/>
        </w:rPr>
      </w:pPr>
    </w:p>
    <w:p w14:paraId="0FC6B42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247EE6F">
      <w:pPr>
        <w:pStyle w:val="2"/>
        <w:rPr>
          <w:rFonts w:hint="eastAsia" w:ascii="宋体" w:hAnsi="宋体" w:eastAsia="宋体" w:cs="宋体"/>
          <w:color w:val="auto"/>
          <w:highlight w:val="none"/>
        </w:rPr>
      </w:pPr>
    </w:p>
    <w:p w14:paraId="13CF0C39">
      <w:pPr>
        <w:spacing w:line="360" w:lineRule="auto"/>
        <w:jc w:val="center"/>
        <w:rPr>
          <w:rFonts w:hint="eastAsia" w:ascii="宋体" w:hAnsi="宋体" w:eastAsia="宋体" w:cs="宋体"/>
          <w:b/>
          <w:bCs/>
          <w:color w:val="auto"/>
          <w:spacing w:val="4"/>
          <w:sz w:val="48"/>
          <w:szCs w:val="48"/>
          <w:highlight w:val="none"/>
        </w:rPr>
      </w:pPr>
      <w:r>
        <w:rPr>
          <w:rFonts w:hint="eastAsia" w:ascii="宋体" w:hAnsi="宋体" w:eastAsia="宋体" w:cs="宋体"/>
          <w:b/>
          <w:bCs/>
          <w:color w:val="auto"/>
          <w:spacing w:val="4"/>
          <w:sz w:val="48"/>
          <w:szCs w:val="48"/>
          <w:highlight w:val="none"/>
        </w:rPr>
        <w:t>目   录</w:t>
      </w:r>
    </w:p>
    <w:p w14:paraId="4D1691D2">
      <w:pPr>
        <w:spacing w:line="360" w:lineRule="auto"/>
        <w:jc w:val="left"/>
        <w:rPr>
          <w:rFonts w:hint="eastAsia" w:ascii="宋体" w:hAnsi="宋体" w:eastAsia="宋体" w:cs="宋体"/>
          <w:b/>
          <w:bCs/>
          <w:color w:val="auto"/>
          <w:spacing w:val="4"/>
          <w:sz w:val="32"/>
          <w:szCs w:val="32"/>
          <w:highlight w:val="none"/>
        </w:rPr>
      </w:pPr>
    </w:p>
    <w:p w14:paraId="2CC82DCF">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磋商函…………………………………………（页码）</w:t>
      </w:r>
    </w:p>
    <w:p w14:paraId="5687345D">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法定代表人身份证明…………………………（页码）</w:t>
      </w:r>
    </w:p>
    <w:p w14:paraId="06047DE3">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法人授权委托书………………………………（页码）</w:t>
      </w:r>
    </w:p>
    <w:p w14:paraId="37108B68">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报价表…………………………………………（页码）</w:t>
      </w:r>
    </w:p>
    <w:p w14:paraId="36408BBD">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近年承接的类似项目情况表…………………（页码）</w:t>
      </w:r>
    </w:p>
    <w:p w14:paraId="21D12B40">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项目实施方案…………………………………（页码）</w:t>
      </w:r>
    </w:p>
    <w:p w14:paraId="08CB78CD">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商务和技术偏离说明…………………………（页码）</w:t>
      </w:r>
    </w:p>
    <w:p w14:paraId="3C2264AC">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资格证明文件…………………………………（页码）</w:t>
      </w:r>
    </w:p>
    <w:p w14:paraId="5C3158CC">
      <w:pPr>
        <w:numPr>
          <w:ilvl w:val="0"/>
          <w:numId w:val="6"/>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其他资料………………………………………（页码）</w:t>
      </w:r>
    </w:p>
    <w:p w14:paraId="7A07F6EF">
      <w:pPr>
        <w:numPr>
          <w:ilvl w:val="0"/>
          <w:numId w:val="7"/>
        </w:numPr>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32"/>
          <w:szCs w:val="32"/>
          <w:highlight w:val="none"/>
        </w:rPr>
        <w:br w:type="page"/>
      </w:r>
      <w:bookmarkStart w:id="89" w:name="_Toc27869"/>
      <w:r>
        <w:rPr>
          <w:rStyle w:val="94"/>
          <w:rFonts w:hint="eastAsia" w:ascii="宋体" w:hAnsi="宋体" w:eastAsia="宋体" w:cs="宋体"/>
          <w:color w:val="auto"/>
          <w:sz w:val="32"/>
          <w:szCs w:val="32"/>
          <w:highlight w:val="none"/>
        </w:rPr>
        <w:t>磋商函</w:t>
      </w:r>
      <w:bookmarkEnd w:id="89"/>
    </w:p>
    <w:p w14:paraId="4522CD3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陕西玥鑫项目管理有限公司</w:t>
      </w:r>
      <w:r>
        <w:rPr>
          <w:rFonts w:hint="eastAsia" w:ascii="宋体" w:hAnsi="宋体" w:eastAsia="宋体" w:cs="宋体"/>
          <w:color w:val="auto"/>
          <w:highlight w:val="none"/>
        </w:rPr>
        <w:t>：</w:t>
      </w:r>
    </w:p>
    <w:p w14:paraId="74426F53">
      <w:pPr>
        <w:autoSpaceDE w:val="0"/>
        <w:autoSpaceDN w:val="0"/>
        <w:adjustRightInd w:val="0"/>
        <w:spacing w:line="360" w:lineRule="auto"/>
        <w:ind w:firstLine="630"/>
        <w:rPr>
          <w:rFonts w:hint="eastAsia" w:ascii="宋体" w:hAnsi="宋体" w:eastAsia="宋体" w:cs="宋体"/>
          <w:color w:val="auto"/>
          <w:highlight w:val="none"/>
        </w:rPr>
      </w:pPr>
      <w:r>
        <w:rPr>
          <w:rFonts w:hint="eastAsia" w:ascii="宋体" w:hAnsi="宋体" w:eastAsia="宋体" w:cs="宋体"/>
          <w:color w:val="auto"/>
          <w:highlight w:val="none"/>
          <w:lang w:val="zh-CN"/>
        </w:rPr>
        <w:t>我单位收到贵公司</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lang w:val="zh-CN"/>
        </w:rPr>
        <w:t>）</w:t>
      </w:r>
      <w:r>
        <w:rPr>
          <w:rFonts w:hint="eastAsia" w:ascii="宋体" w:hAnsi="宋体" w:eastAsia="宋体" w:cs="宋体"/>
          <w:color w:val="auto"/>
          <w:highlight w:val="none"/>
          <w:lang w:val="zh-CN"/>
        </w:rPr>
        <w:t>竞争性磋商文件，经详细研究，我们决定参加本次</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活动并</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。为此，我方郑重声明以下诸点，并负法律责任。</w:t>
      </w:r>
    </w:p>
    <w:p w14:paraId="4B663E8F">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、愿意按照竞争性磋商采购文件中的一切要求，提供磋商技术服务，完成合同的责任和义务。</w:t>
      </w:r>
    </w:p>
    <w:p w14:paraId="41E92EE2">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、按竞争性磋商采购文件的规定，我公司的第一次磋商报价为：人民币（</w:t>
      </w:r>
      <w:r>
        <w:rPr>
          <w:rFonts w:hint="eastAsia" w:ascii="宋体" w:hAnsi="宋体" w:eastAsia="宋体" w:cs="宋体"/>
          <w:color w:val="auto"/>
          <w:highlight w:val="none"/>
          <w:u w:val="single"/>
          <w:lang w:val="zh-CN"/>
        </w:rPr>
        <w:t>大写）：（￥：元）</w:t>
      </w:r>
      <w:r>
        <w:rPr>
          <w:rFonts w:hint="eastAsia" w:ascii="宋体" w:hAnsi="宋体" w:eastAsia="宋体" w:cs="宋体"/>
          <w:color w:val="auto"/>
          <w:highlight w:val="none"/>
          <w:lang w:val="zh-CN"/>
        </w:rPr>
        <w:t>，并对其后的磋商报价负法律责任。</w:t>
      </w:r>
    </w:p>
    <w:p w14:paraId="4D89DF84">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、我方提交的磋商响应文件正本一份、副本二份、电子</w:t>
      </w:r>
      <w:r>
        <w:rPr>
          <w:rFonts w:hint="eastAsia" w:ascii="宋体" w:hAnsi="宋体" w:eastAsia="宋体" w:cs="宋体"/>
          <w:color w:val="auto"/>
          <w:highlight w:val="none"/>
        </w:rPr>
        <w:t>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U盘</w:t>
      </w:r>
      <w:r>
        <w:rPr>
          <w:rFonts w:hint="eastAsia" w:ascii="宋体" w:hAnsi="宋体" w:eastAsia="宋体" w:cs="宋体"/>
          <w:color w:val="auto"/>
          <w:highlight w:val="none"/>
          <w:lang w:val="zh-CN"/>
        </w:rPr>
        <w:t>）一份。</w:t>
      </w:r>
    </w:p>
    <w:p w14:paraId="7D9C2219">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、我方已详细阅读了竞争性磋商采购文件，完全理解并放弃提出含糊不清或易形成歧义的表述和资料。</w:t>
      </w:r>
    </w:p>
    <w:p w14:paraId="00040B75">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、磋商后在规定的有效期内撤回磋商，我方愿接受政府采购的有关处罚决定。</w:t>
      </w:r>
    </w:p>
    <w:p w14:paraId="3055D259">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、同意向贵方提供可能要求的，与本次磋商有关的任何证据或资料，我们完全理解最低磋商报价不作为成交的唯一条件，且尊重磋商小组的评审结论和结果。</w:t>
      </w:r>
    </w:p>
    <w:p w14:paraId="3FF78D76">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、我方的磋商响应文件在磋商后有效期为</w:t>
      </w:r>
      <w:r>
        <w:rPr>
          <w:rFonts w:hint="eastAsia" w:ascii="宋体" w:hAnsi="宋体" w:eastAsia="宋体" w:cs="宋体"/>
          <w:color w:val="auto"/>
          <w:highlight w:val="none"/>
        </w:rPr>
        <w:t xml:space="preserve"> 90 </w:t>
      </w:r>
      <w:r>
        <w:rPr>
          <w:rFonts w:hint="eastAsia" w:ascii="宋体" w:hAnsi="宋体" w:eastAsia="宋体" w:cs="宋体"/>
          <w:color w:val="auto"/>
          <w:highlight w:val="none"/>
          <w:lang w:val="zh-CN"/>
        </w:rPr>
        <w:t>日历天，若我方成交，磋商响应文件有效期延长至合同执行完毕。</w:t>
      </w:r>
    </w:p>
    <w:p w14:paraId="436B0939">
      <w:pPr>
        <w:autoSpaceDE w:val="0"/>
        <w:autoSpaceDN w:val="0"/>
        <w:adjustRightInd w:val="0"/>
        <w:snapToGrid w:val="0"/>
        <w:spacing w:line="360" w:lineRule="auto"/>
        <w:ind w:firstLine="629"/>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zh-CN"/>
        </w:rPr>
        <w:t>、有关于本磋商采购文件的函电，请按下列地址联系。</w:t>
      </w:r>
    </w:p>
    <w:p w14:paraId="1318ECB8">
      <w:pPr>
        <w:autoSpaceDE w:val="0"/>
        <w:autoSpaceDN w:val="0"/>
        <w:adjustRightInd w:val="0"/>
        <w:spacing w:line="360" w:lineRule="auto"/>
        <w:ind w:firstLine="1440" w:firstLineChars="600"/>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lang w:val="zh-CN"/>
        </w:rPr>
        <w:t>（</w:t>
      </w:r>
      <w:r>
        <w:rPr>
          <w:rFonts w:hint="eastAsia" w:ascii="宋体" w:hAnsi="宋体" w:eastAsia="宋体" w:cs="宋体"/>
          <w:color w:val="auto"/>
          <w:highlight w:val="none"/>
        </w:rPr>
        <w:t>盖章</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rPr>
        <w:t xml:space="preserve">                                 </w:t>
      </w:r>
    </w:p>
    <w:p w14:paraId="6AB3C00C">
      <w:pPr>
        <w:autoSpaceDE w:val="0"/>
        <w:autoSpaceDN w:val="0"/>
        <w:adjustRightInd w:val="0"/>
        <w:spacing w:line="360" w:lineRule="auto"/>
        <w:ind w:firstLine="1440" w:firstLineChars="600"/>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477357C4">
      <w:pPr>
        <w:autoSpaceDE w:val="0"/>
        <w:autoSpaceDN w:val="0"/>
        <w:adjustRightInd w:val="0"/>
        <w:spacing w:line="360" w:lineRule="auto"/>
        <w:ind w:firstLine="1440" w:firstLineChars="6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zh-CN"/>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63DC6695">
      <w:pPr>
        <w:autoSpaceDE w:val="0"/>
        <w:autoSpaceDN w:val="0"/>
        <w:adjustRightInd w:val="0"/>
        <w:spacing w:line="360" w:lineRule="auto"/>
        <w:ind w:firstLine="1440" w:firstLineChars="6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66EE665C">
      <w:pPr>
        <w:autoSpaceDE w:val="0"/>
        <w:autoSpaceDN w:val="0"/>
        <w:adjustRightInd w:val="0"/>
        <w:spacing w:line="360" w:lineRule="auto"/>
        <w:ind w:firstLine="1440" w:firstLineChars="6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zh-CN"/>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3A009B95">
      <w:pPr>
        <w:autoSpaceDE w:val="0"/>
        <w:autoSpaceDN w:val="0"/>
        <w:adjustRightInd w:val="0"/>
        <w:spacing w:line="360" w:lineRule="auto"/>
        <w:ind w:firstLine="1440" w:firstLineChars="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6CB89AAB">
      <w:pPr>
        <w:autoSpaceDE w:val="0"/>
        <w:autoSpaceDN w:val="0"/>
        <w:adjustRightInd w:val="0"/>
        <w:spacing w:line="360" w:lineRule="auto"/>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法定代表人或委托代理人（签字或盖章）</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rPr>
        <w:t xml:space="preserve">               </w:t>
      </w:r>
    </w:p>
    <w:p w14:paraId="291EEF39">
      <w:pPr>
        <w:pStyle w:val="78"/>
        <w:spacing w:line="360" w:lineRule="auto"/>
        <w:ind w:firstLine="3600" w:firstLineChars="15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日</w:t>
      </w:r>
    </w:p>
    <w:p w14:paraId="36A907DB">
      <w:pPr>
        <w:jc w:val="center"/>
        <w:rPr>
          <w:rStyle w:val="94"/>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lang w:val="zh-CN"/>
        </w:rPr>
        <w:br w:type="page"/>
      </w:r>
      <w:bookmarkStart w:id="90" w:name="_Toc4537"/>
      <w:r>
        <w:rPr>
          <w:rStyle w:val="94"/>
          <w:rFonts w:hint="eastAsia" w:ascii="宋体" w:hAnsi="宋体" w:eastAsia="宋体" w:cs="宋体"/>
          <w:color w:val="auto"/>
          <w:sz w:val="32"/>
          <w:szCs w:val="32"/>
          <w:highlight w:val="none"/>
        </w:rPr>
        <w:t>二、法定代表人身份证明</w:t>
      </w:r>
    </w:p>
    <w:bookmarkEnd w:id="90"/>
    <w:tbl>
      <w:tblPr>
        <w:tblStyle w:val="3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7340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698C2F6F">
            <w:pPr>
              <w:tabs>
                <w:tab w:val="left" w:pos="210"/>
              </w:tabs>
              <w:spacing w:line="360" w:lineRule="auto"/>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致：</w:t>
            </w:r>
            <w:r>
              <w:rPr>
                <w:rFonts w:hint="eastAsia" w:ascii="宋体" w:hAnsi="宋体" w:eastAsia="宋体" w:cs="宋体"/>
                <w:color w:val="auto"/>
                <w:kern w:val="0"/>
                <w:highlight w:val="none"/>
                <w:lang w:eastAsia="zh-CN"/>
              </w:rPr>
              <w:t>陕西玥鑫项目管理有限公司</w:t>
            </w:r>
          </w:p>
        </w:tc>
      </w:tr>
      <w:tr w14:paraId="1806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101F626C">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企</w:t>
            </w:r>
          </w:p>
          <w:p w14:paraId="34390BD2">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w:t>
            </w:r>
          </w:p>
          <w:p w14:paraId="4E94273C">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法</w:t>
            </w:r>
          </w:p>
          <w:p w14:paraId="3E5DA5A6">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w:t>
            </w:r>
          </w:p>
        </w:tc>
        <w:tc>
          <w:tcPr>
            <w:tcW w:w="2030" w:type="dxa"/>
            <w:vAlign w:val="center"/>
          </w:tcPr>
          <w:p w14:paraId="2D8E50CD">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企业名称</w:t>
            </w:r>
          </w:p>
        </w:tc>
        <w:tc>
          <w:tcPr>
            <w:tcW w:w="6271" w:type="dxa"/>
            <w:gridSpan w:val="3"/>
            <w:vAlign w:val="center"/>
          </w:tcPr>
          <w:p w14:paraId="0A896C65">
            <w:pPr>
              <w:tabs>
                <w:tab w:val="left" w:pos="210"/>
              </w:tabs>
              <w:spacing w:line="360" w:lineRule="auto"/>
              <w:jc w:val="left"/>
              <w:rPr>
                <w:rFonts w:hint="eastAsia" w:ascii="宋体" w:hAnsi="宋体" w:eastAsia="宋体" w:cs="宋体"/>
                <w:color w:val="auto"/>
                <w:kern w:val="0"/>
                <w:highlight w:val="none"/>
              </w:rPr>
            </w:pPr>
          </w:p>
        </w:tc>
      </w:tr>
      <w:tr w14:paraId="3901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3DF273D">
            <w:pPr>
              <w:tabs>
                <w:tab w:val="left" w:pos="210"/>
              </w:tabs>
              <w:spacing w:line="360" w:lineRule="auto"/>
              <w:ind w:firstLine="480" w:firstLineChars="200"/>
              <w:jc w:val="center"/>
              <w:rPr>
                <w:rFonts w:hint="eastAsia" w:ascii="宋体" w:hAnsi="宋体" w:eastAsia="宋体" w:cs="宋体"/>
                <w:color w:val="auto"/>
                <w:kern w:val="0"/>
                <w:highlight w:val="none"/>
              </w:rPr>
            </w:pPr>
          </w:p>
        </w:tc>
        <w:tc>
          <w:tcPr>
            <w:tcW w:w="2030" w:type="dxa"/>
            <w:vAlign w:val="center"/>
          </w:tcPr>
          <w:p w14:paraId="46DE8333">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法定地址</w:t>
            </w:r>
          </w:p>
        </w:tc>
        <w:tc>
          <w:tcPr>
            <w:tcW w:w="6271" w:type="dxa"/>
            <w:gridSpan w:val="3"/>
            <w:vAlign w:val="center"/>
          </w:tcPr>
          <w:p w14:paraId="30793BEE">
            <w:pPr>
              <w:tabs>
                <w:tab w:val="left" w:pos="210"/>
              </w:tabs>
              <w:spacing w:line="360" w:lineRule="auto"/>
              <w:jc w:val="left"/>
              <w:rPr>
                <w:rFonts w:hint="eastAsia" w:ascii="宋体" w:hAnsi="宋体" w:eastAsia="宋体" w:cs="宋体"/>
                <w:color w:val="auto"/>
                <w:kern w:val="0"/>
                <w:highlight w:val="none"/>
              </w:rPr>
            </w:pPr>
          </w:p>
        </w:tc>
      </w:tr>
      <w:tr w14:paraId="1772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60048AF">
            <w:pPr>
              <w:tabs>
                <w:tab w:val="left" w:pos="210"/>
              </w:tabs>
              <w:spacing w:line="360" w:lineRule="auto"/>
              <w:ind w:firstLine="480" w:firstLineChars="200"/>
              <w:jc w:val="center"/>
              <w:rPr>
                <w:rFonts w:hint="eastAsia" w:ascii="宋体" w:hAnsi="宋体" w:eastAsia="宋体" w:cs="宋体"/>
                <w:color w:val="auto"/>
                <w:kern w:val="0"/>
                <w:highlight w:val="none"/>
              </w:rPr>
            </w:pPr>
          </w:p>
        </w:tc>
        <w:tc>
          <w:tcPr>
            <w:tcW w:w="2030" w:type="dxa"/>
            <w:vAlign w:val="center"/>
          </w:tcPr>
          <w:p w14:paraId="1A8249C4">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邮政编码</w:t>
            </w:r>
          </w:p>
        </w:tc>
        <w:tc>
          <w:tcPr>
            <w:tcW w:w="6271" w:type="dxa"/>
            <w:gridSpan w:val="3"/>
            <w:vAlign w:val="center"/>
          </w:tcPr>
          <w:p w14:paraId="7EB7BC38">
            <w:pPr>
              <w:tabs>
                <w:tab w:val="left" w:pos="210"/>
              </w:tabs>
              <w:spacing w:line="360" w:lineRule="auto"/>
              <w:jc w:val="left"/>
              <w:rPr>
                <w:rFonts w:hint="eastAsia" w:ascii="宋体" w:hAnsi="宋体" w:eastAsia="宋体" w:cs="宋体"/>
                <w:color w:val="auto"/>
                <w:kern w:val="0"/>
                <w:highlight w:val="none"/>
              </w:rPr>
            </w:pPr>
          </w:p>
        </w:tc>
      </w:tr>
      <w:tr w14:paraId="0A8F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5CAAD99D">
            <w:pPr>
              <w:tabs>
                <w:tab w:val="left" w:pos="210"/>
              </w:tabs>
              <w:spacing w:line="360" w:lineRule="auto"/>
              <w:ind w:firstLine="480" w:firstLineChars="200"/>
              <w:jc w:val="center"/>
              <w:rPr>
                <w:rFonts w:hint="eastAsia" w:ascii="宋体" w:hAnsi="宋体" w:eastAsia="宋体" w:cs="宋体"/>
                <w:color w:val="auto"/>
                <w:kern w:val="0"/>
                <w:highlight w:val="none"/>
              </w:rPr>
            </w:pPr>
          </w:p>
        </w:tc>
        <w:tc>
          <w:tcPr>
            <w:tcW w:w="2030" w:type="dxa"/>
            <w:vAlign w:val="center"/>
          </w:tcPr>
          <w:p w14:paraId="359EC419">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工商登记机关</w:t>
            </w:r>
          </w:p>
        </w:tc>
        <w:tc>
          <w:tcPr>
            <w:tcW w:w="6271" w:type="dxa"/>
            <w:gridSpan w:val="3"/>
            <w:vAlign w:val="center"/>
          </w:tcPr>
          <w:p w14:paraId="458D3ACF">
            <w:pPr>
              <w:tabs>
                <w:tab w:val="left" w:pos="210"/>
              </w:tabs>
              <w:spacing w:line="360" w:lineRule="auto"/>
              <w:jc w:val="left"/>
              <w:rPr>
                <w:rFonts w:hint="eastAsia" w:ascii="宋体" w:hAnsi="宋体" w:eastAsia="宋体" w:cs="宋体"/>
                <w:color w:val="auto"/>
                <w:kern w:val="0"/>
                <w:highlight w:val="none"/>
              </w:rPr>
            </w:pPr>
          </w:p>
        </w:tc>
      </w:tr>
      <w:tr w14:paraId="2506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0CA2CD4">
            <w:pPr>
              <w:tabs>
                <w:tab w:val="left" w:pos="210"/>
              </w:tabs>
              <w:spacing w:line="360" w:lineRule="auto"/>
              <w:ind w:firstLine="480" w:firstLineChars="200"/>
              <w:jc w:val="center"/>
              <w:rPr>
                <w:rFonts w:hint="eastAsia" w:ascii="宋体" w:hAnsi="宋体" w:eastAsia="宋体" w:cs="宋体"/>
                <w:color w:val="auto"/>
                <w:kern w:val="0"/>
                <w:highlight w:val="none"/>
              </w:rPr>
            </w:pPr>
          </w:p>
        </w:tc>
        <w:tc>
          <w:tcPr>
            <w:tcW w:w="2030" w:type="dxa"/>
            <w:vAlign w:val="center"/>
          </w:tcPr>
          <w:p w14:paraId="46C7078E">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税务登记机关</w:t>
            </w:r>
          </w:p>
        </w:tc>
        <w:tc>
          <w:tcPr>
            <w:tcW w:w="6271" w:type="dxa"/>
            <w:gridSpan w:val="3"/>
            <w:vAlign w:val="center"/>
          </w:tcPr>
          <w:p w14:paraId="16BB0B98">
            <w:pPr>
              <w:tabs>
                <w:tab w:val="left" w:pos="210"/>
              </w:tabs>
              <w:spacing w:line="360" w:lineRule="auto"/>
              <w:jc w:val="left"/>
              <w:rPr>
                <w:rFonts w:hint="eastAsia" w:ascii="宋体" w:hAnsi="宋体" w:eastAsia="宋体" w:cs="宋体"/>
                <w:color w:val="auto"/>
                <w:kern w:val="0"/>
                <w:highlight w:val="none"/>
              </w:rPr>
            </w:pPr>
          </w:p>
        </w:tc>
      </w:tr>
      <w:tr w14:paraId="48E4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5BE04DB">
            <w:pPr>
              <w:tabs>
                <w:tab w:val="left" w:pos="210"/>
              </w:tabs>
              <w:spacing w:line="360" w:lineRule="auto"/>
              <w:ind w:firstLine="480" w:firstLineChars="200"/>
              <w:jc w:val="center"/>
              <w:rPr>
                <w:rFonts w:hint="eastAsia" w:ascii="宋体" w:hAnsi="宋体" w:eastAsia="宋体" w:cs="宋体"/>
                <w:color w:val="auto"/>
                <w:kern w:val="0"/>
                <w:highlight w:val="none"/>
              </w:rPr>
            </w:pPr>
          </w:p>
        </w:tc>
        <w:tc>
          <w:tcPr>
            <w:tcW w:w="2030" w:type="dxa"/>
            <w:vAlign w:val="center"/>
          </w:tcPr>
          <w:p w14:paraId="0738D4EC">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统一社会信用代码</w:t>
            </w:r>
          </w:p>
        </w:tc>
        <w:tc>
          <w:tcPr>
            <w:tcW w:w="6271" w:type="dxa"/>
            <w:gridSpan w:val="3"/>
            <w:vAlign w:val="center"/>
          </w:tcPr>
          <w:p w14:paraId="041DBC9D">
            <w:pPr>
              <w:tabs>
                <w:tab w:val="left" w:pos="210"/>
              </w:tabs>
              <w:spacing w:line="360" w:lineRule="auto"/>
              <w:jc w:val="left"/>
              <w:rPr>
                <w:rFonts w:hint="eastAsia" w:ascii="宋体" w:hAnsi="宋体" w:eastAsia="宋体" w:cs="宋体"/>
                <w:color w:val="auto"/>
                <w:kern w:val="0"/>
                <w:highlight w:val="none"/>
              </w:rPr>
            </w:pPr>
          </w:p>
        </w:tc>
      </w:tr>
      <w:tr w14:paraId="4969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054338E">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w:t>
            </w:r>
          </w:p>
          <w:p w14:paraId="268B8719">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w:t>
            </w:r>
          </w:p>
        </w:tc>
        <w:tc>
          <w:tcPr>
            <w:tcW w:w="2030" w:type="dxa"/>
            <w:vAlign w:val="center"/>
          </w:tcPr>
          <w:p w14:paraId="58AF9AE2">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895" w:type="dxa"/>
            <w:vAlign w:val="center"/>
          </w:tcPr>
          <w:p w14:paraId="156AD7C5">
            <w:pPr>
              <w:tabs>
                <w:tab w:val="left" w:pos="210"/>
              </w:tabs>
              <w:spacing w:line="360" w:lineRule="auto"/>
              <w:ind w:firstLine="480" w:firstLineChars="200"/>
              <w:jc w:val="left"/>
              <w:rPr>
                <w:rFonts w:hint="eastAsia" w:ascii="宋体" w:hAnsi="宋体" w:eastAsia="宋体" w:cs="宋体"/>
                <w:color w:val="auto"/>
                <w:kern w:val="0"/>
                <w:highlight w:val="none"/>
              </w:rPr>
            </w:pPr>
          </w:p>
        </w:tc>
        <w:tc>
          <w:tcPr>
            <w:tcW w:w="2186" w:type="dxa"/>
            <w:vAlign w:val="center"/>
          </w:tcPr>
          <w:p w14:paraId="7F68EB27">
            <w:pPr>
              <w:tabs>
                <w:tab w:val="left" w:pos="210"/>
              </w:tabs>
              <w:spacing w:line="360" w:lineRule="auto"/>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2190" w:type="dxa"/>
            <w:vAlign w:val="center"/>
          </w:tcPr>
          <w:p w14:paraId="4E1D2EE2">
            <w:pPr>
              <w:tabs>
                <w:tab w:val="left" w:pos="210"/>
              </w:tabs>
              <w:spacing w:line="360" w:lineRule="auto"/>
              <w:ind w:firstLine="480" w:firstLineChars="200"/>
              <w:jc w:val="left"/>
              <w:rPr>
                <w:rFonts w:hint="eastAsia" w:ascii="宋体" w:hAnsi="宋体" w:eastAsia="宋体" w:cs="宋体"/>
                <w:color w:val="auto"/>
                <w:kern w:val="0"/>
                <w:highlight w:val="none"/>
              </w:rPr>
            </w:pPr>
          </w:p>
        </w:tc>
      </w:tr>
      <w:tr w14:paraId="5EFD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60EC8422">
            <w:pPr>
              <w:tabs>
                <w:tab w:val="left" w:pos="210"/>
              </w:tabs>
              <w:spacing w:line="360" w:lineRule="auto"/>
              <w:ind w:firstLine="480" w:firstLineChars="200"/>
              <w:jc w:val="center"/>
              <w:rPr>
                <w:rFonts w:hint="eastAsia" w:ascii="宋体" w:hAnsi="宋体" w:eastAsia="宋体" w:cs="宋体"/>
                <w:color w:val="auto"/>
                <w:kern w:val="0"/>
                <w:highlight w:val="none"/>
              </w:rPr>
            </w:pPr>
          </w:p>
        </w:tc>
        <w:tc>
          <w:tcPr>
            <w:tcW w:w="2030" w:type="dxa"/>
            <w:vAlign w:val="center"/>
          </w:tcPr>
          <w:p w14:paraId="3CDEFE2A">
            <w:pP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职务</w:t>
            </w:r>
          </w:p>
        </w:tc>
        <w:tc>
          <w:tcPr>
            <w:tcW w:w="1895" w:type="dxa"/>
            <w:vAlign w:val="center"/>
          </w:tcPr>
          <w:p w14:paraId="5CBDA22A">
            <w:pPr>
              <w:tabs>
                <w:tab w:val="left" w:pos="210"/>
              </w:tabs>
              <w:spacing w:line="360" w:lineRule="auto"/>
              <w:jc w:val="left"/>
              <w:rPr>
                <w:rFonts w:hint="eastAsia" w:ascii="宋体" w:hAnsi="宋体" w:eastAsia="宋体" w:cs="宋体"/>
                <w:color w:val="auto"/>
                <w:kern w:val="0"/>
                <w:highlight w:val="none"/>
              </w:rPr>
            </w:pPr>
          </w:p>
        </w:tc>
        <w:tc>
          <w:tcPr>
            <w:tcW w:w="2186" w:type="dxa"/>
            <w:vAlign w:val="center"/>
          </w:tcPr>
          <w:p w14:paraId="5D023689">
            <w:pPr>
              <w:tabs>
                <w:tab w:val="left" w:pos="210"/>
              </w:tabs>
              <w:spacing w:line="360" w:lineRule="auto"/>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联系电话</w:t>
            </w:r>
          </w:p>
        </w:tc>
        <w:tc>
          <w:tcPr>
            <w:tcW w:w="2190" w:type="dxa"/>
            <w:vAlign w:val="center"/>
          </w:tcPr>
          <w:p w14:paraId="389262FE">
            <w:pPr>
              <w:tabs>
                <w:tab w:val="left" w:pos="210"/>
              </w:tabs>
              <w:spacing w:line="360" w:lineRule="auto"/>
              <w:ind w:firstLine="480" w:firstLineChars="200"/>
              <w:jc w:val="left"/>
              <w:rPr>
                <w:rFonts w:hint="eastAsia" w:ascii="宋体" w:hAnsi="宋体" w:eastAsia="宋体" w:cs="宋体"/>
                <w:color w:val="auto"/>
                <w:kern w:val="0"/>
                <w:highlight w:val="none"/>
              </w:rPr>
            </w:pPr>
          </w:p>
        </w:tc>
      </w:tr>
      <w:tr w14:paraId="5BAC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9D1C33F">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w:t>
            </w:r>
          </w:p>
          <w:p w14:paraId="4C360665">
            <w:pPr>
              <w:tabs>
                <w:tab w:val="left" w:pos="210"/>
              </w:tabs>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人身份证复印件</w:t>
            </w:r>
          </w:p>
        </w:tc>
        <w:tc>
          <w:tcPr>
            <w:tcW w:w="3925" w:type="dxa"/>
            <w:gridSpan w:val="2"/>
            <w:vMerge w:val="restart"/>
            <w:vAlign w:val="center"/>
          </w:tcPr>
          <w:p w14:paraId="2552D0AA">
            <w:pPr>
              <w:tabs>
                <w:tab w:val="left" w:pos="210"/>
              </w:tabs>
              <w:spacing w:line="360" w:lineRule="auto"/>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（正反面）</w:t>
            </w:r>
          </w:p>
        </w:tc>
        <w:tc>
          <w:tcPr>
            <w:tcW w:w="4376" w:type="dxa"/>
            <w:gridSpan w:val="2"/>
            <w:vAlign w:val="center"/>
          </w:tcPr>
          <w:p w14:paraId="1B941DCC">
            <w:pPr>
              <w:tabs>
                <w:tab w:val="left" w:pos="210"/>
              </w:tabs>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法定代表人（签字或盖章）</w:t>
            </w:r>
          </w:p>
        </w:tc>
      </w:tr>
      <w:tr w14:paraId="7976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1809FE38">
            <w:pPr>
              <w:tabs>
                <w:tab w:val="left" w:pos="210"/>
              </w:tabs>
              <w:spacing w:line="360" w:lineRule="auto"/>
              <w:ind w:firstLine="480" w:firstLineChars="200"/>
              <w:jc w:val="left"/>
              <w:rPr>
                <w:rFonts w:hint="eastAsia" w:ascii="宋体" w:hAnsi="宋体" w:eastAsia="宋体" w:cs="宋体"/>
                <w:color w:val="auto"/>
                <w:kern w:val="0"/>
                <w:highlight w:val="none"/>
              </w:rPr>
            </w:pPr>
          </w:p>
        </w:tc>
        <w:tc>
          <w:tcPr>
            <w:tcW w:w="3925" w:type="dxa"/>
            <w:gridSpan w:val="2"/>
            <w:vMerge w:val="continue"/>
            <w:vAlign w:val="center"/>
          </w:tcPr>
          <w:p w14:paraId="3E547551">
            <w:pPr>
              <w:tabs>
                <w:tab w:val="left" w:pos="210"/>
              </w:tabs>
              <w:spacing w:line="360" w:lineRule="auto"/>
              <w:ind w:firstLine="480" w:firstLineChars="200"/>
              <w:jc w:val="left"/>
              <w:rPr>
                <w:rFonts w:hint="eastAsia" w:ascii="宋体" w:hAnsi="宋体" w:eastAsia="宋体" w:cs="宋体"/>
                <w:color w:val="auto"/>
                <w:kern w:val="0"/>
                <w:highlight w:val="none"/>
              </w:rPr>
            </w:pPr>
          </w:p>
        </w:tc>
        <w:tc>
          <w:tcPr>
            <w:tcW w:w="4376" w:type="dxa"/>
            <w:gridSpan w:val="2"/>
            <w:vAlign w:val="bottom"/>
          </w:tcPr>
          <w:p w14:paraId="43192956">
            <w:pPr>
              <w:tabs>
                <w:tab w:val="left" w:pos="210"/>
              </w:tabs>
              <w:spacing w:line="360" w:lineRule="auto"/>
              <w:ind w:firstLine="2160" w:firstLineChars="9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（公章）</w:t>
            </w:r>
          </w:p>
          <w:p w14:paraId="5DC2FFC8">
            <w:pPr>
              <w:tabs>
                <w:tab w:val="left" w:pos="210"/>
              </w:tabs>
              <w:spacing w:line="360" w:lineRule="auto"/>
              <w:jc w:val="left"/>
              <w:rPr>
                <w:rFonts w:hint="eastAsia" w:ascii="宋体" w:hAnsi="宋体" w:eastAsia="宋体" w:cs="宋体"/>
                <w:color w:val="auto"/>
                <w:kern w:val="0"/>
                <w:highlight w:val="none"/>
              </w:rPr>
            </w:pPr>
          </w:p>
          <w:p w14:paraId="6DFC16E4">
            <w:pPr>
              <w:tabs>
                <w:tab w:val="left" w:pos="210"/>
              </w:tabs>
              <w:spacing w:line="360" w:lineRule="auto"/>
              <w:jc w:val="left"/>
              <w:rPr>
                <w:rFonts w:hint="eastAsia" w:ascii="宋体" w:hAnsi="宋体" w:eastAsia="宋体" w:cs="宋体"/>
                <w:color w:val="auto"/>
                <w:kern w:val="0"/>
                <w:highlight w:val="none"/>
              </w:rPr>
            </w:pPr>
          </w:p>
          <w:p w14:paraId="5627AFC8">
            <w:pPr>
              <w:tabs>
                <w:tab w:val="left" w:pos="210"/>
              </w:tabs>
              <w:spacing w:line="360" w:lineRule="auto"/>
              <w:jc w:val="left"/>
              <w:rPr>
                <w:rFonts w:hint="eastAsia" w:ascii="宋体" w:hAnsi="宋体" w:eastAsia="宋体" w:cs="宋体"/>
                <w:color w:val="auto"/>
                <w:kern w:val="0"/>
                <w:highlight w:val="none"/>
              </w:rPr>
            </w:pPr>
          </w:p>
          <w:p w14:paraId="3D1A3358">
            <w:pPr>
              <w:adjustRightInd w:val="0"/>
              <w:snapToGrid w:val="0"/>
              <w:spacing w:line="480" w:lineRule="auto"/>
              <w:ind w:firstLine="480" w:firstLineChars="200"/>
              <w:jc w:val="right"/>
              <w:rPr>
                <w:rFonts w:hint="eastAsia" w:ascii="宋体" w:hAnsi="宋体" w:eastAsia="宋体" w:cs="宋体"/>
                <w:color w:val="auto"/>
                <w:kern w:val="0"/>
                <w:highlight w:val="none"/>
              </w:rPr>
            </w:pPr>
            <w:r>
              <w:rPr>
                <w:rFonts w:hint="eastAsia" w:ascii="宋体" w:hAnsi="宋体" w:eastAsia="宋体" w:cs="宋体"/>
                <w:color w:val="auto"/>
                <w:highlight w:val="none"/>
              </w:rPr>
              <w:t>年    月   日</w:t>
            </w:r>
          </w:p>
        </w:tc>
      </w:tr>
    </w:tbl>
    <w:p w14:paraId="11AC1FFF">
      <w:pPr>
        <w:overflowPunct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32"/>
          <w:szCs w:val="32"/>
          <w:highlight w:val="none"/>
        </w:rPr>
        <w:br w:type="page"/>
      </w:r>
      <w:bookmarkStart w:id="91" w:name="_Toc12320"/>
      <w:r>
        <w:rPr>
          <w:rStyle w:val="94"/>
          <w:rFonts w:hint="eastAsia" w:ascii="宋体" w:hAnsi="宋体" w:eastAsia="宋体" w:cs="宋体"/>
          <w:color w:val="auto"/>
          <w:sz w:val="32"/>
          <w:szCs w:val="32"/>
          <w:highlight w:val="none"/>
        </w:rPr>
        <w:t>三、法人授权委托书</w:t>
      </w:r>
      <w:bookmarkEnd w:id="91"/>
    </w:p>
    <w:p w14:paraId="6DE53652">
      <w:pPr>
        <w:overflowPunct w:val="0"/>
        <w:spacing w:line="360" w:lineRule="auto"/>
        <w:ind w:left="125" w:leftChars="52" w:firstLine="550" w:firstLineChars="250"/>
        <w:rPr>
          <w:rFonts w:hint="eastAsia" w:ascii="宋体" w:hAnsi="宋体" w:eastAsia="宋体" w:cs="宋体"/>
          <w:color w:val="auto"/>
          <w:sz w:val="22"/>
          <w:szCs w:val="22"/>
          <w:highlight w:val="none"/>
        </w:rPr>
      </w:pPr>
    </w:p>
    <w:p w14:paraId="11130B78">
      <w:pPr>
        <w:overflowPunct w:val="0"/>
        <w:spacing w:line="480" w:lineRule="auto"/>
        <w:ind w:left="125" w:leftChars="52"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本授权委托书声明：我（法定代表人姓名）系注册于</w:t>
      </w:r>
      <w:r>
        <w:rPr>
          <w:rFonts w:hint="eastAsia" w:ascii="宋体" w:hAnsi="宋体" w:eastAsia="宋体" w:cs="宋体"/>
          <w:color w:val="auto"/>
          <w:highlight w:val="none"/>
          <w:u w:val="single"/>
        </w:rPr>
        <w:t xml:space="preserve">  （磋商供应商地址）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（磋商供应商名称）</w:t>
      </w:r>
      <w:r>
        <w:rPr>
          <w:rFonts w:hint="eastAsia" w:ascii="宋体" w:hAnsi="宋体" w:eastAsia="宋体" w:cs="宋体"/>
          <w:color w:val="auto"/>
          <w:highlight w:val="none"/>
        </w:rPr>
        <w:t>的法定代表人，现授权（被授权人姓名、职务）为我公司合法代理人，就签署</w:t>
      </w:r>
      <w:r>
        <w:rPr>
          <w:rFonts w:hint="eastAsia" w:ascii="宋体" w:hAnsi="宋体" w:eastAsia="宋体" w:cs="宋体"/>
          <w:color w:val="auto"/>
          <w:highlight w:val="none"/>
          <w:u w:val="single"/>
        </w:rPr>
        <w:t xml:space="preserve">  （项目名称）（项目编号）     </w:t>
      </w:r>
      <w:r>
        <w:rPr>
          <w:rFonts w:hint="eastAsia" w:ascii="宋体" w:hAnsi="宋体" w:eastAsia="宋体" w:cs="宋体"/>
          <w:color w:val="auto"/>
          <w:highlight w:val="none"/>
        </w:rPr>
        <w:t>的磋商及合同的执行和完成，以本公司名义处理一切与之有关的事宜。</w:t>
      </w:r>
    </w:p>
    <w:p w14:paraId="79D6CC76">
      <w:pPr>
        <w:overflowPunct w:val="0"/>
        <w:spacing w:line="360" w:lineRule="auto"/>
        <w:ind w:left="124" w:leftChars="51" w:hanging="2"/>
        <w:rPr>
          <w:rFonts w:hint="eastAsia" w:ascii="宋体" w:hAnsi="宋体" w:eastAsia="宋体" w:cs="宋体"/>
          <w:color w:val="auto"/>
          <w:highlight w:val="none"/>
        </w:rPr>
      </w:pPr>
      <w:r>
        <w:rPr>
          <w:rFonts w:hint="eastAsia" w:ascii="宋体" w:hAnsi="宋体" w:eastAsia="宋体" w:cs="宋体"/>
          <w:color w:val="auto"/>
          <w:highlight w:val="none"/>
        </w:rPr>
        <w:t xml:space="preserve">         代理人无转委托权，特此委托。</w:t>
      </w:r>
    </w:p>
    <w:p w14:paraId="28359CE3">
      <w:pPr>
        <w:overflowPunct w:val="0"/>
        <w:spacing w:line="48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法人代表人（签字或盖章）：             被授权人签字：</w:t>
      </w:r>
    </w:p>
    <w:p w14:paraId="7FC87A02">
      <w:pPr>
        <w:overflowPunct w:val="0"/>
        <w:spacing w:line="48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职        务：                         职        务：</w:t>
      </w:r>
    </w:p>
    <w:p w14:paraId="52B0B233">
      <w:pPr>
        <w:overflowPunct w:val="0"/>
        <w:spacing w:line="48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身  份 证 号：                         身  份 证 号：</w:t>
      </w:r>
    </w:p>
    <w:p w14:paraId="32FF2CC5">
      <w:pPr>
        <w:overflowPunct w:val="0"/>
        <w:spacing w:line="480" w:lineRule="auto"/>
        <w:ind w:firstLine="240" w:firstLineChars="100"/>
        <w:rPr>
          <w:rFonts w:hint="eastAsia" w:ascii="宋体" w:hAnsi="宋体" w:eastAsia="宋体" w:cs="宋体"/>
          <w:bCs/>
          <w:color w:val="auto"/>
          <w:highlight w:val="none"/>
        </w:rPr>
      </w:pPr>
      <w:r>
        <w:rPr>
          <w:rFonts w:hint="eastAsia" w:ascii="宋体" w:hAnsi="宋体" w:eastAsia="宋体" w:cs="宋体"/>
          <w:color w:val="auto"/>
          <w:highlight w:val="none"/>
        </w:rPr>
        <w:t>附：法定代表人、被授权人身份证复印件。</w:t>
      </w:r>
    </w:p>
    <w:tbl>
      <w:tblPr>
        <w:tblStyle w:val="3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30A9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870522E">
            <w:pPr>
              <w:overflowPunct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w:t>
            </w:r>
          </w:p>
          <w:p w14:paraId="65A483DF">
            <w:pPr>
              <w:overflowPunct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c>
          <w:tcPr>
            <w:tcW w:w="4790" w:type="dxa"/>
            <w:tcBorders>
              <w:left w:val="single" w:color="auto" w:sz="4" w:space="0"/>
            </w:tcBorders>
            <w:vAlign w:val="center"/>
          </w:tcPr>
          <w:p w14:paraId="53BD5279">
            <w:pPr>
              <w:overflowPunct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被授权人身份证复印件</w:t>
            </w:r>
          </w:p>
          <w:p w14:paraId="67E75FCE">
            <w:pPr>
              <w:overflowPunct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r>
    </w:tbl>
    <w:p w14:paraId="765488B2">
      <w:pPr>
        <w:overflowPunct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（本授权的有效期为磋商之日起90个日历日）</w:t>
      </w:r>
    </w:p>
    <w:p w14:paraId="21FA1341">
      <w:pPr>
        <w:overflowPunct w:val="0"/>
        <w:spacing w:line="360" w:lineRule="auto"/>
        <w:ind w:firstLine="552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供应商名称（盖章）：</w:t>
      </w:r>
      <w:r>
        <w:rPr>
          <w:rFonts w:hint="eastAsia" w:ascii="宋体" w:hAnsi="宋体" w:eastAsia="宋体" w:cs="宋体"/>
          <w:color w:val="auto"/>
          <w:highlight w:val="none"/>
          <w:u w:val="single"/>
        </w:rPr>
        <w:t xml:space="preserve">               </w:t>
      </w:r>
    </w:p>
    <w:p w14:paraId="2F9E450A">
      <w:pPr>
        <w:overflowPunct w:val="0"/>
        <w:spacing w:line="360" w:lineRule="auto"/>
        <w:ind w:firstLine="6000" w:firstLineChars="25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0AFC138F">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55AD08C">
      <w:pPr>
        <w:overflowPunct w:val="0"/>
        <w:spacing w:line="360" w:lineRule="auto"/>
        <w:jc w:val="center"/>
        <w:rPr>
          <w:rStyle w:val="94"/>
          <w:rFonts w:hint="eastAsia" w:ascii="宋体" w:hAnsi="宋体" w:eastAsia="宋体" w:cs="宋体"/>
          <w:color w:val="auto"/>
          <w:sz w:val="32"/>
          <w:szCs w:val="32"/>
          <w:highlight w:val="none"/>
        </w:rPr>
      </w:pPr>
      <w:bookmarkStart w:id="92" w:name="_Toc18383"/>
      <w:bookmarkStart w:id="93" w:name="_Toc26642"/>
      <w:bookmarkStart w:id="94" w:name="_Toc7013"/>
      <w:r>
        <w:rPr>
          <w:rStyle w:val="94"/>
          <w:rFonts w:hint="eastAsia" w:ascii="宋体" w:hAnsi="宋体" w:eastAsia="宋体" w:cs="宋体"/>
          <w:color w:val="auto"/>
          <w:sz w:val="32"/>
          <w:szCs w:val="32"/>
          <w:highlight w:val="none"/>
        </w:rPr>
        <w:t>四、报价表（第一次）</w:t>
      </w:r>
      <w:bookmarkEnd w:id="92"/>
      <w:bookmarkEnd w:id="93"/>
    </w:p>
    <w:bookmarkEnd w:id="94"/>
    <w:tbl>
      <w:tblPr>
        <w:tblStyle w:val="30"/>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301C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6E03592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67" w:type="dxa"/>
            <w:vAlign w:val="center"/>
          </w:tcPr>
          <w:p w14:paraId="05ADFD9F">
            <w:pPr>
              <w:widowControl/>
              <w:jc w:val="center"/>
              <w:rPr>
                <w:rFonts w:hint="eastAsia" w:ascii="宋体" w:hAnsi="宋体" w:eastAsia="宋体" w:cs="宋体"/>
                <w:color w:val="auto"/>
                <w:highlight w:val="none"/>
              </w:rPr>
            </w:pPr>
          </w:p>
        </w:tc>
      </w:tr>
      <w:tr w14:paraId="7013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3CA9B287">
            <w:pPr>
              <w:jc w:val="center"/>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6667" w:type="dxa"/>
            <w:vAlign w:val="center"/>
          </w:tcPr>
          <w:p w14:paraId="032F057A">
            <w:pPr>
              <w:jc w:val="center"/>
              <w:rPr>
                <w:rFonts w:hint="eastAsia" w:ascii="宋体" w:hAnsi="宋体" w:eastAsia="宋体" w:cs="宋体"/>
                <w:color w:val="auto"/>
                <w:highlight w:val="none"/>
              </w:rPr>
            </w:pPr>
          </w:p>
        </w:tc>
      </w:tr>
      <w:tr w14:paraId="543B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0D2CEA7D">
            <w:pPr>
              <w:jc w:val="center"/>
              <w:rPr>
                <w:rFonts w:hint="eastAsia" w:ascii="宋体" w:hAnsi="宋体" w:eastAsia="宋体" w:cs="宋体"/>
                <w:color w:val="auto"/>
                <w:highlight w:val="none"/>
              </w:rPr>
            </w:pPr>
            <w:r>
              <w:rPr>
                <w:rFonts w:hint="eastAsia" w:ascii="宋体" w:hAnsi="宋体" w:eastAsia="宋体" w:cs="宋体"/>
                <w:color w:val="auto"/>
                <w:highlight w:val="none"/>
              </w:rPr>
              <w:t>磋商总报价</w:t>
            </w:r>
          </w:p>
          <w:p w14:paraId="0752508F">
            <w:pPr>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6667" w:type="dxa"/>
            <w:vAlign w:val="center"/>
          </w:tcPr>
          <w:p w14:paraId="38B4D0FF">
            <w:pPr>
              <w:rPr>
                <w:rFonts w:hint="eastAsia" w:ascii="宋体" w:hAnsi="宋体" w:eastAsia="宋体" w:cs="宋体"/>
                <w:color w:val="auto"/>
                <w:highlight w:val="none"/>
              </w:rPr>
            </w:pPr>
            <w:r>
              <w:rPr>
                <w:rFonts w:hint="eastAsia" w:ascii="宋体" w:hAnsi="宋体" w:eastAsia="宋体" w:cs="宋体"/>
                <w:color w:val="auto"/>
                <w:highlight w:val="none"/>
              </w:rPr>
              <w:t>大写:</w:t>
            </w:r>
          </w:p>
          <w:p w14:paraId="0264D9BC">
            <w:pPr>
              <w:pStyle w:val="18"/>
              <w:rPr>
                <w:rFonts w:hint="eastAsia" w:ascii="宋体" w:hAnsi="宋体" w:eastAsia="宋体" w:cs="宋体"/>
                <w:color w:val="auto"/>
                <w:sz w:val="24"/>
                <w:szCs w:val="24"/>
                <w:highlight w:val="none"/>
              </w:rPr>
            </w:pPr>
          </w:p>
          <w:p w14:paraId="64AD597B">
            <w:pPr>
              <w:rPr>
                <w:rFonts w:hint="eastAsia" w:ascii="宋体" w:hAnsi="宋体" w:eastAsia="宋体" w:cs="宋体"/>
                <w:color w:val="auto"/>
                <w:highlight w:val="none"/>
              </w:rPr>
            </w:pPr>
            <w:r>
              <w:rPr>
                <w:rFonts w:hint="eastAsia" w:ascii="宋体" w:hAnsi="宋体" w:eastAsia="宋体" w:cs="宋体"/>
                <w:color w:val="auto"/>
                <w:highlight w:val="none"/>
              </w:rPr>
              <w:t>小写:</w:t>
            </w:r>
          </w:p>
        </w:tc>
      </w:tr>
      <w:tr w14:paraId="7852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645073C">
            <w:pPr>
              <w:widowControl/>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服务期</w:t>
            </w:r>
          </w:p>
        </w:tc>
        <w:tc>
          <w:tcPr>
            <w:tcW w:w="6667" w:type="dxa"/>
            <w:vAlign w:val="center"/>
          </w:tcPr>
          <w:p w14:paraId="2C1A95AF">
            <w:pPr>
              <w:widowControl/>
              <w:rPr>
                <w:rFonts w:hint="eastAsia" w:ascii="宋体" w:hAnsi="宋体" w:eastAsia="宋体" w:cs="宋体"/>
                <w:color w:val="auto"/>
                <w:kern w:val="0"/>
                <w:highlight w:val="none"/>
              </w:rPr>
            </w:pPr>
          </w:p>
        </w:tc>
      </w:tr>
      <w:tr w14:paraId="458D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15B48FD2">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667" w:type="dxa"/>
            <w:vAlign w:val="center"/>
          </w:tcPr>
          <w:p w14:paraId="57314073">
            <w:pPr>
              <w:widowControl/>
              <w:rPr>
                <w:rFonts w:hint="eastAsia" w:ascii="宋体" w:hAnsi="宋体" w:eastAsia="宋体" w:cs="宋体"/>
                <w:color w:val="auto"/>
                <w:kern w:val="0"/>
                <w:highlight w:val="none"/>
              </w:rPr>
            </w:pPr>
          </w:p>
        </w:tc>
      </w:tr>
      <w:tr w14:paraId="1765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E4FA481">
            <w:pPr>
              <w:widowControl/>
              <w:rPr>
                <w:rFonts w:hint="eastAsia" w:ascii="宋体" w:hAnsi="宋体" w:eastAsia="宋体" w:cs="宋体"/>
                <w:color w:val="auto"/>
                <w:highlight w:val="none"/>
              </w:rPr>
            </w:pPr>
            <w:r>
              <w:rPr>
                <w:rFonts w:hint="eastAsia" w:ascii="宋体" w:hAnsi="宋体" w:eastAsia="宋体" w:cs="宋体"/>
                <w:color w:val="auto"/>
                <w:highlight w:val="none"/>
              </w:rPr>
              <w:t>说明：</w:t>
            </w:r>
          </w:p>
          <w:p w14:paraId="2078A38A">
            <w:pPr>
              <w:widowControl/>
              <w:rPr>
                <w:rFonts w:hint="eastAsia" w:ascii="宋体" w:hAnsi="宋体" w:eastAsia="宋体" w:cs="宋体"/>
                <w:color w:val="auto"/>
                <w:highlight w:val="none"/>
              </w:rPr>
            </w:pPr>
            <w:r>
              <w:rPr>
                <w:rFonts w:hint="eastAsia" w:ascii="宋体" w:hAnsi="宋体" w:eastAsia="宋体" w:cs="宋体"/>
                <w:color w:val="auto"/>
                <w:highlight w:val="none"/>
              </w:rPr>
              <w:t>1.本报价为供应商完成磋商项目所需的全部费用（包括劳务费、国家按现行税收政策征收的一切税费等）。</w:t>
            </w:r>
          </w:p>
          <w:p w14:paraId="5CF0774E">
            <w:pPr>
              <w:pStyle w:val="2"/>
              <w:rPr>
                <w:rFonts w:hint="eastAsia" w:ascii="宋体" w:hAnsi="宋体" w:eastAsia="宋体" w:cs="宋体"/>
                <w:color w:val="auto"/>
                <w:highlight w:val="none"/>
              </w:rPr>
            </w:pPr>
            <w:r>
              <w:rPr>
                <w:rFonts w:hint="eastAsia" w:ascii="宋体" w:hAnsi="宋体" w:eastAsia="宋体" w:cs="宋体"/>
                <w:color w:val="auto"/>
                <w:highlight w:val="none"/>
              </w:rPr>
              <w:t>2.磋商报价以元为单位，保留小数点后两位，大小写不一致时，以大写为准。</w:t>
            </w:r>
          </w:p>
        </w:tc>
      </w:tr>
    </w:tbl>
    <w:p w14:paraId="200F161C">
      <w:pPr>
        <w:spacing w:line="360" w:lineRule="auto"/>
        <w:rPr>
          <w:rFonts w:hint="eastAsia" w:ascii="宋体" w:hAnsi="宋体" w:eastAsia="宋体" w:cs="宋体"/>
          <w:color w:val="auto"/>
          <w:highlight w:val="none"/>
        </w:rPr>
      </w:pPr>
    </w:p>
    <w:p w14:paraId="7B061004">
      <w:pPr>
        <w:spacing w:line="360" w:lineRule="auto"/>
        <w:rPr>
          <w:rFonts w:hint="eastAsia" w:ascii="宋体" w:hAnsi="宋体" w:eastAsia="宋体" w:cs="宋体"/>
          <w:color w:val="auto"/>
          <w:highlight w:val="none"/>
        </w:rPr>
      </w:pPr>
    </w:p>
    <w:p w14:paraId="482D8F7C">
      <w:pPr>
        <w:spacing w:line="360" w:lineRule="auto"/>
        <w:rPr>
          <w:rFonts w:hint="eastAsia" w:ascii="宋体" w:hAnsi="宋体" w:eastAsia="宋体" w:cs="宋体"/>
          <w:color w:val="auto"/>
          <w:highlight w:val="none"/>
        </w:rPr>
      </w:pPr>
    </w:p>
    <w:p w14:paraId="576FEFEF">
      <w:pPr>
        <w:spacing w:line="360" w:lineRule="auto"/>
        <w:jc w:val="center"/>
        <w:rPr>
          <w:rFonts w:hint="eastAsia" w:ascii="宋体" w:hAnsi="宋体" w:eastAsia="宋体" w:cs="宋体"/>
          <w:color w:val="auto"/>
          <w:highlight w:val="none"/>
        </w:rPr>
      </w:pPr>
    </w:p>
    <w:p w14:paraId="75D7C6B3">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6FF69342">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09AE183D">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5B065755">
      <w:pPr>
        <w:pStyle w:val="2"/>
        <w:jc w:val="center"/>
        <w:rPr>
          <w:rFonts w:hint="eastAsia" w:ascii="宋体" w:hAnsi="宋体" w:eastAsia="宋体" w:cs="宋体"/>
          <w:b/>
          <w:bCs/>
          <w:color w:val="auto"/>
          <w:sz w:val="30"/>
          <w:szCs w:val="30"/>
          <w:highlight w:val="none"/>
        </w:rPr>
      </w:pPr>
    </w:p>
    <w:p w14:paraId="5F122B2C">
      <w:pPr>
        <w:pStyle w:val="2"/>
        <w:jc w:val="center"/>
        <w:rPr>
          <w:rFonts w:hint="eastAsia" w:ascii="宋体" w:hAnsi="宋体" w:eastAsia="宋体" w:cs="宋体"/>
          <w:b/>
          <w:bCs/>
          <w:color w:val="auto"/>
          <w:sz w:val="30"/>
          <w:szCs w:val="30"/>
          <w:highlight w:val="none"/>
        </w:rPr>
      </w:pPr>
    </w:p>
    <w:p w14:paraId="1120E613">
      <w:pPr>
        <w:pStyle w:val="2"/>
        <w:jc w:val="center"/>
        <w:rPr>
          <w:rFonts w:hint="eastAsia" w:ascii="宋体" w:hAnsi="宋体" w:eastAsia="宋体" w:cs="宋体"/>
          <w:b/>
          <w:bCs/>
          <w:color w:val="auto"/>
          <w:sz w:val="30"/>
          <w:szCs w:val="30"/>
          <w:highlight w:val="none"/>
        </w:rPr>
      </w:pPr>
    </w:p>
    <w:p w14:paraId="03886A34">
      <w:pPr>
        <w:pStyle w:val="2"/>
        <w:jc w:val="center"/>
        <w:rPr>
          <w:rFonts w:hint="eastAsia" w:ascii="宋体" w:hAnsi="宋体" w:eastAsia="宋体" w:cs="宋体"/>
          <w:b/>
          <w:bCs/>
          <w:color w:val="auto"/>
          <w:sz w:val="30"/>
          <w:szCs w:val="30"/>
          <w:highlight w:val="none"/>
        </w:rPr>
      </w:pPr>
    </w:p>
    <w:p w14:paraId="4F67B2B1">
      <w:pPr>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分项报价表（第一次）</w:t>
      </w:r>
    </w:p>
    <w:p w14:paraId="465D0CBE">
      <w:pPr>
        <w:spacing w:line="360" w:lineRule="auto"/>
        <w:ind w:firstLine="24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761E2BEE">
      <w:pPr>
        <w:spacing w:line="360" w:lineRule="auto"/>
        <w:ind w:firstLine="240"/>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tbl>
      <w:tblPr>
        <w:tblStyle w:val="3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0759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0B582B8F">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2315" w:type="dxa"/>
            <w:vAlign w:val="center"/>
          </w:tcPr>
          <w:p w14:paraId="1AB1635F">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采购</w:t>
            </w:r>
            <w:r>
              <w:rPr>
                <w:rFonts w:hint="eastAsia" w:ascii="宋体" w:hAnsi="宋体" w:eastAsia="宋体" w:cs="宋体"/>
                <w:b/>
                <w:bCs/>
                <w:color w:val="auto"/>
                <w:highlight w:val="none"/>
              </w:rPr>
              <w:t>内容</w:t>
            </w:r>
          </w:p>
        </w:tc>
        <w:tc>
          <w:tcPr>
            <w:tcW w:w="1247" w:type="dxa"/>
            <w:vAlign w:val="center"/>
          </w:tcPr>
          <w:p w14:paraId="53FDC459">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185" w:type="dxa"/>
            <w:vAlign w:val="center"/>
          </w:tcPr>
          <w:p w14:paraId="0EAE9692">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1267" w:type="dxa"/>
            <w:vAlign w:val="center"/>
          </w:tcPr>
          <w:p w14:paraId="684EC590">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单价（元）</w:t>
            </w:r>
          </w:p>
        </w:tc>
        <w:tc>
          <w:tcPr>
            <w:tcW w:w="1446" w:type="dxa"/>
            <w:vAlign w:val="center"/>
          </w:tcPr>
          <w:p w14:paraId="66A58728">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合计</w:t>
            </w:r>
          </w:p>
        </w:tc>
        <w:tc>
          <w:tcPr>
            <w:tcW w:w="884" w:type="dxa"/>
            <w:vAlign w:val="center"/>
          </w:tcPr>
          <w:p w14:paraId="23EB8367">
            <w:pPr>
              <w:overflowPunct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6CB0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5F414FF">
            <w:pPr>
              <w:overflowPunct w:val="0"/>
              <w:spacing w:line="360" w:lineRule="auto"/>
              <w:jc w:val="center"/>
              <w:rPr>
                <w:rFonts w:hint="eastAsia" w:ascii="宋体" w:hAnsi="宋体" w:eastAsia="宋体" w:cs="宋体"/>
                <w:color w:val="auto"/>
                <w:highlight w:val="none"/>
              </w:rPr>
            </w:pPr>
          </w:p>
        </w:tc>
        <w:tc>
          <w:tcPr>
            <w:tcW w:w="2315" w:type="dxa"/>
            <w:vAlign w:val="center"/>
          </w:tcPr>
          <w:p w14:paraId="3D12AFB9">
            <w:pPr>
              <w:overflowPunct w:val="0"/>
              <w:spacing w:line="360" w:lineRule="auto"/>
              <w:jc w:val="center"/>
              <w:rPr>
                <w:rFonts w:hint="eastAsia" w:ascii="宋体" w:hAnsi="宋体" w:eastAsia="宋体" w:cs="宋体"/>
                <w:color w:val="auto"/>
                <w:highlight w:val="none"/>
              </w:rPr>
            </w:pPr>
          </w:p>
        </w:tc>
        <w:tc>
          <w:tcPr>
            <w:tcW w:w="1247" w:type="dxa"/>
            <w:vAlign w:val="center"/>
          </w:tcPr>
          <w:p w14:paraId="5510F98B">
            <w:pPr>
              <w:overflowPunct w:val="0"/>
              <w:spacing w:line="360" w:lineRule="auto"/>
              <w:jc w:val="center"/>
              <w:rPr>
                <w:rFonts w:hint="eastAsia" w:ascii="宋体" w:hAnsi="宋体" w:eastAsia="宋体" w:cs="宋体"/>
                <w:color w:val="auto"/>
                <w:highlight w:val="none"/>
              </w:rPr>
            </w:pPr>
          </w:p>
        </w:tc>
        <w:tc>
          <w:tcPr>
            <w:tcW w:w="1185" w:type="dxa"/>
            <w:vAlign w:val="center"/>
          </w:tcPr>
          <w:p w14:paraId="2CAA7914">
            <w:pPr>
              <w:overflowPunct w:val="0"/>
              <w:spacing w:line="360" w:lineRule="auto"/>
              <w:jc w:val="center"/>
              <w:rPr>
                <w:rFonts w:hint="eastAsia" w:ascii="宋体" w:hAnsi="宋体" w:eastAsia="宋体" w:cs="宋体"/>
                <w:color w:val="auto"/>
                <w:highlight w:val="none"/>
              </w:rPr>
            </w:pPr>
          </w:p>
        </w:tc>
        <w:tc>
          <w:tcPr>
            <w:tcW w:w="1267" w:type="dxa"/>
            <w:vAlign w:val="center"/>
          </w:tcPr>
          <w:p w14:paraId="1D9BA264">
            <w:pPr>
              <w:overflowPunct w:val="0"/>
              <w:spacing w:line="360" w:lineRule="auto"/>
              <w:jc w:val="center"/>
              <w:rPr>
                <w:rFonts w:hint="eastAsia" w:ascii="宋体" w:hAnsi="宋体" w:eastAsia="宋体" w:cs="宋体"/>
                <w:color w:val="auto"/>
                <w:highlight w:val="none"/>
              </w:rPr>
            </w:pPr>
          </w:p>
        </w:tc>
        <w:tc>
          <w:tcPr>
            <w:tcW w:w="1446" w:type="dxa"/>
            <w:vAlign w:val="center"/>
          </w:tcPr>
          <w:p w14:paraId="6745F6D3">
            <w:pPr>
              <w:overflowPunct w:val="0"/>
              <w:spacing w:line="360" w:lineRule="auto"/>
              <w:jc w:val="center"/>
              <w:rPr>
                <w:rFonts w:hint="eastAsia" w:ascii="宋体" w:hAnsi="宋体" w:eastAsia="宋体" w:cs="宋体"/>
                <w:color w:val="auto"/>
                <w:highlight w:val="none"/>
              </w:rPr>
            </w:pPr>
          </w:p>
        </w:tc>
        <w:tc>
          <w:tcPr>
            <w:tcW w:w="884" w:type="dxa"/>
            <w:vAlign w:val="center"/>
          </w:tcPr>
          <w:p w14:paraId="068FF32D">
            <w:pPr>
              <w:overflowPunct w:val="0"/>
              <w:spacing w:line="360" w:lineRule="auto"/>
              <w:jc w:val="center"/>
              <w:rPr>
                <w:rFonts w:hint="eastAsia" w:ascii="宋体" w:hAnsi="宋体" w:eastAsia="宋体" w:cs="宋体"/>
                <w:color w:val="auto"/>
                <w:highlight w:val="none"/>
              </w:rPr>
            </w:pPr>
          </w:p>
        </w:tc>
      </w:tr>
      <w:tr w14:paraId="1EED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C0A7E26">
            <w:pPr>
              <w:overflowPunct w:val="0"/>
              <w:spacing w:line="360" w:lineRule="auto"/>
              <w:jc w:val="center"/>
              <w:rPr>
                <w:rFonts w:hint="eastAsia" w:ascii="宋体" w:hAnsi="宋体" w:eastAsia="宋体" w:cs="宋体"/>
                <w:color w:val="auto"/>
                <w:highlight w:val="none"/>
              </w:rPr>
            </w:pPr>
          </w:p>
        </w:tc>
        <w:tc>
          <w:tcPr>
            <w:tcW w:w="2315" w:type="dxa"/>
            <w:vAlign w:val="center"/>
          </w:tcPr>
          <w:p w14:paraId="084B8D99">
            <w:pPr>
              <w:overflowPunct w:val="0"/>
              <w:spacing w:line="360" w:lineRule="auto"/>
              <w:jc w:val="center"/>
              <w:rPr>
                <w:rFonts w:hint="eastAsia" w:ascii="宋体" w:hAnsi="宋体" w:eastAsia="宋体" w:cs="宋体"/>
                <w:color w:val="auto"/>
                <w:highlight w:val="none"/>
              </w:rPr>
            </w:pPr>
          </w:p>
        </w:tc>
        <w:tc>
          <w:tcPr>
            <w:tcW w:w="1247" w:type="dxa"/>
            <w:vAlign w:val="center"/>
          </w:tcPr>
          <w:p w14:paraId="0DFDD131">
            <w:pPr>
              <w:overflowPunct w:val="0"/>
              <w:spacing w:line="360" w:lineRule="auto"/>
              <w:jc w:val="center"/>
              <w:rPr>
                <w:rFonts w:hint="eastAsia" w:ascii="宋体" w:hAnsi="宋体" w:eastAsia="宋体" w:cs="宋体"/>
                <w:color w:val="auto"/>
                <w:highlight w:val="none"/>
              </w:rPr>
            </w:pPr>
          </w:p>
        </w:tc>
        <w:tc>
          <w:tcPr>
            <w:tcW w:w="1185" w:type="dxa"/>
            <w:vAlign w:val="center"/>
          </w:tcPr>
          <w:p w14:paraId="28B93C9A">
            <w:pPr>
              <w:overflowPunct w:val="0"/>
              <w:spacing w:line="360" w:lineRule="auto"/>
              <w:jc w:val="center"/>
              <w:rPr>
                <w:rFonts w:hint="eastAsia" w:ascii="宋体" w:hAnsi="宋体" w:eastAsia="宋体" w:cs="宋体"/>
                <w:color w:val="auto"/>
                <w:highlight w:val="none"/>
              </w:rPr>
            </w:pPr>
          </w:p>
        </w:tc>
        <w:tc>
          <w:tcPr>
            <w:tcW w:w="1267" w:type="dxa"/>
            <w:vAlign w:val="center"/>
          </w:tcPr>
          <w:p w14:paraId="54335B44">
            <w:pPr>
              <w:overflowPunct w:val="0"/>
              <w:spacing w:line="360" w:lineRule="auto"/>
              <w:jc w:val="center"/>
              <w:rPr>
                <w:rFonts w:hint="eastAsia" w:ascii="宋体" w:hAnsi="宋体" w:eastAsia="宋体" w:cs="宋体"/>
                <w:color w:val="auto"/>
                <w:highlight w:val="none"/>
              </w:rPr>
            </w:pPr>
          </w:p>
        </w:tc>
        <w:tc>
          <w:tcPr>
            <w:tcW w:w="1446" w:type="dxa"/>
            <w:vAlign w:val="center"/>
          </w:tcPr>
          <w:p w14:paraId="3386C891">
            <w:pPr>
              <w:overflowPunct w:val="0"/>
              <w:spacing w:line="360" w:lineRule="auto"/>
              <w:jc w:val="center"/>
              <w:rPr>
                <w:rFonts w:hint="eastAsia" w:ascii="宋体" w:hAnsi="宋体" w:eastAsia="宋体" w:cs="宋体"/>
                <w:color w:val="auto"/>
                <w:highlight w:val="none"/>
              </w:rPr>
            </w:pPr>
          </w:p>
        </w:tc>
        <w:tc>
          <w:tcPr>
            <w:tcW w:w="884" w:type="dxa"/>
            <w:vAlign w:val="center"/>
          </w:tcPr>
          <w:p w14:paraId="72001EA7">
            <w:pPr>
              <w:overflowPunct w:val="0"/>
              <w:spacing w:line="360" w:lineRule="auto"/>
              <w:jc w:val="center"/>
              <w:rPr>
                <w:rFonts w:hint="eastAsia" w:ascii="宋体" w:hAnsi="宋体" w:eastAsia="宋体" w:cs="宋体"/>
                <w:color w:val="auto"/>
                <w:highlight w:val="none"/>
              </w:rPr>
            </w:pPr>
          </w:p>
        </w:tc>
      </w:tr>
      <w:tr w14:paraId="7897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31B0A4B5">
            <w:pPr>
              <w:overflowPunct w:val="0"/>
              <w:spacing w:line="360" w:lineRule="auto"/>
              <w:jc w:val="center"/>
              <w:rPr>
                <w:rFonts w:hint="eastAsia" w:ascii="宋体" w:hAnsi="宋体" w:eastAsia="宋体" w:cs="宋体"/>
                <w:color w:val="auto"/>
                <w:highlight w:val="none"/>
              </w:rPr>
            </w:pPr>
          </w:p>
        </w:tc>
        <w:tc>
          <w:tcPr>
            <w:tcW w:w="2315" w:type="dxa"/>
            <w:vAlign w:val="center"/>
          </w:tcPr>
          <w:p w14:paraId="6C98722A">
            <w:pPr>
              <w:overflowPunct w:val="0"/>
              <w:spacing w:line="360" w:lineRule="auto"/>
              <w:jc w:val="center"/>
              <w:rPr>
                <w:rFonts w:hint="eastAsia" w:ascii="宋体" w:hAnsi="宋体" w:eastAsia="宋体" w:cs="宋体"/>
                <w:color w:val="auto"/>
                <w:highlight w:val="none"/>
              </w:rPr>
            </w:pPr>
          </w:p>
        </w:tc>
        <w:tc>
          <w:tcPr>
            <w:tcW w:w="1247" w:type="dxa"/>
            <w:vAlign w:val="center"/>
          </w:tcPr>
          <w:p w14:paraId="6904DAFF">
            <w:pPr>
              <w:overflowPunct w:val="0"/>
              <w:spacing w:line="360" w:lineRule="auto"/>
              <w:jc w:val="center"/>
              <w:rPr>
                <w:rFonts w:hint="eastAsia" w:ascii="宋体" w:hAnsi="宋体" w:eastAsia="宋体" w:cs="宋体"/>
                <w:color w:val="auto"/>
                <w:highlight w:val="none"/>
              </w:rPr>
            </w:pPr>
          </w:p>
        </w:tc>
        <w:tc>
          <w:tcPr>
            <w:tcW w:w="1185" w:type="dxa"/>
            <w:vAlign w:val="center"/>
          </w:tcPr>
          <w:p w14:paraId="42DC407A">
            <w:pPr>
              <w:overflowPunct w:val="0"/>
              <w:spacing w:line="360" w:lineRule="auto"/>
              <w:jc w:val="center"/>
              <w:rPr>
                <w:rFonts w:hint="eastAsia" w:ascii="宋体" w:hAnsi="宋体" w:eastAsia="宋体" w:cs="宋体"/>
                <w:color w:val="auto"/>
                <w:highlight w:val="none"/>
              </w:rPr>
            </w:pPr>
          </w:p>
        </w:tc>
        <w:tc>
          <w:tcPr>
            <w:tcW w:w="1267" w:type="dxa"/>
            <w:vAlign w:val="center"/>
          </w:tcPr>
          <w:p w14:paraId="19FF14FE">
            <w:pPr>
              <w:overflowPunct w:val="0"/>
              <w:spacing w:line="360" w:lineRule="auto"/>
              <w:jc w:val="center"/>
              <w:rPr>
                <w:rFonts w:hint="eastAsia" w:ascii="宋体" w:hAnsi="宋体" w:eastAsia="宋体" w:cs="宋体"/>
                <w:color w:val="auto"/>
                <w:highlight w:val="none"/>
              </w:rPr>
            </w:pPr>
          </w:p>
        </w:tc>
        <w:tc>
          <w:tcPr>
            <w:tcW w:w="1446" w:type="dxa"/>
            <w:vAlign w:val="center"/>
          </w:tcPr>
          <w:p w14:paraId="089AAAE0">
            <w:pPr>
              <w:overflowPunct w:val="0"/>
              <w:spacing w:line="360" w:lineRule="auto"/>
              <w:jc w:val="center"/>
              <w:rPr>
                <w:rFonts w:hint="eastAsia" w:ascii="宋体" w:hAnsi="宋体" w:eastAsia="宋体" w:cs="宋体"/>
                <w:color w:val="auto"/>
                <w:highlight w:val="none"/>
              </w:rPr>
            </w:pPr>
          </w:p>
        </w:tc>
        <w:tc>
          <w:tcPr>
            <w:tcW w:w="884" w:type="dxa"/>
            <w:vAlign w:val="center"/>
          </w:tcPr>
          <w:p w14:paraId="0B19ADF1">
            <w:pPr>
              <w:overflowPunct w:val="0"/>
              <w:spacing w:line="360" w:lineRule="auto"/>
              <w:jc w:val="center"/>
              <w:rPr>
                <w:rFonts w:hint="eastAsia" w:ascii="宋体" w:hAnsi="宋体" w:eastAsia="宋体" w:cs="宋体"/>
                <w:color w:val="auto"/>
                <w:highlight w:val="none"/>
              </w:rPr>
            </w:pPr>
          </w:p>
        </w:tc>
      </w:tr>
      <w:tr w14:paraId="62B5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B80E26A">
            <w:pPr>
              <w:overflowPunct w:val="0"/>
              <w:spacing w:line="360" w:lineRule="auto"/>
              <w:jc w:val="center"/>
              <w:rPr>
                <w:rFonts w:hint="eastAsia" w:ascii="宋体" w:hAnsi="宋体" w:eastAsia="宋体" w:cs="宋体"/>
                <w:color w:val="auto"/>
                <w:highlight w:val="none"/>
              </w:rPr>
            </w:pPr>
          </w:p>
        </w:tc>
        <w:tc>
          <w:tcPr>
            <w:tcW w:w="2315" w:type="dxa"/>
            <w:vAlign w:val="center"/>
          </w:tcPr>
          <w:p w14:paraId="15A6B2CC">
            <w:pPr>
              <w:overflowPunct w:val="0"/>
              <w:spacing w:line="360" w:lineRule="auto"/>
              <w:jc w:val="center"/>
              <w:rPr>
                <w:rFonts w:hint="eastAsia" w:ascii="宋体" w:hAnsi="宋体" w:eastAsia="宋体" w:cs="宋体"/>
                <w:color w:val="auto"/>
                <w:highlight w:val="none"/>
              </w:rPr>
            </w:pPr>
          </w:p>
        </w:tc>
        <w:tc>
          <w:tcPr>
            <w:tcW w:w="1247" w:type="dxa"/>
            <w:vAlign w:val="center"/>
          </w:tcPr>
          <w:p w14:paraId="15C5C850">
            <w:pPr>
              <w:overflowPunct w:val="0"/>
              <w:spacing w:line="360" w:lineRule="auto"/>
              <w:jc w:val="center"/>
              <w:rPr>
                <w:rFonts w:hint="eastAsia" w:ascii="宋体" w:hAnsi="宋体" w:eastAsia="宋体" w:cs="宋体"/>
                <w:color w:val="auto"/>
                <w:highlight w:val="none"/>
              </w:rPr>
            </w:pPr>
          </w:p>
        </w:tc>
        <w:tc>
          <w:tcPr>
            <w:tcW w:w="1185" w:type="dxa"/>
            <w:vAlign w:val="center"/>
          </w:tcPr>
          <w:p w14:paraId="06961CFC">
            <w:pPr>
              <w:overflowPunct w:val="0"/>
              <w:spacing w:line="360" w:lineRule="auto"/>
              <w:jc w:val="center"/>
              <w:rPr>
                <w:rFonts w:hint="eastAsia" w:ascii="宋体" w:hAnsi="宋体" w:eastAsia="宋体" w:cs="宋体"/>
                <w:color w:val="auto"/>
                <w:highlight w:val="none"/>
              </w:rPr>
            </w:pPr>
          </w:p>
        </w:tc>
        <w:tc>
          <w:tcPr>
            <w:tcW w:w="1267" w:type="dxa"/>
            <w:vAlign w:val="center"/>
          </w:tcPr>
          <w:p w14:paraId="2B4B8584">
            <w:pPr>
              <w:overflowPunct w:val="0"/>
              <w:spacing w:line="360" w:lineRule="auto"/>
              <w:jc w:val="center"/>
              <w:rPr>
                <w:rFonts w:hint="eastAsia" w:ascii="宋体" w:hAnsi="宋体" w:eastAsia="宋体" w:cs="宋体"/>
                <w:color w:val="auto"/>
                <w:highlight w:val="none"/>
              </w:rPr>
            </w:pPr>
          </w:p>
        </w:tc>
        <w:tc>
          <w:tcPr>
            <w:tcW w:w="1446" w:type="dxa"/>
            <w:vAlign w:val="center"/>
          </w:tcPr>
          <w:p w14:paraId="31FA902F">
            <w:pPr>
              <w:overflowPunct w:val="0"/>
              <w:spacing w:line="360" w:lineRule="auto"/>
              <w:jc w:val="center"/>
              <w:rPr>
                <w:rFonts w:hint="eastAsia" w:ascii="宋体" w:hAnsi="宋体" w:eastAsia="宋体" w:cs="宋体"/>
                <w:color w:val="auto"/>
                <w:highlight w:val="none"/>
              </w:rPr>
            </w:pPr>
          </w:p>
        </w:tc>
        <w:tc>
          <w:tcPr>
            <w:tcW w:w="884" w:type="dxa"/>
            <w:vAlign w:val="center"/>
          </w:tcPr>
          <w:p w14:paraId="7F2430CE">
            <w:pPr>
              <w:overflowPunct w:val="0"/>
              <w:spacing w:line="360" w:lineRule="auto"/>
              <w:jc w:val="center"/>
              <w:rPr>
                <w:rFonts w:hint="eastAsia" w:ascii="宋体" w:hAnsi="宋体" w:eastAsia="宋体" w:cs="宋体"/>
                <w:color w:val="auto"/>
                <w:highlight w:val="none"/>
              </w:rPr>
            </w:pPr>
          </w:p>
        </w:tc>
      </w:tr>
      <w:tr w14:paraId="42A4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8D225BF">
            <w:pPr>
              <w:overflowPunct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315" w:type="dxa"/>
            <w:vAlign w:val="center"/>
          </w:tcPr>
          <w:p w14:paraId="04D8E72C">
            <w:pPr>
              <w:pStyle w:val="29"/>
              <w:ind w:firstLine="0" w:firstLineChars="0"/>
              <w:rPr>
                <w:rFonts w:hint="eastAsia" w:ascii="宋体" w:hAnsi="宋体" w:eastAsia="宋体" w:cs="宋体"/>
                <w:color w:val="auto"/>
                <w:highlight w:val="none"/>
              </w:rPr>
            </w:pPr>
          </w:p>
        </w:tc>
        <w:tc>
          <w:tcPr>
            <w:tcW w:w="1247" w:type="dxa"/>
            <w:vAlign w:val="center"/>
          </w:tcPr>
          <w:p w14:paraId="0F8991BD">
            <w:pPr>
              <w:overflowPunct w:val="0"/>
              <w:spacing w:line="360" w:lineRule="auto"/>
              <w:jc w:val="center"/>
              <w:rPr>
                <w:rFonts w:hint="eastAsia" w:ascii="宋体" w:hAnsi="宋体" w:eastAsia="宋体" w:cs="宋体"/>
                <w:color w:val="auto"/>
                <w:highlight w:val="none"/>
              </w:rPr>
            </w:pPr>
          </w:p>
        </w:tc>
        <w:tc>
          <w:tcPr>
            <w:tcW w:w="1185" w:type="dxa"/>
            <w:vAlign w:val="center"/>
          </w:tcPr>
          <w:p w14:paraId="61CC674F">
            <w:pPr>
              <w:overflowPunct w:val="0"/>
              <w:spacing w:line="360" w:lineRule="auto"/>
              <w:jc w:val="center"/>
              <w:rPr>
                <w:rFonts w:hint="eastAsia" w:ascii="宋体" w:hAnsi="宋体" w:eastAsia="宋体" w:cs="宋体"/>
                <w:color w:val="auto"/>
                <w:highlight w:val="none"/>
              </w:rPr>
            </w:pPr>
          </w:p>
        </w:tc>
        <w:tc>
          <w:tcPr>
            <w:tcW w:w="1267" w:type="dxa"/>
            <w:vAlign w:val="center"/>
          </w:tcPr>
          <w:p w14:paraId="316F0E5C">
            <w:pPr>
              <w:overflowPunct w:val="0"/>
              <w:spacing w:line="360" w:lineRule="auto"/>
              <w:jc w:val="center"/>
              <w:rPr>
                <w:rFonts w:hint="eastAsia" w:ascii="宋体" w:hAnsi="宋体" w:eastAsia="宋体" w:cs="宋体"/>
                <w:color w:val="auto"/>
                <w:highlight w:val="none"/>
              </w:rPr>
            </w:pPr>
          </w:p>
        </w:tc>
        <w:tc>
          <w:tcPr>
            <w:tcW w:w="1446" w:type="dxa"/>
            <w:vAlign w:val="center"/>
          </w:tcPr>
          <w:p w14:paraId="489F1A53">
            <w:pPr>
              <w:overflowPunct w:val="0"/>
              <w:spacing w:line="360" w:lineRule="auto"/>
              <w:jc w:val="center"/>
              <w:rPr>
                <w:rFonts w:hint="eastAsia" w:ascii="宋体" w:hAnsi="宋体" w:eastAsia="宋体" w:cs="宋体"/>
                <w:color w:val="auto"/>
                <w:highlight w:val="none"/>
              </w:rPr>
            </w:pPr>
          </w:p>
        </w:tc>
        <w:tc>
          <w:tcPr>
            <w:tcW w:w="884" w:type="dxa"/>
            <w:vAlign w:val="center"/>
          </w:tcPr>
          <w:p w14:paraId="7740D68C">
            <w:pPr>
              <w:overflowPunct w:val="0"/>
              <w:spacing w:line="360" w:lineRule="auto"/>
              <w:jc w:val="center"/>
              <w:rPr>
                <w:rFonts w:hint="eastAsia" w:ascii="宋体" w:hAnsi="宋体" w:eastAsia="宋体" w:cs="宋体"/>
                <w:color w:val="auto"/>
                <w:highlight w:val="none"/>
              </w:rPr>
            </w:pPr>
          </w:p>
        </w:tc>
      </w:tr>
      <w:tr w14:paraId="43FA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1441242D">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6029" w:type="dxa"/>
            <w:gridSpan w:val="5"/>
            <w:vAlign w:val="center"/>
          </w:tcPr>
          <w:p w14:paraId="61F00860">
            <w:pPr>
              <w:pStyle w:val="2"/>
              <w:jc w:val="left"/>
              <w:rPr>
                <w:rFonts w:hint="eastAsia" w:ascii="宋体" w:hAnsi="宋体" w:eastAsia="宋体" w:cs="宋体"/>
                <w:color w:val="auto"/>
                <w:highlight w:val="none"/>
              </w:rPr>
            </w:pPr>
            <w:r>
              <w:rPr>
                <w:rFonts w:hint="eastAsia" w:ascii="宋体" w:hAnsi="宋体" w:eastAsia="宋体" w:cs="宋体"/>
                <w:color w:val="auto"/>
                <w:highlight w:val="none"/>
              </w:rPr>
              <w:t>大写：</w:t>
            </w:r>
          </w:p>
          <w:p w14:paraId="56F29B87">
            <w:pPr>
              <w:jc w:val="left"/>
              <w:rPr>
                <w:rFonts w:hint="eastAsia" w:ascii="宋体" w:hAnsi="宋体" w:eastAsia="宋体" w:cs="宋体"/>
                <w:color w:val="auto"/>
                <w:highlight w:val="none"/>
              </w:rPr>
            </w:pPr>
            <w:r>
              <w:rPr>
                <w:rFonts w:hint="eastAsia" w:ascii="宋体" w:hAnsi="宋体" w:eastAsia="宋体" w:cs="宋体"/>
                <w:color w:val="auto"/>
                <w:highlight w:val="none"/>
              </w:rPr>
              <w:t>小写：</w:t>
            </w:r>
          </w:p>
        </w:tc>
      </w:tr>
    </w:tbl>
    <w:p w14:paraId="1B3AED4F">
      <w:pPr>
        <w:spacing w:line="360" w:lineRule="auto"/>
        <w:ind w:firstLine="3840" w:firstLineChars="1600"/>
        <w:jc w:val="left"/>
        <w:rPr>
          <w:rFonts w:hint="eastAsia" w:ascii="宋体" w:hAnsi="宋体" w:eastAsia="宋体" w:cs="宋体"/>
          <w:color w:val="auto"/>
          <w:highlight w:val="none"/>
        </w:rPr>
      </w:pPr>
    </w:p>
    <w:p w14:paraId="33619D8C">
      <w:pPr>
        <w:spacing w:line="360" w:lineRule="auto"/>
        <w:ind w:firstLine="3840" w:firstLineChars="1600"/>
        <w:jc w:val="left"/>
        <w:rPr>
          <w:rFonts w:hint="eastAsia" w:ascii="宋体" w:hAnsi="宋体" w:eastAsia="宋体" w:cs="宋体"/>
          <w:color w:val="auto"/>
          <w:highlight w:val="none"/>
        </w:rPr>
      </w:pPr>
    </w:p>
    <w:p w14:paraId="49DD86A3">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326F4764">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2CD45DDF">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2C9C6339">
      <w:pPr>
        <w:overflowPunct w:val="0"/>
        <w:spacing w:line="360" w:lineRule="auto"/>
        <w:jc w:val="center"/>
        <w:rPr>
          <w:rFonts w:hint="eastAsia" w:ascii="宋体" w:hAnsi="宋体" w:eastAsia="宋体" w:cs="宋体"/>
          <w:b/>
          <w:bCs/>
          <w:color w:val="auto"/>
          <w:sz w:val="32"/>
          <w:szCs w:val="32"/>
          <w:highlight w:val="none"/>
        </w:rPr>
      </w:pPr>
    </w:p>
    <w:p w14:paraId="6A23A079">
      <w:pPr>
        <w:overflowPunct w:val="0"/>
        <w:spacing w:line="360" w:lineRule="auto"/>
        <w:jc w:val="center"/>
        <w:rPr>
          <w:rFonts w:hint="eastAsia" w:ascii="宋体" w:hAnsi="宋体" w:eastAsia="宋体" w:cs="宋体"/>
          <w:b/>
          <w:bCs/>
          <w:color w:val="auto"/>
          <w:sz w:val="32"/>
          <w:szCs w:val="32"/>
          <w:highlight w:val="none"/>
        </w:rPr>
      </w:pPr>
    </w:p>
    <w:p w14:paraId="0B2042DD">
      <w:pPr>
        <w:overflowPunct w:val="0"/>
        <w:spacing w:line="360" w:lineRule="auto"/>
        <w:jc w:val="center"/>
        <w:rPr>
          <w:rFonts w:hint="eastAsia" w:ascii="宋体" w:hAnsi="宋体" w:eastAsia="宋体" w:cs="宋体"/>
          <w:b/>
          <w:bCs/>
          <w:color w:val="auto"/>
          <w:sz w:val="32"/>
          <w:szCs w:val="32"/>
          <w:highlight w:val="none"/>
        </w:rPr>
      </w:pPr>
    </w:p>
    <w:p w14:paraId="3D611095">
      <w:pPr>
        <w:overflowPunct w:val="0"/>
        <w:spacing w:line="360" w:lineRule="auto"/>
        <w:jc w:val="center"/>
        <w:rPr>
          <w:rFonts w:hint="eastAsia" w:ascii="宋体" w:hAnsi="宋体" w:eastAsia="宋体" w:cs="宋体"/>
          <w:b/>
          <w:bCs/>
          <w:color w:val="auto"/>
          <w:sz w:val="32"/>
          <w:szCs w:val="32"/>
          <w:highlight w:val="none"/>
        </w:rPr>
      </w:pPr>
    </w:p>
    <w:p w14:paraId="6EBD34F0">
      <w:pPr>
        <w:overflowPunct w:val="0"/>
        <w:spacing w:line="360" w:lineRule="auto"/>
        <w:jc w:val="center"/>
        <w:rPr>
          <w:rStyle w:val="94"/>
          <w:rFonts w:hint="eastAsia" w:ascii="宋体" w:hAnsi="宋体" w:eastAsia="宋体" w:cs="宋体"/>
          <w:color w:val="auto"/>
          <w:sz w:val="32"/>
          <w:szCs w:val="32"/>
          <w:highlight w:val="none"/>
        </w:rPr>
      </w:pPr>
      <w:bookmarkStart w:id="95" w:name="_Toc32216"/>
      <w:r>
        <w:rPr>
          <w:rStyle w:val="94"/>
          <w:rFonts w:hint="eastAsia" w:ascii="宋体" w:hAnsi="宋体" w:eastAsia="宋体" w:cs="宋体"/>
          <w:color w:val="auto"/>
          <w:sz w:val="32"/>
          <w:szCs w:val="32"/>
          <w:highlight w:val="none"/>
        </w:rPr>
        <w:t>五、近三年承接的类似项目情况表</w:t>
      </w:r>
    </w:p>
    <w:bookmarkEnd w:id="95"/>
    <w:p w14:paraId="676F2745">
      <w:pPr>
        <w:keepNext/>
        <w:keepLines/>
        <w:spacing w:line="240" w:lineRule="auto"/>
        <w:jc w:val="center"/>
        <w:rPr>
          <w:rFonts w:hint="eastAsia" w:ascii="宋体" w:hAnsi="宋体" w:eastAsia="宋体" w:cs="宋体"/>
          <w:b/>
          <w:bCs/>
          <w:color w:val="auto"/>
          <w:sz w:val="28"/>
          <w:szCs w:val="28"/>
          <w:highlight w:val="none"/>
        </w:rPr>
      </w:pPr>
      <w:bookmarkStart w:id="96" w:name="_Toc711"/>
      <w:bookmarkStart w:id="97" w:name="_Toc6236"/>
      <w:bookmarkStart w:id="98" w:name="_Toc9895"/>
      <w:bookmarkStart w:id="99" w:name="_Toc12299"/>
      <w:r>
        <w:rPr>
          <w:rFonts w:hint="eastAsia" w:ascii="宋体" w:hAnsi="宋体" w:eastAsia="宋体" w:cs="宋体"/>
          <w:b/>
          <w:bCs/>
          <w:color w:val="auto"/>
          <w:sz w:val="28"/>
          <w:szCs w:val="28"/>
          <w:highlight w:val="none"/>
        </w:rPr>
        <w:t>1、业绩统计表</w:t>
      </w:r>
      <w:bookmarkEnd w:id="96"/>
      <w:bookmarkEnd w:id="97"/>
      <w:bookmarkEnd w:id="98"/>
      <w:bookmarkEnd w:id="99"/>
    </w:p>
    <w:p w14:paraId="392A5B4E">
      <w:pPr>
        <w:rPr>
          <w:rFonts w:hint="eastAsia" w:ascii="宋体" w:hAnsi="宋体" w:eastAsia="宋体" w:cs="宋体"/>
          <w:color w:val="auto"/>
          <w:sz w:val="22"/>
          <w:szCs w:val="28"/>
          <w:highlight w:val="none"/>
        </w:rPr>
      </w:pPr>
    </w:p>
    <w:tbl>
      <w:tblPr>
        <w:tblStyle w:val="93"/>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58D56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376EED21">
            <w:pPr>
              <w:pStyle w:val="92"/>
              <w:spacing w:before="170" w:line="206" w:lineRule="auto"/>
              <w:ind w:left="180"/>
              <w:rPr>
                <w:rFonts w:hint="eastAsia" w:ascii="宋体" w:hAnsi="宋体" w:eastAsia="宋体" w:cs="宋体"/>
                <w:b/>
                <w:bCs/>
                <w:color w:val="auto"/>
                <w:highlight w:val="none"/>
              </w:rPr>
            </w:pPr>
            <w:r>
              <w:rPr>
                <w:rFonts w:hint="eastAsia" w:ascii="宋体" w:hAnsi="宋体" w:eastAsia="宋体" w:cs="宋体"/>
                <w:b/>
                <w:bCs/>
                <w:color w:val="auto"/>
                <w:spacing w:val="-7"/>
                <w:highlight w:val="none"/>
              </w:rPr>
              <w:t>序号</w:t>
            </w:r>
          </w:p>
        </w:tc>
        <w:tc>
          <w:tcPr>
            <w:tcW w:w="1967" w:type="dxa"/>
            <w:noWrap w:val="0"/>
            <w:vAlign w:val="top"/>
          </w:tcPr>
          <w:p w14:paraId="5E2E4304">
            <w:pPr>
              <w:pStyle w:val="92"/>
              <w:spacing w:before="139" w:line="221" w:lineRule="auto"/>
              <w:ind w:left="147"/>
              <w:rPr>
                <w:rFonts w:hint="eastAsia" w:ascii="宋体" w:hAnsi="宋体" w:eastAsia="宋体" w:cs="宋体"/>
                <w:b/>
                <w:bCs/>
                <w:color w:val="auto"/>
                <w:highlight w:val="none"/>
              </w:rPr>
            </w:pPr>
            <w:r>
              <w:rPr>
                <w:rFonts w:hint="eastAsia" w:ascii="宋体" w:hAnsi="宋体" w:eastAsia="宋体" w:cs="宋体"/>
                <w:b/>
                <w:bCs/>
                <w:color w:val="auto"/>
                <w:highlight w:val="none"/>
              </w:rPr>
              <w:t>采购单位名称</w:t>
            </w:r>
          </w:p>
        </w:tc>
        <w:tc>
          <w:tcPr>
            <w:tcW w:w="1700" w:type="dxa"/>
            <w:noWrap w:val="0"/>
            <w:vAlign w:val="top"/>
          </w:tcPr>
          <w:p w14:paraId="5D073C25">
            <w:pPr>
              <w:pStyle w:val="92"/>
              <w:spacing w:before="139" w:line="221" w:lineRule="auto"/>
              <w:ind w:left="380"/>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合同名称</w:t>
            </w:r>
          </w:p>
        </w:tc>
        <w:tc>
          <w:tcPr>
            <w:tcW w:w="2555" w:type="dxa"/>
            <w:noWrap w:val="0"/>
            <w:vAlign w:val="top"/>
          </w:tcPr>
          <w:p w14:paraId="5CF1876F">
            <w:pPr>
              <w:pStyle w:val="92"/>
              <w:spacing w:before="140" w:line="223" w:lineRule="auto"/>
              <w:ind w:left="564"/>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合同起止时间</w:t>
            </w:r>
          </w:p>
        </w:tc>
        <w:tc>
          <w:tcPr>
            <w:tcW w:w="1988" w:type="dxa"/>
            <w:noWrap w:val="0"/>
            <w:vAlign w:val="top"/>
          </w:tcPr>
          <w:p w14:paraId="05024340">
            <w:pPr>
              <w:pStyle w:val="92"/>
              <w:spacing w:before="140" w:line="223" w:lineRule="auto"/>
              <w:jc w:val="right"/>
              <w:rPr>
                <w:rFonts w:hint="eastAsia" w:ascii="宋体" w:hAnsi="宋体" w:eastAsia="宋体" w:cs="宋体"/>
                <w:b/>
                <w:bCs/>
                <w:color w:val="auto"/>
                <w:highlight w:val="none"/>
              </w:rPr>
            </w:pPr>
            <w:r>
              <w:rPr>
                <w:rFonts w:hint="eastAsia" w:ascii="宋体" w:hAnsi="宋体" w:eastAsia="宋体" w:cs="宋体"/>
                <w:b/>
                <w:bCs/>
                <w:color w:val="auto"/>
                <w:spacing w:val="-10"/>
                <w:highlight w:val="none"/>
              </w:rPr>
              <w:t>合同金额（万元）</w:t>
            </w:r>
          </w:p>
        </w:tc>
      </w:tr>
      <w:tr w14:paraId="79DF8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E2AE568">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6FD580E8">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09CA607F">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692EF672">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1AA587FC">
            <w:pPr>
              <w:pStyle w:val="92"/>
              <w:spacing w:before="170" w:line="206" w:lineRule="auto"/>
              <w:ind w:left="180"/>
              <w:rPr>
                <w:rFonts w:hint="eastAsia" w:ascii="宋体" w:hAnsi="宋体" w:eastAsia="宋体" w:cs="宋体"/>
                <w:b/>
                <w:bCs/>
                <w:color w:val="auto"/>
                <w:spacing w:val="-7"/>
                <w:highlight w:val="none"/>
              </w:rPr>
            </w:pPr>
          </w:p>
        </w:tc>
      </w:tr>
      <w:tr w14:paraId="57B83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5CCD74B">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35413B3D">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3AF21ED5">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330F66A5">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3B2B44F8">
            <w:pPr>
              <w:pStyle w:val="92"/>
              <w:spacing w:before="170" w:line="206" w:lineRule="auto"/>
              <w:ind w:left="180"/>
              <w:rPr>
                <w:rFonts w:hint="eastAsia" w:ascii="宋体" w:hAnsi="宋体" w:eastAsia="宋体" w:cs="宋体"/>
                <w:b/>
                <w:bCs/>
                <w:color w:val="auto"/>
                <w:spacing w:val="-7"/>
                <w:highlight w:val="none"/>
              </w:rPr>
            </w:pPr>
          </w:p>
        </w:tc>
      </w:tr>
      <w:tr w14:paraId="5444F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11B7019">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3A6396F1">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199F4910">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7DF5DE9C">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3E75E0F0">
            <w:pPr>
              <w:pStyle w:val="92"/>
              <w:spacing w:before="170" w:line="206" w:lineRule="auto"/>
              <w:ind w:left="180"/>
              <w:rPr>
                <w:rFonts w:hint="eastAsia" w:ascii="宋体" w:hAnsi="宋体" w:eastAsia="宋体" w:cs="宋体"/>
                <w:b/>
                <w:bCs/>
                <w:color w:val="auto"/>
                <w:spacing w:val="-7"/>
                <w:highlight w:val="none"/>
              </w:rPr>
            </w:pPr>
          </w:p>
        </w:tc>
      </w:tr>
      <w:tr w14:paraId="36992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C4D9FAB">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2AF9B3C4">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5DF60434">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1A25E977">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15286687">
            <w:pPr>
              <w:pStyle w:val="92"/>
              <w:spacing w:before="170" w:line="206" w:lineRule="auto"/>
              <w:ind w:left="180"/>
              <w:rPr>
                <w:rFonts w:hint="eastAsia" w:ascii="宋体" w:hAnsi="宋体" w:eastAsia="宋体" w:cs="宋体"/>
                <w:b/>
                <w:bCs/>
                <w:color w:val="auto"/>
                <w:spacing w:val="-7"/>
                <w:highlight w:val="none"/>
              </w:rPr>
            </w:pPr>
          </w:p>
        </w:tc>
      </w:tr>
      <w:tr w14:paraId="09DED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AE6EC3E">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3FC0B2D7">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339DA7DF">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4C44DA28">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3F28A298">
            <w:pPr>
              <w:pStyle w:val="92"/>
              <w:spacing w:before="170" w:line="206" w:lineRule="auto"/>
              <w:ind w:left="180"/>
              <w:rPr>
                <w:rFonts w:hint="eastAsia" w:ascii="宋体" w:hAnsi="宋体" w:eastAsia="宋体" w:cs="宋体"/>
                <w:b/>
                <w:bCs/>
                <w:color w:val="auto"/>
                <w:spacing w:val="-7"/>
                <w:highlight w:val="none"/>
              </w:rPr>
            </w:pPr>
          </w:p>
        </w:tc>
      </w:tr>
      <w:tr w14:paraId="307B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38B456C">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00C4B955">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001FEC0E">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35F08183">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2E7B5E99">
            <w:pPr>
              <w:pStyle w:val="92"/>
              <w:spacing w:before="170" w:line="206" w:lineRule="auto"/>
              <w:ind w:left="180"/>
              <w:rPr>
                <w:rFonts w:hint="eastAsia" w:ascii="宋体" w:hAnsi="宋体" w:eastAsia="宋体" w:cs="宋体"/>
                <w:b/>
                <w:bCs/>
                <w:color w:val="auto"/>
                <w:spacing w:val="-7"/>
                <w:highlight w:val="none"/>
              </w:rPr>
            </w:pPr>
          </w:p>
        </w:tc>
      </w:tr>
      <w:tr w14:paraId="7615D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0F77A5E">
            <w:pPr>
              <w:pStyle w:val="92"/>
              <w:spacing w:before="170" w:line="206" w:lineRule="auto"/>
              <w:ind w:left="180"/>
              <w:rPr>
                <w:rFonts w:hint="eastAsia" w:ascii="宋体" w:hAnsi="宋体" w:eastAsia="宋体" w:cs="宋体"/>
                <w:b/>
                <w:bCs/>
                <w:color w:val="auto"/>
                <w:spacing w:val="-7"/>
                <w:highlight w:val="none"/>
              </w:rPr>
            </w:pPr>
          </w:p>
        </w:tc>
        <w:tc>
          <w:tcPr>
            <w:tcW w:w="1967" w:type="dxa"/>
            <w:noWrap w:val="0"/>
            <w:vAlign w:val="top"/>
          </w:tcPr>
          <w:p w14:paraId="27010C11">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173B0D24">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7B5F0832">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5B7A20A6">
            <w:pPr>
              <w:pStyle w:val="92"/>
              <w:spacing w:before="170" w:line="206" w:lineRule="auto"/>
              <w:ind w:left="180"/>
              <w:rPr>
                <w:rFonts w:hint="eastAsia" w:ascii="宋体" w:hAnsi="宋体" w:eastAsia="宋体" w:cs="宋体"/>
                <w:b/>
                <w:bCs/>
                <w:color w:val="auto"/>
                <w:spacing w:val="-7"/>
                <w:highlight w:val="none"/>
              </w:rPr>
            </w:pPr>
          </w:p>
        </w:tc>
      </w:tr>
      <w:tr w14:paraId="74FCF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307FB83">
            <w:pPr>
              <w:pStyle w:val="92"/>
              <w:spacing w:before="170" w:line="206" w:lineRule="auto"/>
              <w:ind w:left="180"/>
              <w:rPr>
                <w:rFonts w:hint="eastAsia" w:ascii="宋体" w:hAnsi="宋体" w:eastAsia="宋体" w:cs="宋体"/>
                <w:b/>
                <w:bCs/>
                <w:color w:val="auto"/>
                <w:spacing w:val="-7"/>
                <w:highlight w:val="none"/>
              </w:rPr>
            </w:pPr>
            <w:r>
              <w:rPr>
                <w:rFonts w:hint="eastAsia" w:ascii="宋体" w:hAnsi="宋体" w:eastAsia="宋体" w:cs="宋体"/>
                <w:b/>
                <w:bCs/>
                <w:color w:val="auto"/>
                <w:spacing w:val="-7"/>
                <w:highlight w:val="none"/>
              </w:rPr>
              <w:t>……</w:t>
            </w:r>
          </w:p>
        </w:tc>
        <w:tc>
          <w:tcPr>
            <w:tcW w:w="1967" w:type="dxa"/>
            <w:noWrap w:val="0"/>
            <w:vAlign w:val="top"/>
          </w:tcPr>
          <w:p w14:paraId="2D8E1611">
            <w:pPr>
              <w:pStyle w:val="92"/>
              <w:spacing w:before="170" w:line="206" w:lineRule="auto"/>
              <w:ind w:left="180"/>
              <w:rPr>
                <w:rFonts w:hint="eastAsia" w:ascii="宋体" w:hAnsi="宋体" w:eastAsia="宋体" w:cs="宋体"/>
                <w:b/>
                <w:bCs/>
                <w:color w:val="auto"/>
                <w:spacing w:val="-7"/>
                <w:highlight w:val="none"/>
              </w:rPr>
            </w:pPr>
          </w:p>
        </w:tc>
        <w:tc>
          <w:tcPr>
            <w:tcW w:w="1700" w:type="dxa"/>
            <w:noWrap w:val="0"/>
            <w:vAlign w:val="top"/>
          </w:tcPr>
          <w:p w14:paraId="402341E1">
            <w:pPr>
              <w:pStyle w:val="92"/>
              <w:spacing w:before="170" w:line="206" w:lineRule="auto"/>
              <w:ind w:left="180"/>
              <w:rPr>
                <w:rFonts w:hint="eastAsia" w:ascii="宋体" w:hAnsi="宋体" w:eastAsia="宋体" w:cs="宋体"/>
                <w:b/>
                <w:bCs/>
                <w:color w:val="auto"/>
                <w:spacing w:val="-7"/>
                <w:highlight w:val="none"/>
              </w:rPr>
            </w:pPr>
          </w:p>
        </w:tc>
        <w:tc>
          <w:tcPr>
            <w:tcW w:w="2555" w:type="dxa"/>
            <w:noWrap w:val="0"/>
            <w:vAlign w:val="top"/>
          </w:tcPr>
          <w:p w14:paraId="25D77296">
            <w:pPr>
              <w:pStyle w:val="92"/>
              <w:spacing w:before="170" w:line="206" w:lineRule="auto"/>
              <w:ind w:left="180"/>
              <w:rPr>
                <w:rFonts w:hint="eastAsia" w:ascii="宋体" w:hAnsi="宋体" w:eastAsia="宋体" w:cs="宋体"/>
                <w:b/>
                <w:bCs/>
                <w:color w:val="auto"/>
                <w:spacing w:val="-7"/>
                <w:highlight w:val="none"/>
              </w:rPr>
            </w:pPr>
          </w:p>
        </w:tc>
        <w:tc>
          <w:tcPr>
            <w:tcW w:w="1988" w:type="dxa"/>
            <w:noWrap w:val="0"/>
            <w:vAlign w:val="top"/>
          </w:tcPr>
          <w:p w14:paraId="671A5048">
            <w:pPr>
              <w:pStyle w:val="92"/>
              <w:spacing w:before="170" w:line="206" w:lineRule="auto"/>
              <w:ind w:left="180"/>
              <w:rPr>
                <w:rFonts w:hint="eastAsia" w:ascii="宋体" w:hAnsi="宋体" w:eastAsia="宋体" w:cs="宋体"/>
                <w:b/>
                <w:bCs/>
                <w:color w:val="auto"/>
                <w:spacing w:val="-7"/>
                <w:highlight w:val="none"/>
              </w:rPr>
            </w:pPr>
          </w:p>
        </w:tc>
      </w:tr>
      <w:tr w14:paraId="15A25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7E383A19">
            <w:pPr>
              <w:pStyle w:val="92"/>
              <w:spacing w:before="170" w:line="206" w:lineRule="auto"/>
              <w:ind w:left="180"/>
              <w:rPr>
                <w:rFonts w:hint="eastAsia" w:ascii="宋体" w:hAnsi="宋体" w:eastAsia="宋体" w:cs="宋体"/>
                <w:b/>
                <w:bCs/>
                <w:color w:val="auto"/>
                <w:spacing w:val="-7"/>
                <w:highlight w:val="none"/>
              </w:rPr>
            </w:pPr>
            <w:r>
              <w:rPr>
                <w:rFonts w:hint="eastAsia" w:ascii="宋体" w:hAnsi="宋体" w:eastAsia="宋体" w:cs="宋体"/>
                <w:b/>
                <w:bCs/>
                <w:color w:val="auto"/>
                <w:spacing w:val="-7"/>
                <w:highlight w:val="none"/>
              </w:rPr>
              <w:t>数量合计（个）：</w:t>
            </w:r>
          </w:p>
        </w:tc>
      </w:tr>
      <w:tr w14:paraId="45C00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4116125">
            <w:pPr>
              <w:pStyle w:val="92"/>
              <w:spacing w:before="170" w:line="206" w:lineRule="auto"/>
              <w:ind w:left="180"/>
              <w:rPr>
                <w:rFonts w:hint="eastAsia" w:ascii="宋体" w:hAnsi="宋体" w:eastAsia="宋体" w:cs="宋体"/>
                <w:b/>
                <w:bCs/>
                <w:color w:val="auto"/>
                <w:spacing w:val="-7"/>
                <w:highlight w:val="none"/>
              </w:rPr>
            </w:pPr>
          </w:p>
        </w:tc>
      </w:tr>
    </w:tbl>
    <w:p w14:paraId="7BD49AD5">
      <w:pPr>
        <w:pStyle w:val="2"/>
        <w:spacing w:before="41" w:line="222" w:lineRule="auto"/>
        <w:ind w:left="333"/>
        <w:rPr>
          <w:rFonts w:hint="eastAsia" w:ascii="宋体" w:hAnsi="宋体" w:eastAsia="宋体" w:cs="宋体"/>
          <w:b/>
          <w:bCs w:val="0"/>
          <w:color w:val="auto"/>
          <w:kern w:val="0"/>
          <w:sz w:val="24"/>
          <w:szCs w:val="24"/>
          <w:highlight w:val="none"/>
        </w:rPr>
      </w:pPr>
    </w:p>
    <w:p w14:paraId="61456DC8">
      <w:pPr>
        <w:pStyle w:val="2"/>
        <w:spacing w:before="41" w:line="222" w:lineRule="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注：提供 2020 年 1 月 1 日以来类似项目业绩，以加盖投标人公章的完整合同复印件为计分依据。</w:t>
      </w:r>
    </w:p>
    <w:p w14:paraId="44EC9EC0">
      <w:pPr>
        <w:rPr>
          <w:rFonts w:hint="eastAsia" w:ascii="宋体" w:hAnsi="宋体" w:eastAsia="宋体" w:cs="宋体"/>
          <w:color w:val="auto"/>
          <w:sz w:val="28"/>
          <w:szCs w:val="28"/>
          <w:highlight w:val="none"/>
        </w:rPr>
      </w:pPr>
    </w:p>
    <w:p w14:paraId="583794B3">
      <w:pPr>
        <w:rPr>
          <w:rFonts w:hint="eastAsia" w:ascii="宋体" w:hAnsi="宋体" w:eastAsia="宋体" w:cs="宋体"/>
          <w:color w:val="auto"/>
          <w:sz w:val="28"/>
          <w:szCs w:val="28"/>
          <w:highlight w:val="none"/>
        </w:rPr>
      </w:pPr>
    </w:p>
    <w:p w14:paraId="610BEF7C">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5A256B7E">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00A8C79B">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7D7BF9DA">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21EAAE5">
      <w:pPr>
        <w:overflowPunct w:val="0"/>
        <w:spacing w:line="360" w:lineRule="auto"/>
        <w:jc w:val="center"/>
        <w:rPr>
          <w:rStyle w:val="94"/>
          <w:rFonts w:hint="eastAsia" w:ascii="宋体" w:hAnsi="宋体" w:eastAsia="宋体" w:cs="宋体"/>
          <w:color w:val="auto"/>
          <w:sz w:val="32"/>
          <w:szCs w:val="32"/>
          <w:highlight w:val="none"/>
        </w:rPr>
      </w:pPr>
      <w:bookmarkStart w:id="100" w:name="_Toc17066"/>
      <w:r>
        <w:rPr>
          <w:rStyle w:val="94"/>
          <w:rFonts w:hint="eastAsia" w:ascii="宋体" w:hAnsi="宋体" w:eastAsia="宋体" w:cs="宋体"/>
          <w:color w:val="auto"/>
          <w:sz w:val="32"/>
          <w:szCs w:val="32"/>
          <w:highlight w:val="none"/>
        </w:rPr>
        <w:t>六、项目</w:t>
      </w:r>
      <w:r>
        <w:rPr>
          <w:rStyle w:val="94"/>
          <w:rFonts w:hint="eastAsia" w:ascii="宋体" w:hAnsi="宋体" w:eastAsia="宋体" w:cs="宋体"/>
          <w:color w:val="auto"/>
          <w:sz w:val="32"/>
          <w:szCs w:val="32"/>
          <w:highlight w:val="none"/>
          <w:lang w:val="en-US" w:eastAsia="zh-CN"/>
        </w:rPr>
        <w:t>服务</w:t>
      </w:r>
      <w:r>
        <w:rPr>
          <w:rStyle w:val="94"/>
          <w:rFonts w:hint="eastAsia" w:ascii="宋体" w:hAnsi="宋体" w:eastAsia="宋体" w:cs="宋体"/>
          <w:color w:val="auto"/>
          <w:sz w:val="32"/>
          <w:szCs w:val="32"/>
          <w:highlight w:val="none"/>
        </w:rPr>
        <w:t>方案</w:t>
      </w:r>
    </w:p>
    <w:bookmarkEnd w:id="100"/>
    <w:p w14:paraId="636F6E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A177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C821B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sz w:val="24"/>
          <w:szCs w:val="24"/>
          <w:highlight w:val="none"/>
        </w:rPr>
        <w:t>：</w:t>
      </w:r>
    </w:p>
    <w:p w14:paraId="73D5A89B">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p>
    <w:p w14:paraId="738CA3BF">
      <w:pPr>
        <w:kinsoku w:val="0"/>
        <w:spacing w:line="360" w:lineRule="auto"/>
        <w:rPr>
          <w:rFonts w:hint="eastAsia" w:ascii="宋体" w:hAnsi="宋体" w:eastAsia="宋体" w:cs="宋体"/>
          <w:color w:val="auto"/>
          <w:sz w:val="24"/>
          <w:highlight w:val="none"/>
          <w:lang w:eastAsia="zh-CN"/>
        </w:rPr>
      </w:pPr>
      <w:bookmarkStart w:id="101" w:name="_Hlt526418107"/>
      <w:bookmarkEnd w:id="101"/>
      <w:bookmarkStart w:id="102" w:name="_Hlt526418111"/>
      <w:bookmarkEnd w:id="102"/>
      <w:bookmarkStart w:id="103" w:name="_Hlt526418103"/>
      <w:bookmarkEnd w:id="103"/>
      <w:r>
        <w:rPr>
          <w:rFonts w:hint="eastAsia" w:ascii="宋体" w:hAnsi="宋体" w:eastAsia="宋体" w:cs="宋体"/>
          <w:b/>
          <w:color w:val="auto"/>
          <w:sz w:val="24"/>
          <w:szCs w:val="24"/>
          <w:highlight w:val="none"/>
        </w:rPr>
        <w:t>（各</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根据评审办法，可自主编写方案说明）</w:t>
      </w:r>
    </w:p>
    <w:p w14:paraId="12ED4CD7">
      <w:pPr>
        <w:spacing w:line="360" w:lineRule="auto"/>
        <w:ind w:firstLine="448" w:firstLineChars="18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格式自定，参照磋商文件第</w:t>
      </w:r>
      <w:r>
        <w:rPr>
          <w:rFonts w:hint="eastAsia" w:ascii="宋体" w:hAnsi="宋体" w:eastAsia="宋体" w:cs="宋体"/>
          <w:color w:val="auto"/>
          <w:sz w:val="24"/>
          <w:highlight w:val="none"/>
          <w:lang w:val="en-US" w:eastAsia="zh-CN"/>
        </w:rPr>
        <w:t>三章</w:t>
      </w:r>
      <w:r>
        <w:rPr>
          <w:rFonts w:hint="eastAsia" w:ascii="宋体" w:hAnsi="宋体" w:eastAsia="宋体" w:cs="宋体"/>
          <w:color w:val="auto"/>
          <w:sz w:val="24"/>
          <w:highlight w:val="none"/>
        </w:rPr>
        <w:t>《评审办法》各条款的要求，结合第</w:t>
      </w:r>
      <w:r>
        <w:rPr>
          <w:rFonts w:hint="eastAsia" w:ascii="宋体" w:hAnsi="宋体" w:eastAsia="宋体" w:cs="宋体"/>
          <w:color w:val="auto"/>
          <w:sz w:val="24"/>
          <w:highlight w:val="none"/>
          <w:lang w:val="en-US" w:eastAsia="zh-CN"/>
        </w:rPr>
        <w:t>四章</w:t>
      </w:r>
      <w:r>
        <w:rPr>
          <w:rFonts w:hint="eastAsia" w:ascii="宋体" w:hAnsi="宋体" w:eastAsia="宋体" w:cs="宋体"/>
          <w:color w:val="auto"/>
          <w:sz w:val="24"/>
          <w:highlight w:val="none"/>
        </w:rPr>
        <w:t>《磋商要求及说明》编制磋商响应方案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szCs w:val="24"/>
          <w:highlight w:val="none"/>
        </w:rPr>
        <w:t>应确保上述证明文件的真实性、有效性及合法性，否则，由此引起的任何责任都由</w:t>
      </w:r>
      <w:r>
        <w:rPr>
          <w:rFonts w:hint="eastAsia" w:ascii="宋体" w:hAnsi="宋体" w:eastAsia="宋体" w:cs="宋体"/>
          <w:color w:val="auto"/>
          <w:kern w:val="0"/>
          <w:sz w:val="24"/>
          <w:highlight w:val="none"/>
        </w:rPr>
        <w:t>投标人</w:t>
      </w:r>
      <w:r>
        <w:rPr>
          <w:rFonts w:hint="eastAsia" w:ascii="宋体" w:hAnsi="宋体" w:eastAsia="宋体" w:cs="宋体"/>
          <w:color w:val="auto"/>
          <w:sz w:val="24"/>
          <w:szCs w:val="24"/>
          <w:highlight w:val="none"/>
        </w:rPr>
        <w:t>自行承担。</w:t>
      </w:r>
    </w:p>
    <w:p w14:paraId="7586CEB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51A1377">
      <w:pPr>
        <w:pStyle w:val="80"/>
        <w:ind w:firstLine="0" w:firstLine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1.拟派项目负责人简历表</w:t>
      </w: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72CC4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299078D9">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姓  名</w:t>
            </w:r>
          </w:p>
        </w:tc>
        <w:tc>
          <w:tcPr>
            <w:tcW w:w="1703" w:type="dxa"/>
            <w:vAlign w:val="center"/>
          </w:tcPr>
          <w:p w14:paraId="03E4B5F7">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970" w:type="dxa"/>
            <w:vAlign w:val="center"/>
          </w:tcPr>
          <w:p w14:paraId="726F9705">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性别</w:t>
            </w:r>
          </w:p>
        </w:tc>
        <w:tc>
          <w:tcPr>
            <w:tcW w:w="2156" w:type="dxa"/>
            <w:gridSpan w:val="2"/>
            <w:tcBorders>
              <w:bottom w:val="single" w:color="auto" w:sz="4" w:space="0"/>
            </w:tcBorders>
            <w:vAlign w:val="center"/>
          </w:tcPr>
          <w:p w14:paraId="49B6316B">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293" w:type="dxa"/>
            <w:tcBorders>
              <w:bottom w:val="single" w:color="auto" w:sz="4" w:space="0"/>
            </w:tcBorders>
            <w:vAlign w:val="center"/>
          </w:tcPr>
          <w:p w14:paraId="5C8B8ADF">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年龄</w:t>
            </w:r>
          </w:p>
        </w:tc>
        <w:tc>
          <w:tcPr>
            <w:tcW w:w="1370" w:type="dxa"/>
            <w:tcBorders>
              <w:bottom w:val="single" w:color="auto" w:sz="4" w:space="0"/>
            </w:tcBorders>
            <w:vAlign w:val="center"/>
          </w:tcPr>
          <w:p w14:paraId="2DE6694D">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5F2E7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0C8966D1">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职 称</w:t>
            </w:r>
          </w:p>
        </w:tc>
        <w:tc>
          <w:tcPr>
            <w:tcW w:w="1703" w:type="dxa"/>
            <w:vAlign w:val="center"/>
          </w:tcPr>
          <w:p w14:paraId="71A87EB3">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970" w:type="dxa"/>
            <w:vAlign w:val="center"/>
          </w:tcPr>
          <w:p w14:paraId="3CA40AF9">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学历</w:t>
            </w:r>
          </w:p>
        </w:tc>
        <w:tc>
          <w:tcPr>
            <w:tcW w:w="2156" w:type="dxa"/>
            <w:gridSpan w:val="2"/>
            <w:tcBorders>
              <w:bottom w:val="single" w:color="auto" w:sz="4" w:space="0"/>
            </w:tcBorders>
            <w:vAlign w:val="center"/>
          </w:tcPr>
          <w:p w14:paraId="7AEB033B">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293" w:type="dxa"/>
            <w:tcBorders>
              <w:bottom w:val="single" w:color="auto" w:sz="4" w:space="0"/>
            </w:tcBorders>
            <w:vAlign w:val="center"/>
          </w:tcPr>
          <w:p w14:paraId="741B03EF">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毕业时间</w:t>
            </w:r>
          </w:p>
        </w:tc>
        <w:tc>
          <w:tcPr>
            <w:tcW w:w="1370" w:type="dxa"/>
            <w:tcBorders>
              <w:bottom w:val="single" w:color="auto" w:sz="4" w:space="0"/>
            </w:tcBorders>
            <w:vAlign w:val="center"/>
          </w:tcPr>
          <w:p w14:paraId="74DE87FC">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1A3C6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59249C67">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毕业院校</w:t>
            </w:r>
          </w:p>
        </w:tc>
        <w:tc>
          <w:tcPr>
            <w:tcW w:w="2673" w:type="dxa"/>
            <w:gridSpan w:val="2"/>
            <w:vAlign w:val="center"/>
          </w:tcPr>
          <w:p w14:paraId="5740FEA8">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2156" w:type="dxa"/>
            <w:gridSpan w:val="2"/>
            <w:vAlign w:val="center"/>
          </w:tcPr>
          <w:p w14:paraId="126546F9">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所学专业</w:t>
            </w:r>
          </w:p>
        </w:tc>
        <w:tc>
          <w:tcPr>
            <w:tcW w:w="2663" w:type="dxa"/>
            <w:gridSpan w:val="2"/>
            <w:vAlign w:val="center"/>
          </w:tcPr>
          <w:p w14:paraId="49AF88C1">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36AB0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53949235">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专业工作年限</w:t>
            </w:r>
          </w:p>
        </w:tc>
        <w:tc>
          <w:tcPr>
            <w:tcW w:w="2673" w:type="dxa"/>
            <w:gridSpan w:val="2"/>
            <w:vAlign w:val="center"/>
          </w:tcPr>
          <w:p w14:paraId="73F7F554">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2156" w:type="dxa"/>
            <w:gridSpan w:val="2"/>
            <w:vAlign w:val="center"/>
          </w:tcPr>
          <w:p w14:paraId="6488F882">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从事项目经理年限</w:t>
            </w:r>
          </w:p>
        </w:tc>
        <w:tc>
          <w:tcPr>
            <w:tcW w:w="2663" w:type="dxa"/>
            <w:gridSpan w:val="2"/>
            <w:vAlign w:val="center"/>
          </w:tcPr>
          <w:p w14:paraId="23EEDB87">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0132A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5D56C3C">
            <w:pPr>
              <w:autoSpaceDE w:val="0"/>
              <w:autoSpaceDN w:val="0"/>
              <w:adjustRightInd w:val="0"/>
              <w:snapToGrid w:val="0"/>
              <w:spacing w:line="360" w:lineRule="auto"/>
              <w:rPr>
                <w:rFonts w:hint="eastAsia" w:ascii="宋体" w:hAnsi="宋体" w:eastAsia="宋体" w:cs="宋体"/>
                <w:color w:val="auto"/>
                <w:spacing w:val="-3"/>
                <w:kern w:val="0"/>
                <w:highlight w:val="none"/>
              </w:rPr>
            </w:pPr>
            <w:r>
              <w:rPr>
                <w:rFonts w:hint="eastAsia" w:ascii="宋体" w:hAnsi="宋体" w:eastAsia="宋体" w:cs="宋体"/>
                <w:color w:val="auto"/>
                <w:highlight w:val="none"/>
              </w:rPr>
              <w:t>注册执业资格</w:t>
            </w:r>
          </w:p>
        </w:tc>
        <w:tc>
          <w:tcPr>
            <w:tcW w:w="4819" w:type="dxa"/>
            <w:gridSpan w:val="4"/>
            <w:vAlign w:val="center"/>
          </w:tcPr>
          <w:p w14:paraId="12EE66A2">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25FC7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5DAC57C">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担任的职务及责任</w:t>
            </w:r>
          </w:p>
        </w:tc>
        <w:tc>
          <w:tcPr>
            <w:tcW w:w="4819" w:type="dxa"/>
            <w:gridSpan w:val="4"/>
            <w:vAlign w:val="center"/>
          </w:tcPr>
          <w:p w14:paraId="3E6075AB">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53DF3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43A5E7E3">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主要工作经历及业绩：</w:t>
            </w:r>
          </w:p>
        </w:tc>
      </w:tr>
      <w:tr w14:paraId="09A2B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C8D3AF3">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参加过的类似项目名称</w:t>
            </w:r>
          </w:p>
        </w:tc>
        <w:tc>
          <w:tcPr>
            <w:tcW w:w="1692" w:type="dxa"/>
            <w:vAlign w:val="center"/>
          </w:tcPr>
          <w:p w14:paraId="4548A078">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担任职务</w:t>
            </w:r>
          </w:p>
        </w:tc>
        <w:tc>
          <w:tcPr>
            <w:tcW w:w="3127" w:type="dxa"/>
            <w:gridSpan w:val="3"/>
            <w:vAlign w:val="center"/>
          </w:tcPr>
          <w:p w14:paraId="3C30FCC0">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r>
              <w:rPr>
                <w:rFonts w:hint="eastAsia" w:ascii="宋体" w:hAnsi="宋体" w:eastAsia="宋体" w:cs="宋体"/>
                <w:color w:val="auto"/>
                <w:spacing w:val="-3"/>
                <w:kern w:val="0"/>
                <w:highlight w:val="none"/>
              </w:rPr>
              <w:t>联系电话</w:t>
            </w:r>
          </w:p>
        </w:tc>
      </w:tr>
      <w:tr w14:paraId="4BF8E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A46629">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16F11C43">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5266F0B1">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64247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49ABC47">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08017BCA">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7CCCE850">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57BED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EEDE767">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0C2B731C">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24DC844F">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788EF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3D860F6">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76E2ABE8">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1E459C4C">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2644A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19B74EC">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6FD59F41">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79C4A998">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0AEB6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56067E2">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42C3C659">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1CE61839">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r w14:paraId="20FDF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16ABC105">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1692" w:type="dxa"/>
            <w:vAlign w:val="center"/>
          </w:tcPr>
          <w:p w14:paraId="7FF4668A">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c>
          <w:tcPr>
            <w:tcW w:w="3127" w:type="dxa"/>
            <w:gridSpan w:val="3"/>
            <w:vAlign w:val="center"/>
          </w:tcPr>
          <w:p w14:paraId="73E819A0">
            <w:pPr>
              <w:autoSpaceDE w:val="0"/>
              <w:autoSpaceDN w:val="0"/>
              <w:adjustRightInd w:val="0"/>
              <w:snapToGrid w:val="0"/>
              <w:spacing w:line="360" w:lineRule="auto"/>
              <w:jc w:val="center"/>
              <w:rPr>
                <w:rFonts w:hint="eastAsia" w:ascii="宋体" w:hAnsi="宋体" w:eastAsia="宋体" w:cs="宋体"/>
                <w:color w:val="auto"/>
                <w:spacing w:val="-3"/>
                <w:kern w:val="0"/>
                <w:highlight w:val="none"/>
              </w:rPr>
            </w:pPr>
          </w:p>
        </w:tc>
      </w:tr>
    </w:tbl>
    <w:p w14:paraId="281B0E1E">
      <w:pPr>
        <w:spacing w:line="360" w:lineRule="auto"/>
        <w:ind w:firstLine="472"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注：本表后附身份证、学历证、职称证书复印件并加盖公章。</w:t>
      </w:r>
    </w:p>
    <w:p w14:paraId="04D86831">
      <w:pPr>
        <w:spacing w:line="480" w:lineRule="auto"/>
        <w:ind w:firstLine="3360" w:firstLineChars="1400"/>
        <w:rPr>
          <w:rFonts w:hint="eastAsia" w:ascii="宋体" w:hAnsi="宋体" w:eastAsia="宋体" w:cs="宋体"/>
          <w:color w:val="auto"/>
          <w:highlight w:val="none"/>
        </w:rPr>
      </w:pPr>
    </w:p>
    <w:p w14:paraId="7AF8DA4A">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671E4C64">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78F236E4">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A5B4E1A">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6954639E">
      <w:pPr>
        <w:pStyle w:val="80"/>
        <w:ind w:firstLine="0" w:firstLine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.拟派项目</w:t>
      </w:r>
      <w:r>
        <w:rPr>
          <w:rFonts w:hint="eastAsia" w:ascii="宋体" w:hAnsi="宋体" w:eastAsia="宋体" w:cs="宋体"/>
          <w:b/>
          <w:bCs/>
          <w:color w:val="auto"/>
          <w:sz w:val="28"/>
          <w:szCs w:val="28"/>
          <w:highlight w:val="none"/>
          <w:lang w:val="en-US" w:eastAsia="zh-CN"/>
        </w:rPr>
        <w:t>团队人员清单</w:t>
      </w:r>
    </w:p>
    <w:tbl>
      <w:tblPr>
        <w:tblStyle w:val="93"/>
        <w:tblW w:w="918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966"/>
        <w:gridCol w:w="1265"/>
        <w:gridCol w:w="1389"/>
        <w:gridCol w:w="1586"/>
        <w:gridCol w:w="1763"/>
        <w:gridCol w:w="1074"/>
      </w:tblGrid>
      <w:tr w14:paraId="663CB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88" w:type="dxa"/>
            <w:gridSpan w:val="7"/>
            <w:tcBorders>
              <w:top w:val="single" w:color="000000" w:sz="10" w:space="0"/>
              <w:left w:val="single" w:color="000000" w:sz="10" w:space="0"/>
              <w:bottom w:val="single" w:color="000000" w:sz="4" w:space="0"/>
              <w:right w:val="single" w:color="000000" w:sz="10" w:space="0"/>
            </w:tcBorders>
            <w:noWrap w:val="0"/>
            <w:vAlign w:val="top"/>
          </w:tcPr>
          <w:p w14:paraId="2FEBD757">
            <w:pPr>
              <w:pStyle w:val="92"/>
              <w:spacing w:before="199" w:line="222" w:lineRule="auto"/>
              <w:ind w:left="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1、项目负责人/技术负责人</w:t>
            </w:r>
          </w:p>
        </w:tc>
      </w:tr>
      <w:tr w14:paraId="5E41E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9858CD3">
            <w:pPr>
              <w:pStyle w:val="92"/>
              <w:spacing w:before="194" w:line="224" w:lineRule="auto"/>
              <w:ind w:left="3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姓名</w:t>
            </w:r>
          </w:p>
        </w:tc>
        <w:tc>
          <w:tcPr>
            <w:tcW w:w="966" w:type="dxa"/>
            <w:tcBorders>
              <w:top w:val="single" w:color="000000" w:sz="4" w:space="0"/>
              <w:left w:val="single" w:color="000000" w:sz="4" w:space="0"/>
            </w:tcBorders>
            <w:noWrap w:val="0"/>
            <w:vAlign w:val="top"/>
          </w:tcPr>
          <w:p w14:paraId="3C048AFE">
            <w:pPr>
              <w:pStyle w:val="92"/>
              <w:spacing w:before="194" w:line="222"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年龄</w:t>
            </w:r>
          </w:p>
        </w:tc>
        <w:tc>
          <w:tcPr>
            <w:tcW w:w="1265" w:type="dxa"/>
            <w:tcBorders>
              <w:top w:val="single" w:color="000000" w:sz="4" w:space="0"/>
            </w:tcBorders>
            <w:noWrap w:val="0"/>
            <w:vAlign w:val="top"/>
          </w:tcPr>
          <w:p w14:paraId="62409595">
            <w:pPr>
              <w:pStyle w:val="92"/>
              <w:spacing w:before="193" w:line="223" w:lineRule="auto"/>
              <w:ind w:left="40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学历</w:t>
            </w:r>
          </w:p>
        </w:tc>
        <w:tc>
          <w:tcPr>
            <w:tcW w:w="1389" w:type="dxa"/>
            <w:tcBorders>
              <w:top w:val="single" w:color="000000" w:sz="4" w:space="0"/>
            </w:tcBorders>
            <w:noWrap w:val="0"/>
            <w:vAlign w:val="top"/>
          </w:tcPr>
          <w:p w14:paraId="220877B6">
            <w:pPr>
              <w:pStyle w:val="92"/>
              <w:spacing w:before="193" w:line="221" w:lineRule="auto"/>
              <w:ind w:left="45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职称</w:t>
            </w:r>
          </w:p>
        </w:tc>
        <w:tc>
          <w:tcPr>
            <w:tcW w:w="1586" w:type="dxa"/>
            <w:tcBorders>
              <w:top w:val="single" w:color="000000" w:sz="4" w:space="0"/>
            </w:tcBorders>
            <w:noWrap w:val="0"/>
            <w:vAlign w:val="top"/>
          </w:tcPr>
          <w:p w14:paraId="110DE0E2">
            <w:pPr>
              <w:pStyle w:val="92"/>
              <w:spacing w:before="15" w:line="206" w:lineRule="auto"/>
              <w:ind w:left="192" w:right="189" w:firstLine="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在本行业从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业工作年限</w:t>
            </w:r>
          </w:p>
        </w:tc>
        <w:tc>
          <w:tcPr>
            <w:tcW w:w="1763" w:type="dxa"/>
            <w:tcBorders>
              <w:top w:val="single" w:color="000000" w:sz="4" w:space="0"/>
            </w:tcBorders>
            <w:noWrap w:val="0"/>
            <w:vAlign w:val="top"/>
          </w:tcPr>
          <w:p w14:paraId="4762FAF8">
            <w:pPr>
              <w:pStyle w:val="92"/>
              <w:spacing w:before="145" w:line="220" w:lineRule="auto"/>
              <w:ind w:left="40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工作经验</w:t>
            </w:r>
          </w:p>
        </w:tc>
        <w:tc>
          <w:tcPr>
            <w:tcW w:w="1074" w:type="dxa"/>
            <w:tcBorders>
              <w:top w:val="single" w:color="000000" w:sz="4" w:space="0"/>
              <w:right w:val="single" w:color="000000" w:sz="10" w:space="0"/>
            </w:tcBorders>
            <w:noWrap w:val="0"/>
            <w:vAlign w:val="top"/>
          </w:tcPr>
          <w:p w14:paraId="74301F20">
            <w:pPr>
              <w:pStyle w:val="92"/>
              <w:spacing w:before="25" w:line="191" w:lineRule="auto"/>
              <w:ind w:left="322"/>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当前</w:t>
            </w:r>
          </w:p>
          <w:p w14:paraId="6DB255AF">
            <w:pPr>
              <w:pStyle w:val="92"/>
              <w:spacing w:line="213" w:lineRule="auto"/>
              <w:ind w:left="3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分工</w:t>
            </w:r>
          </w:p>
        </w:tc>
      </w:tr>
      <w:tr w14:paraId="2562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1365189">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715A3F73">
            <w:pPr>
              <w:rPr>
                <w:rFonts w:hint="eastAsia" w:ascii="宋体" w:hAnsi="宋体" w:eastAsia="宋体" w:cs="宋体"/>
                <w:color w:val="auto"/>
                <w:sz w:val="24"/>
                <w:szCs w:val="24"/>
                <w:highlight w:val="none"/>
              </w:rPr>
            </w:pPr>
          </w:p>
        </w:tc>
        <w:tc>
          <w:tcPr>
            <w:tcW w:w="1265" w:type="dxa"/>
            <w:noWrap w:val="0"/>
            <w:vAlign w:val="top"/>
          </w:tcPr>
          <w:p w14:paraId="1A2B8EBC">
            <w:pPr>
              <w:rPr>
                <w:rFonts w:hint="eastAsia" w:ascii="宋体" w:hAnsi="宋体" w:eastAsia="宋体" w:cs="宋体"/>
                <w:color w:val="auto"/>
                <w:sz w:val="24"/>
                <w:szCs w:val="24"/>
                <w:highlight w:val="none"/>
              </w:rPr>
            </w:pPr>
          </w:p>
        </w:tc>
        <w:tc>
          <w:tcPr>
            <w:tcW w:w="1389" w:type="dxa"/>
            <w:noWrap w:val="0"/>
            <w:vAlign w:val="top"/>
          </w:tcPr>
          <w:p w14:paraId="57AA8B51">
            <w:pPr>
              <w:rPr>
                <w:rFonts w:hint="eastAsia" w:ascii="宋体" w:hAnsi="宋体" w:eastAsia="宋体" w:cs="宋体"/>
                <w:color w:val="auto"/>
                <w:sz w:val="24"/>
                <w:szCs w:val="24"/>
                <w:highlight w:val="none"/>
              </w:rPr>
            </w:pPr>
          </w:p>
        </w:tc>
        <w:tc>
          <w:tcPr>
            <w:tcW w:w="1586" w:type="dxa"/>
            <w:noWrap w:val="0"/>
            <w:vAlign w:val="top"/>
          </w:tcPr>
          <w:p w14:paraId="1FE10645">
            <w:pPr>
              <w:rPr>
                <w:rFonts w:hint="eastAsia" w:ascii="宋体" w:hAnsi="宋体" w:eastAsia="宋体" w:cs="宋体"/>
                <w:color w:val="auto"/>
                <w:sz w:val="24"/>
                <w:szCs w:val="24"/>
                <w:highlight w:val="none"/>
              </w:rPr>
            </w:pPr>
          </w:p>
        </w:tc>
        <w:tc>
          <w:tcPr>
            <w:tcW w:w="1763" w:type="dxa"/>
            <w:noWrap w:val="0"/>
            <w:vAlign w:val="top"/>
          </w:tcPr>
          <w:p w14:paraId="3435E3FA">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1EDB6C6F">
            <w:pPr>
              <w:rPr>
                <w:rFonts w:hint="eastAsia" w:ascii="宋体" w:hAnsi="宋体" w:eastAsia="宋体" w:cs="宋体"/>
                <w:color w:val="auto"/>
                <w:sz w:val="24"/>
                <w:szCs w:val="24"/>
                <w:highlight w:val="none"/>
              </w:rPr>
            </w:pPr>
          </w:p>
        </w:tc>
      </w:tr>
      <w:tr w14:paraId="464E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85712EF">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0620F7D4">
            <w:pPr>
              <w:rPr>
                <w:rFonts w:hint="eastAsia" w:ascii="宋体" w:hAnsi="宋体" w:eastAsia="宋体" w:cs="宋体"/>
                <w:color w:val="auto"/>
                <w:sz w:val="24"/>
                <w:szCs w:val="24"/>
                <w:highlight w:val="none"/>
              </w:rPr>
            </w:pPr>
          </w:p>
        </w:tc>
        <w:tc>
          <w:tcPr>
            <w:tcW w:w="1265" w:type="dxa"/>
            <w:noWrap w:val="0"/>
            <w:vAlign w:val="top"/>
          </w:tcPr>
          <w:p w14:paraId="14C96448">
            <w:pPr>
              <w:rPr>
                <w:rFonts w:hint="eastAsia" w:ascii="宋体" w:hAnsi="宋体" w:eastAsia="宋体" w:cs="宋体"/>
                <w:color w:val="auto"/>
                <w:sz w:val="24"/>
                <w:szCs w:val="24"/>
                <w:highlight w:val="none"/>
              </w:rPr>
            </w:pPr>
          </w:p>
        </w:tc>
        <w:tc>
          <w:tcPr>
            <w:tcW w:w="1389" w:type="dxa"/>
            <w:noWrap w:val="0"/>
            <w:vAlign w:val="top"/>
          </w:tcPr>
          <w:p w14:paraId="18790A8F">
            <w:pPr>
              <w:rPr>
                <w:rFonts w:hint="eastAsia" w:ascii="宋体" w:hAnsi="宋体" w:eastAsia="宋体" w:cs="宋体"/>
                <w:color w:val="auto"/>
                <w:sz w:val="24"/>
                <w:szCs w:val="24"/>
                <w:highlight w:val="none"/>
              </w:rPr>
            </w:pPr>
          </w:p>
        </w:tc>
        <w:tc>
          <w:tcPr>
            <w:tcW w:w="1586" w:type="dxa"/>
            <w:noWrap w:val="0"/>
            <w:vAlign w:val="top"/>
          </w:tcPr>
          <w:p w14:paraId="4AC8C0EB">
            <w:pPr>
              <w:rPr>
                <w:rFonts w:hint="eastAsia" w:ascii="宋体" w:hAnsi="宋体" w:eastAsia="宋体" w:cs="宋体"/>
                <w:color w:val="auto"/>
                <w:sz w:val="24"/>
                <w:szCs w:val="24"/>
                <w:highlight w:val="none"/>
              </w:rPr>
            </w:pPr>
          </w:p>
        </w:tc>
        <w:tc>
          <w:tcPr>
            <w:tcW w:w="1763" w:type="dxa"/>
            <w:noWrap w:val="0"/>
            <w:vAlign w:val="top"/>
          </w:tcPr>
          <w:p w14:paraId="0B20C6B4">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7000B3F9">
            <w:pPr>
              <w:rPr>
                <w:rFonts w:hint="eastAsia" w:ascii="宋体" w:hAnsi="宋体" w:eastAsia="宋体" w:cs="宋体"/>
                <w:color w:val="auto"/>
                <w:sz w:val="24"/>
                <w:szCs w:val="24"/>
                <w:highlight w:val="none"/>
              </w:rPr>
            </w:pPr>
          </w:p>
        </w:tc>
      </w:tr>
      <w:tr w14:paraId="4456B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91CC768">
            <w:pPr>
              <w:rPr>
                <w:rFonts w:hint="eastAsia" w:ascii="宋体" w:hAnsi="宋体" w:eastAsia="宋体" w:cs="宋体"/>
                <w:color w:val="auto"/>
                <w:sz w:val="24"/>
                <w:szCs w:val="24"/>
                <w:highlight w:val="none"/>
              </w:rPr>
            </w:pPr>
          </w:p>
        </w:tc>
        <w:tc>
          <w:tcPr>
            <w:tcW w:w="966" w:type="dxa"/>
            <w:tcBorders>
              <w:left w:val="single" w:color="000000" w:sz="4" w:space="0"/>
              <w:bottom w:val="single" w:color="000000" w:sz="4" w:space="0"/>
            </w:tcBorders>
            <w:noWrap w:val="0"/>
            <w:vAlign w:val="top"/>
          </w:tcPr>
          <w:p w14:paraId="7D777186">
            <w:pPr>
              <w:rPr>
                <w:rFonts w:hint="eastAsia" w:ascii="宋体" w:hAnsi="宋体" w:eastAsia="宋体" w:cs="宋体"/>
                <w:color w:val="auto"/>
                <w:sz w:val="24"/>
                <w:szCs w:val="24"/>
                <w:highlight w:val="none"/>
              </w:rPr>
            </w:pPr>
          </w:p>
        </w:tc>
        <w:tc>
          <w:tcPr>
            <w:tcW w:w="1265" w:type="dxa"/>
            <w:tcBorders>
              <w:bottom w:val="single" w:color="000000" w:sz="4" w:space="0"/>
            </w:tcBorders>
            <w:noWrap w:val="0"/>
            <w:vAlign w:val="top"/>
          </w:tcPr>
          <w:p w14:paraId="6A2D0192">
            <w:pPr>
              <w:rPr>
                <w:rFonts w:hint="eastAsia" w:ascii="宋体" w:hAnsi="宋体" w:eastAsia="宋体" w:cs="宋体"/>
                <w:color w:val="auto"/>
                <w:sz w:val="24"/>
                <w:szCs w:val="24"/>
                <w:highlight w:val="none"/>
              </w:rPr>
            </w:pPr>
          </w:p>
        </w:tc>
        <w:tc>
          <w:tcPr>
            <w:tcW w:w="1389" w:type="dxa"/>
            <w:tcBorders>
              <w:bottom w:val="single" w:color="000000" w:sz="4" w:space="0"/>
            </w:tcBorders>
            <w:noWrap w:val="0"/>
            <w:vAlign w:val="top"/>
          </w:tcPr>
          <w:p w14:paraId="4450F080">
            <w:pPr>
              <w:rPr>
                <w:rFonts w:hint="eastAsia" w:ascii="宋体" w:hAnsi="宋体" w:eastAsia="宋体" w:cs="宋体"/>
                <w:color w:val="auto"/>
                <w:sz w:val="24"/>
                <w:szCs w:val="24"/>
                <w:highlight w:val="none"/>
              </w:rPr>
            </w:pPr>
          </w:p>
        </w:tc>
        <w:tc>
          <w:tcPr>
            <w:tcW w:w="1586" w:type="dxa"/>
            <w:tcBorders>
              <w:bottom w:val="single" w:color="000000" w:sz="4" w:space="0"/>
            </w:tcBorders>
            <w:noWrap w:val="0"/>
            <w:vAlign w:val="top"/>
          </w:tcPr>
          <w:p w14:paraId="17BDB052">
            <w:pPr>
              <w:rPr>
                <w:rFonts w:hint="eastAsia" w:ascii="宋体" w:hAnsi="宋体" w:eastAsia="宋体" w:cs="宋体"/>
                <w:color w:val="auto"/>
                <w:sz w:val="24"/>
                <w:szCs w:val="24"/>
                <w:highlight w:val="none"/>
              </w:rPr>
            </w:pPr>
          </w:p>
        </w:tc>
        <w:tc>
          <w:tcPr>
            <w:tcW w:w="1763" w:type="dxa"/>
            <w:tcBorders>
              <w:bottom w:val="single" w:color="000000" w:sz="4" w:space="0"/>
            </w:tcBorders>
            <w:noWrap w:val="0"/>
            <w:vAlign w:val="top"/>
          </w:tcPr>
          <w:p w14:paraId="5AE4038B">
            <w:pPr>
              <w:rPr>
                <w:rFonts w:hint="eastAsia" w:ascii="宋体" w:hAnsi="宋体" w:eastAsia="宋体" w:cs="宋体"/>
                <w:color w:val="auto"/>
                <w:sz w:val="24"/>
                <w:szCs w:val="24"/>
                <w:highlight w:val="none"/>
              </w:rPr>
            </w:pPr>
          </w:p>
        </w:tc>
        <w:tc>
          <w:tcPr>
            <w:tcW w:w="1074" w:type="dxa"/>
            <w:tcBorders>
              <w:bottom w:val="single" w:color="000000" w:sz="4" w:space="0"/>
              <w:right w:val="single" w:color="000000" w:sz="10" w:space="0"/>
            </w:tcBorders>
            <w:noWrap w:val="0"/>
            <w:vAlign w:val="top"/>
          </w:tcPr>
          <w:p w14:paraId="62C13F0F">
            <w:pPr>
              <w:rPr>
                <w:rFonts w:hint="eastAsia" w:ascii="宋体" w:hAnsi="宋体" w:eastAsia="宋体" w:cs="宋体"/>
                <w:color w:val="auto"/>
                <w:sz w:val="24"/>
                <w:szCs w:val="24"/>
                <w:highlight w:val="none"/>
              </w:rPr>
            </w:pPr>
          </w:p>
        </w:tc>
      </w:tr>
      <w:tr w14:paraId="71B4D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0FBD8654">
            <w:pPr>
              <w:pStyle w:val="92"/>
              <w:spacing w:before="197" w:line="222" w:lineRule="auto"/>
              <w:ind w:left="1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2、技术人员</w:t>
            </w:r>
          </w:p>
        </w:tc>
      </w:tr>
      <w:tr w14:paraId="09D8E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35FD7854">
            <w:pPr>
              <w:pStyle w:val="92"/>
              <w:spacing w:before="200" w:line="224" w:lineRule="auto"/>
              <w:ind w:left="3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姓名</w:t>
            </w:r>
          </w:p>
        </w:tc>
        <w:tc>
          <w:tcPr>
            <w:tcW w:w="966" w:type="dxa"/>
            <w:tcBorders>
              <w:top w:val="single" w:color="000000" w:sz="4" w:space="0"/>
              <w:left w:val="single" w:color="000000" w:sz="4" w:space="0"/>
            </w:tcBorders>
            <w:noWrap w:val="0"/>
            <w:vAlign w:val="top"/>
          </w:tcPr>
          <w:p w14:paraId="2B35D3A6">
            <w:pPr>
              <w:pStyle w:val="92"/>
              <w:spacing w:before="200" w:line="222"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年龄</w:t>
            </w:r>
          </w:p>
        </w:tc>
        <w:tc>
          <w:tcPr>
            <w:tcW w:w="1265" w:type="dxa"/>
            <w:tcBorders>
              <w:top w:val="single" w:color="000000" w:sz="4" w:space="0"/>
            </w:tcBorders>
            <w:noWrap w:val="0"/>
            <w:vAlign w:val="top"/>
          </w:tcPr>
          <w:p w14:paraId="1620720D">
            <w:pPr>
              <w:pStyle w:val="92"/>
              <w:spacing w:before="200" w:line="223" w:lineRule="auto"/>
              <w:ind w:left="40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学历</w:t>
            </w:r>
          </w:p>
        </w:tc>
        <w:tc>
          <w:tcPr>
            <w:tcW w:w="1389" w:type="dxa"/>
            <w:tcBorders>
              <w:top w:val="single" w:color="000000" w:sz="4" w:space="0"/>
            </w:tcBorders>
            <w:noWrap w:val="0"/>
            <w:vAlign w:val="top"/>
          </w:tcPr>
          <w:p w14:paraId="3F27F7A1">
            <w:pPr>
              <w:pStyle w:val="92"/>
              <w:spacing w:before="199" w:line="221" w:lineRule="auto"/>
              <w:ind w:left="46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职称</w:t>
            </w:r>
          </w:p>
        </w:tc>
        <w:tc>
          <w:tcPr>
            <w:tcW w:w="1586" w:type="dxa"/>
            <w:tcBorders>
              <w:top w:val="single" w:color="000000" w:sz="4" w:space="0"/>
            </w:tcBorders>
            <w:noWrap w:val="0"/>
            <w:vAlign w:val="top"/>
          </w:tcPr>
          <w:p w14:paraId="37DC3029">
            <w:pPr>
              <w:pStyle w:val="92"/>
              <w:spacing w:before="25" w:line="202" w:lineRule="auto"/>
              <w:ind w:left="202" w:right="180" w:firstLine="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在本行业从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业工作年限</w:t>
            </w:r>
          </w:p>
        </w:tc>
        <w:tc>
          <w:tcPr>
            <w:tcW w:w="1763" w:type="dxa"/>
            <w:tcBorders>
              <w:top w:val="single" w:color="000000" w:sz="4" w:space="0"/>
            </w:tcBorders>
            <w:noWrap w:val="0"/>
            <w:vAlign w:val="top"/>
          </w:tcPr>
          <w:p w14:paraId="019E989F">
            <w:pPr>
              <w:pStyle w:val="92"/>
              <w:spacing w:before="152" w:line="220" w:lineRule="auto"/>
              <w:ind w:left="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工作经验</w:t>
            </w:r>
          </w:p>
        </w:tc>
        <w:tc>
          <w:tcPr>
            <w:tcW w:w="1074" w:type="dxa"/>
            <w:tcBorders>
              <w:top w:val="single" w:color="000000" w:sz="4" w:space="0"/>
              <w:right w:val="single" w:color="000000" w:sz="10" w:space="0"/>
            </w:tcBorders>
            <w:noWrap w:val="0"/>
            <w:vAlign w:val="top"/>
          </w:tcPr>
          <w:p w14:paraId="5DC8CEC7">
            <w:pPr>
              <w:pStyle w:val="92"/>
              <w:spacing w:before="32" w:line="191" w:lineRule="auto"/>
              <w:ind w:left="344"/>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当前</w:t>
            </w:r>
          </w:p>
          <w:p w14:paraId="6FDC2FF7">
            <w:pPr>
              <w:pStyle w:val="92"/>
              <w:spacing w:line="208" w:lineRule="auto"/>
              <w:ind w:left="32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分工</w:t>
            </w:r>
          </w:p>
        </w:tc>
      </w:tr>
      <w:tr w14:paraId="19616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6D372056">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4436835D">
            <w:pPr>
              <w:rPr>
                <w:rFonts w:hint="eastAsia" w:ascii="宋体" w:hAnsi="宋体" w:eastAsia="宋体" w:cs="宋体"/>
                <w:color w:val="auto"/>
                <w:sz w:val="24"/>
                <w:szCs w:val="24"/>
                <w:highlight w:val="none"/>
              </w:rPr>
            </w:pPr>
          </w:p>
        </w:tc>
        <w:tc>
          <w:tcPr>
            <w:tcW w:w="1265" w:type="dxa"/>
            <w:noWrap w:val="0"/>
            <w:vAlign w:val="top"/>
          </w:tcPr>
          <w:p w14:paraId="6754FB4E">
            <w:pPr>
              <w:rPr>
                <w:rFonts w:hint="eastAsia" w:ascii="宋体" w:hAnsi="宋体" w:eastAsia="宋体" w:cs="宋体"/>
                <w:color w:val="auto"/>
                <w:sz w:val="24"/>
                <w:szCs w:val="24"/>
                <w:highlight w:val="none"/>
              </w:rPr>
            </w:pPr>
          </w:p>
        </w:tc>
        <w:tc>
          <w:tcPr>
            <w:tcW w:w="1389" w:type="dxa"/>
            <w:noWrap w:val="0"/>
            <w:vAlign w:val="top"/>
          </w:tcPr>
          <w:p w14:paraId="58382C2C">
            <w:pPr>
              <w:rPr>
                <w:rFonts w:hint="eastAsia" w:ascii="宋体" w:hAnsi="宋体" w:eastAsia="宋体" w:cs="宋体"/>
                <w:color w:val="auto"/>
                <w:sz w:val="24"/>
                <w:szCs w:val="24"/>
                <w:highlight w:val="none"/>
              </w:rPr>
            </w:pPr>
          </w:p>
        </w:tc>
        <w:tc>
          <w:tcPr>
            <w:tcW w:w="1586" w:type="dxa"/>
            <w:noWrap w:val="0"/>
            <w:vAlign w:val="top"/>
          </w:tcPr>
          <w:p w14:paraId="1010AD08">
            <w:pPr>
              <w:rPr>
                <w:rFonts w:hint="eastAsia" w:ascii="宋体" w:hAnsi="宋体" w:eastAsia="宋体" w:cs="宋体"/>
                <w:color w:val="auto"/>
                <w:sz w:val="24"/>
                <w:szCs w:val="24"/>
                <w:highlight w:val="none"/>
              </w:rPr>
            </w:pPr>
          </w:p>
        </w:tc>
        <w:tc>
          <w:tcPr>
            <w:tcW w:w="1763" w:type="dxa"/>
            <w:noWrap w:val="0"/>
            <w:vAlign w:val="top"/>
          </w:tcPr>
          <w:p w14:paraId="32F088F0">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750BB162">
            <w:pPr>
              <w:rPr>
                <w:rFonts w:hint="eastAsia" w:ascii="宋体" w:hAnsi="宋体" w:eastAsia="宋体" w:cs="宋体"/>
                <w:color w:val="auto"/>
                <w:sz w:val="24"/>
                <w:szCs w:val="24"/>
                <w:highlight w:val="none"/>
              </w:rPr>
            </w:pPr>
          </w:p>
        </w:tc>
      </w:tr>
      <w:tr w14:paraId="765B8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DBEABD0">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1448A802">
            <w:pPr>
              <w:rPr>
                <w:rFonts w:hint="eastAsia" w:ascii="宋体" w:hAnsi="宋体" w:eastAsia="宋体" w:cs="宋体"/>
                <w:color w:val="auto"/>
                <w:sz w:val="24"/>
                <w:szCs w:val="24"/>
                <w:highlight w:val="none"/>
              </w:rPr>
            </w:pPr>
          </w:p>
        </w:tc>
        <w:tc>
          <w:tcPr>
            <w:tcW w:w="1265" w:type="dxa"/>
            <w:noWrap w:val="0"/>
            <w:vAlign w:val="top"/>
          </w:tcPr>
          <w:p w14:paraId="0DC710DD">
            <w:pPr>
              <w:rPr>
                <w:rFonts w:hint="eastAsia" w:ascii="宋体" w:hAnsi="宋体" w:eastAsia="宋体" w:cs="宋体"/>
                <w:color w:val="auto"/>
                <w:sz w:val="24"/>
                <w:szCs w:val="24"/>
                <w:highlight w:val="none"/>
              </w:rPr>
            </w:pPr>
          </w:p>
        </w:tc>
        <w:tc>
          <w:tcPr>
            <w:tcW w:w="1389" w:type="dxa"/>
            <w:noWrap w:val="0"/>
            <w:vAlign w:val="top"/>
          </w:tcPr>
          <w:p w14:paraId="504D0BA2">
            <w:pPr>
              <w:rPr>
                <w:rFonts w:hint="eastAsia" w:ascii="宋体" w:hAnsi="宋体" w:eastAsia="宋体" w:cs="宋体"/>
                <w:color w:val="auto"/>
                <w:sz w:val="24"/>
                <w:szCs w:val="24"/>
                <w:highlight w:val="none"/>
              </w:rPr>
            </w:pPr>
          </w:p>
        </w:tc>
        <w:tc>
          <w:tcPr>
            <w:tcW w:w="1586" w:type="dxa"/>
            <w:noWrap w:val="0"/>
            <w:vAlign w:val="top"/>
          </w:tcPr>
          <w:p w14:paraId="650B8D87">
            <w:pPr>
              <w:rPr>
                <w:rFonts w:hint="eastAsia" w:ascii="宋体" w:hAnsi="宋体" w:eastAsia="宋体" w:cs="宋体"/>
                <w:color w:val="auto"/>
                <w:sz w:val="24"/>
                <w:szCs w:val="24"/>
                <w:highlight w:val="none"/>
              </w:rPr>
            </w:pPr>
          </w:p>
        </w:tc>
        <w:tc>
          <w:tcPr>
            <w:tcW w:w="1763" w:type="dxa"/>
            <w:noWrap w:val="0"/>
            <w:vAlign w:val="top"/>
          </w:tcPr>
          <w:p w14:paraId="6FB3B3DC">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4B3AE275">
            <w:pPr>
              <w:rPr>
                <w:rFonts w:hint="eastAsia" w:ascii="宋体" w:hAnsi="宋体" w:eastAsia="宋体" w:cs="宋体"/>
                <w:color w:val="auto"/>
                <w:sz w:val="24"/>
                <w:szCs w:val="24"/>
                <w:highlight w:val="none"/>
              </w:rPr>
            </w:pPr>
          </w:p>
        </w:tc>
      </w:tr>
      <w:tr w14:paraId="17F15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635447FA">
            <w:pPr>
              <w:rPr>
                <w:rFonts w:hint="eastAsia" w:ascii="宋体" w:hAnsi="宋体" w:eastAsia="宋体" w:cs="宋体"/>
                <w:color w:val="auto"/>
                <w:sz w:val="24"/>
                <w:szCs w:val="24"/>
                <w:highlight w:val="none"/>
              </w:rPr>
            </w:pPr>
          </w:p>
        </w:tc>
        <w:tc>
          <w:tcPr>
            <w:tcW w:w="966" w:type="dxa"/>
            <w:tcBorders>
              <w:left w:val="single" w:color="000000" w:sz="4" w:space="0"/>
              <w:bottom w:val="single" w:color="000000" w:sz="4" w:space="0"/>
            </w:tcBorders>
            <w:noWrap w:val="0"/>
            <w:vAlign w:val="top"/>
          </w:tcPr>
          <w:p w14:paraId="4AE66903">
            <w:pPr>
              <w:rPr>
                <w:rFonts w:hint="eastAsia" w:ascii="宋体" w:hAnsi="宋体" w:eastAsia="宋体" w:cs="宋体"/>
                <w:color w:val="auto"/>
                <w:sz w:val="24"/>
                <w:szCs w:val="24"/>
                <w:highlight w:val="none"/>
              </w:rPr>
            </w:pPr>
          </w:p>
        </w:tc>
        <w:tc>
          <w:tcPr>
            <w:tcW w:w="1265" w:type="dxa"/>
            <w:tcBorders>
              <w:bottom w:val="single" w:color="000000" w:sz="4" w:space="0"/>
            </w:tcBorders>
            <w:noWrap w:val="0"/>
            <w:vAlign w:val="top"/>
          </w:tcPr>
          <w:p w14:paraId="5A7C52FF">
            <w:pPr>
              <w:rPr>
                <w:rFonts w:hint="eastAsia" w:ascii="宋体" w:hAnsi="宋体" w:eastAsia="宋体" w:cs="宋体"/>
                <w:color w:val="auto"/>
                <w:sz w:val="24"/>
                <w:szCs w:val="24"/>
                <w:highlight w:val="none"/>
              </w:rPr>
            </w:pPr>
          </w:p>
        </w:tc>
        <w:tc>
          <w:tcPr>
            <w:tcW w:w="1389" w:type="dxa"/>
            <w:tcBorders>
              <w:bottom w:val="single" w:color="000000" w:sz="4" w:space="0"/>
            </w:tcBorders>
            <w:noWrap w:val="0"/>
            <w:vAlign w:val="top"/>
          </w:tcPr>
          <w:p w14:paraId="4AAF9A8A">
            <w:pPr>
              <w:rPr>
                <w:rFonts w:hint="eastAsia" w:ascii="宋体" w:hAnsi="宋体" w:eastAsia="宋体" w:cs="宋体"/>
                <w:color w:val="auto"/>
                <w:sz w:val="24"/>
                <w:szCs w:val="24"/>
                <w:highlight w:val="none"/>
              </w:rPr>
            </w:pPr>
          </w:p>
        </w:tc>
        <w:tc>
          <w:tcPr>
            <w:tcW w:w="1586" w:type="dxa"/>
            <w:tcBorders>
              <w:bottom w:val="single" w:color="000000" w:sz="4" w:space="0"/>
            </w:tcBorders>
            <w:noWrap w:val="0"/>
            <w:vAlign w:val="top"/>
          </w:tcPr>
          <w:p w14:paraId="47923468">
            <w:pPr>
              <w:rPr>
                <w:rFonts w:hint="eastAsia" w:ascii="宋体" w:hAnsi="宋体" w:eastAsia="宋体" w:cs="宋体"/>
                <w:color w:val="auto"/>
                <w:sz w:val="24"/>
                <w:szCs w:val="24"/>
                <w:highlight w:val="none"/>
              </w:rPr>
            </w:pPr>
          </w:p>
        </w:tc>
        <w:tc>
          <w:tcPr>
            <w:tcW w:w="1763" w:type="dxa"/>
            <w:tcBorders>
              <w:bottom w:val="single" w:color="000000" w:sz="4" w:space="0"/>
            </w:tcBorders>
            <w:noWrap w:val="0"/>
            <w:vAlign w:val="top"/>
          </w:tcPr>
          <w:p w14:paraId="30618B80">
            <w:pPr>
              <w:rPr>
                <w:rFonts w:hint="eastAsia" w:ascii="宋体" w:hAnsi="宋体" w:eastAsia="宋体" w:cs="宋体"/>
                <w:color w:val="auto"/>
                <w:sz w:val="24"/>
                <w:szCs w:val="24"/>
                <w:highlight w:val="none"/>
              </w:rPr>
            </w:pPr>
          </w:p>
        </w:tc>
        <w:tc>
          <w:tcPr>
            <w:tcW w:w="1074" w:type="dxa"/>
            <w:tcBorders>
              <w:bottom w:val="single" w:color="000000" w:sz="4" w:space="0"/>
              <w:right w:val="single" w:color="000000" w:sz="10" w:space="0"/>
            </w:tcBorders>
            <w:noWrap w:val="0"/>
            <w:vAlign w:val="top"/>
          </w:tcPr>
          <w:p w14:paraId="434CFC29">
            <w:pPr>
              <w:rPr>
                <w:rFonts w:hint="eastAsia" w:ascii="宋体" w:hAnsi="宋体" w:eastAsia="宋体" w:cs="宋体"/>
                <w:color w:val="auto"/>
                <w:sz w:val="24"/>
                <w:szCs w:val="24"/>
                <w:highlight w:val="none"/>
              </w:rPr>
            </w:pPr>
          </w:p>
        </w:tc>
      </w:tr>
      <w:tr w14:paraId="6C695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6EA43AA5">
            <w:pPr>
              <w:pStyle w:val="92"/>
              <w:spacing w:before="197" w:line="221" w:lineRule="auto"/>
              <w:ind w:left="1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3、辅助人员</w:t>
            </w:r>
          </w:p>
        </w:tc>
      </w:tr>
      <w:tr w14:paraId="1617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26D0997">
            <w:pPr>
              <w:pStyle w:val="92"/>
              <w:spacing w:before="254" w:line="224" w:lineRule="auto"/>
              <w:ind w:left="3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姓名</w:t>
            </w:r>
          </w:p>
        </w:tc>
        <w:tc>
          <w:tcPr>
            <w:tcW w:w="966" w:type="dxa"/>
            <w:tcBorders>
              <w:top w:val="single" w:color="000000" w:sz="4" w:space="0"/>
              <w:left w:val="single" w:color="000000" w:sz="4" w:space="0"/>
            </w:tcBorders>
            <w:noWrap w:val="0"/>
            <w:vAlign w:val="top"/>
          </w:tcPr>
          <w:p w14:paraId="68E9F926">
            <w:pPr>
              <w:pStyle w:val="92"/>
              <w:spacing w:before="253" w:line="222"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年龄</w:t>
            </w:r>
          </w:p>
        </w:tc>
        <w:tc>
          <w:tcPr>
            <w:tcW w:w="1265" w:type="dxa"/>
            <w:tcBorders>
              <w:top w:val="single" w:color="000000" w:sz="4" w:space="0"/>
            </w:tcBorders>
            <w:noWrap w:val="0"/>
            <w:vAlign w:val="top"/>
          </w:tcPr>
          <w:p w14:paraId="66F08E83">
            <w:pPr>
              <w:pStyle w:val="92"/>
              <w:spacing w:before="253" w:line="223" w:lineRule="auto"/>
              <w:ind w:left="416"/>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学历</w:t>
            </w:r>
          </w:p>
        </w:tc>
        <w:tc>
          <w:tcPr>
            <w:tcW w:w="1389" w:type="dxa"/>
            <w:tcBorders>
              <w:top w:val="single" w:color="000000" w:sz="4" w:space="0"/>
            </w:tcBorders>
            <w:noWrap w:val="0"/>
            <w:vAlign w:val="top"/>
          </w:tcPr>
          <w:p w14:paraId="40921150">
            <w:pPr>
              <w:pStyle w:val="92"/>
              <w:spacing w:before="253" w:line="221"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职称</w:t>
            </w:r>
          </w:p>
        </w:tc>
        <w:tc>
          <w:tcPr>
            <w:tcW w:w="1586" w:type="dxa"/>
            <w:tcBorders>
              <w:top w:val="single" w:color="000000" w:sz="4" w:space="0"/>
            </w:tcBorders>
            <w:noWrap w:val="0"/>
            <w:vAlign w:val="top"/>
          </w:tcPr>
          <w:p w14:paraId="704C18A5">
            <w:pPr>
              <w:pStyle w:val="92"/>
              <w:spacing w:before="78" w:line="217" w:lineRule="auto"/>
              <w:ind w:left="245" w:right="177" w:hanging="4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从事类似项</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目工作年限</w:t>
            </w:r>
          </w:p>
        </w:tc>
        <w:tc>
          <w:tcPr>
            <w:tcW w:w="1763" w:type="dxa"/>
            <w:tcBorders>
              <w:top w:val="single" w:color="000000" w:sz="4" w:space="0"/>
            </w:tcBorders>
            <w:noWrap w:val="0"/>
            <w:vAlign w:val="top"/>
          </w:tcPr>
          <w:p w14:paraId="221D44F5">
            <w:pPr>
              <w:pStyle w:val="92"/>
              <w:spacing w:before="205" w:line="220" w:lineRule="auto"/>
              <w:ind w:left="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工作经验</w:t>
            </w:r>
          </w:p>
        </w:tc>
        <w:tc>
          <w:tcPr>
            <w:tcW w:w="1074" w:type="dxa"/>
            <w:tcBorders>
              <w:top w:val="single" w:color="000000" w:sz="4" w:space="0"/>
              <w:right w:val="single" w:color="000000" w:sz="10" w:space="0"/>
            </w:tcBorders>
            <w:noWrap w:val="0"/>
            <w:vAlign w:val="top"/>
          </w:tcPr>
          <w:p w14:paraId="75F8ADA1">
            <w:pPr>
              <w:pStyle w:val="92"/>
              <w:spacing w:before="85" w:line="191" w:lineRule="auto"/>
              <w:ind w:left="344"/>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当前</w:t>
            </w:r>
          </w:p>
          <w:p w14:paraId="57925B49">
            <w:pPr>
              <w:pStyle w:val="92"/>
              <w:spacing w:line="217" w:lineRule="auto"/>
              <w:ind w:left="32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分工</w:t>
            </w:r>
          </w:p>
        </w:tc>
      </w:tr>
      <w:tr w14:paraId="0B4B8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EF3C7E4">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161E92CE">
            <w:pPr>
              <w:rPr>
                <w:rFonts w:hint="eastAsia" w:ascii="宋体" w:hAnsi="宋体" w:eastAsia="宋体" w:cs="宋体"/>
                <w:color w:val="auto"/>
                <w:sz w:val="24"/>
                <w:szCs w:val="24"/>
                <w:highlight w:val="none"/>
              </w:rPr>
            </w:pPr>
          </w:p>
        </w:tc>
        <w:tc>
          <w:tcPr>
            <w:tcW w:w="1265" w:type="dxa"/>
            <w:noWrap w:val="0"/>
            <w:vAlign w:val="top"/>
          </w:tcPr>
          <w:p w14:paraId="200BF9B7">
            <w:pPr>
              <w:rPr>
                <w:rFonts w:hint="eastAsia" w:ascii="宋体" w:hAnsi="宋体" w:eastAsia="宋体" w:cs="宋体"/>
                <w:color w:val="auto"/>
                <w:sz w:val="24"/>
                <w:szCs w:val="24"/>
                <w:highlight w:val="none"/>
              </w:rPr>
            </w:pPr>
          </w:p>
        </w:tc>
        <w:tc>
          <w:tcPr>
            <w:tcW w:w="1389" w:type="dxa"/>
            <w:noWrap w:val="0"/>
            <w:vAlign w:val="top"/>
          </w:tcPr>
          <w:p w14:paraId="0B5BB08B">
            <w:pPr>
              <w:rPr>
                <w:rFonts w:hint="eastAsia" w:ascii="宋体" w:hAnsi="宋体" w:eastAsia="宋体" w:cs="宋体"/>
                <w:color w:val="auto"/>
                <w:sz w:val="24"/>
                <w:szCs w:val="24"/>
                <w:highlight w:val="none"/>
              </w:rPr>
            </w:pPr>
          </w:p>
        </w:tc>
        <w:tc>
          <w:tcPr>
            <w:tcW w:w="1586" w:type="dxa"/>
            <w:noWrap w:val="0"/>
            <w:vAlign w:val="top"/>
          </w:tcPr>
          <w:p w14:paraId="24448378">
            <w:pPr>
              <w:rPr>
                <w:rFonts w:hint="eastAsia" w:ascii="宋体" w:hAnsi="宋体" w:eastAsia="宋体" w:cs="宋体"/>
                <w:color w:val="auto"/>
                <w:sz w:val="24"/>
                <w:szCs w:val="24"/>
                <w:highlight w:val="none"/>
              </w:rPr>
            </w:pPr>
          </w:p>
        </w:tc>
        <w:tc>
          <w:tcPr>
            <w:tcW w:w="1763" w:type="dxa"/>
            <w:noWrap w:val="0"/>
            <w:vAlign w:val="top"/>
          </w:tcPr>
          <w:p w14:paraId="7560A4CD">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3A632F7D">
            <w:pPr>
              <w:rPr>
                <w:rFonts w:hint="eastAsia" w:ascii="宋体" w:hAnsi="宋体" w:eastAsia="宋体" w:cs="宋体"/>
                <w:color w:val="auto"/>
                <w:sz w:val="24"/>
                <w:szCs w:val="24"/>
                <w:highlight w:val="none"/>
              </w:rPr>
            </w:pPr>
          </w:p>
        </w:tc>
      </w:tr>
      <w:tr w14:paraId="7831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6F70EB55">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20D76CBC">
            <w:pPr>
              <w:rPr>
                <w:rFonts w:hint="eastAsia" w:ascii="宋体" w:hAnsi="宋体" w:eastAsia="宋体" w:cs="宋体"/>
                <w:color w:val="auto"/>
                <w:sz w:val="24"/>
                <w:szCs w:val="24"/>
                <w:highlight w:val="none"/>
              </w:rPr>
            </w:pPr>
          </w:p>
        </w:tc>
        <w:tc>
          <w:tcPr>
            <w:tcW w:w="1265" w:type="dxa"/>
            <w:noWrap w:val="0"/>
            <w:vAlign w:val="top"/>
          </w:tcPr>
          <w:p w14:paraId="1F5FBB68">
            <w:pPr>
              <w:rPr>
                <w:rFonts w:hint="eastAsia" w:ascii="宋体" w:hAnsi="宋体" w:eastAsia="宋体" w:cs="宋体"/>
                <w:color w:val="auto"/>
                <w:sz w:val="24"/>
                <w:szCs w:val="24"/>
                <w:highlight w:val="none"/>
              </w:rPr>
            </w:pPr>
          </w:p>
        </w:tc>
        <w:tc>
          <w:tcPr>
            <w:tcW w:w="1389" w:type="dxa"/>
            <w:noWrap w:val="0"/>
            <w:vAlign w:val="top"/>
          </w:tcPr>
          <w:p w14:paraId="052C9057">
            <w:pPr>
              <w:rPr>
                <w:rFonts w:hint="eastAsia" w:ascii="宋体" w:hAnsi="宋体" w:eastAsia="宋体" w:cs="宋体"/>
                <w:color w:val="auto"/>
                <w:sz w:val="24"/>
                <w:szCs w:val="24"/>
                <w:highlight w:val="none"/>
              </w:rPr>
            </w:pPr>
          </w:p>
        </w:tc>
        <w:tc>
          <w:tcPr>
            <w:tcW w:w="1586" w:type="dxa"/>
            <w:noWrap w:val="0"/>
            <w:vAlign w:val="top"/>
          </w:tcPr>
          <w:p w14:paraId="712A0B11">
            <w:pPr>
              <w:rPr>
                <w:rFonts w:hint="eastAsia" w:ascii="宋体" w:hAnsi="宋体" w:eastAsia="宋体" w:cs="宋体"/>
                <w:color w:val="auto"/>
                <w:sz w:val="24"/>
                <w:szCs w:val="24"/>
                <w:highlight w:val="none"/>
              </w:rPr>
            </w:pPr>
          </w:p>
        </w:tc>
        <w:tc>
          <w:tcPr>
            <w:tcW w:w="1763" w:type="dxa"/>
            <w:noWrap w:val="0"/>
            <w:vAlign w:val="top"/>
          </w:tcPr>
          <w:p w14:paraId="5F9E325D">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7A6750E1">
            <w:pPr>
              <w:rPr>
                <w:rFonts w:hint="eastAsia" w:ascii="宋体" w:hAnsi="宋体" w:eastAsia="宋体" w:cs="宋体"/>
                <w:color w:val="auto"/>
                <w:sz w:val="24"/>
                <w:szCs w:val="24"/>
                <w:highlight w:val="none"/>
              </w:rPr>
            </w:pPr>
          </w:p>
        </w:tc>
      </w:tr>
      <w:tr w14:paraId="79572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0311DAE">
            <w:pPr>
              <w:rPr>
                <w:rFonts w:hint="eastAsia" w:ascii="宋体" w:hAnsi="宋体" w:eastAsia="宋体" w:cs="宋体"/>
                <w:color w:val="auto"/>
                <w:sz w:val="24"/>
                <w:szCs w:val="24"/>
                <w:highlight w:val="none"/>
              </w:rPr>
            </w:pPr>
          </w:p>
        </w:tc>
        <w:tc>
          <w:tcPr>
            <w:tcW w:w="966" w:type="dxa"/>
            <w:tcBorders>
              <w:left w:val="single" w:color="000000" w:sz="4" w:space="0"/>
            </w:tcBorders>
            <w:noWrap w:val="0"/>
            <w:vAlign w:val="top"/>
          </w:tcPr>
          <w:p w14:paraId="73894C7A">
            <w:pPr>
              <w:rPr>
                <w:rFonts w:hint="eastAsia" w:ascii="宋体" w:hAnsi="宋体" w:eastAsia="宋体" w:cs="宋体"/>
                <w:color w:val="auto"/>
                <w:sz w:val="24"/>
                <w:szCs w:val="24"/>
                <w:highlight w:val="none"/>
              </w:rPr>
            </w:pPr>
          </w:p>
        </w:tc>
        <w:tc>
          <w:tcPr>
            <w:tcW w:w="1265" w:type="dxa"/>
            <w:noWrap w:val="0"/>
            <w:vAlign w:val="top"/>
          </w:tcPr>
          <w:p w14:paraId="25C24FCE">
            <w:pPr>
              <w:rPr>
                <w:rFonts w:hint="eastAsia" w:ascii="宋体" w:hAnsi="宋体" w:eastAsia="宋体" w:cs="宋体"/>
                <w:color w:val="auto"/>
                <w:sz w:val="24"/>
                <w:szCs w:val="24"/>
                <w:highlight w:val="none"/>
              </w:rPr>
            </w:pPr>
          </w:p>
        </w:tc>
        <w:tc>
          <w:tcPr>
            <w:tcW w:w="1389" w:type="dxa"/>
            <w:noWrap w:val="0"/>
            <w:vAlign w:val="top"/>
          </w:tcPr>
          <w:p w14:paraId="512FE663">
            <w:pPr>
              <w:rPr>
                <w:rFonts w:hint="eastAsia" w:ascii="宋体" w:hAnsi="宋体" w:eastAsia="宋体" w:cs="宋体"/>
                <w:color w:val="auto"/>
                <w:sz w:val="24"/>
                <w:szCs w:val="24"/>
                <w:highlight w:val="none"/>
              </w:rPr>
            </w:pPr>
          </w:p>
        </w:tc>
        <w:tc>
          <w:tcPr>
            <w:tcW w:w="1586" w:type="dxa"/>
            <w:noWrap w:val="0"/>
            <w:vAlign w:val="top"/>
          </w:tcPr>
          <w:p w14:paraId="61AE1AE0">
            <w:pPr>
              <w:rPr>
                <w:rFonts w:hint="eastAsia" w:ascii="宋体" w:hAnsi="宋体" w:eastAsia="宋体" w:cs="宋体"/>
                <w:color w:val="auto"/>
                <w:sz w:val="24"/>
                <w:szCs w:val="24"/>
                <w:highlight w:val="none"/>
              </w:rPr>
            </w:pPr>
          </w:p>
        </w:tc>
        <w:tc>
          <w:tcPr>
            <w:tcW w:w="1763" w:type="dxa"/>
            <w:noWrap w:val="0"/>
            <w:vAlign w:val="top"/>
          </w:tcPr>
          <w:p w14:paraId="7F4C51EB">
            <w:pPr>
              <w:rPr>
                <w:rFonts w:hint="eastAsia" w:ascii="宋体" w:hAnsi="宋体" w:eastAsia="宋体" w:cs="宋体"/>
                <w:color w:val="auto"/>
                <w:sz w:val="24"/>
                <w:szCs w:val="24"/>
                <w:highlight w:val="none"/>
              </w:rPr>
            </w:pPr>
          </w:p>
        </w:tc>
        <w:tc>
          <w:tcPr>
            <w:tcW w:w="1074" w:type="dxa"/>
            <w:tcBorders>
              <w:right w:val="single" w:color="000000" w:sz="10" w:space="0"/>
            </w:tcBorders>
            <w:noWrap w:val="0"/>
            <w:vAlign w:val="top"/>
          </w:tcPr>
          <w:p w14:paraId="2BC13F40">
            <w:pPr>
              <w:rPr>
                <w:rFonts w:hint="eastAsia" w:ascii="宋体" w:hAnsi="宋体" w:eastAsia="宋体" w:cs="宋体"/>
                <w:color w:val="auto"/>
                <w:sz w:val="24"/>
                <w:szCs w:val="24"/>
                <w:highlight w:val="none"/>
              </w:rPr>
            </w:pPr>
          </w:p>
        </w:tc>
      </w:tr>
      <w:tr w14:paraId="03F5F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45" w:type="dxa"/>
            <w:tcBorders>
              <w:top w:val="single" w:color="000000" w:sz="4" w:space="0"/>
              <w:left w:val="single" w:color="000000" w:sz="10" w:space="0"/>
              <w:bottom w:val="single" w:color="000000" w:sz="10" w:space="0"/>
              <w:right w:val="single" w:color="000000" w:sz="4" w:space="0"/>
            </w:tcBorders>
            <w:noWrap w:val="0"/>
            <w:vAlign w:val="top"/>
          </w:tcPr>
          <w:p w14:paraId="2DE36E37">
            <w:pPr>
              <w:pStyle w:val="92"/>
              <w:spacing w:before="137" w:line="214" w:lineRule="auto"/>
              <w:ind w:left="32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备注</w:t>
            </w:r>
          </w:p>
        </w:tc>
        <w:tc>
          <w:tcPr>
            <w:tcW w:w="8043" w:type="dxa"/>
            <w:gridSpan w:val="6"/>
            <w:tcBorders>
              <w:left w:val="single" w:color="000000" w:sz="4" w:space="0"/>
              <w:bottom w:val="single" w:color="000000" w:sz="10" w:space="0"/>
              <w:right w:val="single" w:color="000000" w:sz="10" w:space="0"/>
            </w:tcBorders>
            <w:noWrap w:val="0"/>
            <w:vAlign w:val="top"/>
          </w:tcPr>
          <w:p w14:paraId="4A7D8434">
            <w:pPr>
              <w:pStyle w:val="92"/>
              <w:spacing w:before="137" w:line="214"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表格空间不足时请自行扩展。</w:t>
            </w:r>
          </w:p>
        </w:tc>
      </w:tr>
    </w:tbl>
    <w:p w14:paraId="3ABE6470">
      <w:pPr>
        <w:pStyle w:val="2"/>
        <w:spacing w:before="159" w:line="480" w:lineRule="exact"/>
        <w:rPr>
          <w:rFonts w:hint="eastAsia" w:ascii="宋体" w:hAnsi="宋体" w:eastAsia="宋体" w:cs="宋体"/>
          <w:b/>
          <w:bCs/>
          <w:color w:val="auto"/>
          <w:sz w:val="24"/>
          <w:highlight w:val="none"/>
        </w:rPr>
      </w:pPr>
      <w:r>
        <w:rPr>
          <w:rFonts w:hint="eastAsia" w:ascii="宋体" w:hAnsi="宋体" w:eastAsia="宋体" w:cs="宋体"/>
          <w:b/>
          <w:bCs w:val="0"/>
          <w:color w:val="auto"/>
          <w:sz w:val="24"/>
          <w:highlight w:val="none"/>
        </w:rPr>
        <w:t>注：内容包括但不限于为本项目提供货物服务的团队整体情况、 团队负责人</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联系人基本情况、背景、能力介绍等，具体内容自行编制。</w:t>
      </w:r>
    </w:p>
    <w:p w14:paraId="4F1EE124">
      <w:pPr>
        <w:spacing w:line="360" w:lineRule="auto"/>
        <w:ind w:firstLine="2834" w:firstLineChars="1181"/>
        <w:rPr>
          <w:rFonts w:hint="eastAsia" w:ascii="宋体" w:hAnsi="宋体" w:eastAsia="宋体" w:cs="宋体"/>
          <w:color w:val="auto"/>
          <w:highlight w:val="none"/>
        </w:rPr>
      </w:pPr>
    </w:p>
    <w:p w14:paraId="0438E33F">
      <w:pPr>
        <w:pStyle w:val="2"/>
        <w:rPr>
          <w:rFonts w:hint="eastAsia" w:ascii="宋体" w:hAnsi="宋体" w:eastAsia="宋体" w:cs="宋体"/>
          <w:color w:val="auto"/>
          <w:highlight w:val="none"/>
        </w:rPr>
      </w:pPr>
    </w:p>
    <w:p w14:paraId="662436AB">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6352545">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2C44F103">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3F76A0D0">
      <w:pPr>
        <w:pStyle w:val="2"/>
        <w:rPr>
          <w:rFonts w:hint="eastAsia" w:ascii="宋体" w:hAnsi="宋体" w:eastAsia="宋体" w:cs="宋体"/>
          <w:bCs/>
          <w:color w:val="auto"/>
          <w:sz w:val="22"/>
          <w:szCs w:val="22"/>
          <w:highlight w:val="none"/>
        </w:rPr>
      </w:pPr>
    </w:p>
    <w:p w14:paraId="360EEF10">
      <w:pPr>
        <w:pStyle w:val="24"/>
        <w:rPr>
          <w:rFonts w:hint="eastAsia" w:ascii="宋体" w:hAnsi="宋体" w:eastAsia="宋体" w:cs="宋体"/>
          <w:bCs/>
          <w:color w:val="auto"/>
          <w:sz w:val="22"/>
          <w:szCs w:val="22"/>
          <w:highlight w:val="none"/>
        </w:rPr>
      </w:pPr>
    </w:p>
    <w:p w14:paraId="76F607BA">
      <w:pPr>
        <w:rPr>
          <w:rFonts w:hint="eastAsia" w:ascii="宋体" w:hAnsi="宋体" w:eastAsia="宋体" w:cs="宋体"/>
          <w:color w:val="auto"/>
          <w:highlight w:val="none"/>
        </w:rPr>
      </w:pPr>
    </w:p>
    <w:p w14:paraId="11AEA096">
      <w:pPr>
        <w:rPr>
          <w:rFonts w:hint="eastAsia" w:ascii="宋体" w:hAnsi="宋体" w:eastAsia="宋体" w:cs="宋体"/>
          <w:color w:val="auto"/>
          <w:highlight w:val="none"/>
        </w:rPr>
      </w:pPr>
    </w:p>
    <w:p w14:paraId="169DF107">
      <w:pPr>
        <w:overflowPunct w:val="0"/>
        <w:spacing w:line="360" w:lineRule="auto"/>
        <w:jc w:val="center"/>
        <w:rPr>
          <w:rStyle w:val="94"/>
          <w:rFonts w:hint="eastAsia" w:ascii="宋体" w:hAnsi="宋体" w:eastAsia="宋体" w:cs="宋体"/>
          <w:color w:val="auto"/>
          <w:sz w:val="32"/>
          <w:szCs w:val="32"/>
          <w:highlight w:val="none"/>
        </w:rPr>
      </w:pPr>
      <w:bookmarkStart w:id="104" w:name="_Toc12541"/>
      <w:bookmarkStart w:id="105" w:name="_Toc24121"/>
      <w:bookmarkStart w:id="106" w:name="_Toc25825"/>
      <w:r>
        <w:rPr>
          <w:rStyle w:val="94"/>
          <w:rFonts w:hint="eastAsia" w:ascii="宋体" w:hAnsi="宋体" w:eastAsia="宋体" w:cs="宋体"/>
          <w:color w:val="auto"/>
          <w:sz w:val="32"/>
          <w:szCs w:val="32"/>
          <w:highlight w:val="none"/>
          <w:lang w:val="en-US" w:eastAsia="zh-CN"/>
        </w:rPr>
        <w:t>七</w:t>
      </w:r>
      <w:r>
        <w:rPr>
          <w:rStyle w:val="94"/>
          <w:rFonts w:hint="eastAsia" w:ascii="宋体" w:hAnsi="宋体" w:eastAsia="宋体" w:cs="宋体"/>
          <w:color w:val="auto"/>
          <w:sz w:val="32"/>
          <w:szCs w:val="32"/>
          <w:highlight w:val="none"/>
        </w:rPr>
        <w:t>、技术和商务响应说明</w:t>
      </w:r>
      <w:bookmarkEnd w:id="104"/>
      <w:bookmarkEnd w:id="105"/>
    </w:p>
    <w:bookmarkEnd w:id="106"/>
    <w:p w14:paraId="1741C4BF">
      <w:pPr>
        <w:adjustRightInd w:val="0"/>
        <w:snapToGrid w:val="0"/>
        <w:spacing w:line="360" w:lineRule="auto"/>
        <w:ind w:firstLine="4216" w:firstLineChars="15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1、商务偏离表</w:t>
      </w:r>
    </w:p>
    <w:tbl>
      <w:tblPr>
        <w:tblStyle w:val="3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7193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6AD2618F">
            <w:pPr>
              <w:pStyle w:val="13"/>
              <w:spacing w:before="120"/>
              <w:ind w:left="0" w:right="34"/>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3764B48D">
            <w:pPr>
              <w:pStyle w:val="13"/>
              <w:spacing w:before="120"/>
              <w:ind w:left="0" w:right="34"/>
              <w:jc w:val="center"/>
              <w:rPr>
                <w:rFonts w:hint="eastAsia" w:ascii="宋体" w:hAnsi="宋体" w:eastAsia="宋体" w:cs="宋体"/>
                <w:b/>
                <w:color w:val="auto"/>
                <w:highlight w:val="none"/>
              </w:rPr>
            </w:pPr>
            <w:r>
              <w:rPr>
                <w:rFonts w:hint="eastAsia" w:ascii="宋体" w:hAnsi="宋体" w:eastAsia="宋体" w:cs="宋体"/>
                <w:b/>
                <w:color w:val="auto"/>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6F8FE331">
            <w:pPr>
              <w:pStyle w:val="13"/>
              <w:spacing w:before="120"/>
              <w:ind w:left="0" w:right="34"/>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磋商响应</w:t>
            </w:r>
            <w:r>
              <w:rPr>
                <w:rFonts w:hint="eastAsia" w:ascii="宋体" w:hAnsi="宋体" w:eastAsia="宋体" w:cs="宋体"/>
                <w:b/>
                <w:color w:val="auto"/>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1E6B115F">
            <w:pPr>
              <w:pStyle w:val="13"/>
              <w:spacing w:before="120"/>
              <w:ind w:left="0" w:right="34"/>
              <w:jc w:val="center"/>
              <w:rPr>
                <w:rFonts w:hint="eastAsia" w:ascii="宋体" w:hAnsi="宋体" w:eastAsia="宋体" w:cs="宋体"/>
                <w:b/>
                <w:color w:val="auto"/>
                <w:highlight w:val="none"/>
              </w:rPr>
            </w:pPr>
            <w:r>
              <w:rPr>
                <w:rFonts w:hint="eastAsia" w:ascii="宋体" w:hAnsi="宋体" w:eastAsia="宋体" w:cs="宋体"/>
                <w:b/>
                <w:color w:val="auto"/>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7DE59803">
            <w:pPr>
              <w:pStyle w:val="13"/>
              <w:spacing w:before="120"/>
              <w:ind w:left="0" w:right="34"/>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2D73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7D4102">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6B60F8CD">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5805F42E">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AEFE47D">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1126A21A">
            <w:pPr>
              <w:pStyle w:val="13"/>
              <w:spacing w:before="120"/>
              <w:ind w:right="34"/>
              <w:jc w:val="center"/>
              <w:rPr>
                <w:rFonts w:hint="eastAsia" w:ascii="宋体" w:hAnsi="宋体" w:eastAsia="宋体" w:cs="宋体"/>
                <w:b/>
                <w:color w:val="auto"/>
                <w:highlight w:val="none"/>
              </w:rPr>
            </w:pPr>
          </w:p>
        </w:tc>
      </w:tr>
      <w:tr w14:paraId="2CB2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627A24B3">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4F1A7348">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7302573C">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0099398F">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2810839">
            <w:pPr>
              <w:pStyle w:val="13"/>
              <w:spacing w:before="120"/>
              <w:ind w:right="34"/>
              <w:jc w:val="center"/>
              <w:rPr>
                <w:rFonts w:hint="eastAsia" w:ascii="宋体" w:hAnsi="宋体" w:eastAsia="宋体" w:cs="宋体"/>
                <w:b/>
                <w:color w:val="auto"/>
                <w:highlight w:val="none"/>
              </w:rPr>
            </w:pPr>
          </w:p>
        </w:tc>
      </w:tr>
      <w:tr w14:paraId="0FA5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6F24F398">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65CC4117">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447D9D6F">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388C5A08">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5BA9A04">
            <w:pPr>
              <w:pStyle w:val="13"/>
              <w:spacing w:before="120"/>
              <w:ind w:right="34"/>
              <w:jc w:val="center"/>
              <w:rPr>
                <w:rFonts w:hint="eastAsia" w:ascii="宋体" w:hAnsi="宋体" w:eastAsia="宋体" w:cs="宋体"/>
                <w:b/>
                <w:color w:val="auto"/>
                <w:highlight w:val="none"/>
              </w:rPr>
            </w:pPr>
          </w:p>
        </w:tc>
      </w:tr>
      <w:tr w14:paraId="094A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2D93A34">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50B84B77">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053C75C7">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4F6E37A">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D97A450">
            <w:pPr>
              <w:pStyle w:val="13"/>
              <w:spacing w:before="120"/>
              <w:ind w:right="34"/>
              <w:jc w:val="center"/>
              <w:rPr>
                <w:rFonts w:hint="eastAsia" w:ascii="宋体" w:hAnsi="宋体" w:eastAsia="宋体" w:cs="宋体"/>
                <w:b/>
                <w:color w:val="auto"/>
                <w:highlight w:val="none"/>
              </w:rPr>
            </w:pPr>
          </w:p>
        </w:tc>
      </w:tr>
      <w:tr w14:paraId="1710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6CAF1EB8">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36F125F1">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2D3C01E9">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686B110E">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2C560008">
            <w:pPr>
              <w:pStyle w:val="13"/>
              <w:spacing w:before="120"/>
              <w:ind w:right="34"/>
              <w:jc w:val="center"/>
              <w:rPr>
                <w:rFonts w:hint="eastAsia" w:ascii="宋体" w:hAnsi="宋体" w:eastAsia="宋体" w:cs="宋体"/>
                <w:b/>
                <w:color w:val="auto"/>
                <w:highlight w:val="none"/>
              </w:rPr>
            </w:pPr>
          </w:p>
        </w:tc>
      </w:tr>
      <w:tr w14:paraId="6CF0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4FC31C6">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6FB0501A">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61C05854">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50328C31">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17940963">
            <w:pPr>
              <w:pStyle w:val="13"/>
              <w:spacing w:before="120"/>
              <w:ind w:right="34"/>
              <w:jc w:val="center"/>
              <w:rPr>
                <w:rFonts w:hint="eastAsia" w:ascii="宋体" w:hAnsi="宋体" w:eastAsia="宋体" w:cs="宋体"/>
                <w:b/>
                <w:color w:val="auto"/>
                <w:highlight w:val="none"/>
              </w:rPr>
            </w:pPr>
          </w:p>
        </w:tc>
      </w:tr>
      <w:tr w14:paraId="615E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4F99A090">
            <w:pPr>
              <w:pStyle w:val="13"/>
              <w:spacing w:before="120"/>
              <w:ind w:right="34"/>
              <w:jc w:val="center"/>
              <w:rPr>
                <w:rFonts w:hint="eastAsia" w:ascii="宋体" w:hAnsi="宋体" w:eastAsia="宋体" w:cs="宋体"/>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16E5A452">
            <w:pPr>
              <w:pStyle w:val="13"/>
              <w:spacing w:before="120"/>
              <w:ind w:right="34"/>
              <w:jc w:val="center"/>
              <w:rPr>
                <w:rFonts w:hint="eastAsia" w:ascii="宋体" w:hAnsi="宋体" w:eastAsia="宋体" w:cs="宋体"/>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73078A48">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6607BEC0">
            <w:pPr>
              <w:pStyle w:val="13"/>
              <w:spacing w:before="120"/>
              <w:ind w:right="34"/>
              <w:jc w:val="center"/>
              <w:rPr>
                <w:rFonts w:hint="eastAsia" w:ascii="宋体" w:hAnsi="宋体" w:eastAsia="宋体" w:cs="宋体"/>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1635CCD1">
            <w:pPr>
              <w:pStyle w:val="13"/>
              <w:spacing w:before="120"/>
              <w:ind w:right="34"/>
              <w:jc w:val="center"/>
              <w:rPr>
                <w:rFonts w:hint="eastAsia" w:ascii="宋体" w:hAnsi="宋体" w:eastAsia="宋体" w:cs="宋体"/>
                <w:b/>
                <w:color w:val="auto"/>
                <w:highlight w:val="none"/>
              </w:rPr>
            </w:pPr>
          </w:p>
        </w:tc>
      </w:tr>
    </w:tbl>
    <w:p w14:paraId="4A501D78">
      <w:pPr>
        <w:pStyle w:val="13"/>
        <w:spacing w:before="120" w:line="360" w:lineRule="auto"/>
        <w:ind w:left="0" w:right="34"/>
        <w:jc w:val="both"/>
        <w:rPr>
          <w:rFonts w:hint="eastAsia" w:ascii="宋体" w:hAnsi="宋体" w:eastAsia="宋体" w:cs="宋体"/>
          <w:bCs/>
          <w:color w:val="auto"/>
          <w:highlight w:val="none"/>
          <w:lang w:val="en-US" w:eastAsia="zh-CN"/>
        </w:rPr>
      </w:pPr>
      <w:r>
        <w:rPr>
          <w:rFonts w:hint="eastAsia" w:ascii="宋体" w:hAnsi="宋体" w:eastAsia="宋体" w:cs="宋体"/>
          <w:bCs/>
          <w:color w:val="auto"/>
          <w:szCs w:val="24"/>
          <w:highlight w:val="none"/>
        </w:rPr>
        <w:t>1.供应商须按照招标文件“第</w:t>
      </w:r>
      <w:r>
        <w:rPr>
          <w:rFonts w:hint="eastAsia" w:ascii="宋体" w:hAnsi="宋体" w:eastAsia="宋体" w:cs="宋体"/>
          <w:bCs/>
          <w:color w:val="auto"/>
          <w:szCs w:val="24"/>
          <w:highlight w:val="none"/>
          <w:lang w:val="en-US" w:eastAsia="zh-CN"/>
        </w:rPr>
        <w:t>五章</w:t>
      </w:r>
      <w:r>
        <w:rPr>
          <w:rFonts w:hint="eastAsia" w:ascii="宋体" w:hAnsi="宋体" w:eastAsia="宋体" w:cs="宋体"/>
          <w:bCs/>
          <w:color w:val="auto"/>
          <w:szCs w:val="24"/>
          <w:highlight w:val="none"/>
        </w:rPr>
        <w:t>商务及合同主要条款”表格部分逐条填写。如实填写该表，如有隐瞒，后果由供应商自负</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lang w:val="en-US" w:eastAsia="zh-CN"/>
        </w:rPr>
        <w:t>偏离视为无效响应。</w:t>
      </w:r>
    </w:p>
    <w:p w14:paraId="3D684CEF">
      <w:pPr>
        <w:pStyle w:val="13"/>
        <w:spacing w:before="120" w:line="360" w:lineRule="auto"/>
        <w:ind w:left="0" w:right="34"/>
        <w:jc w:val="both"/>
        <w:rPr>
          <w:rFonts w:hint="eastAsia" w:ascii="宋体" w:hAnsi="宋体" w:eastAsia="宋体" w:cs="宋体"/>
          <w:bCs/>
          <w:color w:val="auto"/>
          <w:highlight w:val="none"/>
        </w:rPr>
      </w:pPr>
      <w:r>
        <w:rPr>
          <w:rFonts w:hint="eastAsia" w:ascii="宋体" w:hAnsi="宋体" w:eastAsia="宋体" w:cs="宋体"/>
          <w:bCs/>
          <w:color w:val="auto"/>
          <w:highlight w:val="none"/>
        </w:rPr>
        <w:t>2.此表可增加，偏离内容填写“正偏离”、“负偏离”或“无偏离”。</w:t>
      </w:r>
    </w:p>
    <w:p w14:paraId="61E0AE7A">
      <w:pPr>
        <w:pStyle w:val="13"/>
        <w:spacing w:before="120"/>
        <w:ind w:left="0" w:right="34"/>
        <w:jc w:val="both"/>
        <w:rPr>
          <w:rFonts w:hint="eastAsia" w:ascii="宋体" w:hAnsi="宋体" w:eastAsia="宋体" w:cs="宋体"/>
          <w:bCs/>
          <w:color w:val="auto"/>
          <w:highlight w:val="none"/>
        </w:rPr>
      </w:pPr>
    </w:p>
    <w:p w14:paraId="134E1A40">
      <w:pPr>
        <w:pStyle w:val="13"/>
        <w:spacing w:before="120"/>
        <w:ind w:left="0" w:right="34"/>
        <w:jc w:val="both"/>
        <w:rPr>
          <w:rFonts w:hint="eastAsia" w:ascii="宋体" w:hAnsi="宋体" w:eastAsia="宋体" w:cs="宋体"/>
          <w:bCs/>
          <w:color w:val="auto"/>
          <w:highlight w:val="none"/>
        </w:rPr>
      </w:pPr>
    </w:p>
    <w:p w14:paraId="4A872EF4">
      <w:pPr>
        <w:pStyle w:val="18"/>
        <w:rPr>
          <w:rFonts w:hint="eastAsia" w:ascii="宋体" w:hAnsi="宋体" w:eastAsia="宋体" w:cs="宋体"/>
          <w:color w:val="auto"/>
          <w:sz w:val="24"/>
          <w:szCs w:val="24"/>
          <w:highlight w:val="none"/>
        </w:rPr>
      </w:pPr>
    </w:p>
    <w:p w14:paraId="69513A11">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50B4BD81">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6CA40F31">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0F0CDE9">
      <w:pPr>
        <w:rPr>
          <w:rFonts w:hint="eastAsia" w:ascii="宋体" w:hAnsi="宋体" w:eastAsia="宋体" w:cs="宋体"/>
          <w:b/>
          <w:bCs/>
          <w:color w:val="auto"/>
          <w:sz w:val="32"/>
          <w:szCs w:val="32"/>
          <w:highlight w:val="none"/>
        </w:rPr>
      </w:pPr>
    </w:p>
    <w:p w14:paraId="0E7BA732">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7D8DA8A">
      <w:pPr>
        <w:pStyle w:val="13"/>
        <w:spacing w:before="120"/>
        <w:ind w:left="0" w:right="34"/>
        <w:jc w:val="center"/>
        <w:rPr>
          <w:rFonts w:hint="eastAsia" w:ascii="宋体" w:hAnsi="宋体" w:eastAsia="宋体" w:cs="宋体"/>
          <w:b/>
          <w:bCs/>
          <w:color w:val="auto"/>
          <w:sz w:val="28"/>
          <w:szCs w:val="28"/>
          <w:highlight w:val="none"/>
        </w:rPr>
      </w:pPr>
      <w:bookmarkStart w:id="107" w:name="_Toc14672"/>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val="en-US" w:eastAsia="zh-CN"/>
        </w:rPr>
        <w:t>技术</w:t>
      </w:r>
      <w:r>
        <w:rPr>
          <w:rFonts w:hint="eastAsia" w:ascii="宋体" w:hAnsi="宋体" w:eastAsia="宋体" w:cs="宋体"/>
          <w:b/>
          <w:bCs/>
          <w:color w:val="auto"/>
          <w:sz w:val="28"/>
          <w:szCs w:val="28"/>
          <w:highlight w:val="none"/>
        </w:rPr>
        <w:t>偏离表</w:t>
      </w:r>
      <w:bookmarkEnd w:id="107"/>
    </w:p>
    <w:tbl>
      <w:tblPr>
        <w:tblStyle w:val="30"/>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779A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234BF25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332" w:type="dxa"/>
            <w:vAlign w:val="center"/>
          </w:tcPr>
          <w:p w14:paraId="23DF07A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磋商文件</w:t>
            </w:r>
            <w:r>
              <w:rPr>
                <w:rFonts w:hint="eastAsia" w:ascii="宋体" w:hAnsi="宋体" w:eastAsia="宋体" w:cs="宋体"/>
                <w:b/>
                <w:bCs/>
                <w:color w:val="auto"/>
                <w:sz w:val="24"/>
                <w:highlight w:val="none"/>
              </w:rPr>
              <w:t>服务要求</w:t>
            </w:r>
          </w:p>
        </w:tc>
        <w:tc>
          <w:tcPr>
            <w:tcW w:w="2220" w:type="dxa"/>
            <w:vAlign w:val="center"/>
          </w:tcPr>
          <w:p w14:paraId="04582811">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磋商响应内容</w:t>
            </w:r>
          </w:p>
        </w:tc>
        <w:tc>
          <w:tcPr>
            <w:tcW w:w="2195" w:type="dxa"/>
            <w:vAlign w:val="center"/>
          </w:tcPr>
          <w:p w14:paraId="73F183B4">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偏离情况</w:t>
            </w:r>
          </w:p>
        </w:tc>
        <w:tc>
          <w:tcPr>
            <w:tcW w:w="1440" w:type="dxa"/>
            <w:vAlign w:val="center"/>
          </w:tcPr>
          <w:p w14:paraId="409E1EF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说明及证明材料位置</w:t>
            </w:r>
          </w:p>
        </w:tc>
      </w:tr>
      <w:tr w14:paraId="2343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E3AF1A5">
            <w:pPr>
              <w:spacing w:line="360" w:lineRule="auto"/>
              <w:jc w:val="center"/>
              <w:rPr>
                <w:rFonts w:hint="eastAsia" w:ascii="宋体" w:hAnsi="宋体" w:eastAsia="宋体" w:cs="宋体"/>
                <w:color w:val="auto"/>
                <w:sz w:val="24"/>
                <w:highlight w:val="none"/>
              </w:rPr>
            </w:pPr>
          </w:p>
        </w:tc>
        <w:tc>
          <w:tcPr>
            <w:tcW w:w="2332" w:type="dxa"/>
          </w:tcPr>
          <w:p w14:paraId="70F8DCD5">
            <w:pPr>
              <w:spacing w:line="360" w:lineRule="auto"/>
              <w:jc w:val="center"/>
              <w:rPr>
                <w:rFonts w:hint="eastAsia" w:ascii="宋体" w:hAnsi="宋体" w:eastAsia="宋体" w:cs="宋体"/>
                <w:color w:val="auto"/>
                <w:sz w:val="24"/>
                <w:highlight w:val="none"/>
              </w:rPr>
            </w:pPr>
          </w:p>
        </w:tc>
        <w:tc>
          <w:tcPr>
            <w:tcW w:w="2220" w:type="dxa"/>
          </w:tcPr>
          <w:p w14:paraId="10DFE376">
            <w:pPr>
              <w:spacing w:line="360" w:lineRule="auto"/>
              <w:jc w:val="center"/>
              <w:rPr>
                <w:rFonts w:hint="eastAsia" w:ascii="宋体" w:hAnsi="宋体" w:eastAsia="宋体" w:cs="宋体"/>
                <w:color w:val="auto"/>
                <w:sz w:val="24"/>
                <w:highlight w:val="none"/>
              </w:rPr>
            </w:pPr>
          </w:p>
        </w:tc>
        <w:tc>
          <w:tcPr>
            <w:tcW w:w="2195" w:type="dxa"/>
          </w:tcPr>
          <w:p w14:paraId="5E9E979D">
            <w:pPr>
              <w:spacing w:line="360" w:lineRule="auto"/>
              <w:jc w:val="center"/>
              <w:rPr>
                <w:rFonts w:hint="eastAsia" w:ascii="宋体" w:hAnsi="宋体" w:eastAsia="宋体" w:cs="宋体"/>
                <w:color w:val="auto"/>
                <w:sz w:val="24"/>
                <w:highlight w:val="none"/>
              </w:rPr>
            </w:pPr>
          </w:p>
        </w:tc>
        <w:tc>
          <w:tcPr>
            <w:tcW w:w="1440" w:type="dxa"/>
          </w:tcPr>
          <w:p w14:paraId="6AB1FFD9">
            <w:pPr>
              <w:spacing w:line="360" w:lineRule="auto"/>
              <w:jc w:val="center"/>
              <w:rPr>
                <w:rFonts w:hint="eastAsia" w:ascii="宋体" w:hAnsi="宋体" w:eastAsia="宋体" w:cs="宋体"/>
                <w:color w:val="auto"/>
                <w:sz w:val="24"/>
                <w:highlight w:val="none"/>
              </w:rPr>
            </w:pPr>
          </w:p>
        </w:tc>
      </w:tr>
      <w:tr w14:paraId="6DDD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E27E19E">
            <w:pPr>
              <w:spacing w:line="360" w:lineRule="auto"/>
              <w:jc w:val="center"/>
              <w:rPr>
                <w:rFonts w:hint="eastAsia" w:ascii="宋体" w:hAnsi="宋体" w:eastAsia="宋体" w:cs="宋体"/>
                <w:color w:val="auto"/>
                <w:sz w:val="24"/>
                <w:highlight w:val="none"/>
              </w:rPr>
            </w:pPr>
          </w:p>
        </w:tc>
        <w:tc>
          <w:tcPr>
            <w:tcW w:w="2332" w:type="dxa"/>
          </w:tcPr>
          <w:p w14:paraId="56C1E5BB">
            <w:pPr>
              <w:spacing w:line="360" w:lineRule="auto"/>
              <w:jc w:val="center"/>
              <w:rPr>
                <w:rFonts w:hint="eastAsia" w:ascii="宋体" w:hAnsi="宋体" w:eastAsia="宋体" w:cs="宋体"/>
                <w:color w:val="auto"/>
                <w:sz w:val="24"/>
                <w:highlight w:val="none"/>
              </w:rPr>
            </w:pPr>
          </w:p>
        </w:tc>
        <w:tc>
          <w:tcPr>
            <w:tcW w:w="2220" w:type="dxa"/>
          </w:tcPr>
          <w:p w14:paraId="0807C6E0">
            <w:pPr>
              <w:spacing w:line="360" w:lineRule="auto"/>
              <w:jc w:val="center"/>
              <w:rPr>
                <w:rFonts w:hint="eastAsia" w:ascii="宋体" w:hAnsi="宋体" w:eastAsia="宋体" w:cs="宋体"/>
                <w:color w:val="auto"/>
                <w:sz w:val="24"/>
                <w:highlight w:val="none"/>
              </w:rPr>
            </w:pPr>
          </w:p>
        </w:tc>
        <w:tc>
          <w:tcPr>
            <w:tcW w:w="2195" w:type="dxa"/>
          </w:tcPr>
          <w:p w14:paraId="44E1EF8F">
            <w:pPr>
              <w:spacing w:line="360" w:lineRule="auto"/>
              <w:jc w:val="center"/>
              <w:rPr>
                <w:rFonts w:hint="eastAsia" w:ascii="宋体" w:hAnsi="宋体" w:eastAsia="宋体" w:cs="宋体"/>
                <w:color w:val="auto"/>
                <w:sz w:val="24"/>
                <w:highlight w:val="none"/>
              </w:rPr>
            </w:pPr>
          </w:p>
        </w:tc>
        <w:tc>
          <w:tcPr>
            <w:tcW w:w="1440" w:type="dxa"/>
          </w:tcPr>
          <w:p w14:paraId="4183F697">
            <w:pPr>
              <w:spacing w:line="360" w:lineRule="auto"/>
              <w:jc w:val="center"/>
              <w:rPr>
                <w:rFonts w:hint="eastAsia" w:ascii="宋体" w:hAnsi="宋体" w:eastAsia="宋体" w:cs="宋体"/>
                <w:color w:val="auto"/>
                <w:sz w:val="24"/>
                <w:highlight w:val="none"/>
              </w:rPr>
            </w:pPr>
          </w:p>
        </w:tc>
      </w:tr>
      <w:tr w14:paraId="7907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F717411">
            <w:pPr>
              <w:spacing w:line="360" w:lineRule="auto"/>
              <w:jc w:val="center"/>
              <w:rPr>
                <w:rFonts w:hint="eastAsia" w:ascii="宋体" w:hAnsi="宋体" w:eastAsia="宋体" w:cs="宋体"/>
                <w:color w:val="auto"/>
                <w:sz w:val="24"/>
                <w:highlight w:val="none"/>
              </w:rPr>
            </w:pPr>
          </w:p>
        </w:tc>
        <w:tc>
          <w:tcPr>
            <w:tcW w:w="2332" w:type="dxa"/>
          </w:tcPr>
          <w:p w14:paraId="6475DB82">
            <w:pPr>
              <w:spacing w:line="360" w:lineRule="auto"/>
              <w:jc w:val="center"/>
              <w:rPr>
                <w:rFonts w:hint="eastAsia" w:ascii="宋体" w:hAnsi="宋体" w:eastAsia="宋体" w:cs="宋体"/>
                <w:color w:val="auto"/>
                <w:sz w:val="24"/>
                <w:highlight w:val="none"/>
              </w:rPr>
            </w:pPr>
          </w:p>
        </w:tc>
        <w:tc>
          <w:tcPr>
            <w:tcW w:w="2220" w:type="dxa"/>
          </w:tcPr>
          <w:p w14:paraId="1B4D9057">
            <w:pPr>
              <w:spacing w:line="360" w:lineRule="auto"/>
              <w:jc w:val="center"/>
              <w:rPr>
                <w:rFonts w:hint="eastAsia" w:ascii="宋体" w:hAnsi="宋体" w:eastAsia="宋体" w:cs="宋体"/>
                <w:color w:val="auto"/>
                <w:sz w:val="24"/>
                <w:highlight w:val="none"/>
              </w:rPr>
            </w:pPr>
          </w:p>
        </w:tc>
        <w:tc>
          <w:tcPr>
            <w:tcW w:w="2195" w:type="dxa"/>
          </w:tcPr>
          <w:p w14:paraId="5F8FDEC8">
            <w:pPr>
              <w:spacing w:line="360" w:lineRule="auto"/>
              <w:jc w:val="center"/>
              <w:rPr>
                <w:rFonts w:hint="eastAsia" w:ascii="宋体" w:hAnsi="宋体" w:eastAsia="宋体" w:cs="宋体"/>
                <w:color w:val="auto"/>
                <w:sz w:val="24"/>
                <w:highlight w:val="none"/>
              </w:rPr>
            </w:pPr>
          </w:p>
        </w:tc>
        <w:tc>
          <w:tcPr>
            <w:tcW w:w="1440" w:type="dxa"/>
          </w:tcPr>
          <w:p w14:paraId="3ECD2767">
            <w:pPr>
              <w:spacing w:line="360" w:lineRule="auto"/>
              <w:jc w:val="center"/>
              <w:rPr>
                <w:rFonts w:hint="eastAsia" w:ascii="宋体" w:hAnsi="宋体" w:eastAsia="宋体" w:cs="宋体"/>
                <w:color w:val="auto"/>
                <w:sz w:val="24"/>
                <w:highlight w:val="none"/>
              </w:rPr>
            </w:pPr>
          </w:p>
        </w:tc>
      </w:tr>
      <w:tr w14:paraId="4A363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1376A7C">
            <w:pPr>
              <w:spacing w:line="360" w:lineRule="auto"/>
              <w:jc w:val="center"/>
              <w:rPr>
                <w:rFonts w:hint="eastAsia" w:ascii="宋体" w:hAnsi="宋体" w:eastAsia="宋体" w:cs="宋体"/>
                <w:color w:val="auto"/>
                <w:sz w:val="24"/>
                <w:highlight w:val="none"/>
              </w:rPr>
            </w:pPr>
          </w:p>
        </w:tc>
        <w:tc>
          <w:tcPr>
            <w:tcW w:w="2332" w:type="dxa"/>
          </w:tcPr>
          <w:p w14:paraId="3ABC8506">
            <w:pPr>
              <w:spacing w:line="360" w:lineRule="auto"/>
              <w:jc w:val="center"/>
              <w:rPr>
                <w:rFonts w:hint="eastAsia" w:ascii="宋体" w:hAnsi="宋体" w:eastAsia="宋体" w:cs="宋体"/>
                <w:color w:val="auto"/>
                <w:sz w:val="24"/>
                <w:highlight w:val="none"/>
              </w:rPr>
            </w:pPr>
          </w:p>
        </w:tc>
        <w:tc>
          <w:tcPr>
            <w:tcW w:w="2220" w:type="dxa"/>
          </w:tcPr>
          <w:p w14:paraId="481D2A44">
            <w:pPr>
              <w:spacing w:line="360" w:lineRule="auto"/>
              <w:jc w:val="center"/>
              <w:rPr>
                <w:rFonts w:hint="eastAsia" w:ascii="宋体" w:hAnsi="宋体" w:eastAsia="宋体" w:cs="宋体"/>
                <w:color w:val="auto"/>
                <w:sz w:val="24"/>
                <w:highlight w:val="none"/>
              </w:rPr>
            </w:pPr>
          </w:p>
        </w:tc>
        <w:tc>
          <w:tcPr>
            <w:tcW w:w="2195" w:type="dxa"/>
          </w:tcPr>
          <w:p w14:paraId="6C45781C">
            <w:pPr>
              <w:spacing w:line="360" w:lineRule="auto"/>
              <w:jc w:val="center"/>
              <w:rPr>
                <w:rFonts w:hint="eastAsia" w:ascii="宋体" w:hAnsi="宋体" w:eastAsia="宋体" w:cs="宋体"/>
                <w:color w:val="auto"/>
                <w:sz w:val="24"/>
                <w:highlight w:val="none"/>
              </w:rPr>
            </w:pPr>
          </w:p>
        </w:tc>
        <w:tc>
          <w:tcPr>
            <w:tcW w:w="1440" w:type="dxa"/>
          </w:tcPr>
          <w:p w14:paraId="15E89821">
            <w:pPr>
              <w:spacing w:line="360" w:lineRule="auto"/>
              <w:jc w:val="center"/>
              <w:rPr>
                <w:rFonts w:hint="eastAsia" w:ascii="宋体" w:hAnsi="宋体" w:eastAsia="宋体" w:cs="宋体"/>
                <w:color w:val="auto"/>
                <w:sz w:val="24"/>
                <w:highlight w:val="none"/>
              </w:rPr>
            </w:pPr>
          </w:p>
        </w:tc>
      </w:tr>
      <w:tr w14:paraId="48E62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ABFA268">
            <w:pPr>
              <w:spacing w:line="360" w:lineRule="auto"/>
              <w:jc w:val="center"/>
              <w:rPr>
                <w:rFonts w:hint="eastAsia" w:ascii="宋体" w:hAnsi="宋体" w:eastAsia="宋体" w:cs="宋体"/>
                <w:color w:val="auto"/>
                <w:sz w:val="24"/>
                <w:highlight w:val="none"/>
              </w:rPr>
            </w:pPr>
          </w:p>
        </w:tc>
        <w:tc>
          <w:tcPr>
            <w:tcW w:w="2332" w:type="dxa"/>
          </w:tcPr>
          <w:p w14:paraId="70C2DFE4">
            <w:pPr>
              <w:spacing w:line="360" w:lineRule="auto"/>
              <w:jc w:val="center"/>
              <w:rPr>
                <w:rFonts w:hint="eastAsia" w:ascii="宋体" w:hAnsi="宋体" w:eastAsia="宋体" w:cs="宋体"/>
                <w:color w:val="auto"/>
                <w:sz w:val="24"/>
                <w:highlight w:val="none"/>
              </w:rPr>
            </w:pPr>
          </w:p>
        </w:tc>
        <w:tc>
          <w:tcPr>
            <w:tcW w:w="2220" w:type="dxa"/>
          </w:tcPr>
          <w:p w14:paraId="16EB5FD3">
            <w:pPr>
              <w:spacing w:line="360" w:lineRule="auto"/>
              <w:jc w:val="center"/>
              <w:rPr>
                <w:rFonts w:hint="eastAsia" w:ascii="宋体" w:hAnsi="宋体" w:eastAsia="宋体" w:cs="宋体"/>
                <w:color w:val="auto"/>
                <w:sz w:val="24"/>
                <w:highlight w:val="none"/>
              </w:rPr>
            </w:pPr>
          </w:p>
        </w:tc>
        <w:tc>
          <w:tcPr>
            <w:tcW w:w="2195" w:type="dxa"/>
          </w:tcPr>
          <w:p w14:paraId="77D973C3">
            <w:pPr>
              <w:spacing w:line="360" w:lineRule="auto"/>
              <w:jc w:val="center"/>
              <w:rPr>
                <w:rFonts w:hint="eastAsia" w:ascii="宋体" w:hAnsi="宋体" w:eastAsia="宋体" w:cs="宋体"/>
                <w:color w:val="auto"/>
                <w:sz w:val="24"/>
                <w:highlight w:val="none"/>
              </w:rPr>
            </w:pPr>
          </w:p>
        </w:tc>
        <w:tc>
          <w:tcPr>
            <w:tcW w:w="1440" w:type="dxa"/>
          </w:tcPr>
          <w:p w14:paraId="7C05E030">
            <w:pPr>
              <w:spacing w:line="360" w:lineRule="auto"/>
              <w:jc w:val="center"/>
              <w:rPr>
                <w:rFonts w:hint="eastAsia" w:ascii="宋体" w:hAnsi="宋体" w:eastAsia="宋体" w:cs="宋体"/>
                <w:color w:val="auto"/>
                <w:sz w:val="24"/>
                <w:highlight w:val="none"/>
              </w:rPr>
            </w:pPr>
          </w:p>
        </w:tc>
      </w:tr>
      <w:tr w14:paraId="1FEB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0A3FAC2">
            <w:pPr>
              <w:spacing w:line="360" w:lineRule="auto"/>
              <w:jc w:val="center"/>
              <w:rPr>
                <w:rFonts w:hint="eastAsia" w:ascii="宋体" w:hAnsi="宋体" w:eastAsia="宋体" w:cs="宋体"/>
                <w:color w:val="auto"/>
                <w:sz w:val="24"/>
                <w:highlight w:val="none"/>
              </w:rPr>
            </w:pPr>
          </w:p>
        </w:tc>
        <w:tc>
          <w:tcPr>
            <w:tcW w:w="2332" w:type="dxa"/>
          </w:tcPr>
          <w:p w14:paraId="3E873F81">
            <w:pPr>
              <w:spacing w:line="360" w:lineRule="auto"/>
              <w:jc w:val="center"/>
              <w:rPr>
                <w:rFonts w:hint="eastAsia" w:ascii="宋体" w:hAnsi="宋体" w:eastAsia="宋体" w:cs="宋体"/>
                <w:color w:val="auto"/>
                <w:sz w:val="24"/>
                <w:highlight w:val="none"/>
              </w:rPr>
            </w:pPr>
          </w:p>
        </w:tc>
        <w:tc>
          <w:tcPr>
            <w:tcW w:w="2220" w:type="dxa"/>
          </w:tcPr>
          <w:p w14:paraId="05309853">
            <w:pPr>
              <w:spacing w:line="360" w:lineRule="auto"/>
              <w:jc w:val="center"/>
              <w:rPr>
                <w:rFonts w:hint="eastAsia" w:ascii="宋体" w:hAnsi="宋体" w:eastAsia="宋体" w:cs="宋体"/>
                <w:color w:val="auto"/>
                <w:sz w:val="24"/>
                <w:highlight w:val="none"/>
              </w:rPr>
            </w:pPr>
          </w:p>
        </w:tc>
        <w:tc>
          <w:tcPr>
            <w:tcW w:w="2195" w:type="dxa"/>
          </w:tcPr>
          <w:p w14:paraId="79CF5860">
            <w:pPr>
              <w:spacing w:line="360" w:lineRule="auto"/>
              <w:jc w:val="center"/>
              <w:rPr>
                <w:rFonts w:hint="eastAsia" w:ascii="宋体" w:hAnsi="宋体" w:eastAsia="宋体" w:cs="宋体"/>
                <w:color w:val="auto"/>
                <w:sz w:val="24"/>
                <w:highlight w:val="none"/>
              </w:rPr>
            </w:pPr>
          </w:p>
        </w:tc>
        <w:tc>
          <w:tcPr>
            <w:tcW w:w="1440" w:type="dxa"/>
          </w:tcPr>
          <w:p w14:paraId="73BE55BE">
            <w:pPr>
              <w:spacing w:line="360" w:lineRule="auto"/>
              <w:jc w:val="center"/>
              <w:rPr>
                <w:rFonts w:hint="eastAsia" w:ascii="宋体" w:hAnsi="宋体" w:eastAsia="宋体" w:cs="宋体"/>
                <w:color w:val="auto"/>
                <w:sz w:val="24"/>
                <w:highlight w:val="none"/>
              </w:rPr>
            </w:pPr>
          </w:p>
        </w:tc>
      </w:tr>
      <w:tr w14:paraId="1EF0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130CCF5">
            <w:pPr>
              <w:spacing w:line="360" w:lineRule="auto"/>
              <w:jc w:val="center"/>
              <w:rPr>
                <w:rFonts w:hint="eastAsia" w:ascii="宋体" w:hAnsi="宋体" w:eastAsia="宋体" w:cs="宋体"/>
                <w:color w:val="auto"/>
                <w:sz w:val="24"/>
                <w:highlight w:val="none"/>
              </w:rPr>
            </w:pPr>
          </w:p>
        </w:tc>
        <w:tc>
          <w:tcPr>
            <w:tcW w:w="2332" w:type="dxa"/>
          </w:tcPr>
          <w:p w14:paraId="6C15CAA7">
            <w:pPr>
              <w:spacing w:line="360" w:lineRule="auto"/>
              <w:jc w:val="center"/>
              <w:rPr>
                <w:rFonts w:hint="eastAsia" w:ascii="宋体" w:hAnsi="宋体" w:eastAsia="宋体" w:cs="宋体"/>
                <w:color w:val="auto"/>
                <w:sz w:val="24"/>
                <w:highlight w:val="none"/>
              </w:rPr>
            </w:pPr>
          </w:p>
        </w:tc>
        <w:tc>
          <w:tcPr>
            <w:tcW w:w="2220" w:type="dxa"/>
          </w:tcPr>
          <w:p w14:paraId="088CCF42">
            <w:pPr>
              <w:spacing w:line="360" w:lineRule="auto"/>
              <w:jc w:val="center"/>
              <w:rPr>
                <w:rFonts w:hint="eastAsia" w:ascii="宋体" w:hAnsi="宋体" w:eastAsia="宋体" w:cs="宋体"/>
                <w:color w:val="auto"/>
                <w:sz w:val="24"/>
                <w:highlight w:val="none"/>
              </w:rPr>
            </w:pPr>
          </w:p>
        </w:tc>
        <w:tc>
          <w:tcPr>
            <w:tcW w:w="2195" w:type="dxa"/>
          </w:tcPr>
          <w:p w14:paraId="00F2237C">
            <w:pPr>
              <w:spacing w:line="360" w:lineRule="auto"/>
              <w:jc w:val="center"/>
              <w:rPr>
                <w:rFonts w:hint="eastAsia" w:ascii="宋体" w:hAnsi="宋体" w:eastAsia="宋体" w:cs="宋体"/>
                <w:color w:val="auto"/>
                <w:sz w:val="24"/>
                <w:highlight w:val="none"/>
              </w:rPr>
            </w:pPr>
          </w:p>
        </w:tc>
        <w:tc>
          <w:tcPr>
            <w:tcW w:w="1440" w:type="dxa"/>
          </w:tcPr>
          <w:p w14:paraId="67411058">
            <w:pPr>
              <w:spacing w:line="360" w:lineRule="auto"/>
              <w:jc w:val="center"/>
              <w:rPr>
                <w:rFonts w:hint="eastAsia" w:ascii="宋体" w:hAnsi="宋体" w:eastAsia="宋体" w:cs="宋体"/>
                <w:color w:val="auto"/>
                <w:sz w:val="24"/>
                <w:highlight w:val="none"/>
              </w:rPr>
            </w:pPr>
          </w:p>
        </w:tc>
      </w:tr>
      <w:tr w14:paraId="5CBE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C20C310">
            <w:pPr>
              <w:spacing w:line="360" w:lineRule="auto"/>
              <w:jc w:val="center"/>
              <w:rPr>
                <w:rFonts w:hint="eastAsia" w:ascii="宋体" w:hAnsi="宋体" w:eastAsia="宋体" w:cs="宋体"/>
                <w:color w:val="auto"/>
                <w:sz w:val="24"/>
                <w:highlight w:val="none"/>
              </w:rPr>
            </w:pPr>
          </w:p>
        </w:tc>
        <w:tc>
          <w:tcPr>
            <w:tcW w:w="2332" w:type="dxa"/>
          </w:tcPr>
          <w:p w14:paraId="1D9C8177">
            <w:pPr>
              <w:spacing w:line="360" w:lineRule="auto"/>
              <w:jc w:val="center"/>
              <w:rPr>
                <w:rFonts w:hint="eastAsia" w:ascii="宋体" w:hAnsi="宋体" w:eastAsia="宋体" w:cs="宋体"/>
                <w:color w:val="auto"/>
                <w:sz w:val="24"/>
                <w:highlight w:val="none"/>
              </w:rPr>
            </w:pPr>
          </w:p>
        </w:tc>
        <w:tc>
          <w:tcPr>
            <w:tcW w:w="2220" w:type="dxa"/>
          </w:tcPr>
          <w:p w14:paraId="47579AE7">
            <w:pPr>
              <w:spacing w:line="360" w:lineRule="auto"/>
              <w:jc w:val="center"/>
              <w:rPr>
                <w:rFonts w:hint="eastAsia" w:ascii="宋体" w:hAnsi="宋体" w:eastAsia="宋体" w:cs="宋体"/>
                <w:color w:val="auto"/>
                <w:sz w:val="24"/>
                <w:highlight w:val="none"/>
              </w:rPr>
            </w:pPr>
          </w:p>
        </w:tc>
        <w:tc>
          <w:tcPr>
            <w:tcW w:w="2195" w:type="dxa"/>
          </w:tcPr>
          <w:p w14:paraId="152D9618">
            <w:pPr>
              <w:spacing w:line="360" w:lineRule="auto"/>
              <w:jc w:val="center"/>
              <w:rPr>
                <w:rFonts w:hint="eastAsia" w:ascii="宋体" w:hAnsi="宋体" w:eastAsia="宋体" w:cs="宋体"/>
                <w:color w:val="auto"/>
                <w:sz w:val="24"/>
                <w:highlight w:val="none"/>
              </w:rPr>
            </w:pPr>
          </w:p>
        </w:tc>
        <w:tc>
          <w:tcPr>
            <w:tcW w:w="1440" w:type="dxa"/>
          </w:tcPr>
          <w:p w14:paraId="5E958492">
            <w:pPr>
              <w:spacing w:line="360" w:lineRule="auto"/>
              <w:jc w:val="center"/>
              <w:rPr>
                <w:rFonts w:hint="eastAsia" w:ascii="宋体" w:hAnsi="宋体" w:eastAsia="宋体" w:cs="宋体"/>
                <w:color w:val="auto"/>
                <w:sz w:val="24"/>
                <w:highlight w:val="none"/>
              </w:rPr>
            </w:pPr>
          </w:p>
        </w:tc>
      </w:tr>
    </w:tbl>
    <w:p w14:paraId="747EA8C4">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65148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服务要求”一栏应填写第</w:t>
      </w:r>
      <w:r>
        <w:rPr>
          <w:rFonts w:hint="eastAsia" w:ascii="宋体" w:hAnsi="宋体" w:eastAsia="宋体" w:cs="宋体"/>
          <w:color w:val="auto"/>
          <w:sz w:val="24"/>
          <w:szCs w:val="24"/>
          <w:highlight w:val="none"/>
          <w:lang w:val="en-US" w:eastAsia="zh-CN"/>
        </w:rPr>
        <w:t>四章</w:t>
      </w:r>
      <w:r>
        <w:rPr>
          <w:rFonts w:hint="eastAsia" w:ascii="宋体" w:hAnsi="宋体" w:eastAsia="宋体" w:cs="宋体"/>
          <w:color w:val="auto"/>
          <w:sz w:val="24"/>
          <w:szCs w:val="24"/>
          <w:highlight w:val="none"/>
        </w:rPr>
        <w:t>磋商要求及说明的内容；</w:t>
      </w:r>
    </w:p>
    <w:p w14:paraId="42251D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磋商响应内容</w:t>
      </w:r>
      <w:r>
        <w:rPr>
          <w:rFonts w:hint="eastAsia" w:ascii="宋体" w:hAnsi="宋体" w:eastAsia="宋体" w:cs="宋体"/>
          <w:color w:val="auto"/>
          <w:sz w:val="24"/>
          <w:szCs w:val="24"/>
          <w:highlight w:val="none"/>
        </w:rPr>
        <w:t>”一栏必须详细，并应对照</w:t>
      </w:r>
      <w:r>
        <w:rPr>
          <w:rFonts w:hint="eastAsia" w:ascii="宋体" w:hAnsi="宋体" w:eastAsia="宋体" w:cs="宋体"/>
          <w:color w:val="auto"/>
          <w:sz w:val="24"/>
          <w:szCs w:val="24"/>
          <w:highlight w:val="none"/>
          <w:lang w:val="en-US" w:eastAsia="zh-CN"/>
        </w:rPr>
        <w:t>磋商要求及说明</w:t>
      </w:r>
      <w:r>
        <w:rPr>
          <w:rFonts w:hint="eastAsia" w:ascii="宋体" w:hAnsi="宋体" w:eastAsia="宋体" w:cs="宋体"/>
          <w:color w:val="auto"/>
          <w:sz w:val="24"/>
          <w:szCs w:val="24"/>
          <w:highlight w:val="none"/>
        </w:rPr>
        <w:t>一一对应响应；</w:t>
      </w:r>
    </w:p>
    <w:p w14:paraId="0BB858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3、“偏离情况”一栏应如实填写“正偏离”、“负偏离”或“无偏离”；</w:t>
      </w:r>
    </w:p>
    <w:p w14:paraId="263607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、投标人所填写的“偏离情况”与</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判定不一致时，以</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意见为主。</w:t>
      </w:r>
    </w:p>
    <w:p w14:paraId="1CC0F55F">
      <w:pPr>
        <w:spacing w:line="480" w:lineRule="auto"/>
        <w:ind w:firstLine="3360" w:firstLineChars="1400"/>
        <w:rPr>
          <w:rFonts w:hint="eastAsia" w:ascii="宋体" w:hAnsi="宋体" w:eastAsia="宋体" w:cs="宋体"/>
          <w:color w:val="auto"/>
          <w:highlight w:val="none"/>
        </w:rPr>
      </w:pPr>
    </w:p>
    <w:p w14:paraId="5E15FA27">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7B3B58ED">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5D6CE6FB">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4B65255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31EF2B9">
      <w:pPr>
        <w:overflowPunct w:val="0"/>
        <w:spacing w:line="360" w:lineRule="auto"/>
        <w:jc w:val="center"/>
        <w:rPr>
          <w:rStyle w:val="94"/>
          <w:rFonts w:hint="eastAsia" w:ascii="宋体" w:hAnsi="宋体" w:eastAsia="宋体" w:cs="宋体"/>
          <w:color w:val="auto"/>
          <w:sz w:val="32"/>
          <w:szCs w:val="32"/>
          <w:highlight w:val="none"/>
        </w:rPr>
      </w:pPr>
      <w:bookmarkStart w:id="108" w:name="_Toc19621"/>
      <w:r>
        <w:rPr>
          <w:rStyle w:val="94"/>
          <w:rFonts w:hint="eastAsia" w:ascii="宋体" w:hAnsi="宋体" w:eastAsia="宋体" w:cs="宋体"/>
          <w:color w:val="auto"/>
          <w:sz w:val="32"/>
          <w:szCs w:val="32"/>
          <w:highlight w:val="none"/>
          <w:lang w:val="en-US" w:eastAsia="zh-CN"/>
        </w:rPr>
        <w:t>八</w:t>
      </w:r>
      <w:r>
        <w:rPr>
          <w:rStyle w:val="94"/>
          <w:rFonts w:hint="eastAsia" w:ascii="宋体" w:hAnsi="宋体" w:eastAsia="宋体" w:cs="宋体"/>
          <w:color w:val="auto"/>
          <w:sz w:val="32"/>
          <w:szCs w:val="32"/>
          <w:highlight w:val="none"/>
        </w:rPr>
        <w:t>、资格证明文件</w:t>
      </w:r>
    </w:p>
    <w:bookmarkEnd w:id="108"/>
    <w:p w14:paraId="3F6A9B2D">
      <w:pPr>
        <w:overflowPunct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磋商供应商情况表</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7BD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8597EEB">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6877" w:type="dxa"/>
            <w:gridSpan w:val="3"/>
          </w:tcPr>
          <w:p w14:paraId="0D1D5727">
            <w:pPr>
              <w:overflowPunct w:val="0"/>
              <w:spacing w:line="400" w:lineRule="atLeast"/>
              <w:jc w:val="center"/>
              <w:rPr>
                <w:rFonts w:hint="eastAsia" w:ascii="宋体" w:hAnsi="宋体" w:eastAsia="宋体" w:cs="宋体"/>
                <w:color w:val="auto"/>
                <w:highlight w:val="none"/>
              </w:rPr>
            </w:pPr>
          </w:p>
        </w:tc>
      </w:tr>
      <w:tr w14:paraId="1F08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0FB2F4AB">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2764" w:type="dxa"/>
          </w:tcPr>
          <w:p w14:paraId="37670934">
            <w:pPr>
              <w:overflowPunct w:val="0"/>
              <w:spacing w:line="400" w:lineRule="atLeast"/>
              <w:jc w:val="center"/>
              <w:rPr>
                <w:rFonts w:hint="eastAsia" w:ascii="宋体" w:hAnsi="宋体" w:eastAsia="宋体" w:cs="宋体"/>
                <w:color w:val="auto"/>
                <w:highlight w:val="none"/>
              </w:rPr>
            </w:pPr>
          </w:p>
        </w:tc>
        <w:tc>
          <w:tcPr>
            <w:tcW w:w="2265" w:type="dxa"/>
          </w:tcPr>
          <w:p w14:paraId="60AD1573">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注册日期</w:t>
            </w:r>
          </w:p>
        </w:tc>
        <w:tc>
          <w:tcPr>
            <w:tcW w:w="1848" w:type="dxa"/>
          </w:tcPr>
          <w:p w14:paraId="1DA5A5EC">
            <w:pPr>
              <w:overflowPunct w:val="0"/>
              <w:spacing w:line="400" w:lineRule="atLeast"/>
              <w:jc w:val="center"/>
              <w:rPr>
                <w:rFonts w:hint="eastAsia" w:ascii="宋体" w:hAnsi="宋体" w:eastAsia="宋体" w:cs="宋体"/>
                <w:color w:val="auto"/>
                <w:highlight w:val="none"/>
              </w:rPr>
            </w:pPr>
          </w:p>
        </w:tc>
      </w:tr>
      <w:tr w14:paraId="05C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98726B1">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营业地址</w:t>
            </w:r>
          </w:p>
        </w:tc>
        <w:tc>
          <w:tcPr>
            <w:tcW w:w="2764" w:type="dxa"/>
          </w:tcPr>
          <w:p w14:paraId="4429D084">
            <w:pPr>
              <w:overflowPunct w:val="0"/>
              <w:spacing w:line="400" w:lineRule="atLeast"/>
              <w:jc w:val="center"/>
              <w:rPr>
                <w:rFonts w:hint="eastAsia" w:ascii="宋体" w:hAnsi="宋体" w:eastAsia="宋体" w:cs="宋体"/>
                <w:color w:val="auto"/>
                <w:highlight w:val="none"/>
              </w:rPr>
            </w:pPr>
          </w:p>
        </w:tc>
        <w:tc>
          <w:tcPr>
            <w:tcW w:w="2265" w:type="dxa"/>
          </w:tcPr>
          <w:p w14:paraId="5F9ADF44">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1848" w:type="dxa"/>
          </w:tcPr>
          <w:p w14:paraId="3F807F4E">
            <w:pPr>
              <w:overflowPunct w:val="0"/>
              <w:spacing w:line="400" w:lineRule="atLeast"/>
              <w:jc w:val="center"/>
              <w:rPr>
                <w:rFonts w:hint="eastAsia" w:ascii="宋体" w:hAnsi="宋体" w:eastAsia="宋体" w:cs="宋体"/>
                <w:color w:val="auto"/>
                <w:highlight w:val="none"/>
              </w:rPr>
            </w:pPr>
          </w:p>
        </w:tc>
      </w:tr>
      <w:tr w14:paraId="1433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DE909E3">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2764" w:type="dxa"/>
          </w:tcPr>
          <w:p w14:paraId="5D6880E5">
            <w:pPr>
              <w:overflowPunct w:val="0"/>
              <w:spacing w:line="400" w:lineRule="atLeast"/>
              <w:jc w:val="center"/>
              <w:rPr>
                <w:rFonts w:hint="eastAsia" w:ascii="宋体" w:hAnsi="宋体" w:eastAsia="宋体" w:cs="宋体"/>
                <w:color w:val="auto"/>
                <w:highlight w:val="none"/>
              </w:rPr>
            </w:pPr>
          </w:p>
        </w:tc>
        <w:tc>
          <w:tcPr>
            <w:tcW w:w="2265" w:type="dxa"/>
          </w:tcPr>
          <w:p w14:paraId="5C82F799">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848" w:type="dxa"/>
          </w:tcPr>
          <w:p w14:paraId="18B5D4A1">
            <w:pPr>
              <w:overflowPunct w:val="0"/>
              <w:spacing w:line="400" w:lineRule="atLeast"/>
              <w:jc w:val="center"/>
              <w:rPr>
                <w:rFonts w:hint="eastAsia" w:ascii="宋体" w:hAnsi="宋体" w:eastAsia="宋体" w:cs="宋体"/>
                <w:color w:val="auto"/>
                <w:highlight w:val="none"/>
              </w:rPr>
            </w:pPr>
          </w:p>
        </w:tc>
      </w:tr>
      <w:tr w14:paraId="7CF0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DD4FFE7">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授权代表人</w:t>
            </w:r>
          </w:p>
        </w:tc>
        <w:tc>
          <w:tcPr>
            <w:tcW w:w="2764" w:type="dxa"/>
          </w:tcPr>
          <w:p w14:paraId="682849D3">
            <w:pPr>
              <w:overflowPunct w:val="0"/>
              <w:spacing w:line="400" w:lineRule="atLeast"/>
              <w:jc w:val="center"/>
              <w:rPr>
                <w:rFonts w:hint="eastAsia" w:ascii="宋体" w:hAnsi="宋体" w:eastAsia="宋体" w:cs="宋体"/>
                <w:color w:val="auto"/>
                <w:highlight w:val="none"/>
              </w:rPr>
            </w:pPr>
          </w:p>
        </w:tc>
        <w:tc>
          <w:tcPr>
            <w:tcW w:w="2265" w:type="dxa"/>
          </w:tcPr>
          <w:p w14:paraId="664D3BA1">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848" w:type="dxa"/>
          </w:tcPr>
          <w:p w14:paraId="37912289">
            <w:pPr>
              <w:overflowPunct w:val="0"/>
              <w:spacing w:line="400" w:lineRule="atLeast"/>
              <w:jc w:val="center"/>
              <w:rPr>
                <w:rFonts w:hint="eastAsia" w:ascii="宋体" w:hAnsi="宋体" w:eastAsia="宋体" w:cs="宋体"/>
                <w:color w:val="auto"/>
                <w:highlight w:val="none"/>
              </w:rPr>
            </w:pPr>
          </w:p>
        </w:tc>
      </w:tr>
      <w:tr w14:paraId="1DAE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6E6BF049">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企业基本户开户行</w:t>
            </w:r>
          </w:p>
        </w:tc>
        <w:tc>
          <w:tcPr>
            <w:tcW w:w="6877" w:type="dxa"/>
            <w:gridSpan w:val="3"/>
          </w:tcPr>
          <w:p w14:paraId="65AE64D0">
            <w:pPr>
              <w:overflowPunct w:val="0"/>
              <w:spacing w:line="400" w:lineRule="atLeast"/>
              <w:jc w:val="center"/>
              <w:rPr>
                <w:rFonts w:hint="eastAsia" w:ascii="宋体" w:hAnsi="宋体" w:eastAsia="宋体" w:cs="宋体"/>
                <w:color w:val="auto"/>
                <w:highlight w:val="none"/>
              </w:rPr>
            </w:pPr>
          </w:p>
        </w:tc>
      </w:tr>
      <w:tr w14:paraId="5291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466A2894">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6877" w:type="dxa"/>
            <w:gridSpan w:val="3"/>
          </w:tcPr>
          <w:p w14:paraId="0B5EA069">
            <w:pPr>
              <w:overflowPunct w:val="0"/>
              <w:spacing w:line="400" w:lineRule="atLeast"/>
              <w:jc w:val="center"/>
              <w:rPr>
                <w:rFonts w:hint="eastAsia" w:ascii="宋体" w:hAnsi="宋体" w:eastAsia="宋体" w:cs="宋体"/>
                <w:color w:val="auto"/>
                <w:highlight w:val="none"/>
              </w:rPr>
            </w:pPr>
          </w:p>
        </w:tc>
      </w:tr>
      <w:tr w14:paraId="720E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19EDEDA0">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主要营业范围</w:t>
            </w:r>
          </w:p>
        </w:tc>
        <w:tc>
          <w:tcPr>
            <w:tcW w:w="6877" w:type="dxa"/>
            <w:gridSpan w:val="3"/>
          </w:tcPr>
          <w:p w14:paraId="5C2627DB">
            <w:pPr>
              <w:overflowPunct w:val="0"/>
              <w:spacing w:line="400" w:lineRule="atLeast"/>
              <w:jc w:val="center"/>
              <w:rPr>
                <w:rFonts w:hint="eastAsia" w:ascii="宋体" w:hAnsi="宋体" w:eastAsia="宋体" w:cs="宋体"/>
                <w:color w:val="auto"/>
                <w:highlight w:val="none"/>
              </w:rPr>
            </w:pPr>
          </w:p>
        </w:tc>
      </w:tr>
      <w:tr w14:paraId="0FC3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B0D8957">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企业概况</w:t>
            </w:r>
          </w:p>
        </w:tc>
        <w:tc>
          <w:tcPr>
            <w:tcW w:w="6877" w:type="dxa"/>
            <w:gridSpan w:val="3"/>
          </w:tcPr>
          <w:p w14:paraId="60CB6F38">
            <w:pPr>
              <w:overflowPunct w:val="0"/>
              <w:spacing w:line="400" w:lineRule="atLeast"/>
              <w:jc w:val="center"/>
              <w:rPr>
                <w:rFonts w:hint="eastAsia" w:ascii="宋体" w:hAnsi="宋体" w:eastAsia="宋体" w:cs="宋体"/>
                <w:color w:val="auto"/>
                <w:highlight w:val="none"/>
              </w:rPr>
            </w:pPr>
          </w:p>
        </w:tc>
      </w:tr>
      <w:tr w14:paraId="214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0DE0B8EB">
            <w:pPr>
              <w:overflowPunct w:val="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877" w:type="dxa"/>
            <w:gridSpan w:val="3"/>
          </w:tcPr>
          <w:p w14:paraId="64579DF6">
            <w:pPr>
              <w:overflowPunct w:val="0"/>
              <w:spacing w:line="400" w:lineRule="atLeast"/>
              <w:jc w:val="center"/>
              <w:rPr>
                <w:rFonts w:hint="eastAsia" w:ascii="宋体" w:hAnsi="宋体" w:eastAsia="宋体" w:cs="宋体"/>
                <w:color w:val="auto"/>
                <w:highlight w:val="none"/>
              </w:rPr>
            </w:pPr>
          </w:p>
        </w:tc>
      </w:tr>
    </w:tbl>
    <w:p w14:paraId="7BC5BD9A">
      <w:pP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br w:type="page"/>
      </w:r>
    </w:p>
    <w:p w14:paraId="67721632">
      <w:pPr>
        <w:pStyle w:val="26"/>
        <w:shd w:val="clear" w:color="auto" w:fill="FFFFFF"/>
        <w:spacing w:before="0" w:beforeAutospacing="0" w:after="0" w:afterAutospacing="0" w:line="42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1）基本资格条件：符合《中华人民共和国政府采购法》第二十二条的规定的</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条件，提供以下文件：</w:t>
      </w:r>
    </w:p>
    <w:p w14:paraId="30243C14">
      <w:pPr>
        <w:pStyle w:val="26"/>
        <w:shd w:val="clear" w:color="auto" w:fill="FFFFFF"/>
        <w:spacing w:before="0" w:beforeAutospacing="0" w:after="0" w:afterAutospacing="0" w:line="42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满足《中华人民共和国政府采购法》第二十二条规定；</w:t>
      </w:r>
    </w:p>
    <w:p w14:paraId="4E2016FC">
      <w:pPr>
        <w:pStyle w:val="26"/>
        <w:numPr>
          <w:ilvl w:val="0"/>
          <w:numId w:val="8"/>
        </w:numPr>
        <w:shd w:val="clear" w:color="auto" w:fill="FFFFFF"/>
        <w:spacing w:before="0" w:beforeAutospacing="0" w:after="0" w:afterAutospacing="0" w:line="42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具有独立承担民事责任能力的法人、其他组织或自然人，提供营业执照/事业单位法人证书/非企业专业服务机构执业许可证/自然人身份证</w:t>
      </w:r>
    </w:p>
    <w:p w14:paraId="3EE8C90B">
      <w:pPr>
        <w:pStyle w:val="26"/>
        <w:numPr>
          <w:ilvl w:val="0"/>
          <w:numId w:val="8"/>
        </w:numPr>
        <w:shd w:val="clear" w:color="auto" w:fill="FFFFFF"/>
        <w:spacing w:before="0" w:beforeAutospacing="0" w:after="0" w:afterAutospacing="0" w:line="420" w:lineRule="exact"/>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供供应商应授权合法的人员参加磋商全过程：法定代表人直接参加的，提供法定代表人证明及其身份证；授权代表参加的，提供法定代表人授权书（附法定代表人及授权代表身份证）；非法人单位参照执行。</w:t>
      </w:r>
    </w:p>
    <w:p w14:paraId="4A014EBD">
      <w:pPr>
        <w:pStyle w:val="26"/>
        <w:numPr>
          <w:ilvl w:val="0"/>
          <w:numId w:val="8"/>
        </w:numPr>
        <w:shd w:val="clear" w:color="auto" w:fill="FFFFFF"/>
        <w:spacing w:before="0" w:beforeAutospacing="0" w:after="0" w:afterAutospacing="0" w:line="420" w:lineRule="exact"/>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提供 2023 年度或 2024 年度经审计的财务报告(包括审计报告、资产负债表、利润表、现金流量表、所有者权益变动表及其附注，成立时间至提交响应文件截止时间不足一年的可提供成立后任意时段的资产负债表)，或其响应文件提交截止时间前六个月内银行出具的资信证明，或信用担保机构出具的投标担保函(以上三种形式的资料提供任何一种即可)。</w:t>
      </w:r>
    </w:p>
    <w:p w14:paraId="6C9D892F">
      <w:pPr>
        <w:pStyle w:val="26"/>
        <w:numPr>
          <w:ilvl w:val="0"/>
          <w:numId w:val="9"/>
        </w:numPr>
        <w:shd w:val="clear" w:color="auto" w:fill="FFFFFF"/>
        <w:spacing w:before="0" w:beforeAutospacing="0" w:after="0" w:afterAutospacing="0" w:line="420" w:lineRule="exact"/>
        <w:ind w:left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提供响应文件提交截止时间前一年内至少一个月已缴纳的纳税证明或完税证明(时间以税款所属日期为准)，依法免税的单位应提供相关证明材料，凭据应有税务机关或代收机关的公章或业务专用章；依法免税或无须缴纳税收的供应商，应提供相应证明文件。(5)提供响应文件提交截止时间前一年内至少一个月已缴纳的社会保障资金缴存单据或社保机构开具的社会保险参保缴费情况证明，依法不需要缴纳社会保障资金的单位应提供相关证明材料。</w:t>
      </w:r>
    </w:p>
    <w:p w14:paraId="18883EBE">
      <w:pPr>
        <w:pStyle w:val="26"/>
        <w:numPr>
          <w:ilvl w:val="0"/>
          <w:numId w:val="9"/>
        </w:numPr>
        <w:shd w:val="clear" w:color="auto" w:fill="FFFFFF"/>
        <w:spacing w:before="0" w:beforeAutospacing="0" w:after="0" w:afterAutospacing="0" w:line="420" w:lineRule="exact"/>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提供参加政府采购活动前三年内在经营活动中没有重大违法记录的书面声明。</w:t>
      </w:r>
    </w:p>
    <w:p w14:paraId="2DDFF8D8">
      <w:pPr>
        <w:pStyle w:val="26"/>
        <w:numPr>
          <w:ilvl w:val="0"/>
          <w:numId w:val="9"/>
        </w:numPr>
        <w:shd w:val="clear" w:color="auto" w:fill="FFFFFF"/>
        <w:spacing w:before="0" w:beforeAutospacing="0" w:after="0" w:afterAutospacing="0" w:line="420" w:lineRule="exact"/>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提供具有履行合同所必需的设备和专业技术能力的承诺。</w:t>
      </w:r>
    </w:p>
    <w:p w14:paraId="34FF5D31">
      <w:pPr>
        <w:pStyle w:val="26"/>
        <w:numPr>
          <w:ilvl w:val="0"/>
          <w:numId w:val="9"/>
        </w:numPr>
        <w:shd w:val="clear" w:color="auto" w:fill="FFFFFF"/>
        <w:spacing w:before="0" w:beforeAutospacing="0" w:after="0" w:afterAutospacing="0" w:line="420" w:lineRule="exact"/>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应商未被列入“信用中国”（https://www.creditchina.gov.cn/）重大税收违法失信主体、未被列入“中国执行信息公开网”（http://zxgk.court.gov.cn）失信被执行人、未被列入“中国政府采购网”（http://www.ccgp.gov.cn/）政府采购严重违法失信行为记录名单的网页查询截图。</w:t>
      </w:r>
    </w:p>
    <w:p w14:paraId="3AA42F71">
      <w:pPr>
        <w:pStyle w:val="26"/>
        <w:numPr>
          <w:ilvl w:val="0"/>
          <w:numId w:val="9"/>
        </w:numPr>
        <w:shd w:val="clear" w:color="auto" w:fill="FFFFFF"/>
        <w:spacing w:before="0" w:beforeAutospacing="0" w:after="0" w:afterAutospacing="0" w:line="420" w:lineRule="exact"/>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单位负责人为同一人或者存在直接控股、管理关系的不同供应商，不得参加同一合同项下的政府采购活动。</w:t>
      </w:r>
    </w:p>
    <w:p w14:paraId="2627CB62">
      <w:pPr>
        <w:pStyle w:val="26"/>
        <w:numPr>
          <w:ilvl w:val="0"/>
          <w:numId w:val="0"/>
        </w:numPr>
        <w:shd w:val="clear" w:color="auto" w:fill="FFFFFF"/>
        <w:spacing w:before="0" w:beforeAutospacing="0" w:after="0" w:afterAutospacing="0" w:line="420" w:lineRule="exact"/>
        <w:ind w:left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(10)本采购包不接受联合体磋商，供应商提供非联合体磋商承诺书。</w:t>
      </w:r>
    </w:p>
    <w:p w14:paraId="7F212B80">
      <w:pPr>
        <w:pStyle w:val="26"/>
        <w:shd w:val="clear" w:color="auto" w:fill="FFFFFF"/>
        <w:spacing w:before="0" w:beforeAutospacing="0" w:after="0" w:afterAutospacing="0" w:line="42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备注：</w:t>
      </w:r>
    </w:p>
    <w:p w14:paraId="7FCE0E50">
      <w:pPr>
        <w:pStyle w:val="26"/>
        <w:shd w:val="clear" w:color="auto" w:fill="FFFFFF"/>
        <w:spacing w:before="0" w:beforeAutospacing="0" w:after="0" w:afterAutospacing="0" w:line="4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以上资格证明文件供应商必须完全提供，复印件胶装在响应文件中并加盖供应商公章（如相关证明材料由第三方出具，应有第三方公章），缺项或未按要求响应的视为无效响应；②分支机构参与磋商时，须提供分支机构的资格要求证明文件； 响应文件中应附法人（非负责人）出具的法定代表人授权委托书。法人只能授权一家分支机构参与磋商响应，且不能与分支机构同时参加本项目磋商响应；</w:t>
      </w:r>
    </w:p>
    <w:p w14:paraId="6AA991D6">
      <w:pPr>
        <w:pStyle w:val="26"/>
        <w:shd w:val="clear" w:color="auto" w:fill="FFFFFF"/>
        <w:spacing w:beforeAutospacing="0" w:afterAutospacing="0"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4"/>
          <w:szCs w:val="24"/>
          <w:highlight w:val="none"/>
          <w:lang w:val="en-US" w:eastAsia="zh-CN" w:bidi="ar-SA"/>
        </w:rPr>
        <w:t>③事业单位法人参与磋商响应可不提供财务状况报告、社会保障资金缴纳证明及税收缴纳证明。</w:t>
      </w:r>
      <w:r>
        <w:rPr>
          <w:rFonts w:hint="eastAsia" w:ascii="宋体" w:hAnsi="宋体" w:eastAsia="宋体" w:cs="宋体"/>
          <w:color w:val="auto"/>
          <w:kern w:val="0"/>
          <w:highlight w:val="none"/>
        </w:rPr>
        <w:t>　</w:t>
      </w:r>
      <w:r>
        <w:rPr>
          <w:rFonts w:hint="eastAsia" w:ascii="宋体" w:hAnsi="宋体" w:eastAsia="宋体" w:cs="宋体"/>
          <w:b/>
          <w:bCs/>
          <w:color w:val="auto"/>
          <w:highlight w:val="none"/>
        </w:rPr>
        <w:br w:type="page"/>
      </w:r>
      <w:bookmarkEnd w:id="85"/>
      <w:bookmarkEnd w:id="86"/>
      <w:bookmarkEnd w:id="87"/>
      <w:bookmarkEnd w:id="88"/>
      <w:r>
        <w:rPr>
          <w:rFonts w:hint="eastAsia" w:ascii="宋体" w:hAnsi="宋体" w:eastAsia="宋体" w:cs="宋体"/>
          <w:bCs/>
          <w:color w:val="auto"/>
          <w:sz w:val="28"/>
          <w:szCs w:val="28"/>
          <w:highlight w:val="none"/>
        </w:rPr>
        <w:t>附</w:t>
      </w:r>
      <w:r>
        <w:rPr>
          <w:rFonts w:hint="eastAsia" w:ascii="宋体" w:hAnsi="宋体" w:eastAsia="宋体" w:cs="宋体"/>
          <w:color w:val="auto"/>
          <w:sz w:val="28"/>
          <w:szCs w:val="28"/>
          <w:highlight w:val="none"/>
        </w:rPr>
        <w:t>件</w:t>
      </w:r>
      <w:r>
        <w:rPr>
          <w:rFonts w:hint="eastAsia" w:ascii="宋体" w:hAnsi="宋体" w:eastAsia="宋体" w:cs="宋体"/>
          <w:bCs/>
          <w:color w:val="auto"/>
          <w:sz w:val="28"/>
          <w:szCs w:val="28"/>
          <w:highlight w:val="none"/>
        </w:rPr>
        <w:t>1：</w:t>
      </w:r>
    </w:p>
    <w:p w14:paraId="3BA87656">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参加政府采购活动前3年内在经营活动中没有重大违法</w:t>
      </w:r>
      <w:r>
        <w:rPr>
          <w:rFonts w:hint="eastAsia" w:ascii="宋体" w:hAnsi="宋体" w:eastAsia="宋体" w:cs="宋体"/>
          <w:b/>
          <w:color w:val="auto"/>
          <w:kern w:val="0"/>
          <w:sz w:val="28"/>
          <w:szCs w:val="28"/>
          <w:highlight w:val="none"/>
          <w:lang w:eastAsia="zh-CN"/>
        </w:rPr>
        <w:t>记录</w:t>
      </w:r>
      <w:r>
        <w:rPr>
          <w:rFonts w:hint="eastAsia" w:ascii="宋体" w:hAnsi="宋体" w:eastAsia="宋体" w:cs="宋体"/>
          <w:b/>
          <w:color w:val="auto"/>
          <w:kern w:val="0"/>
          <w:sz w:val="28"/>
          <w:szCs w:val="28"/>
          <w:highlight w:val="none"/>
        </w:rPr>
        <w:t>的书面声明</w:t>
      </w:r>
    </w:p>
    <w:p w14:paraId="63B225CB">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本单位郑重声明：</w:t>
      </w:r>
    </w:p>
    <w:p w14:paraId="74AD82C9">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1、我单位在参加采购活动前三年内在经营活动中没有《政府采购法》第二十二条第一款第(五)项所称重大违法记录。</w:t>
      </w:r>
    </w:p>
    <w:p w14:paraId="69DC6793">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666C9CDF">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4、我方______（填“未被列入”或“被列入”）失信被执行人名单。</w:t>
      </w:r>
    </w:p>
    <w:p w14:paraId="2CCD9738">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5、我方______（填“未被列入”或“被列入”）重大税收违法失信主体。</w:t>
      </w:r>
    </w:p>
    <w:p w14:paraId="3499B109">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6、我方______（填“未被列入”或“被列入”）政府采购严重违法失信行为记录名单。</w:t>
      </w:r>
    </w:p>
    <w:p w14:paraId="05920F49">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我单位已就上述不良信用行为按照</w:t>
      </w:r>
      <w:r>
        <w:rPr>
          <w:rFonts w:hint="eastAsia" w:ascii="宋体" w:hAnsi="宋体" w:eastAsia="宋体" w:cs="宋体"/>
          <w:color w:val="auto"/>
          <w:sz w:val="24"/>
          <w:szCs w:val="24"/>
          <w:highlight w:val="none"/>
          <w:shd w:val="clear" w:color="auto" w:fill="FFFFFF"/>
          <w:lang w:val="en-US" w:eastAsia="zh-CN"/>
        </w:rPr>
        <w:t>竞争性磋商</w:t>
      </w:r>
      <w:r>
        <w:rPr>
          <w:rFonts w:hint="eastAsia" w:ascii="宋体" w:hAnsi="宋体" w:eastAsia="宋体" w:cs="宋体"/>
          <w:color w:val="auto"/>
          <w:sz w:val="24"/>
          <w:szCs w:val="24"/>
          <w:highlight w:val="none"/>
          <w:shd w:val="clear" w:color="auto" w:fill="FFFFFF"/>
        </w:rPr>
        <w:t>文件中</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须知前附表规定进行了查询。我单位承诺：合同签订前，若我单位具有不良信用记录情形，贵方可取消我单位</w:t>
      </w:r>
      <w:r>
        <w:rPr>
          <w:rFonts w:hint="eastAsia" w:ascii="宋体" w:hAnsi="宋体" w:eastAsia="宋体" w:cs="宋体"/>
          <w:color w:val="auto"/>
          <w:sz w:val="24"/>
          <w:szCs w:val="24"/>
          <w:highlight w:val="none"/>
          <w:shd w:val="clear" w:color="auto" w:fill="FFFFFF"/>
          <w:lang w:val="en-US" w:eastAsia="zh-CN"/>
        </w:rPr>
        <w:t>成交</w:t>
      </w:r>
      <w:r>
        <w:rPr>
          <w:rFonts w:hint="eastAsia" w:ascii="宋体" w:hAnsi="宋体" w:eastAsia="宋体" w:cs="宋体"/>
          <w:color w:val="auto"/>
          <w:sz w:val="24"/>
          <w:szCs w:val="24"/>
          <w:highlight w:val="none"/>
          <w:shd w:val="clear" w:color="auto" w:fill="FFFFFF"/>
        </w:rPr>
        <w:t>资格或者不授予合同，所有责任由我单位自行承担。同时，我单位愿意无条件接受监管部门的调查处理。</w:t>
      </w:r>
    </w:p>
    <w:p w14:paraId="13228070">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特此声明！</w:t>
      </w:r>
    </w:p>
    <w:p w14:paraId="7D8BE54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备注：</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679B9540">
      <w:pPr>
        <w:overflowPunct w:val="0"/>
        <w:spacing w:line="560" w:lineRule="exact"/>
        <w:ind w:firstLine="170"/>
        <w:rPr>
          <w:rFonts w:hint="eastAsia" w:ascii="宋体" w:hAnsi="宋体" w:eastAsia="宋体" w:cs="宋体"/>
          <w:color w:val="auto"/>
          <w:highlight w:val="none"/>
          <w:shd w:val="clear" w:color="auto" w:fill="FFFFFF"/>
        </w:rPr>
      </w:pPr>
    </w:p>
    <w:p w14:paraId="3CAE7207">
      <w:pPr>
        <w:pStyle w:val="2"/>
        <w:rPr>
          <w:rFonts w:hint="eastAsia" w:ascii="宋体" w:hAnsi="宋体" w:eastAsia="宋体" w:cs="宋体"/>
          <w:color w:val="auto"/>
          <w:highlight w:val="none"/>
        </w:rPr>
      </w:pPr>
    </w:p>
    <w:p w14:paraId="4AFCD687">
      <w:pPr>
        <w:spacing w:line="500" w:lineRule="exact"/>
        <w:ind w:firstLine="2640" w:firstLineChars="1100"/>
        <w:rPr>
          <w:rFonts w:hint="eastAsia" w:ascii="宋体" w:hAnsi="宋体" w:eastAsia="宋体" w:cs="宋体"/>
          <w:color w:val="auto"/>
          <w:highlight w:val="none"/>
        </w:rPr>
      </w:pPr>
    </w:p>
    <w:p w14:paraId="2F8BEB5E">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402A8E3">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4E6DAF43">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7F4FEC03">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1B30186">
      <w:pPr>
        <w:spacing w:line="360" w:lineRule="auto"/>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highlight w:val="none"/>
          <w:lang w:val="en-US" w:eastAsia="zh-CN" w:bidi="ar-SA"/>
        </w:rPr>
        <w:t>附件2：</w:t>
      </w:r>
    </w:p>
    <w:p w14:paraId="5D25D46C">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履行合同所必需的设备和专业技术能力的书面声明（格式）</w:t>
      </w:r>
    </w:p>
    <w:p w14:paraId="3691F87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（采购人名称）：</w:t>
      </w:r>
    </w:p>
    <w:p w14:paraId="2DE6357C">
      <w:pPr>
        <w:overflowPunct w:val="0"/>
        <w:spacing w:line="560" w:lineRule="exact"/>
        <w:ind w:firstLine="496" w:firstLineChars="200"/>
        <w:rPr>
          <w:rFonts w:hint="eastAsia" w:ascii="宋体" w:hAnsi="宋体" w:eastAsia="宋体" w:cs="宋体"/>
          <w:b/>
          <w:bCs/>
          <w:color w:val="auto"/>
          <w:highlight w:val="none"/>
        </w:rPr>
      </w:pP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，本公司郑重承诺，具有履行本合同所必需的设备和专业技术能力。</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虚假</w:t>
      </w:r>
      <w:r>
        <w:rPr>
          <w:rFonts w:hint="eastAsia" w:ascii="宋体" w:hAnsi="宋体" w:eastAsia="宋体" w:cs="宋体"/>
          <w:color w:val="auto"/>
          <w:sz w:val="24"/>
          <w:szCs w:val="24"/>
          <w:highlight w:val="none"/>
        </w:rPr>
        <w:t>，我方将无条件地退出本项目的采购活动，并遵照《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r>
        <w:rPr>
          <w:rFonts w:hint="eastAsia" w:ascii="宋体" w:hAnsi="宋体" w:eastAsia="宋体" w:cs="宋体"/>
          <w:color w:val="auto"/>
          <w:spacing w:val="4"/>
          <w:highlight w:val="none"/>
        </w:rPr>
        <w:t>。</w:t>
      </w:r>
    </w:p>
    <w:p w14:paraId="383B9648">
      <w:pPr>
        <w:spacing w:line="500" w:lineRule="exact"/>
        <w:ind w:firstLine="2707" w:firstLineChars="1128"/>
        <w:rPr>
          <w:rFonts w:hint="eastAsia" w:ascii="宋体" w:hAnsi="宋体" w:eastAsia="宋体" w:cs="宋体"/>
          <w:color w:val="auto"/>
          <w:highlight w:val="none"/>
        </w:rPr>
      </w:pPr>
    </w:p>
    <w:p w14:paraId="64CEAB94">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749018ED">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18BCC46A">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04743718">
      <w:pPr>
        <w:tabs>
          <w:tab w:val="left" w:pos="-180"/>
        </w:tabs>
        <w:ind w:right="204" w:rightChars="85"/>
        <w:rPr>
          <w:rFonts w:hint="eastAsia" w:ascii="宋体" w:hAnsi="宋体" w:eastAsia="宋体" w:cs="宋体"/>
          <w:color w:val="auto"/>
          <w:highlight w:val="none"/>
        </w:rPr>
      </w:pPr>
    </w:p>
    <w:p w14:paraId="29A528A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1CAC0C9">
      <w:pPr>
        <w:spacing w:line="360" w:lineRule="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附件3：</w:t>
      </w:r>
    </w:p>
    <w:p w14:paraId="5D2EE1F1">
      <w:pPr>
        <w:widowControl/>
        <w:spacing w:line="360" w:lineRule="auto"/>
        <w:ind w:left="1"/>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企业关系关联</w:t>
      </w:r>
      <w:r>
        <w:rPr>
          <w:rFonts w:hint="eastAsia" w:ascii="宋体" w:hAnsi="宋体" w:eastAsia="宋体" w:cs="宋体"/>
          <w:b/>
          <w:color w:val="auto"/>
          <w:kern w:val="0"/>
          <w:sz w:val="30"/>
          <w:szCs w:val="30"/>
          <w:highlight w:val="none"/>
          <w:lang w:val="en-US" w:eastAsia="zh-CN"/>
        </w:rPr>
        <w:t>声明</w:t>
      </w:r>
    </w:p>
    <w:p w14:paraId="04D7FA38">
      <w:pPr>
        <w:spacing w:line="540" w:lineRule="exact"/>
        <w:ind w:right="-226" w:rightChars="-9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（采购人名称）    ：</w:t>
      </w:r>
    </w:p>
    <w:p w14:paraId="0B56E28B">
      <w:pPr>
        <w:spacing w:line="540" w:lineRule="exact"/>
        <w:ind w:right="-226" w:rightChars="-94"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eastAsia="zh-CN"/>
        </w:rPr>
        <w:t>单位作为</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的供应商，在此郑重声明</w:t>
      </w:r>
      <w:r>
        <w:rPr>
          <w:rFonts w:hint="eastAsia" w:ascii="宋体" w:hAnsi="宋体" w:eastAsia="宋体" w:cs="宋体"/>
          <w:color w:val="auto"/>
          <w:sz w:val="24"/>
          <w:szCs w:val="24"/>
          <w:highlight w:val="none"/>
          <w:lang w:eastAsia="zh-CN"/>
        </w:rPr>
        <w:t>：</w:t>
      </w:r>
    </w:p>
    <w:p w14:paraId="151ABA67">
      <w:pPr>
        <w:spacing w:line="540" w:lineRule="exact"/>
        <w:ind w:right="-226" w:rightChars="-94"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在本次采购活动中</w:t>
      </w:r>
      <w:r>
        <w:rPr>
          <w:rFonts w:hint="eastAsia" w:ascii="宋体" w:hAnsi="宋体" w:eastAsia="宋体" w:cs="宋体"/>
          <w:color w:val="auto"/>
          <w:sz w:val="24"/>
          <w:szCs w:val="24"/>
          <w:highlight w:val="none"/>
          <w:u w:val="single"/>
          <w:lang w:eastAsia="zh-CN"/>
        </w:rPr>
        <w:t xml:space="preserve">   （填“存在”或“不存在”）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与参加本项目其他供应商负责人为同一人，或有控股、管理等关联关系。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7923"/>
      </w:tblGrid>
      <w:tr w14:paraId="298A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76" w:type="dxa"/>
            <w:gridSpan w:val="2"/>
            <w:shd w:val="clear" w:color="auto" w:fill="EEECE1"/>
            <w:noWrap w:val="0"/>
            <w:vAlign w:val="center"/>
          </w:tcPr>
          <w:p w14:paraId="4668B294">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直接控股、管理关系证明</w:t>
            </w:r>
          </w:p>
        </w:tc>
      </w:tr>
      <w:tr w14:paraId="2D4F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453" w:type="dxa"/>
            <w:noWrap w:val="0"/>
            <w:vAlign w:val="center"/>
          </w:tcPr>
          <w:p w14:paraId="1BE60B7B">
            <w:pPr>
              <w:keepNext w:val="0"/>
              <w:keepLines w:val="0"/>
              <w:widowControl/>
              <w:suppressLineNumbers w:val="0"/>
              <w:spacing w:line="240" w:lineRule="auto"/>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控股关系</w:t>
            </w:r>
          </w:p>
        </w:tc>
        <w:tc>
          <w:tcPr>
            <w:tcW w:w="7923" w:type="dxa"/>
            <w:noWrap w:val="0"/>
            <w:vAlign w:val="center"/>
          </w:tcPr>
          <w:p w14:paraId="4AB0F56B">
            <w:pPr>
              <w:keepNext w:val="0"/>
              <w:keepLines w:val="0"/>
              <w:widowControl/>
              <w:suppressLineNumbers w:val="0"/>
              <w:spacing w:line="360" w:lineRule="auto"/>
              <w:jc w:val="both"/>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我单位管理的具有独立法人的下属单位：</w:t>
            </w:r>
            <w:r>
              <w:rPr>
                <w:rFonts w:hint="eastAsia" w:ascii="宋体" w:hAnsi="宋体" w:eastAsia="宋体" w:cs="宋体"/>
                <w:color w:val="auto"/>
                <w:kern w:val="0"/>
                <w:sz w:val="24"/>
                <w:szCs w:val="24"/>
                <w:highlight w:val="none"/>
                <w:u w:val="single"/>
                <w:vertAlign w:val="baseline"/>
                <w:lang w:val="en-US" w:eastAsia="zh-CN" w:bidi="ar"/>
              </w:rPr>
              <w:t xml:space="preserve">      (没有填“无”)</w:t>
            </w:r>
            <w:r>
              <w:rPr>
                <w:rFonts w:hint="eastAsia" w:ascii="宋体" w:hAnsi="宋体" w:eastAsia="宋体" w:cs="宋体"/>
                <w:color w:val="auto"/>
                <w:kern w:val="0"/>
                <w:sz w:val="24"/>
                <w:szCs w:val="24"/>
                <w:highlight w:val="none"/>
                <w:vertAlign w:val="baseline"/>
                <w:lang w:val="en-US" w:eastAsia="zh-CN" w:bidi="ar"/>
              </w:rPr>
              <w:t>。</w:t>
            </w:r>
          </w:p>
          <w:p w14:paraId="6A289A12">
            <w:pPr>
              <w:keepNext w:val="0"/>
              <w:keepLines w:val="0"/>
              <w:widowControl/>
              <w:suppressLineNumbers w:val="0"/>
              <w:spacing w:line="360" w:lineRule="auto"/>
              <w:jc w:val="both"/>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我单位的上级管理单位：</w:t>
            </w:r>
            <w:r>
              <w:rPr>
                <w:rFonts w:hint="eastAsia" w:ascii="宋体" w:hAnsi="宋体" w:eastAsia="宋体" w:cs="宋体"/>
                <w:color w:val="auto"/>
                <w:kern w:val="0"/>
                <w:sz w:val="24"/>
                <w:szCs w:val="24"/>
                <w:highlight w:val="none"/>
                <w:u w:val="single"/>
                <w:vertAlign w:val="baseline"/>
                <w:lang w:val="en-US" w:eastAsia="zh-CN" w:bidi="ar"/>
              </w:rPr>
              <w:t xml:space="preserve">             (没有填“无”)</w:t>
            </w:r>
            <w:r>
              <w:rPr>
                <w:rFonts w:hint="eastAsia" w:ascii="宋体" w:hAnsi="宋体" w:eastAsia="宋体" w:cs="宋体"/>
                <w:color w:val="auto"/>
                <w:kern w:val="0"/>
                <w:sz w:val="24"/>
                <w:szCs w:val="24"/>
                <w:highlight w:val="none"/>
                <w:vertAlign w:val="baseline"/>
                <w:lang w:val="en-US" w:eastAsia="zh-CN" w:bidi="ar"/>
              </w:rPr>
              <w:t>。</w:t>
            </w:r>
          </w:p>
        </w:tc>
      </w:tr>
      <w:tr w14:paraId="79B9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53" w:type="dxa"/>
            <w:noWrap w:val="0"/>
            <w:vAlign w:val="center"/>
          </w:tcPr>
          <w:p w14:paraId="02055AF6">
            <w:pPr>
              <w:keepNext w:val="0"/>
              <w:keepLines w:val="0"/>
              <w:widowControl/>
              <w:suppressLineNumbers w:val="0"/>
              <w:spacing w:line="240" w:lineRule="auto"/>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管理关系</w:t>
            </w:r>
          </w:p>
        </w:tc>
        <w:tc>
          <w:tcPr>
            <w:tcW w:w="7923" w:type="dxa"/>
            <w:noWrap w:val="0"/>
            <w:vAlign w:val="center"/>
          </w:tcPr>
          <w:p w14:paraId="02A34793">
            <w:pPr>
              <w:keepNext w:val="0"/>
              <w:keepLines w:val="0"/>
              <w:widowControl/>
              <w:suppressLineNumbers w:val="0"/>
              <w:spacing w:line="360" w:lineRule="auto"/>
              <w:jc w:val="both"/>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我单位控股的单位：</w:t>
            </w:r>
            <w:r>
              <w:rPr>
                <w:rFonts w:hint="eastAsia" w:ascii="宋体" w:hAnsi="宋体" w:eastAsia="宋体" w:cs="宋体"/>
                <w:color w:val="auto"/>
                <w:kern w:val="0"/>
                <w:sz w:val="24"/>
                <w:szCs w:val="24"/>
                <w:highlight w:val="none"/>
                <w:u w:val="single"/>
                <w:vertAlign w:val="baseline"/>
                <w:lang w:val="en-US" w:eastAsia="zh-CN" w:bidi="ar"/>
              </w:rPr>
              <w:t xml:space="preserve">          (没有填“无”) </w:t>
            </w:r>
            <w:r>
              <w:rPr>
                <w:rFonts w:hint="eastAsia" w:ascii="宋体" w:hAnsi="宋体" w:eastAsia="宋体" w:cs="宋体"/>
                <w:color w:val="auto"/>
                <w:kern w:val="0"/>
                <w:sz w:val="24"/>
                <w:szCs w:val="24"/>
                <w:highlight w:val="none"/>
                <w:vertAlign w:val="baseline"/>
                <w:lang w:val="en-US" w:eastAsia="zh-CN" w:bidi="ar"/>
              </w:rPr>
              <w:t>。</w:t>
            </w:r>
          </w:p>
          <w:p w14:paraId="7C622B3A">
            <w:pPr>
              <w:keepNext w:val="0"/>
              <w:keepLines w:val="0"/>
              <w:widowControl/>
              <w:suppressLineNumbers w:val="0"/>
              <w:spacing w:line="360" w:lineRule="auto"/>
              <w:jc w:val="both"/>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我单位被</w:t>
            </w:r>
            <w:r>
              <w:rPr>
                <w:rFonts w:hint="eastAsia" w:ascii="宋体" w:hAnsi="宋体" w:eastAsia="宋体" w:cs="宋体"/>
                <w:color w:val="auto"/>
                <w:kern w:val="0"/>
                <w:sz w:val="24"/>
                <w:szCs w:val="24"/>
                <w:highlight w:val="none"/>
                <w:u w:val="single"/>
                <w:vertAlign w:val="baseline"/>
                <w:lang w:val="en-US" w:eastAsia="zh-CN" w:bidi="ar"/>
              </w:rPr>
              <w:t xml:space="preserve">   （有填控股单位全称，没有填“/”）  </w:t>
            </w:r>
            <w:r>
              <w:rPr>
                <w:rFonts w:hint="eastAsia" w:ascii="宋体" w:hAnsi="宋体" w:eastAsia="宋体" w:cs="宋体"/>
                <w:color w:val="auto"/>
                <w:kern w:val="0"/>
                <w:sz w:val="24"/>
                <w:szCs w:val="24"/>
                <w:highlight w:val="none"/>
                <w:vertAlign w:val="baseline"/>
                <w:lang w:val="en-US" w:eastAsia="zh-CN" w:bidi="ar"/>
              </w:rPr>
              <w:t>单位控股。</w:t>
            </w:r>
          </w:p>
        </w:tc>
      </w:tr>
    </w:tbl>
    <w:p w14:paraId="2D1A4C66">
      <w:pPr>
        <w:spacing w:line="540" w:lineRule="exact"/>
        <w:ind w:right="-226"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虚假</w:t>
      </w:r>
      <w:r>
        <w:rPr>
          <w:rFonts w:hint="eastAsia" w:ascii="宋体" w:hAnsi="宋体" w:eastAsia="宋体" w:cs="宋体"/>
          <w:color w:val="auto"/>
          <w:sz w:val="24"/>
          <w:szCs w:val="24"/>
          <w:highlight w:val="none"/>
        </w:rPr>
        <w:t>，我方将无条件地退出本项目的采购活动，并遵照《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特此声明。</w:t>
      </w:r>
    </w:p>
    <w:p w14:paraId="2EC1CDC6">
      <w:pPr>
        <w:pStyle w:val="14"/>
        <w:adjustRightInd w:val="0"/>
        <w:snapToGrid w:val="0"/>
        <w:spacing w:line="720" w:lineRule="exact"/>
        <w:rPr>
          <w:rFonts w:hint="eastAsia" w:ascii="宋体" w:hAnsi="宋体" w:eastAsia="宋体" w:cs="宋体"/>
          <w:color w:val="auto"/>
          <w:spacing w:val="4"/>
          <w:szCs w:val="24"/>
          <w:highlight w:val="none"/>
        </w:rPr>
      </w:pPr>
    </w:p>
    <w:p w14:paraId="6B69F4B5">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57205CC6">
      <w:pPr>
        <w:spacing w:line="500" w:lineRule="exact"/>
        <w:ind w:firstLine="2880" w:firstLineChars="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719F5444">
      <w:pPr>
        <w:pStyle w:val="44"/>
        <w:spacing w:line="500" w:lineRule="exact"/>
        <w:ind w:firstLine="2880" w:firstLineChars="1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13417AD">
      <w:pPr>
        <w:overflowPunct w:val="0"/>
        <w:adjustRightInd w:val="0"/>
        <w:snapToGrid w:val="0"/>
        <w:spacing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br w:type="page"/>
      </w:r>
      <w:r>
        <w:rPr>
          <w:rFonts w:hint="eastAsia" w:ascii="宋体" w:hAnsi="宋体" w:eastAsia="宋体" w:cs="宋体"/>
          <w:bCs/>
          <w:color w:val="auto"/>
          <w:sz w:val="28"/>
          <w:szCs w:val="28"/>
          <w:highlight w:val="none"/>
        </w:rPr>
        <w:t>附件</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w:t>
      </w:r>
    </w:p>
    <w:p w14:paraId="426286D2">
      <w:pPr>
        <w:adjustRightInd w:val="0"/>
        <w:snapToGrid w:val="0"/>
        <w:spacing w:line="360" w:lineRule="auto"/>
        <w:jc w:val="center"/>
        <w:rPr>
          <w:rFonts w:hint="eastAsia" w:ascii="宋体" w:hAnsi="宋体" w:eastAsia="宋体" w:cs="宋体"/>
          <w:b/>
          <w:bCs/>
          <w:color w:val="auto"/>
          <w:sz w:val="28"/>
          <w:szCs w:val="28"/>
          <w:highlight w:val="none"/>
          <w:lang w:val="en-US" w:eastAsia="zh-CN"/>
        </w:rPr>
      </w:pPr>
    </w:p>
    <w:p w14:paraId="33855229">
      <w:pPr>
        <w:widowControl/>
        <w:spacing w:line="360" w:lineRule="auto"/>
        <w:ind w:left="1"/>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非联合体不分包响应声明</w:t>
      </w:r>
    </w:p>
    <w:p w14:paraId="0FBFC553">
      <w:pPr>
        <w:keepNext w:val="0"/>
        <w:keepLines w:val="0"/>
        <w:pageBreakBefore w:val="0"/>
        <w:kinsoku/>
        <w:wordWrap/>
        <w:topLinePunct w:val="0"/>
        <w:autoSpaceDE/>
        <w:autoSpaceDN/>
        <w:bidi w:val="0"/>
        <w:spacing w:line="480" w:lineRule="auto"/>
        <w:ind w:right="-226" w:rightChars="-9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（采购人名称）    ：</w:t>
      </w:r>
    </w:p>
    <w:p w14:paraId="4C7D623D">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我单位作为</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 xml:space="preserve">的供应商，在此郑重声明本项目为非联合体磋商，本项目实施过程由本单位独立承担。 </w:t>
      </w:r>
    </w:p>
    <w:p w14:paraId="385FB91D">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本单位对上述声明的真实性负责。如有虚假，将依法承担相应责任。</w:t>
      </w:r>
    </w:p>
    <w:p w14:paraId="7FC09757">
      <w:pPr>
        <w:rPr>
          <w:rFonts w:hint="eastAsia" w:ascii="宋体" w:hAnsi="宋体" w:eastAsia="宋体" w:cs="宋体"/>
          <w:color w:val="auto"/>
          <w:sz w:val="28"/>
          <w:szCs w:val="28"/>
          <w:highlight w:val="none"/>
          <w:lang w:val="en-US" w:eastAsia="zh-CN"/>
        </w:rPr>
      </w:pPr>
    </w:p>
    <w:p w14:paraId="0083BA83">
      <w:pPr>
        <w:spacing w:line="360" w:lineRule="auto"/>
        <w:jc w:val="left"/>
        <w:rPr>
          <w:rFonts w:hint="eastAsia" w:ascii="宋体" w:hAnsi="宋体" w:eastAsia="宋体" w:cs="宋体"/>
          <w:color w:val="auto"/>
          <w:sz w:val="24"/>
          <w:highlight w:val="none"/>
        </w:rPr>
      </w:pPr>
    </w:p>
    <w:p w14:paraId="59726BA4">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0ABD4C5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03E8CA24">
      <w:pPr>
        <w:overflowPunct w:val="0"/>
        <w:spacing w:line="360" w:lineRule="auto"/>
        <w:jc w:val="both"/>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日      期：  年  月   日</w:t>
      </w:r>
    </w:p>
    <w:p w14:paraId="27234958">
      <w:pPr>
        <w:pStyle w:val="78"/>
        <w:spacing w:beforeLines="50"/>
        <w:ind w:firstLine="3920" w:firstLineChars="1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A211B40">
      <w:pPr>
        <w:overflowPunct w:val="0"/>
        <w:adjustRightInd w:val="0"/>
        <w:snapToGrid w:val="0"/>
        <w:spacing w:line="440" w:lineRule="exact"/>
        <w:jc w:val="left"/>
        <w:rPr>
          <w:rFonts w:hint="eastAsia" w:ascii="宋体" w:hAnsi="宋体" w:eastAsia="宋体" w:cs="宋体"/>
          <w:color w:val="auto"/>
          <w:sz w:val="30"/>
          <w:szCs w:val="30"/>
          <w:highlight w:val="none"/>
        </w:rPr>
      </w:pPr>
      <w:r>
        <w:rPr>
          <w:rFonts w:hint="eastAsia" w:ascii="宋体" w:hAnsi="宋体" w:eastAsia="宋体" w:cs="宋体"/>
          <w:bCs/>
          <w:color w:val="auto"/>
          <w:sz w:val="28"/>
          <w:szCs w:val="28"/>
          <w:highlight w:val="none"/>
        </w:rPr>
        <w:t>附件</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w:t>
      </w:r>
    </w:p>
    <w:p w14:paraId="682EEEC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0"/>
          <w:szCs w:val="30"/>
          <w:highlight w:val="none"/>
        </w:rPr>
        <w:t>拒绝商业贿赂承诺书</w:t>
      </w:r>
    </w:p>
    <w:p w14:paraId="0917D051">
      <w:pPr>
        <w:overflowPunct w:val="0"/>
        <w:spacing w:line="500" w:lineRule="exact"/>
        <w:ind w:firstLine="496" w:firstLineChars="200"/>
        <w:rPr>
          <w:rFonts w:hint="eastAsia" w:ascii="宋体" w:hAnsi="宋体" w:eastAsia="宋体" w:cs="宋体"/>
          <w:b/>
          <w:bCs/>
          <w:color w:val="auto"/>
          <w:sz w:val="24"/>
          <w:szCs w:val="24"/>
          <w:highlight w:val="none"/>
        </w:rPr>
      </w:pPr>
      <w:r>
        <w:rPr>
          <w:rFonts w:hint="eastAsia" w:ascii="宋体" w:hAnsi="宋体" w:eastAsia="宋体" w:cs="宋体"/>
          <w:color w:val="auto"/>
          <w:spacing w:val="4"/>
          <w:sz w:val="24"/>
          <w:szCs w:val="24"/>
          <w:highlight w:val="none"/>
        </w:rPr>
        <w:t>为响应党中央、国务院关于治理政府采购领域商业贿赂行为的号召，我公司在此庄严承诺：</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1、在参与政府采购活动中遵纪守法、诚信经营、公平竞标。</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2、不向政府采购人、采购代理机构和政府采购评审专家进行任何形式的商业贿赂以谋取交易机会。</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3、不向政府采购代理机构和采购人提供虚假资质证明文件或采用虚假应标方式参与政府采购市场竞争并谋取中标、成交。</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4、不采取“围标、陪标”等商业欺诈手段获得政府采购订单。</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5、不采取不正当手段诋毁、排挤其他</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6、不在提供商品和服务时“偷梁换柱、以次充好”损害采购人的合法权益。</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7、不与采购人、采购代理机构、政府采购评审专家</w:t>
      </w:r>
      <w:r>
        <w:rPr>
          <w:rFonts w:hint="eastAsia" w:ascii="宋体" w:hAnsi="宋体" w:eastAsia="宋体" w:cs="宋体"/>
          <w:color w:val="auto"/>
          <w:spacing w:val="4"/>
          <w:sz w:val="24"/>
          <w:szCs w:val="24"/>
          <w:highlight w:val="none"/>
          <w:lang w:eastAsia="zh-CN"/>
        </w:rPr>
        <w:t>或其他投标人</w:t>
      </w:r>
      <w:r>
        <w:rPr>
          <w:rFonts w:hint="eastAsia" w:ascii="宋体" w:hAnsi="宋体" w:eastAsia="宋体" w:cs="宋体"/>
          <w:color w:val="auto"/>
          <w:spacing w:val="4"/>
          <w:sz w:val="24"/>
          <w:szCs w:val="24"/>
          <w:highlight w:val="none"/>
        </w:rPr>
        <w:t>恶意串通，进行质疑和投诉，维护政府采购市场秩序。</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8、尊重和接受政府采购监督管理部门的监督和政府采购代理机构招标采购要求，承担因违约行为给采购人造成的损失。</w:t>
      </w:r>
      <w:r>
        <w:rPr>
          <w:rFonts w:hint="eastAsia" w:ascii="宋体" w:hAnsi="宋体" w:eastAsia="宋体" w:cs="宋体"/>
          <w:color w:val="auto"/>
          <w:spacing w:val="4"/>
          <w:sz w:val="24"/>
          <w:szCs w:val="24"/>
          <w:highlight w:val="none"/>
        </w:rPr>
        <w:br w:type="textWrapping"/>
      </w:r>
      <w:r>
        <w:rPr>
          <w:rFonts w:hint="eastAsia" w:ascii="宋体" w:hAnsi="宋体" w:eastAsia="宋体" w:cs="宋体"/>
          <w:color w:val="auto"/>
          <w:spacing w:val="4"/>
          <w:sz w:val="24"/>
          <w:szCs w:val="24"/>
          <w:highlight w:val="none"/>
        </w:rPr>
        <w:t>9、不发生其他有悖于政府采购公开、公平、公正和诚信原则的行为。</w:t>
      </w:r>
    </w:p>
    <w:p w14:paraId="5DC5D9D3">
      <w:pPr>
        <w:pStyle w:val="78"/>
        <w:spacing w:beforeLines="50"/>
        <w:ind w:firstLine="0" w:firstLineChars="0"/>
        <w:rPr>
          <w:rFonts w:hint="eastAsia" w:ascii="宋体" w:hAnsi="宋体" w:eastAsia="宋体" w:cs="宋体"/>
          <w:color w:val="auto"/>
          <w:sz w:val="28"/>
          <w:szCs w:val="28"/>
          <w:highlight w:val="none"/>
        </w:rPr>
      </w:pPr>
    </w:p>
    <w:p w14:paraId="277B19DE">
      <w:pPr>
        <w:spacing w:line="360" w:lineRule="auto"/>
        <w:jc w:val="left"/>
        <w:rPr>
          <w:rFonts w:hint="eastAsia" w:ascii="宋体" w:hAnsi="宋体" w:eastAsia="宋体" w:cs="宋体"/>
          <w:color w:val="auto"/>
          <w:sz w:val="24"/>
          <w:highlight w:val="none"/>
        </w:rPr>
      </w:pPr>
    </w:p>
    <w:p w14:paraId="201C5CEC">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6CFB63B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176ECF58">
      <w:pPr>
        <w:overflowPunct w:val="0"/>
        <w:spacing w:line="360" w:lineRule="auto"/>
        <w:jc w:val="both"/>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日      期：  年  月   日</w:t>
      </w:r>
    </w:p>
    <w:p w14:paraId="1688CFC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3312535">
      <w:pPr>
        <w:pStyle w:val="78"/>
        <w:spacing w:beforeLines="50"/>
        <w:ind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p>
    <w:p w14:paraId="79EC9099">
      <w:pPr>
        <w:tabs>
          <w:tab w:val="left" w:pos="-180"/>
        </w:tabs>
        <w:ind w:right="204" w:rightChars="8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无围标、串标行为承诺书</w:t>
      </w:r>
    </w:p>
    <w:p w14:paraId="0B085482">
      <w:pPr>
        <w:pStyle w:val="78"/>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val="en-US" w:eastAsia="zh-CN"/>
        </w:rPr>
        <w:t>郑重</w:t>
      </w:r>
      <w:r>
        <w:rPr>
          <w:rFonts w:hint="eastAsia" w:ascii="宋体" w:hAnsi="宋体" w:eastAsia="宋体" w:cs="宋体"/>
          <w:color w:val="auto"/>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0520B7AE">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w:t>
      </w:r>
    </w:p>
    <w:p w14:paraId="2A79841F">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2）不同供应商委托同一单位或者个人办理磋商事宜；</w:t>
      </w:r>
    </w:p>
    <w:p w14:paraId="7032BEEF">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3）不同供应商的响应文件载明的项目管理成员或者联系人员为同一人；</w:t>
      </w:r>
    </w:p>
    <w:p w14:paraId="4E0A371F">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4）不同供应商的响应文件异常一致或者响应报价呈规律性差异；</w:t>
      </w:r>
    </w:p>
    <w:p w14:paraId="7C85B6DA">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14:paraId="7539929E">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6）不同供应商的磋商保证金从同一单位或者个人的账户转出；</w:t>
      </w:r>
    </w:p>
    <w:p w14:paraId="53B54C02">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7）不同供应商的单位负责人为同一人或者存在直接控股、管理关系的不同供应商，参加同一合同项下的政府采购活动；</w:t>
      </w:r>
    </w:p>
    <w:p w14:paraId="6861F0D3">
      <w:pPr>
        <w:pStyle w:val="78"/>
        <w:spacing w:line="500" w:lineRule="exact"/>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8）法律法规界定的其他围标串标行为。</w:t>
      </w:r>
    </w:p>
    <w:p w14:paraId="2F398DF4">
      <w:pPr>
        <w:pStyle w:val="78"/>
        <w:spacing w:line="5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如有发现我公司存在围标、串标行为，我公司愿承担一切法律责任。</w:t>
      </w:r>
    </w:p>
    <w:p w14:paraId="5FC730FB">
      <w:pPr>
        <w:pStyle w:val="78"/>
        <w:spacing w:line="5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7CD16F0">
      <w:pPr>
        <w:pStyle w:val="78"/>
        <w:spacing w:line="5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注：以上格式不得修改。</w:t>
      </w:r>
    </w:p>
    <w:p w14:paraId="23955148">
      <w:pPr>
        <w:spacing w:line="360" w:lineRule="auto"/>
        <w:jc w:val="center"/>
        <w:rPr>
          <w:rFonts w:hint="eastAsia" w:ascii="宋体" w:hAnsi="宋体" w:eastAsia="宋体" w:cs="宋体"/>
          <w:color w:val="auto"/>
          <w:sz w:val="24"/>
          <w:highlight w:val="none"/>
        </w:rPr>
      </w:pPr>
    </w:p>
    <w:p w14:paraId="453A1F0A">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151C9C5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33E078BB">
      <w:pPr>
        <w:overflowPunct w:val="0"/>
        <w:spacing w:line="360" w:lineRule="auto"/>
        <w:jc w:val="both"/>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日      期：  年  月   日</w:t>
      </w:r>
    </w:p>
    <w:p w14:paraId="1F5E9FB3">
      <w:pPr>
        <w:pStyle w:val="78"/>
        <w:spacing w:beforeLines="50" w:line="500" w:lineRule="exact"/>
        <w:ind w:firstLine="3360" w:firstLineChars="1400"/>
        <w:rPr>
          <w:rFonts w:hint="eastAsia" w:ascii="宋体" w:hAnsi="宋体" w:eastAsia="宋体" w:cs="宋体"/>
          <w:color w:val="auto"/>
          <w:sz w:val="24"/>
          <w:szCs w:val="24"/>
          <w:highlight w:val="none"/>
        </w:rPr>
      </w:pPr>
    </w:p>
    <w:p w14:paraId="20A65B1A">
      <w:pPr>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38CCC0A">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p>
    <w:p w14:paraId="4DA710A7">
      <w:pPr>
        <w:spacing w:line="360" w:lineRule="auto"/>
        <w:jc w:val="center"/>
        <w:rPr>
          <w:rFonts w:hint="eastAsia" w:ascii="宋体" w:hAnsi="宋体" w:eastAsia="宋体" w:cs="宋体"/>
          <w:b/>
          <w:bCs/>
          <w:color w:val="auto"/>
          <w:sz w:val="28"/>
          <w:szCs w:val="24"/>
          <w:highlight w:val="none"/>
        </w:rPr>
      </w:pPr>
      <w:bookmarkStart w:id="109" w:name="_Toc61531865"/>
      <w:bookmarkStart w:id="110" w:name="OLE_LINK14"/>
      <w:bookmarkStart w:id="111" w:name="OLE_LINK13"/>
      <w:r>
        <w:rPr>
          <w:rFonts w:hint="eastAsia" w:ascii="宋体" w:hAnsi="宋体" w:eastAsia="宋体" w:cs="宋体"/>
          <w:b/>
          <w:bCs/>
          <w:color w:val="auto"/>
          <w:sz w:val="28"/>
          <w:szCs w:val="24"/>
          <w:highlight w:val="none"/>
        </w:rPr>
        <w:t>中小企业声明函(服务</w:t>
      </w:r>
      <w:bookmarkEnd w:id="109"/>
      <w:r>
        <w:rPr>
          <w:rFonts w:hint="eastAsia" w:ascii="宋体" w:hAnsi="宋体" w:eastAsia="宋体" w:cs="宋体"/>
          <w:b/>
          <w:bCs/>
          <w:color w:val="auto"/>
          <w:sz w:val="28"/>
          <w:szCs w:val="24"/>
          <w:highlight w:val="none"/>
        </w:rPr>
        <w:t>）</w:t>
      </w:r>
    </w:p>
    <w:p w14:paraId="58B8C044">
      <w:pPr>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（注：符合中小企业划型标准的企业请提供本函，不符合的不提供本函）</w:t>
      </w:r>
    </w:p>
    <w:p w14:paraId="5E557D0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4"/>
          <w:highlight w:val="none"/>
          <w:u w:val="single"/>
        </w:rPr>
        <w:t xml:space="preserve">  (单位名称) </w:t>
      </w:r>
      <w:r>
        <w:rPr>
          <w:rFonts w:hint="eastAsia" w:ascii="宋体" w:hAnsi="宋体" w:eastAsia="宋体" w:cs="宋体"/>
          <w:color w:val="auto"/>
          <w:kern w:val="0"/>
          <w:sz w:val="24"/>
          <w:highlight w:val="none"/>
        </w:rPr>
        <w:t xml:space="preserve"> 的</w:t>
      </w:r>
      <w:r>
        <w:rPr>
          <w:rFonts w:hint="eastAsia" w:ascii="宋体" w:hAnsi="宋体" w:eastAsia="宋体" w:cs="宋体"/>
          <w:color w:val="auto"/>
          <w:kern w:val="0"/>
          <w:sz w:val="24"/>
          <w:highlight w:val="none"/>
          <w:u w:val="single"/>
        </w:rPr>
        <w:t xml:space="preserve"> (项目名称) 采购</w:t>
      </w:r>
      <w:r>
        <w:rPr>
          <w:rFonts w:hint="eastAsia" w:ascii="宋体" w:hAnsi="宋体" w:eastAsia="宋体" w:cs="宋体"/>
          <w:color w:val="auto"/>
          <w:kern w:val="0"/>
          <w:sz w:val="24"/>
          <w:highlight w:val="none"/>
        </w:rPr>
        <w:t>活动，服务全部由符合政策要求的中小企业承接。相关企业(含联合体中的中小企业、签订分包意向协议的中小企业)的具体情况如下：</w:t>
      </w:r>
    </w:p>
    <w:p w14:paraId="6ACD242D">
      <w:pPr>
        <w:numPr>
          <w:ilvl w:val="0"/>
          <w:numId w:val="10"/>
        </w:num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(标的名称)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(采购文件中明的所属行业) </w:t>
      </w:r>
      <w:r>
        <w:rPr>
          <w:rFonts w:hint="eastAsia" w:ascii="宋体" w:hAnsi="宋体" w:eastAsia="宋体" w:cs="宋体"/>
          <w:color w:val="auto"/>
          <w:kern w:val="0"/>
          <w:sz w:val="24"/>
          <w:highlight w:val="none"/>
        </w:rPr>
        <w:t>；承建(承接)企业为</w:t>
      </w:r>
      <w:r>
        <w:rPr>
          <w:rFonts w:hint="eastAsia" w:ascii="宋体" w:hAnsi="宋体" w:eastAsia="宋体" w:cs="宋体"/>
          <w:color w:val="auto"/>
          <w:kern w:val="0"/>
          <w:sz w:val="24"/>
          <w:highlight w:val="none"/>
          <w:u w:val="single"/>
        </w:rPr>
        <w:t xml:space="preserve"> (企业名称) </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 xml:space="preserve"> (中型企必、小型企业、微型企业) </w:t>
      </w:r>
      <w:r>
        <w:rPr>
          <w:rFonts w:hint="eastAsia" w:ascii="宋体" w:hAnsi="宋体" w:eastAsia="宋体" w:cs="宋体"/>
          <w:color w:val="auto"/>
          <w:kern w:val="0"/>
          <w:sz w:val="24"/>
          <w:highlight w:val="none"/>
        </w:rPr>
        <w:t>；</w:t>
      </w:r>
    </w:p>
    <w:p w14:paraId="446669B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 </w:t>
      </w:r>
      <w:r>
        <w:rPr>
          <w:rFonts w:hint="eastAsia" w:ascii="宋体" w:hAnsi="宋体" w:eastAsia="宋体" w:cs="宋体"/>
          <w:color w:val="auto"/>
          <w:kern w:val="0"/>
          <w:sz w:val="24"/>
          <w:highlight w:val="none"/>
          <w:u w:val="single"/>
        </w:rPr>
        <w:t xml:space="preserve"> (标的名称)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(采购文件中明的所属行业) </w:t>
      </w:r>
      <w:r>
        <w:rPr>
          <w:rFonts w:hint="eastAsia" w:ascii="宋体" w:hAnsi="宋体" w:eastAsia="宋体" w:cs="宋体"/>
          <w:color w:val="auto"/>
          <w:kern w:val="0"/>
          <w:sz w:val="24"/>
          <w:highlight w:val="none"/>
        </w:rPr>
        <w:t>；承建(承接)企业为</w:t>
      </w:r>
      <w:r>
        <w:rPr>
          <w:rFonts w:hint="eastAsia" w:ascii="宋体" w:hAnsi="宋体" w:eastAsia="宋体" w:cs="宋体"/>
          <w:color w:val="auto"/>
          <w:kern w:val="0"/>
          <w:sz w:val="24"/>
          <w:highlight w:val="none"/>
          <w:u w:val="single"/>
        </w:rPr>
        <w:t xml:space="preserve"> (企业名称) </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 xml:space="preserve"> (中型企必、小型企业、微型企业) </w:t>
      </w:r>
      <w:r>
        <w:rPr>
          <w:rFonts w:hint="eastAsia" w:ascii="宋体" w:hAnsi="宋体" w:eastAsia="宋体" w:cs="宋体"/>
          <w:color w:val="auto"/>
          <w:kern w:val="0"/>
          <w:sz w:val="24"/>
          <w:highlight w:val="none"/>
        </w:rPr>
        <w:t>；</w:t>
      </w:r>
    </w:p>
    <w:p w14:paraId="132159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4DCB16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07AFA6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5DA9E77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3AA0416">
      <w:pPr>
        <w:spacing w:line="360" w:lineRule="auto"/>
        <w:ind w:firstLine="4200" w:firstLineChars="17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企业名称(盖章):</w:t>
      </w:r>
    </w:p>
    <w:p w14:paraId="13280BC0">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695FF5F2">
      <w:pPr>
        <w:spacing w:line="360" w:lineRule="auto"/>
        <w:rPr>
          <w:rFonts w:hint="eastAsia" w:ascii="宋体" w:hAnsi="宋体" w:eastAsia="宋体" w:cs="宋体"/>
          <w:color w:val="auto"/>
          <w:kern w:val="0"/>
          <w:sz w:val="30"/>
          <w:szCs w:val="30"/>
          <w:highlight w:val="none"/>
          <w:u w:val="single"/>
        </w:rPr>
      </w:pPr>
      <w:r>
        <w:rPr>
          <w:rFonts w:hint="eastAsia" w:ascii="宋体" w:hAnsi="宋体" w:eastAsia="宋体" w:cs="宋体"/>
          <w:color w:val="auto"/>
          <w:kern w:val="0"/>
          <w:sz w:val="30"/>
          <w:szCs w:val="30"/>
          <w:highlight w:val="none"/>
          <w:u w:val="single"/>
        </w:rPr>
        <w:t xml:space="preserve">                                                     </w:t>
      </w:r>
      <w:r>
        <w:rPr>
          <w:rFonts w:hint="eastAsia" w:ascii="宋体" w:hAnsi="宋体" w:eastAsia="宋体" w:cs="宋体"/>
          <w:color w:val="auto"/>
          <w:kern w:val="0"/>
          <w:sz w:val="30"/>
          <w:szCs w:val="30"/>
          <w:highlight w:val="none"/>
          <w:u w:val="single"/>
          <w:lang w:val="en-US" w:eastAsia="zh-CN"/>
        </w:rPr>
        <w:t xml:space="preserve">    </w:t>
      </w:r>
      <w:r>
        <w:rPr>
          <w:rFonts w:hint="eastAsia" w:ascii="宋体" w:hAnsi="宋体" w:eastAsia="宋体" w:cs="宋体"/>
          <w:color w:val="auto"/>
          <w:kern w:val="0"/>
          <w:sz w:val="30"/>
          <w:szCs w:val="30"/>
          <w:highlight w:val="none"/>
          <w:u w:val="single"/>
        </w:rPr>
        <w:t xml:space="preserve">   </w:t>
      </w:r>
    </w:p>
    <w:p w14:paraId="11216FAB">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备注：</w:t>
      </w:r>
      <w:r>
        <w:rPr>
          <w:rFonts w:hint="eastAsia" w:ascii="宋体" w:hAnsi="宋体" w:eastAsia="宋体" w:cs="宋体"/>
          <w:color w:val="auto"/>
          <w:spacing w:val="-58"/>
          <w:sz w:val="22"/>
          <w:szCs w:val="22"/>
          <w:highlight w:val="none"/>
        </w:rPr>
        <w:t xml:space="preserve"> </w:t>
      </w:r>
      <w:r>
        <w:rPr>
          <w:rFonts w:hint="eastAsia" w:ascii="宋体" w:hAnsi="宋体" w:eastAsia="宋体" w:cs="宋体"/>
          <w:color w:val="auto"/>
          <w:spacing w:val="12"/>
          <w:sz w:val="22"/>
          <w:szCs w:val="22"/>
          <w:highlight w:val="none"/>
        </w:rPr>
        <w:t>1、填写前请认真阅读《工业和信息化部、国家统计局、国家发展和</w:t>
      </w:r>
      <w:r>
        <w:rPr>
          <w:rFonts w:hint="eastAsia" w:ascii="宋体" w:hAnsi="宋体" w:eastAsia="宋体" w:cs="宋体"/>
          <w:color w:val="auto"/>
          <w:spacing w:val="11"/>
          <w:sz w:val="22"/>
          <w:szCs w:val="22"/>
          <w:highlight w:val="none"/>
        </w:rPr>
        <w:t>改革委员会、财政</w:t>
      </w:r>
      <w:r>
        <w:rPr>
          <w:rFonts w:hint="eastAsia" w:ascii="宋体" w:hAnsi="宋体" w:eastAsia="宋体" w:cs="宋体"/>
          <w:color w:val="auto"/>
          <w:spacing w:val="10"/>
          <w:sz w:val="22"/>
          <w:szCs w:val="22"/>
          <w:highlight w:val="none"/>
        </w:rPr>
        <w:t>部关于印发中小企业划型标准规定的通知》（工信部联企业[2011]300</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10"/>
          <w:sz w:val="22"/>
          <w:szCs w:val="22"/>
          <w:highlight w:val="none"/>
        </w:rPr>
        <w:t>号）和财政部、工业和信息化部关于印发《政府采购促进中小企业发展管理办法》</w:t>
      </w:r>
      <w:r>
        <w:rPr>
          <w:rFonts w:hint="eastAsia" w:ascii="宋体" w:hAnsi="宋体" w:eastAsia="宋体" w:cs="宋体"/>
          <w:color w:val="auto"/>
          <w:spacing w:val="-59"/>
          <w:sz w:val="22"/>
          <w:szCs w:val="22"/>
          <w:highlight w:val="none"/>
        </w:rPr>
        <w:t xml:space="preserve"> </w:t>
      </w:r>
      <w:r>
        <w:rPr>
          <w:rFonts w:hint="eastAsia" w:ascii="宋体" w:hAnsi="宋体" w:eastAsia="宋体" w:cs="宋体"/>
          <w:color w:val="auto"/>
          <w:spacing w:val="10"/>
          <w:sz w:val="22"/>
          <w:szCs w:val="22"/>
          <w:highlight w:val="none"/>
        </w:rPr>
        <w:t>的通知(财库[2020]46</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10"/>
          <w:sz w:val="22"/>
          <w:szCs w:val="22"/>
          <w:highlight w:val="none"/>
        </w:rPr>
        <w:t>号)相关规定。</w:t>
      </w:r>
    </w:p>
    <w:p w14:paraId="2233B06D">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2、从业人员、营业收入、资产总额填报上一年度数据，无上一年度数据的新</w:t>
      </w:r>
      <w:r>
        <w:rPr>
          <w:rFonts w:hint="eastAsia" w:ascii="宋体" w:hAnsi="宋体" w:eastAsia="宋体" w:cs="宋体"/>
          <w:color w:val="auto"/>
          <w:spacing w:val="12"/>
          <w:sz w:val="22"/>
          <w:szCs w:val="22"/>
          <w:highlight w:val="none"/>
        </w:rPr>
        <w:t>成立企业可不填</w:t>
      </w:r>
      <w:r>
        <w:rPr>
          <w:rFonts w:hint="eastAsia" w:ascii="宋体" w:hAnsi="宋体" w:eastAsia="宋体" w:cs="宋体"/>
          <w:color w:val="auto"/>
          <w:spacing w:val="1"/>
          <w:sz w:val="22"/>
          <w:szCs w:val="22"/>
          <w:highlight w:val="none"/>
        </w:rPr>
        <w:t>报。</w:t>
      </w:r>
    </w:p>
    <w:p w14:paraId="7983681F">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pacing w:val="13"/>
          <w:sz w:val="22"/>
          <w:szCs w:val="22"/>
          <w:highlight w:val="none"/>
          <w:lang w:val="en-US" w:eastAsia="zh-CN"/>
        </w:rPr>
        <w:t>3</w:t>
      </w:r>
      <w:r>
        <w:rPr>
          <w:rFonts w:hint="eastAsia" w:ascii="宋体" w:hAnsi="宋体" w:eastAsia="宋体" w:cs="宋体"/>
          <w:color w:val="auto"/>
          <w:spacing w:val="13"/>
          <w:sz w:val="22"/>
          <w:szCs w:val="22"/>
          <w:highlight w:val="none"/>
        </w:rPr>
        <w:t>、根据《工业和信息化部、国家统计局、国家发展和改革委员会、财政</w:t>
      </w:r>
      <w:r>
        <w:rPr>
          <w:rFonts w:hint="eastAsia" w:ascii="宋体" w:hAnsi="宋体" w:eastAsia="宋体" w:cs="宋体"/>
          <w:color w:val="auto"/>
          <w:spacing w:val="12"/>
          <w:sz w:val="22"/>
          <w:szCs w:val="22"/>
          <w:highlight w:val="none"/>
        </w:rPr>
        <w:t>部关于印发中小企业</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划型标准规定的通知》（工信部联企业[201</w:t>
      </w:r>
      <w:r>
        <w:rPr>
          <w:rFonts w:hint="eastAsia" w:ascii="宋体" w:hAnsi="宋体" w:eastAsia="宋体" w:cs="宋体"/>
          <w:color w:val="auto"/>
          <w:spacing w:val="11"/>
          <w:sz w:val="22"/>
          <w:szCs w:val="22"/>
          <w:highlight w:val="none"/>
        </w:rPr>
        <w:t>1]300</w:t>
      </w:r>
      <w:r>
        <w:rPr>
          <w:rFonts w:hint="eastAsia" w:ascii="宋体" w:hAnsi="宋体" w:eastAsia="宋体" w:cs="宋体"/>
          <w:color w:val="auto"/>
          <w:spacing w:val="-28"/>
          <w:sz w:val="22"/>
          <w:szCs w:val="22"/>
          <w:highlight w:val="none"/>
        </w:rPr>
        <w:t xml:space="preserve"> </w:t>
      </w:r>
      <w:r>
        <w:rPr>
          <w:rFonts w:hint="eastAsia" w:ascii="宋体" w:hAnsi="宋体" w:eastAsia="宋体" w:cs="宋体"/>
          <w:color w:val="auto"/>
          <w:spacing w:val="11"/>
          <w:sz w:val="22"/>
          <w:szCs w:val="22"/>
          <w:highlight w:val="none"/>
        </w:rPr>
        <w:t>号</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57"/>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1"/>
          <w:sz w:val="22"/>
          <w:szCs w:val="22"/>
          <w:highlight w:val="none"/>
        </w:rPr>
        <w:t>本项目所属行业中小企业划型标准具体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0"/>
          <w:sz w:val="22"/>
          <w:szCs w:val="22"/>
          <w:highlight w:val="none"/>
        </w:rPr>
        <w:t>如下：工业。从业人员</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10"/>
          <w:sz w:val="22"/>
          <w:szCs w:val="22"/>
          <w:highlight w:val="none"/>
        </w:rPr>
        <w:t>1000</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10"/>
          <w:sz w:val="22"/>
          <w:szCs w:val="22"/>
          <w:highlight w:val="none"/>
        </w:rPr>
        <w:t>人以下或营业收入</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10"/>
          <w:sz w:val="22"/>
          <w:szCs w:val="22"/>
          <w:highlight w:val="none"/>
        </w:rPr>
        <w:t>40000</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10"/>
          <w:sz w:val="22"/>
          <w:szCs w:val="22"/>
          <w:highlight w:val="none"/>
        </w:rPr>
        <w:t>万元以下的为中小微型企业。其中，从业人</w:t>
      </w:r>
      <w:r>
        <w:rPr>
          <w:rFonts w:hint="eastAsia" w:ascii="宋体" w:hAnsi="宋体" w:eastAsia="宋体" w:cs="宋体"/>
          <w:color w:val="auto"/>
          <w:spacing w:val="8"/>
          <w:sz w:val="22"/>
          <w:szCs w:val="22"/>
          <w:highlight w:val="none"/>
        </w:rPr>
        <w:t>员</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8"/>
          <w:sz w:val="22"/>
          <w:szCs w:val="22"/>
          <w:highlight w:val="none"/>
        </w:rPr>
        <w:t>300</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8"/>
          <w:sz w:val="22"/>
          <w:szCs w:val="22"/>
          <w:highlight w:val="none"/>
        </w:rPr>
        <w:t>人及以上，且营业收入</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8"/>
          <w:sz w:val="22"/>
          <w:szCs w:val="22"/>
          <w:highlight w:val="none"/>
        </w:rPr>
        <w:t>2000</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8"/>
          <w:sz w:val="22"/>
          <w:szCs w:val="22"/>
          <w:highlight w:val="none"/>
        </w:rPr>
        <w:t>万元及以上的为中型企业</w:t>
      </w:r>
      <w:r>
        <w:rPr>
          <w:rFonts w:hint="eastAsia" w:ascii="宋体" w:hAnsi="宋体" w:eastAsia="宋体" w:cs="宋体"/>
          <w:color w:val="auto"/>
          <w:spacing w:val="7"/>
          <w:sz w:val="22"/>
          <w:szCs w:val="22"/>
          <w:highlight w:val="none"/>
        </w:rPr>
        <w:t>；从业人员</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7"/>
          <w:sz w:val="22"/>
          <w:szCs w:val="22"/>
          <w:highlight w:val="none"/>
        </w:rPr>
        <w:t>20</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7"/>
          <w:sz w:val="22"/>
          <w:szCs w:val="22"/>
          <w:highlight w:val="none"/>
        </w:rPr>
        <w:t>人及以上，且营业收入</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0"/>
          <w:sz w:val="22"/>
          <w:szCs w:val="22"/>
          <w:highlight w:val="none"/>
        </w:rPr>
        <w:t>300</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10"/>
          <w:sz w:val="22"/>
          <w:szCs w:val="22"/>
          <w:highlight w:val="none"/>
        </w:rPr>
        <w:t>万元及以上的为小型企业；从业人员</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10"/>
          <w:sz w:val="22"/>
          <w:szCs w:val="22"/>
          <w:highlight w:val="none"/>
        </w:rPr>
        <w:t>20</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10"/>
          <w:sz w:val="22"/>
          <w:szCs w:val="22"/>
          <w:highlight w:val="none"/>
        </w:rPr>
        <w:t>人以下或营业收入</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10"/>
          <w:sz w:val="22"/>
          <w:szCs w:val="22"/>
          <w:highlight w:val="none"/>
        </w:rPr>
        <w:t>3</w:t>
      </w:r>
      <w:r>
        <w:rPr>
          <w:rFonts w:hint="eastAsia" w:ascii="宋体" w:hAnsi="宋体" w:eastAsia="宋体" w:cs="宋体"/>
          <w:color w:val="auto"/>
          <w:spacing w:val="9"/>
          <w:sz w:val="22"/>
          <w:szCs w:val="22"/>
          <w:highlight w:val="none"/>
        </w:rPr>
        <w:t>00</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9"/>
          <w:sz w:val="22"/>
          <w:szCs w:val="22"/>
          <w:highlight w:val="none"/>
        </w:rPr>
        <w:t>万元以下的为微型企业。</w:t>
      </w:r>
      <w:r>
        <w:rPr>
          <w:rFonts w:hint="eastAsia" w:ascii="宋体" w:hAnsi="宋体" w:eastAsia="宋体" w:cs="宋体"/>
          <w:color w:val="auto"/>
          <w:kern w:val="0"/>
          <w:sz w:val="22"/>
          <w:szCs w:val="22"/>
          <w:highlight w:val="none"/>
        </w:rPr>
        <w:t xml:space="preserve"> </w:t>
      </w:r>
    </w:p>
    <w:p w14:paraId="71F9A830">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page"/>
      </w:r>
    </w:p>
    <w:p w14:paraId="768C7448">
      <w:p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p>
    <w:bookmarkEnd w:id="110"/>
    <w:bookmarkEnd w:id="111"/>
    <w:p w14:paraId="53652A2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63F08631">
      <w:pPr>
        <w:pStyle w:val="2"/>
        <w:spacing w:line="360" w:lineRule="auto"/>
        <w:ind w:firstLine="964" w:firstLineChars="400"/>
        <w:rPr>
          <w:rFonts w:hint="eastAsia" w:ascii="宋体" w:hAnsi="宋体" w:eastAsia="宋体" w:cs="宋体"/>
          <w:color w:val="auto"/>
          <w:highlight w:val="none"/>
        </w:rPr>
      </w:pPr>
      <w:r>
        <w:rPr>
          <w:rFonts w:hint="eastAsia" w:ascii="宋体" w:hAnsi="宋体" w:eastAsia="宋体" w:cs="宋体"/>
          <w:b/>
          <w:bCs/>
          <w:color w:val="auto"/>
          <w:highlight w:val="none"/>
        </w:rPr>
        <w:t>（注：符合残疾人福利性的企业请提供本函，不符合的不提供本函）</w:t>
      </w:r>
    </w:p>
    <w:p w14:paraId="55758881">
      <w:pPr>
        <w:pStyle w:val="2"/>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宋体" w:hAnsi="宋体" w:eastAsia="宋体" w:cs="宋体"/>
          <w:b w:val="0"/>
          <w:color w:val="auto"/>
          <w:kern w:val="0"/>
          <w:sz w:val="24"/>
          <w:highlight w:val="none"/>
          <w:lang w:val="en-US" w:eastAsia="zh-CN" w:bidi="ar-SA"/>
        </w:rPr>
      </w:pPr>
      <w:r>
        <w:rPr>
          <w:rFonts w:hint="eastAsia" w:ascii="宋体" w:hAnsi="宋体" w:eastAsia="宋体"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宋体" w:hAnsi="宋体" w:eastAsia="宋体" w:cs="宋体"/>
          <w:b w:val="0"/>
          <w:color w:val="auto"/>
          <w:kern w:val="0"/>
          <w:sz w:val="24"/>
          <w:highlight w:val="none"/>
          <w:u w:val="single"/>
          <w:lang w:val="en-US" w:eastAsia="zh-CN" w:bidi="ar-SA"/>
        </w:rPr>
        <w:t xml:space="preserve">    项目名称  </w:t>
      </w:r>
      <w:r>
        <w:rPr>
          <w:rFonts w:hint="eastAsia" w:ascii="宋体" w:hAnsi="宋体" w:eastAsia="宋体" w:cs="宋体"/>
          <w:b w:val="0"/>
          <w:color w:val="auto"/>
          <w:kern w:val="0"/>
          <w:sz w:val="24"/>
          <w:highlight w:val="none"/>
          <w:lang w:val="en-US" w:eastAsia="zh-CN" w:bidi="ar-SA"/>
        </w:rPr>
        <w:t>（项目编号：</w:t>
      </w:r>
      <w:r>
        <w:rPr>
          <w:rFonts w:hint="eastAsia" w:ascii="宋体" w:hAnsi="宋体" w:eastAsia="宋体" w:cs="宋体"/>
          <w:b w:val="0"/>
          <w:color w:val="auto"/>
          <w:kern w:val="0"/>
          <w:sz w:val="24"/>
          <w:highlight w:val="none"/>
          <w:u w:val="single"/>
          <w:lang w:val="en-US" w:eastAsia="zh-CN" w:bidi="ar-SA"/>
        </w:rPr>
        <w:t xml:space="preserve">      </w:t>
      </w:r>
      <w:r>
        <w:rPr>
          <w:rFonts w:hint="eastAsia" w:ascii="宋体" w:hAnsi="宋体" w:eastAsia="宋体" w:cs="宋体"/>
          <w:b w:val="0"/>
          <w:color w:val="auto"/>
          <w:kern w:val="0"/>
          <w:sz w:val="24"/>
          <w:highlight w:val="none"/>
          <w:lang w:val="en-US" w:eastAsia="zh-CN" w:bidi="ar-SA"/>
        </w:rPr>
        <w:t>）第</w:t>
      </w:r>
      <w:r>
        <w:rPr>
          <w:rFonts w:hint="eastAsia" w:ascii="宋体" w:hAnsi="宋体" w:eastAsia="宋体" w:cs="宋体"/>
          <w:b w:val="0"/>
          <w:color w:val="auto"/>
          <w:kern w:val="0"/>
          <w:sz w:val="24"/>
          <w:highlight w:val="none"/>
          <w:u w:val="single"/>
          <w:lang w:val="en-US" w:eastAsia="zh-CN" w:bidi="ar-SA"/>
        </w:rPr>
        <w:t xml:space="preserve">     </w:t>
      </w:r>
      <w:r>
        <w:rPr>
          <w:rFonts w:hint="eastAsia" w:ascii="宋体" w:hAnsi="宋体" w:eastAsia="宋体"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02D3FBCF">
      <w:pPr>
        <w:spacing w:line="500" w:lineRule="exact"/>
        <w:ind w:firstLine="480" w:firstLineChars="200"/>
        <w:rPr>
          <w:rFonts w:hint="eastAsia" w:ascii="宋体" w:hAnsi="宋体" w:eastAsia="宋体" w:cs="宋体"/>
          <w:color w:val="auto"/>
          <w:spacing w:val="6"/>
          <w:sz w:val="28"/>
          <w:szCs w:val="28"/>
          <w:highlight w:val="none"/>
        </w:rPr>
      </w:pPr>
      <w:r>
        <w:rPr>
          <w:rFonts w:hint="eastAsia" w:ascii="宋体" w:hAnsi="宋体" w:eastAsia="宋体" w:cs="宋体"/>
          <w:b w:val="0"/>
          <w:color w:val="auto"/>
          <w:kern w:val="0"/>
          <w:sz w:val="24"/>
          <w:highlight w:val="none"/>
          <w:lang w:val="en-US" w:eastAsia="zh-CN" w:bidi="ar-SA"/>
        </w:rPr>
        <w:t>本单位对上述声明的真实性负责。如有虚假，将依法承担相应责任。</w:t>
      </w:r>
    </w:p>
    <w:p w14:paraId="59FDD4E4">
      <w:pPr>
        <w:spacing w:line="500" w:lineRule="exact"/>
        <w:ind w:left="1438" w:leftChars="599" w:firstLine="2740" w:firstLineChars="1142"/>
        <w:rPr>
          <w:rFonts w:hint="eastAsia" w:ascii="宋体" w:hAnsi="宋体" w:eastAsia="宋体" w:cs="宋体"/>
          <w:color w:val="auto"/>
          <w:kern w:val="0"/>
          <w:sz w:val="24"/>
          <w:szCs w:val="20"/>
          <w:highlight w:val="none"/>
        </w:rPr>
      </w:pPr>
    </w:p>
    <w:p w14:paraId="6FC8941F">
      <w:pPr>
        <w:spacing w:line="500" w:lineRule="exact"/>
        <w:ind w:left="1438" w:leftChars="599" w:firstLine="2740" w:firstLineChars="1142"/>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残疾人福利性单位（盖公章）：</w:t>
      </w:r>
    </w:p>
    <w:p w14:paraId="44901BAF">
      <w:pPr>
        <w:spacing w:line="500" w:lineRule="exact"/>
        <w:ind w:left="1438" w:leftChars="599" w:firstLine="2740" w:firstLineChars="1142"/>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法定代表人或</w:t>
      </w:r>
      <w:r>
        <w:rPr>
          <w:rFonts w:hint="eastAsia" w:ascii="宋体" w:hAnsi="宋体" w:eastAsia="宋体" w:cs="宋体"/>
          <w:color w:val="auto"/>
          <w:kern w:val="0"/>
          <w:sz w:val="24"/>
          <w:highlight w:val="none"/>
          <w:lang w:val="en-US" w:eastAsia="zh-CN"/>
        </w:rPr>
        <w:t>被授权人</w:t>
      </w:r>
      <w:r>
        <w:rPr>
          <w:rFonts w:hint="eastAsia" w:ascii="宋体" w:hAnsi="宋体" w:eastAsia="宋体" w:cs="宋体"/>
          <w:color w:val="auto"/>
          <w:kern w:val="0"/>
          <w:sz w:val="24"/>
          <w:highlight w:val="none"/>
        </w:rPr>
        <w:t xml:space="preserve">（签字或盖章）:  </w:t>
      </w:r>
    </w:p>
    <w:p w14:paraId="49BDB293">
      <w:pPr>
        <w:spacing w:line="500" w:lineRule="exact"/>
        <w:ind w:firstLine="4080" w:firstLineChars="1700"/>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日          期：</w:t>
      </w:r>
    </w:p>
    <w:p w14:paraId="393BC5D8">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宋体" w:hAnsi="宋体" w:eastAsia="宋体" w:cs="宋体"/>
          <w:b/>
          <w:bCs/>
          <w:color w:val="auto"/>
          <w:spacing w:val="13"/>
          <w:sz w:val="22"/>
          <w:szCs w:val="22"/>
          <w:highlight w:val="none"/>
          <w:lang w:val="en-US" w:eastAsia="zh-CN"/>
        </w:rPr>
      </w:pPr>
    </w:p>
    <w:p w14:paraId="3A2D455F">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宋体" w:hAnsi="宋体" w:eastAsia="宋体" w:cs="宋体"/>
          <w:b/>
          <w:bCs/>
          <w:color w:val="auto"/>
          <w:spacing w:val="13"/>
          <w:sz w:val="22"/>
          <w:szCs w:val="22"/>
          <w:highlight w:val="none"/>
          <w:lang w:val="en-US" w:eastAsia="zh-CN"/>
        </w:rPr>
      </w:pPr>
    </w:p>
    <w:p w14:paraId="4B1D5D3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宋体" w:hAnsi="宋体" w:eastAsia="宋体" w:cs="宋体"/>
          <w:b/>
          <w:bCs/>
          <w:color w:val="auto"/>
          <w:spacing w:val="13"/>
          <w:sz w:val="22"/>
          <w:szCs w:val="22"/>
          <w:highlight w:val="none"/>
          <w:lang w:val="en-US" w:eastAsia="zh-CN"/>
        </w:rPr>
      </w:pPr>
    </w:p>
    <w:p w14:paraId="660DB7B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b/>
          <w:bCs/>
          <w:color w:val="auto"/>
          <w:spacing w:val="13"/>
          <w:sz w:val="22"/>
          <w:szCs w:val="22"/>
          <w:highlight w:val="none"/>
          <w:lang w:val="en-US" w:eastAsia="zh-CN"/>
        </w:rPr>
        <w:t>备注：</w:t>
      </w:r>
      <w:r>
        <w:rPr>
          <w:rFonts w:hint="eastAsia" w:ascii="宋体" w:hAnsi="宋体" w:eastAsia="宋体" w:cs="宋体"/>
          <w:color w:val="auto"/>
          <w:spacing w:val="13"/>
          <w:sz w:val="22"/>
          <w:szCs w:val="22"/>
          <w:highlight w:val="none"/>
          <w:lang w:val="en-US" w:eastAsia="zh-CN"/>
        </w:rPr>
        <w:t>项目不分标段的，第</w:t>
      </w:r>
      <w:r>
        <w:rPr>
          <w:rFonts w:hint="eastAsia" w:ascii="宋体" w:hAnsi="宋体" w:eastAsia="宋体" w:cs="宋体"/>
          <w:color w:val="auto"/>
          <w:spacing w:val="13"/>
          <w:sz w:val="22"/>
          <w:szCs w:val="22"/>
          <w:highlight w:val="none"/>
          <w:u w:val="single"/>
          <w:lang w:val="en-US" w:eastAsia="zh-CN"/>
        </w:rPr>
        <w:t xml:space="preserve">     </w:t>
      </w:r>
      <w:r>
        <w:rPr>
          <w:rFonts w:hint="eastAsia" w:ascii="宋体" w:hAnsi="宋体" w:eastAsia="宋体" w:cs="宋体"/>
          <w:color w:val="auto"/>
          <w:spacing w:val="13"/>
          <w:sz w:val="22"/>
          <w:szCs w:val="22"/>
          <w:highlight w:val="none"/>
          <w:lang w:val="en-US" w:eastAsia="zh-CN"/>
        </w:rPr>
        <w:t>标段空白处填写“/ ”。</w:t>
      </w:r>
    </w:p>
    <w:p w14:paraId="4A17E9E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根据《财政部 民政部 中国残疾人联合会关于促进残疾人就业政府采购政策的通知》（财库〔2017〕 141 号） 的规定：</w:t>
      </w:r>
    </w:p>
    <w:p w14:paraId="4F225C4E">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一、享受政府采购支持政策的残疾人福利性单位应当同时满足以下条件：</w:t>
      </w:r>
    </w:p>
    <w:p w14:paraId="2330AB0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（一）安置的残疾人占本单位在职职工人数的比例不低于 25%（含 25%），并且安置的残疾人人数不少于 10 人（含 10 人）；</w:t>
      </w:r>
    </w:p>
    <w:p w14:paraId="7003E6E5">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（二）依法与安置的每位残疾人签订了一年以上（含一年）的劳动合同或服务协议；</w:t>
      </w:r>
    </w:p>
    <w:p w14:paraId="7BAD39D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（三）为安置的每位残疾人按月足额缴纳了基本养老保险、基本医疗保险、失业保险、工伤保险和生育保险等社会保险费；</w:t>
      </w:r>
    </w:p>
    <w:p w14:paraId="0881465B">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（四）通过银行等金融机构向安置的每位残疾人，按月支付了不低于单位所在区县适用的经省级人民政府批准的月最低工资标准的工资；</w:t>
      </w:r>
    </w:p>
    <w:p w14:paraId="54497A0A">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（五）提供本单位制造的货物、承担的工程或者服务（以下简称产品），或者提供其他残疾人福利性单位制造的货物（不包括使用非残疾人福利性单位注册商标的货物）。</w:t>
      </w:r>
    </w:p>
    <w:p w14:paraId="695F14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pacing w:val="13"/>
          <w:sz w:val="22"/>
          <w:szCs w:val="22"/>
          <w:highlight w:val="none"/>
          <w:lang w:val="en-US" w:eastAsia="zh-CN"/>
        </w:rPr>
      </w:pPr>
      <w:r>
        <w:rPr>
          <w:rFonts w:hint="eastAsia" w:ascii="宋体" w:hAnsi="宋体" w:eastAsia="宋体" w:cs="宋体"/>
          <w:color w:val="auto"/>
          <w:spacing w:val="13"/>
          <w:sz w:val="22"/>
          <w:szCs w:val="22"/>
          <w:highlight w:val="none"/>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07B52B6">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hint="eastAsia" w:ascii="宋体" w:hAnsi="宋体" w:eastAsia="宋体" w:cs="宋体"/>
          <w:color w:val="auto"/>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宋体" w:hAnsi="宋体" w:eastAsia="宋体" w:cs="宋体"/>
          <w:color w:val="auto"/>
          <w:spacing w:val="13"/>
          <w:sz w:val="22"/>
          <w:szCs w:val="22"/>
          <w:highlight w:val="none"/>
          <w:lang w:val="en-US" w:eastAsia="zh-CN"/>
        </w:rPr>
        <w:t>二、中标、成交投标人为残疾人福利性单位的，采购人或者其委托的采购代理机构应当随中标、成交结果同时公告其《残疾人福利性单位声明函》，接受社会监督。</w:t>
      </w:r>
    </w:p>
    <w:p w14:paraId="0F35CAD5">
      <w:pPr>
        <w:widowControl/>
        <w:spacing w:line="360" w:lineRule="auto"/>
        <w:jc w:val="both"/>
        <w:rPr>
          <w:rFonts w:hint="eastAsia" w:ascii="宋体" w:hAnsi="宋体" w:eastAsia="宋体" w:cs="宋体"/>
          <w:bCs/>
          <w:color w:val="auto"/>
          <w:sz w:val="28"/>
          <w:szCs w:val="28"/>
          <w:highlight w:val="none"/>
          <w:lang w:val="en-US" w:eastAsia="zh-CN"/>
        </w:rPr>
      </w:pPr>
      <w:bookmarkStart w:id="112" w:name="_Toc27112"/>
      <w:bookmarkStart w:id="113" w:name="_Toc12758"/>
      <w:bookmarkStart w:id="114" w:name="_Toc16262"/>
      <w:r>
        <w:rPr>
          <w:rFonts w:hint="eastAsia" w:ascii="宋体" w:hAnsi="宋体" w:eastAsia="宋体" w:cs="宋体"/>
          <w:bCs/>
          <w:color w:val="auto"/>
          <w:sz w:val="28"/>
          <w:szCs w:val="28"/>
          <w:highlight w:val="none"/>
          <w:lang w:val="en-US" w:eastAsia="zh-CN"/>
        </w:rPr>
        <w:t>附件9：</w:t>
      </w:r>
    </w:p>
    <w:p w14:paraId="74A12EC9">
      <w:pPr>
        <w:widowControl/>
        <w:spacing w:line="360" w:lineRule="auto"/>
        <w:ind w:left="1" w:firstLine="1506" w:firstLineChars="500"/>
        <w:jc w:val="both"/>
        <w:rPr>
          <w:rFonts w:hint="eastAsia" w:ascii="宋体" w:hAnsi="宋体" w:eastAsia="宋体" w:cs="宋体"/>
          <w:b/>
          <w:color w:val="auto"/>
          <w:kern w:val="0"/>
          <w:sz w:val="30"/>
          <w:szCs w:val="30"/>
          <w:highlight w:val="none"/>
          <w:lang w:val="zh-CN" w:eastAsia="zh-CN"/>
        </w:rPr>
      </w:pPr>
      <w:r>
        <w:rPr>
          <w:rFonts w:hint="eastAsia" w:ascii="宋体" w:hAnsi="宋体" w:eastAsia="宋体" w:cs="宋体"/>
          <w:b/>
          <w:color w:val="auto"/>
          <w:kern w:val="0"/>
          <w:sz w:val="30"/>
          <w:szCs w:val="30"/>
          <w:highlight w:val="none"/>
          <w:lang w:val="zh-CN" w:eastAsia="zh-CN"/>
        </w:rPr>
        <w:t>监狱、戒毒企业声明函（如适用）（格式）</w:t>
      </w:r>
    </w:p>
    <w:p w14:paraId="6F6C4AA9">
      <w:pPr>
        <w:pStyle w:val="2"/>
        <w:spacing w:line="360" w:lineRule="auto"/>
        <w:ind w:firstLine="960" w:firstLineChars="400"/>
        <w:rPr>
          <w:rFonts w:hint="eastAsia" w:ascii="宋体" w:hAnsi="宋体" w:eastAsia="宋体" w:cs="宋体"/>
          <w:color w:val="auto"/>
          <w:sz w:val="28"/>
          <w:szCs w:val="28"/>
          <w:highlight w:val="none"/>
        </w:rPr>
      </w:pPr>
      <w:r>
        <w:rPr>
          <w:rFonts w:hint="eastAsia" w:ascii="宋体" w:hAnsi="宋体" w:eastAsia="宋体" w:cs="宋体"/>
          <w:bCs/>
          <w:color w:val="auto"/>
          <w:sz w:val="24"/>
          <w:szCs w:val="24"/>
          <w:highlight w:val="none"/>
        </w:rPr>
        <w:t>（注：符合</w:t>
      </w:r>
      <w:r>
        <w:rPr>
          <w:rFonts w:hint="eastAsia" w:ascii="宋体" w:hAnsi="宋体" w:eastAsia="宋体" w:cs="宋体"/>
          <w:bCs/>
          <w:color w:val="auto"/>
          <w:sz w:val="24"/>
          <w:szCs w:val="24"/>
          <w:highlight w:val="none"/>
          <w:lang w:val="zh-CN" w:eastAsia="zh-CN"/>
        </w:rPr>
        <w:t>监狱、戒毒企业</w:t>
      </w:r>
      <w:r>
        <w:rPr>
          <w:rFonts w:hint="eastAsia" w:ascii="宋体" w:hAnsi="宋体" w:eastAsia="宋体" w:cs="宋体"/>
          <w:bCs/>
          <w:color w:val="auto"/>
          <w:sz w:val="24"/>
          <w:szCs w:val="24"/>
          <w:highlight w:val="none"/>
        </w:rPr>
        <w:t>的企业请提供本函，不符合的不提供本函）</w:t>
      </w:r>
    </w:p>
    <w:p w14:paraId="3AC807CA">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本单位郑重声明，根据《财政部司法部关于政府采购支持监狱企业发展有关问题的通知》（财库〔2014〕68号）的规定，本单位为符合条件的监狱、戒毒企业，且本单位参加的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项目采购活动提供本单位制造的货物（由本单位承担工程/提供服务），或者提供其他监狱、戒毒企业制造的货物（不包括使用非监狱、戒毒企业注册商标的货物）。</w:t>
      </w:r>
    </w:p>
    <w:p w14:paraId="2DAB6482">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DEC7C9A">
      <w:pPr>
        <w:spacing w:line="360" w:lineRule="auto"/>
        <w:ind w:firstLine="480"/>
        <w:rPr>
          <w:rFonts w:hint="eastAsia" w:ascii="宋体" w:hAnsi="宋体" w:eastAsia="宋体" w:cs="宋体"/>
          <w:color w:val="auto"/>
          <w:sz w:val="28"/>
          <w:szCs w:val="28"/>
          <w:highlight w:val="none"/>
        </w:rPr>
      </w:pPr>
    </w:p>
    <w:p w14:paraId="1A578778">
      <w:pPr>
        <w:spacing w:line="500" w:lineRule="exact"/>
        <w:ind w:firstLine="2880" w:firstLineChars="1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en-US" w:eastAsia="zh-CN"/>
        </w:rPr>
        <w:t>监狱戒毒企业</w:t>
      </w:r>
      <w:r>
        <w:rPr>
          <w:rFonts w:hint="eastAsia" w:ascii="宋体" w:hAnsi="宋体" w:eastAsia="宋体" w:cs="宋体"/>
          <w:color w:val="auto"/>
          <w:kern w:val="0"/>
          <w:sz w:val="24"/>
          <w:highlight w:val="none"/>
        </w:rPr>
        <w:t>（盖公章）：</w:t>
      </w:r>
      <w:r>
        <w:rPr>
          <w:rFonts w:hint="eastAsia" w:ascii="宋体" w:hAnsi="宋体" w:eastAsia="宋体" w:cs="宋体"/>
          <w:color w:val="auto"/>
          <w:kern w:val="0"/>
          <w:sz w:val="24"/>
          <w:highlight w:val="none"/>
          <w:u w:val="single"/>
        </w:rPr>
        <w:t xml:space="preserve">                  </w:t>
      </w:r>
    </w:p>
    <w:p w14:paraId="057513CE">
      <w:pPr>
        <w:spacing w:line="500" w:lineRule="exact"/>
        <w:ind w:firstLine="2880" w:firstLineChars="1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法定代表人或</w:t>
      </w:r>
      <w:r>
        <w:rPr>
          <w:rFonts w:hint="eastAsia" w:ascii="宋体" w:hAnsi="宋体" w:eastAsia="宋体" w:cs="宋体"/>
          <w:color w:val="auto"/>
          <w:kern w:val="0"/>
          <w:sz w:val="24"/>
          <w:szCs w:val="24"/>
          <w:highlight w:val="none"/>
          <w:lang w:val="en-US" w:eastAsia="zh-CN"/>
        </w:rPr>
        <w:t>被授权人</w:t>
      </w:r>
      <w:r>
        <w:rPr>
          <w:rFonts w:hint="eastAsia" w:ascii="宋体" w:hAnsi="宋体" w:eastAsia="宋体" w:cs="宋体"/>
          <w:color w:val="auto"/>
          <w:sz w:val="24"/>
          <w:szCs w:val="24"/>
          <w:highlight w:val="none"/>
        </w:rPr>
        <w:t>（签字或盖章）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szCs w:val="24"/>
          <w:highlight w:val="none"/>
        </w:rPr>
        <w:t xml:space="preserve">         </w:t>
      </w:r>
    </w:p>
    <w:p w14:paraId="477D2A04">
      <w:pPr>
        <w:tabs>
          <w:tab w:val="left" w:pos="4860"/>
        </w:tabs>
        <w:spacing w:line="360" w:lineRule="auto"/>
        <w:ind w:right="1560" w:firstLine="2880" w:firstLineChars="1200"/>
        <w:jc w:val="both"/>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rPr>
        <w:t>日          期：</w:t>
      </w:r>
      <w:r>
        <w:rPr>
          <w:rFonts w:hint="eastAsia" w:ascii="宋体" w:hAnsi="宋体" w:eastAsia="宋体" w:cs="宋体"/>
          <w:color w:val="auto"/>
          <w:kern w:val="0"/>
          <w:sz w:val="24"/>
          <w:highlight w:val="none"/>
          <w:u w:val="single"/>
        </w:rPr>
        <w:t xml:space="preserve">                          </w:t>
      </w:r>
    </w:p>
    <w:p w14:paraId="7643A00E">
      <w:pPr>
        <w:tabs>
          <w:tab w:val="left" w:pos="4860"/>
        </w:tabs>
        <w:spacing w:line="360" w:lineRule="auto"/>
        <w:ind w:right="1560" w:firstLine="560" w:firstLineChars="200"/>
        <w:jc w:val="center"/>
        <w:rPr>
          <w:rFonts w:hint="eastAsia" w:ascii="宋体" w:hAnsi="宋体" w:eastAsia="宋体" w:cs="宋体"/>
          <w:color w:val="auto"/>
          <w:sz w:val="28"/>
          <w:szCs w:val="28"/>
          <w:highlight w:val="none"/>
        </w:rPr>
      </w:pPr>
    </w:p>
    <w:p w14:paraId="67B30EB6">
      <w:pPr>
        <w:pStyle w:val="2"/>
        <w:rPr>
          <w:rFonts w:hint="eastAsia" w:ascii="宋体" w:hAnsi="宋体" w:eastAsia="宋体" w:cs="宋体"/>
          <w:color w:val="auto"/>
          <w:sz w:val="28"/>
          <w:szCs w:val="28"/>
          <w:highlight w:val="none"/>
        </w:rPr>
      </w:pPr>
    </w:p>
    <w:p w14:paraId="570C8D07">
      <w:pPr>
        <w:pStyle w:val="24"/>
        <w:rPr>
          <w:rFonts w:hint="eastAsia" w:ascii="宋体" w:hAnsi="宋体" w:eastAsia="宋体" w:cs="宋体"/>
          <w:color w:val="auto"/>
          <w:highlight w:val="none"/>
        </w:rPr>
      </w:pPr>
    </w:p>
    <w:p w14:paraId="24B45953">
      <w:pPr>
        <w:pStyle w:val="2"/>
        <w:rPr>
          <w:rFonts w:hint="eastAsia" w:ascii="宋体" w:hAnsi="宋体" w:eastAsia="宋体" w:cs="宋体"/>
          <w:bCs/>
          <w:color w:val="auto"/>
          <w:sz w:val="28"/>
          <w:szCs w:val="28"/>
          <w:highlight w:val="none"/>
          <w:lang w:val="en-US" w:eastAsia="zh-CN"/>
        </w:rPr>
      </w:pPr>
      <w:r>
        <w:rPr>
          <w:rFonts w:hint="eastAsia" w:ascii="宋体" w:hAnsi="宋体" w:eastAsia="宋体" w:cs="宋体"/>
          <w:color w:val="auto"/>
          <w:sz w:val="22"/>
          <w:szCs w:val="22"/>
          <w:highlight w:val="none"/>
        </w:rPr>
        <w:t>备注：未按上述要求提供、填写的，评审时不予以考虑。</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提供的《监狱、戒毒企业声明函》必须真实有效，</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应当提供由省级以上监狱管理局、戒毒管理局(含新疆生产建设兵团)出具的属于监狱企业的证明文件</w:t>
      </w:r>
      <w:r>
        <w:rPr>
          <w:rFonts w:hint="eastAsia" w:ascii="宋体" w:hAnsi="宋体" w:eastAsia="宋体" w:cs="宋体"/>
          <w:color w:val="auto"/>
          <w:sz w:val="28"/>
          <w:szCs w:val="28"/>
          <w:highlight w:val="none"/>
        </w:rPr>
        <w:t>。</w:t>
      </w:r>
    </w:p>
    <w:p w14:paraId="722FB13C">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5F1FFC9">
      <w:pPr>
        <w:pStyle w:val="2"/>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sz w:val="28"/>
          <w:szCs w:val="28"/>
          <w:highlight w:val="none"/>
          <w:lang w:val="en-US" w:eastAsia="zh-CN"/>
        </w:rPr>
        <w:t>附件10：</w:t>
      </w:r>
      <w:r>
        <w:rPr>
          <w:rFonts w:hint="eastAsia" w:ascii="宋体" w:hAnsi="宋体" w:cs="宋体"/>
          <w:b/>
          <w:bCs/>
          <w:color w:val="auto"/>
          <w:sz w:val="28"/>
          <w:szCs w:val="28"/>
          <w:highlight w:val="none"/>
          <w:lang w:val="en-US" w:eastAsia="zh-CN"/>
        </w:rPr>
        <w:t>(仅供参考，可不在响应文件中出现一下内容）</w:t>
      </w:r>
    </w:p>
    <w:p w14:paraId="476534BF">
      <w:pPr>
        <w:adjustRightInd w:val="0"/>
        <w:snapToGrid w:val="0"/>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信用担保和信用融资</w:t>
      </w:r>
    </w:p>
    <w:p w14:paraId="3FAB0E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为缓解中小企业融资困难，陕西省财政厅出台了《陕西省中小企业政府采购信用融资办法》（陕财办采﹝2018﹞23号），中标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如有融资需求，可登录“陕西省政府采购网-陕西省政府采购信用融资平台（http://www.ccgp-shaanxi.gov.cn/zcdservice/zcd/shanxi/）”了解详情。</w:t>
      </w:r>
    </w:p>
    <w:p w14:paraId="75C31E20">
      <w:pPr>
        <w:pStyle w:val="2"/>
        <w:tabs>
          <w:tab w:val="left" w:pos="567"/>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政府采购信用融资，是指银行业金融机构（以下简称银行）以政府采购诚信考核和信用审查为基础，凭借政府采购合同，按优于一般中小企业的贷款利率直接向申请贷款的</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发放贷款的一种融资方式。</w:t>
      </w:r>
    </w:p>
    <w:p w14:paraId="5BA75EDE">
      <w:pPr>
        <w:pStyle w:val="2"/>
        <w:tabs>
          <w:tab w:val="left" w:pos="567"/>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政府采购</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申请信用融资时，如融资金额未超过政府采购合同金额的，银行原则上不得要求</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提供财产抵押或第三方担保，或附加其他任何形式的担保条件，切实做到以政府采购信用为基础，简化手续，提高效率，降低</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融资成本。</w:t>
      </w:r>
    </w:p>
    <w:p w14:paraId="092DD0F2">
      <w:pPr>
        <w:pStyle w:val="2"/>
        <w:tabs>
          <w:tab w:val="left" w:pos="567"/>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340479AC">
      <w:pPr>
        <w:pStyle w:val="2"/>
        <w:tabs>
          <w:tab w:val="left" w:pos="567"/>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5A2550BF">
      <w:pPr>
        <w:pStyle w:val="2"/>
        <w:tabs>
          <w:tab w:val="left" w:pos="567"/>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对拟用于信用融资的政府采购合同，</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D8637B7">
      <w:pPr>
        <w:pStyle w:val="2"/>
        <w:tabs>
          <w:tab w:val="left" w:pos="567"/>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业务流程简图如下：</w:t>
      </w:r>
    </w:p>
    <w:p w14:paraId="7DFCD7CD">
      <w:pPr>
        <w:pStyle w:val="2"/>
        <w:tabs>
          <w:tab w:val="left" w:pos="56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756275" cy="3310255"/>
            <wp:effectExtent l="0" t="0" r="158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6275" cy="3310255"/>
                    </a:xfrm>
                    <a:prstGeom prst="rect">
                      <a:avLst/>
                    </a:prstGeom>
                    <a:noFill/>
                    <a:ln>
                      <a:noFill/>
                    </a:ln>
                  </pic:spPr>
                </pic:pic>
              </a:graphicData>
            </a:graphic>
          </wp:inline>
        </w:drawing>
      </w:r>
    </w:p>
    <w:p w14:paraId="1D987523">
      <w:pPr>
        <w:pStyle w:val="2"/>
        <w:tabs>
          <w:tab w:val="left" w:pos="56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877560" cy="3242310"/>
            <wp:effectExtent l="0" t="0" r="889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877560" cy="3242310"/>
                    </a:xfrm>
                    <a:prstGeom prst="rect">
                      <a:avLst/>
                    </a:prstGeom>
                    <a:noFill/>
                    <a:ln>
                      <a:noFill/>
                    </a:ln>
                  </pic:spPr>
                </pic:pic>
              </a:graphicData>
            </a:graphic>
          </wp:inline>
        </w:drawing>
      </w:r>
    </w:p>
    <w:p w14:paraId="2E31D2D5">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省级政府采购项目贷款银行信息：</w:t>
      </w:r>
    </w:p>
    <w:p w14:paraId="746E7AC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一、陕西建行（E 政通）</w:t>
      </w:r>
    </w:p>
    <w:p w14:paraId="429BB3E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陕西省分行营业部    西安市南广济街 38 号 白玉皓  13201603166</w:t>
      </w:r>
    </w:p>
    <w:p w14:paraId="09A2274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西安莲湖路支行  西安市莲湖路 35 号   刘  冲  17702902131</w:t>
      </w:r>
    </w:p>
    <w:p w14:paraId="6EC8C6A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西安曲江支行    西安市雁塔南路 2216 号   樊理君  18691568151</w:t>
      </w:r>
    </w:p>
    <w:p w14:paraId="5CD2B32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西安高新区支行  西安市高新路 42 号   卞斯超  15191075651</w:t>
      </w:r>
    </w:p>
    <w:p w14:paraId="0EC994B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西安经开区支行  西安市未央路 125 号  惠  媛  17792256100</w:t>
      </w:r>
    </w:p>
    <w:p w14:paraId="308EEE2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西安南大街支行  西安市南大街 15 号   乔  鉴  18089136919</w:t>
      </w:r>
    </w:p>
    <w:p w14:paraId="7AC3BC0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西安和平路支行  西安市和平路 101 号  陈  歆  18691816821</w:t>
      </w:r>
    </w:p>
    <w:p w14:paraId="2827598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西安兴庆路支行  西安市兴庆路 61 号   李  妍  13892880386</w:t>
      </w:r>
    </w:p>
    <w:p w14:paraId="49810BA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西安新城支行    西安市南新街 29 号   朱子君  18629286269</w:t>
      </w:r>
    </w:p>
    <w:p w14:paraId="17F3B88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西安长安区支行  西安市长安区青年街 2 号  王淑芸  13572289603</w:t>
      </w:r>
    </w:p>
    <w:p w14:paraId="24A0675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咸阳分行    咸阳市西兰路 4 号    邰  洋  13299079906</w:t>
      </w:r>
    </w:p>
    <w:p w14:paraId="3A5188F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宝鸡分行    宝鸡市红旗路 36 号   李  倩  18629019817</w:t>
      </w:r>
    </w:p>
    <w:p w14:paraId="3121280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铜川分行    铜川市新区正阳路与长虹路十字    张小波  18691932636</w:t>
      </w:r>
    </w:p>
    <w:p w14:paraId="24C60C9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榆林分行    榆林市高新技术产业园区创业大厦  张君君  15991929275</w:t>
      </w:r>
    </w:p>
    <w:p w14:paraId="2E0584C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延安分行    延安市宝塔区中心街  陈进佃  15609110557</w:t>
      </w:r>
    </w:p>
    <w:p w14:paraId="24955F3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汉中分行    汉中市石灰巷 21 号   王晨旭  15319375850</w:t>
      </w:r>
    </w:p>
    <w:p w14:paraId="2F41DAF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安康分行    安康市育才路 102 号  张少帅  13165762680</w:t>
      </w:r>
    </w:p>
    <w:p w14:paraId="03204E9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商洛分行    商洛市名人街广电大楼下  郭  杨  17809267188</w:t>
      </w:r>
    </w:p>
    <w:p w14:paraId="0EBF4D33">
      <w:pPr>
        <w:rPr>
          <w:rFonts w:hint="eastAsia" w:ascii="宋体" w:hAnsi="宋体" w:eastAsia="宋体" w:cs="宋体"/>
          <w:color w:val="auto"/>
          <w:sz w:val="24"/>
          <w:szCs w:val="24"/>
          <w:highlight w:val="none"/>
          <w:lang w:val="en-US" w:eastAsia="zh-CN"/>
        </w:rPr>
      </w:pPr>
    </w:p>
    <w:p w14:paraId="723B9D62">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二、北京银行（政府订单贷）</w:t>
      </w:r>
    </w:p>
    <w:p w14:paraId="6E6185C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西安分行营业部          刘晓伟 总经理助理  029-61828763    18066630518</w:t>
      </w:r>
    </w:p>
    <w:p w14:paraId="5A8997C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西安高新开发区支行      梁凡 行长助理    029-61828531    18681945597</w:t>
      </w:r>
    </w:p>
    <w:p w14:paraId="723599D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西安曲江文创支行        蒋超  室经理  029-65667366    15891737329</w:t>
      </w:r>
    </w:p>
    <w:p w14:paraId="1A3EE30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西安经济技术开发区支行  孟庆龙  行长助理    029-61828272    13991990373</w:t>
      </w:r>
    </w:p>
    <w:p w14:paraId="1D832AA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西安长缨路支行          范凯    副行长  029-68717760    13991315609</w:t>
      </w:r>
    </w:p>
    <w:p w14:paraId="250CC4A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长安区西长安街支行      陈明    行长助理    029-85724301    18149209660</w:t>
      </w:r>
    </w:p>
    <w:p w14:paraId="4939EF2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泾渭工业园支行          杨奕    室经理  029-68213773    15934802021</w:t>
      </w:r>
    </w:p>
    <w:p w14:paraId="31E5F55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北客站科技支行          周洁    副行长  029-61828129    18629518636</w:t>
      </w:r>
    </w:p>
    <w:p w14:paraId="3C6FB67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解放路支行              王莉    行长助理    029-61828185    15802966196</w:t>
      </w:r>
    </w:p>
    <w:p w14:paraId="1A6B325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延安分行                奥宝森  室经理  0911-8076038    15592925222</w:t>
      </w:r>
    </w:p>
    <w:p w14:paraId="4A7AB574">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三、工商银行（政采贷）</w:t>
      </w:r>
    </w:p>
    <w:p w14:paraId="6E3BBB9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榆林分行    张岭    客户经理    0912-6183827    15353386777</w:t>
      </w:r>
    </w:p>
    <w:p w14:paraId="18D6D50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宝鸡分行    郭进    客户经理    0917-3238282    18991749262</w:t>
      </w:r>
    </w:p>
    <w:p w14:paraId="4558DA6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安康分行    郑婕    客户经理    0915-3236275    15667856663</w:t>
      </w:r>
    </w:p>
    <w:p w14:paraId="56AE3EC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铜川分行    彭东东  客户经理    0919-2151878    17392898832</w:t>
      </w:r>
    </w:p>
    <w:p w14:paraId="369B46D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延安分行    党莹    经理助理    0911-2380826    15291142933</w:t>
      </w:r>
    </w:p>
    <w:p w14:paraId="3ED3851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汉中分行    杨薇薇  部门副经理  0916-2606773    18591607453</w:t>
      </w:r>
    </w:p>
    <w:p w14:paraId="1D86B80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渭南分行    张欢    客户经理    09132095066    15229730006</w:t>
      </w:r>
    </w:p>
    <w:p w14:paraId="2924A16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咸阳分行    袁霖    客户经理    029-33259370    18591006506</w:t>
      </w:r>
    </w:p>
    <w:p w14:paraId="1F611FE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商洛分行    张铮    经理助理    0914-2310908    18691410305</w:t>
      </w:r>
    </w:p>
    <w:p w14:paraId="20BE8E8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商洛分行    余勇博  客户经理    0914-2310908    18092802280</w:t>
      </w:r>
    </w:p>
    <w:p w14:paraId="7475B95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巩越    客户经理    029-87609419    18629450680</w:t>
      </w:r>
    </w:p>
    <w:p w14:paraId="186C4DE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四、中信银行 （政采 e 贷）</w:t>
      </w:r>
    </w:p>
    <w:p w14:paraId="6165FD6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西安市朱雀大街中段 1 号  曹晓聪  13759957407</w:t>
      </w:r>
    </w:p>
    <w:p w14:paraId="6729C19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咸阳分行    秦皇中路绿苑大厦    杭群    13992016859</w:t>
      </w:r>
    </w:p>
    <w:p w14:paraId="6486EEE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宝鸡分行    宝鸡市高新大道 50 号财富大厦 B 座 王尧    13636762976</w:t>
      </w:r>
    </w:p>
    <w:p w14:paraId="5BA975B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渭南分行    渭南市朝阳大街中段信达广场世纪明珠大厦  杨阳    18191815559</w:t>
      </w:r>
    </w:p>
    <w:p w14:paraId="7CBF426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榆林分行    榆林市高新区长兴路 248 号中信银行    刘洪巍  13636885556</w:t>
      </w:r>
    </w:p>
    <w:p w14:paraId="50E2D84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汉中分行    汉中市汉台区西二环路与劳动西路东南汉中滨江.公园壹号（产业孵化区）3B号楼  陈真    18509165068</w:t>
      </w:r>
    </w:p>
    <w:p w14:paraId="7D678696">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五、中国光大银行（阳光政采贷）</w:t>
      </w:r>
    </w:p>
    <w:p w14:paraId="1E5B042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宝鸡分行    杨 欢   0917-3451055    18329677163</w:t>
      </w:r>
    </w:p>
    <w:p w14:paraId="6873856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榆林分行    尚云鹏  0912-3548019    18690473126</w:t>
      </w:r>
    </w:p>
    <w:p w14:paraId="38DA092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延安分行    汪昊田  0911-8011831    13509115500</w:t>
      </w:r>
    </w:p>
    <w:p w14:paraId="1325D8E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咸阳分行    侯 佳   32100021    15229500088</w:t>
      </w:r>
    </w:p>
    <w:p w14:paraId="645BEB1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营销一部    李 敏   87236311    13772031109</w:t>
      </w:r>
    </w:p>
    <w:p w14:paraId="535DCCD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营销二部    朱翰辰  87236201    17791788078</w:t>
      </w:r>
    </w:p>
    <w:p w14:paraId="1D33E26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营业部      张翔琮  87236306    18829235568</w:t>
      </w:r>
    </w:p>
    <w:p w14:paraId="30FD215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电子城支行  张曼玉  88247071    18009298787</w:t>
      </w:r>
    </w:p>
    <w:p w14:paraId="6597173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明德门支行  王 晨   85350770    13991249430</w:t>
      </w:r>
    </w:p>
    <w:p w14:paraId="71F015D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东大街支行  刘 林   87438914    15029673754</w:t>
      </w:r>
    </w:p>
    <w:p w14:paraId="46BAD11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经济开发区支行  陆家俊  86525176    18629303397</w:t>
      </w:r>
    </w:p>
    <w:p w14:paraId="0205DE2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凤城九路支行    宋 宜   89155022    18966911622</w:t>
      </w:r>
    </w:p>
    <w:p w14:paraId="0EA9BA3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兴庆路支行  司 洋   83290033    18629251819</w:t>
      </w:r>
    </w:p>
    <w:p w14:paraId="14FA125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长乐西路支行    张 超   82566208    15877390201</w:t>
      </w:r>
    </w:p>
    <w:p w14:paraId="4210604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友谊路支行  贠程敏  88422067    18792795210</w:t>
      </w:r>
    </w:p>
    <w:p w14:paraId="1618264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边家村支行  王 鹏   85251673    15309223048</w:t>
      </w:r>
    </w:p>
    <w:p w14:paraId="6907E29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北关支行    菅新培  86248203    18092169361</w:t>
      </w:r>
    </w:p>
    <w:p w14:paraId="5E367BB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南郊支行    程 拓   85265234    13772491661</w:t>
      </w:r>
    </w:p>
    <w:p w14:paraId="248E542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西关正街    马 瑜   89548109    13772337373</w:t>
      </w:r>
    </w:p>
    <w:p w14:paraId="5B7E59A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丈八东路支行    杨筱凡  81026910    15129044185</w:t>
      </w:r>
    </w:p>
    <w:p w14:paraId="0E7E4E4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雁塔路支行  闫梓闶  82222501    18691561524</w:t>
      </w:r>
    </w:p>
    <w:p w14:paraId="2203A19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唐延路支行  尉二宝  88329478    13991930150</w:t>
      </w:r>
    </w:p>
    <w:p w14:paraId="2E48F53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枫林绿洲支行    杨 嘉   87302120    13609199490</w:t>
      </w:r>
    </w:p>
    <w:p w14:paraId="5BA03AA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南关正街支行    郭 敏   85230722    18066610983</w:t>
      </w:r>
    </w:p>
    <w:p w14:paraId="403B206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南二环支行  刘 超   88362861    18192080396</w:t>
      </w:r>
    </w:p>
    <w:p w14:paraId="069AEEA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曲江支行    田 鹏   81205890    13991937977</w:t>
      </w:r>
    </w:p>
    <w:p w14:paraId="36EC009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太白路支行  马振林  68912880    15353736656</w:t>
      </w:r>
    </w:p>
    <w:p w14:paraId="0130BB8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明光路支行  刘二渭  81623506    13201793405</w:t>
      </w:r>
    </w:p>
    <w:p w14:paraId="204D1BE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凤城二路支行    张 洋   86680267    13720423343</w:t>
      </w:r>
    </w:p>
    <w:p w14:paraId="0CB5F59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昆明路支行  张 洁   84592506    13991821278</w:t>
      </w:r>
    </w:p>
    <w:p w14:paraId="5F147E8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丈八北路支行    郭 浩   81875192    15667087662</w:t>
      </w:r>
    </w:p>
    <w:p w14:paraId="0167294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新城支行    余振东  87251680    18066617238</w:t>
      </w:r>
    </w:p>
    <w:p w14:paraId="54BAAB2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六、浦发银行 （政采 e 贷）</w:t>
      </w:r>
    </w:p>
    <w:p w14:paraId="63AC4E0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吴晨雨  客户经理    029-63603803    15991724645</w:t>
      </w:r>
    </w:p>
    <w:p w14:paraId="22253C2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陈福全  客户经理    029-63603441    17782511994</w:t>
      </w:r>
    </w:p>
    <w:p w14:paraId="0EF5E0E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韩瑾    客户经理    029-63603443    18202909790</w:t>
      </w:r>
    </w:p>
    <w:p w14:paraId="4A569F4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李瑞雪  客户经理    029-63603445    18220862398</w:t>
      </w:r>
    </w:p>
    <w:p w14:paraId="0EC7A9C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榆林分行    陈晓晓  公司业务部  0912-2216068    15691269965</w:t>
      </w:r>
    </w:p>
    <w:p w14:paraId="4DEABE9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榆林分行    郭小东  公司业务部  0912-2216008    15291820586</w:t>
      </w:r>
    </w:p>
    <w:p w14:paraId="519BA73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宝鸡分行    张一岚  公司业务部  0917-8662919    18690008816</w:t>
      </w:r>
    </w:p>
    <w:p w14:paraId="3A63795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宝鸡分行    朱强    公司业务部  0917-8662926    13909176381</w:t>
      </w:r>
    </w:p>
    <w:p w14:paraId="2A5247F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渭南分行    王晓峰  公司业务部  0913-3357080    13992363166</w:t>
      </w:r>
    </w:p>
    <w:p w14:paraId="3888269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咸阳分行    薛晗    公司业务部  029-32083788    15109226216</w:t>
      </w:r>
    </w:p>
    <w:p w14:paraId="5C458BF4">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七、兴业银行（政采贷）</w:t>
      </w:r>
    </w:p>
    <w:p w14:paraId="020DF9D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朱靖    总监    029-87482998    13363979983</w:t>
      </w:r>
    </w:p>
    <w:p w14:paraId="796C263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八、中国民生银行（政采贷）</w:t>
      </w:r>
    </w:p>
    <w:p w14:paraId="7A295CD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民生银行西安分行  联系人：陈经理 联系电话： 61815275 /18821669199</w:t>
      </w:r>
    </w:p>
    <w:p w14:paraId="2364195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联系人：王经理 联系电话：61815280 /18591953690</w:t>
      </w:r>
    </w:p>
    <w:p w14:paraId="3E37002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九、浙商银行 （政采贷）</w:t>
      </w:r>
    </w:p>
    <w:p w14:paraId="4F7EFAB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西安分行    西安市雁塔区科技路 259 号    曹金辉  18710993980</w:t>
      </w:r>
    </w:p>
    <w:p w14:paraId="08101FD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 招商银行（政采贷）</w:t>
      </w:r>
    </w:p>
    <w:p w14:paraId="28163B5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招商银行西安分行   联系人：任瑾； 85438988</w:t>
      </w:r>
    </w:p>
    <w:p w14:paraId="7A1DF082">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 长安银行（小微贷）</w:t>
      </w:r>
    </w:p>
    <w:p w14:paraId="1AF9549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长安银行西安曲江新区支行 地址： 西安市曲江新区雁南一路 3 号</w:t>
      </w:r>
    </w:p>
    <w:p w14:paraId="7CBFF0E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联系人：陈瑶 13629266833</w:t>
      </w:r>
    </w:p>
    <w:p w14:paraId="08965CF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十二、网商银行（合同贷）</w:t>
      </w:r>
    </w:p>
    <w:p w14:paraId="095D944D">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十三、 中国邮政储蓄银行陕西省分行（政采贷）</w:t>
      </w:r>
    </w:p>
    <w:p w14:paraId="17735E3D">
      <w:pPr>
        <w:spacing w:before="167" w:line="214"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渭南市政府采购贷款银行信息：</w:t>
      </w:r>
    </w:p>
    <w:tbl>
      <w:tblPr>
        <w:tblStyle w:val="93"/>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2210"/>
        <w:gridCol w:w="2869"/>
        <w:gridCol w:w="2877"/>
      </w:tblGrid>
      <w:tr w14:paraId="255FC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33" w:type="dxa"/>
            <w:vAlign w:val="top"/>
          </w:tcPr>
          <w:p w14:paraId="10C42BF9">
            <w:pPr>
              <w:pStyle w:val="92"/>
              <w:spacing w:before="178" w:line="219" w:lineRule="auto"/>
              <w:ind w:left="46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序号</w:t>
            </w:r>
          </w:p>
        </w:tc>
        <w:tc>
          <w:tcPr>
            <w:tcW w:w="2210" w:type="dxa"/>
            <w:vAlign w:val="top"/>
          </w:tcPr>
          <w:p w14:paraId="7D35EA66">
            <w:pPr>
              <w:pStyle w:val="92"/>
              <w:spacing w:before="178" w:line="218" w:lineRule="auto"/>
              <w:ind w:left="69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单位名称</w:t>
            </w:r>
          </w:p>
        </w:tc>
        <w:tc>
          <w:tcPr>
            <w:tcW w:w="2869" w:type="dxa"/>
            <w:vAlign w:val="top"/>
          </w:tcPr>
          <w:p w14:paraId="30B9B35B">
            <w:pPr>
              <w:pStyle w:val="92"/>
              <w:spacing w:before="178" w:line="221" w:lineRule="auto"/>
              <w:ind w:left="11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联系人</w:t>
            </w:r>
          </w:p>
        </w:tc>
        <w:tc>
          <w:tcPr>
            <w:tcW w:w="2877" w:type="dxa"/>
            <w:vAlign w:val="top"/>
          </w:tcPr>
          <w:p w14:paraId="5D22FE03">
            <w:pPr>
              <w:pStyle w:val="92"/>
              <w:spacing w:before="178" w:line="220" w:lineRule="auto"/>
              <w:ind w:left="10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联系电话</w:t>
            </w:r>
          </w:p>
        </w:tc>
      </w:tr>
      <w:tr w14:paraId="0470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333" w:type="dxa"/>
            <w:vAlign w:val="top"/>
          </w:tcPr>
          <w:p w14:paraId="44FAA5FF">
            <w:pPr>
              <w:pStyle w:val="92"/>
              <w:spacing w:before="237" w:line="180" w:lineRule="auto"/>
              <w:ind w:left="6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10" w:type="dxa"/>
            <w:vAlign w:val="top"/>
          </w:tcPr>
          <w:p w14:paraId="5814BA88">
            <w:pPr>
              <w:pStyle w:val="92"/>
              <w:spacing w:before="199" w:line="218" w:lineRule="auto"/>
              <w:ind w:left="69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建设银行</w:t>
            </w:r>
          </w:p>
        </w:tc>
        <w:tc>
          <w:tcPr>
            <w:tcW w:w="2869" w:type="dxa"/>
            <w:vAlign w:val="top"/>
          </w:tcPr>
          <w:p w14:paraId="635A145C">
            <w:pPr>
              <w:pStyle w:val="92"/>
              <w:spacing w:before="231" w:line="218" w:lineRule="auto"/>
              <w:ind w:left="87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郭煜庆</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7"/>
                <w:sz w:val="21"/>
                <w:szCs w:val="21"/>
                <w:highlight w:val="none"/>
              </w:rPr>
              <w:t>田宇</w:t>
            </w:r>
          </w:p>
        </w:tc>
        <w:tc>
          <w:tcPr>
            <w:tcW w:w="2877" w:type="dxa"/>
            <w:vAlign w:val="top"/>
          </w:tcPr>
          <w:p w14:paraId="60AF9FEE">
            <w:pPr>
              <w:pStyle w:val="92"/>
              <w:spacing w:before="148"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13892535580</w:t>
            </w:r>
          </w:p>
          <w:p w14:paraId="344873C0">
            <w:pPr>
              <w:pStyle w:val="92"/>
              <w:spacing w:before="35"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17797059890</w:t>
            </w:r>
          </w:p>
        </w:tc>
      </w:tr>
      <w:tr w14:paraId="6C728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3" w:type="dxa"/>
            <w:vAlign w:val="top"/>
          </w:tcPr>
          <w:p w14:paraId="06EAD6A6">
            <w:pPr>
              <w:pStyle w:val="92"/>
              <w:spacing w:before="237" w:line="179" w:lineRule="auto"/>
              <w:ind w:left="6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10" w:type="dxa"/>
            <w:vAlign w:val="top"/>
          </w:tcPr>
          <w:p w14:paraId="6EDD80EC">
            <w:pPr>
              <w:pStyle w:val="92"/>
              <w:spacing w:before="198" w:line="218" w:lineRule="auto"/>
              <w:ind w:left="69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浦发银行</w:t>
            </w:r>
          </w:p>
        </w:tc>
        <w:tc>
          <w:tcPr>
            <w:tcW w:w="2869" w:type="dxa"/>
            <w:vAlign w:val="top"/>
          </w:tcPr>
          <w:p w14:paraId="1193A8A6">
            <w:pPr>
              <w:pStyle w:val="92"/>
              <w:spacing w:before="198" w:line="220" w:lineRule="auto"/>
              <w:ind w:left="86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孙哲龙</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5"/>
                <w:sz w:val="21"/>
                <w:szCs w:val="21"/>
                <w:highlight w:val="none"/>
              </w:rPr>
              <w:t>蒙波</w:t>
            </w:r>
          </w:p>
        </w:tc>
        <w:tc>
          <w:tcPr>
            <w:tcW w:w="2877" w:type="dxa"/>
            <w:vAlign w:val="top"/>
          </w:tcPr>
          <w:p w14:paraId="6F0A2FB0">
            <w:pPr>
              <w:pStyle w:val="92"/>
              <w:spacing w:before="116"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13892383911</w:t>
            </w:r>
          </w:p>
          <w:p w14:paraId="3EA87853">
            <w:pPr>
              <w:pStyle w:val="92"/>
              <w:spacing w:before="35"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15249035320</w:t>
            </w:r>
          </w:p>
        </w:tc>
      </w:tr>
      <w:tr w14:paraId="1C599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333" w:type="dxa"/>
            <w:vAlign w:val="top"/>
          </w:tcPr>
          <w:p w14:paraId="4F0319E9">
            <w:pPr>
              <w:pStyle w:val="92"/>
              <w:spacing w:before="238" w:line="179" w:lineRule="auto"/>
              <w:ind w:left="6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10" w:type="dxa"/>
            <w:vAlign w:val="top"/>
          </w:tcPr>
          <w:p w14:paraId="1E98DD15">
            <w:pPr>
              <w:pStyle w:val="92"/>
              <w:spacing w:before="199" w:line="218" w:lineRule="auto"/>
              <w:ind w:left="72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中信银行</w:t>
            </w:r>
          </w:p>
        </w:tc>
        <w:tc>
          <w:tcPr>
            <w:tcW w:w="2869" w:type="dxa"/>
            <w:vAlign w:val="top"/>
          </w:tcPr>
          <w:p w14:paraId="395B17EE">
            <w:pPr>
              <w:pStyle w:val="92"/>
              <w:spacing w:before="199" w:line="218" w:lineRule="auto"/>
              <w:ind w:left="97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杨洋</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5"/>
                <w:sz w:val="21"/>
                <w:szCs w:val="21"/>
                <w:highlight w:val="none"/>
              </w:rPr>
              <w:t>耿浩</w:t>
            </w:r>
          </w:p>
        </w:tc>
        <w:tc>
          <w:tcPr>
            <w:tcW w:w="2877" w:type="dxa"/>
            <w:vAlign w:val="top"/>
          </w:tcPr>
          <w:p w14:paraId="094D60BC">
            <w:pPr>
              <w:pStyle w:val="92"/>
              <w:spacing w:before="117"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18191815559</w:t>
            </w:r>
          </w:p>
          <w:p w14:paraId="20D54985">
            <w:pPr>
              <w:pStyle w:val="92"/>
              <w:spacing w:before="35"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13193388328</w:t>
            </w:r>
          </w:p>
        </w:tc>
      </w:tr>
      <w:tr w14:paraId="68572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3" w:type="dxa"/>
            <w:vAlign w:val="top"/>
          </w:tcPr>
          <w:p w14:paraId="5CF4A5E6">
            <w:pPr>
              <w:pStyle w:val="92"/>
              <w:spacing w:before="238" w:line="179" w:lineRule="auto"/>
              <w:ind w:left="6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10" w:type="dxa"/>
            <w:vAlign w:val="top"/>
          </w:tcPr>
          <w:p w14:paraId="0573A2E7">
            <w:pPr>
              <w:pStyle w:val="92"/>
              <w:spacing w:before="199" w:line="218" w:lineRule="auto"/>
              <w:ind w:left="69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兴业银行</w:t>
            </w:r>
          </w:p>
        </w:tc>
        <w:tc>
          <w:tcPr>
            <w:tcW w:w="2869" w:type="dxa"/>
            <w:vAlign w:val="top"/>
          </w:tcPr>
          <w:p w14:paraId="0CFC5ED5">
            <w:pPr>
              <w:pStyle w:val="92"/>
              <w:spacing w:before="200" w:line="219" w:lineRule="auto"/>
              <w:ind w:left="11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权奥星</w:t>
            </w:r>
          </w:p>
        </w:tc>
        <w:tc>
          <w:tcPr>
            <w:tcW w:w="2877" w:type="dxa"/>
            <w:vAlign w:val="top"/>
          </w:tcPr>
          <w:p w14:paraId="41380181">
            <w:pPr>
              <w:pStyle w:val="92"/>
              <w:spacing w:before="237"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15706090239</w:t>
            </w:r>
          </w:p>
        </w:tc>
      </w:tr>
      <w:tr w14:paraId="41469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3" w:type="dxa"/>
            <w:vAlign w:val="top"/>
          </w:tcPr>
          <w:p w14:paraId="5ADEA939">
            <w:pPr>
              <w:pStyle w:val="92"/>
              <w:spacing w:before="240" w:line="178" w:lineRule="auto"/>
              <w:ind w:left="6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10" w:type="dxa"/>
            <w:vAlign w:val="top"/>
          </w:tcPr>
          <w:p w14:paraId="1169089A">
            <w:pPr>
              <w:pStyle w:val="92"/>
              <w:spacing w:before="200" w:line="218" w:lineRule="auto"/>
              <w:ind w:left="69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工商银行</w:t>
            </w:r>
          </w:p>
        </w:tc>
        <w:tc>
          <w:tcPr>
            <w:tcW w:w="2869" w:type="dxa"/>
            <w:vAlign w:val="top"/>
          </w:tcPr>
          <w:p w14:paraId="0F7D9D1D">
            <w:pPr>
              <w:pStyle w:val="92"/>
              <w:spacing w:before="200" w:line="220" w:lineRule="auto"/>
              <w:ind w:left="97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张剑</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6"/>
                <w:sz w:val="21"/>
                <w:szCs w:val="21"/>
                <w:highlight w:val="none"/>
              </w:rPr>
              <w:t>张欢</w:t>
            </w:r>
          </w:p>
        </w:tc>
        <w:tc>
          <w:tcPr>
            <w:tcW w:w="2877" w:type="dxa"/>
            <w:vAlign w:val="top"/>
          </w:tcPr>
          <w:p w14:paraId="3E6E280C">
            <w:pPr>
              <w:pStyle w:val="92"/>
              <w:spacing w:before="118"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18191356300</w:t>
            </w:r>
          </w:p>
          <w:p w14:paraId="6A3A4041">
            <w:pPr>
              <w:pStyle w:val="92"/>
              <w:spacing w:before="35"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15229730006</w:t>
            </w:r>
          </w:p>
        </w:tc>
      </w:tr>
      <w:tr w14:paraId="65559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3" w:type="dxa"/>
            <w:vAlign w:val="top"/>
          </w:tcPr>
          <w:p w14:paraId="38085E8F">
            <w:pPr>
              <w:pStyle w:val="92"/>
              <w:spacing w:before="242" w:line="179" w:lineRule="auto"/>
              <w:ind w:left="6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10" w:type="dxa"/>
            <w:vAlign w:val="top"/>
          </w:tcPr>
          <w:p w14:paraId="40D0EC0E">
            <w:pPr>
              <w:pStyle w:val="92"/>
              <w:spacing w:before="203" w:line="218" w:lineRule="auto"/>
              <w:ind w:left="69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长安银行</w:t>
            </w:r>
          </w:p>
        </w:tc>
        <w:tc>
          <w:tcPr>
            <w:tcW w:w="2869" w:type="dxa"/>
            <w:vAlign w:val="top"/>
          </w:tcPr>
          <w:p w14:paraId="5B7057F9">
            <w:pPr>
              <w:pStyle w:val="92"/>
              <w:spacing w:before="204" w:line="218" w:lineRule="auto"/>
              <w:ind w:left="124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李华</w:t>
            </w:r>
          </w:p>
        </w:tc>
        <w:tc>
          <w:tcPr>
            <w:tcW w:w="2877" w:type="dxa"/>
            <w:vAlign w:val="top"/>
          </w:tcPr>
          <w:p w14:paraId="27EAD4A0">
            <w:pPr>
              <w:pStyle w:val="92"/>
              <w:spacing w:before="241"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13335331958</w:t>
            </w:r>
          </w:p>
        </w:tc>
      </w:tr>
      <w:tr w14:paraId="6E75E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333" w:type="dxa"/>
            <w:vAlign w:val="top"/>
          </w:tcPr>
          <w:p w14:paraId="064670A4">
            <w:pPr>
              <w:pStyle w:val="92"/>
              <w:spacing w:before="225" w:line="178" w:lineRule="auto"/>
              <w:ind w:left="6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10" w:type="dxa"/>
            <w:vAlign w:val="top"/>
          </w:tcPr>
          <w:p w14:paraId="3E4FE7EA">
            <w:pPr>
              <w:pStyle w:val="92"/>
              <w:spacing w:before="185" w:line="218" w:lineRule="auto"/>
              <w:ind w:left="71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邮储银行</w:t>
            </w:r>
          </w:p>
        </w:tc>
        <w:tc>
          <w:tcPr>
            <w:tcW w:w="2869" w:type="dxa"/>
            <w:vAlign w:val="top"/>
          </w:tcPr>
          <w:p w14:paraId="74A0C758">
            <w:pPr>
              <w:pStyle w:val="92"/>
              <w:spacing w:before="185" w:line="220" w:lineRule="auto"/>
              <w:ind w:left="123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张萱</w:t>
            </w:r>
          </w:p>
        </w:tc>
        <w:tc>
          <w:tcPr>
            <w:tcW w:w="2877" w:type="dxa"/>
            <w:vAlign w:val="top"/>
          </w:tcPr>
          <w:p w14:paraId="613F2A9A">
            <w:pPr>
              <w:pStyle w:val="92"/>
              <w:spacing w:before="103"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13028431555</w:t>
            </w:r>
          </w:p>
          <w:p w14:paraId="031BB38B">
            <w:pPr>
              <w:pStyle w:val="92"/>
              <w:spacing w:before="35" w:line="180" w:lineRule="auto"/>
              <w:ind w:left="8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18091365182</w:t>
            </w:r>
          </w:p>
        </w:tc>
      </w:tr>
    </w:tbl>
    <w:p w14:paraId="3B616FB0">
      <w:pPr>
        <w:pStyle w:val="2"/>
        <w:spacing w:line="252" w:lineRule="auto"/>
        <w:rPr>
          <w:rFonts w:hint="eastAsia" w:ascii="宋体" w:hAnsi="宋体" w:eastAsia="宋体" w:cs="宋体"/>
          <w:color w:val="auto"/>
          <w:highlight w:val="none"/>
        </w:rPr>
      </w:pPr>
    </w:p>
    <w:p w14:paraId="3883DBA6">
      <w:pPr>
        <w:pStyle w:val="2"/>
        <w:spacing w:line="253" w:lineRule="auto"/>
        <w:rPr>
          <w:rFonts w:hint="eastAsia" w:ascii="宋体" w:hAnsi="宋体" w:eastAsia="宋体" w:cs="宋体"/>
          <w:color w:val="auto"/>
          <w:highlight w:val="none"/>
        </w:rPr>
      </w:pPr>
    </w:p>
    <w:p w14:paraId="7D35390D">
      <w:pPr>
        <w:spacing w:before="78" w:line="214"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延安市政府采购贷款银行信息：</w:t>
      </w:r>
    </w:p>
    <w:tbl>
      <w:tblPr>
        <w:tblStyle w:val="93"/>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453"/>
        <w:gridCol w:w="4008"/>
        <w:gridCol w:w="900"/>
        <w:gridCol w:w="1455"/>
      </w:tblGrid>
      <w:tr w14:paraId="4FA18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81" w:type="dxa"/>
            <w:vAlign w:val="top"/>
          </w:tcPr>
          <w:p w14:paraId="6426FC5D">
            <w:pPr>
              <w:pStyle w:val="92"/>
              <w:spacing w:before="224" w:line="219"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3831" w14:cap="flat" w14:cmpd="sng">
                  <w14:solidFill>
                    <w14:srgbClr w14:val="000000"/>
                  </w14:solidFill>
                  <w14:prstDash w14:val="solid"/>
                  <w14:miter w14:val="0"/>
                </w14:textOutline>
              </w:rPr>
              <w:t>序号</w:t>
            </w:r>
          </w:p>
        </w:tc>
        <w:tc>
          <w:tcPr>
            <w:tcW w:w="2453" w:type="dxa"/>
            <w:vAlign w:val="top"/>
          </w:tcPr>
          <w:p w14:paraId="20518379">
            <w:pPr>
              <w:pStyle w:val="92"/>
              <w:spacing w:before="223" w:line="218" w:lineRule="auto"/>
              <w:ind w:left="95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3831" w14:cap="flat" w14:cmpd="sng">
                  <w14:solidFill>
                    <w14:srgbClr w14:val="000000"/>
                  </w14:solidFill>
                  <w14:prstDash w14:val="solid"/>
                  <w14:miter w14:val="0"/>
                </w14:textOutline>
              </w:rPr>
              <w:t>银行</w:t>
            </w:r>
          </w:p>
        </w:tc>
        <w:tc>
          <w:tcPr>
            <w:tcW w:w="4008" w:type="dxa"/>
            <w:vAlign w:val="top"/>
          </w:tcPr>
          <w:p w14:paraId="33F3992C">
            <w:pPr>
              <w:pStyle w:val="92"/>
              <w:spacing w:before="223" w:line="229" w:lineRule="auto"/>
              <w:ind w:left="169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3831" w14:cap="flat" w14:cmpd="sng">
                  <w14:solidFill>
                    <w14:srgbClr w14:val="000000"/>
                  </w14:solidFill>
                  <w14:prstDash w14:val="solid"/>
                  <w14:miter w14:val="0"/>
                </w14:textOutline>
              </w:rPr>
              <w:t>地址</w:t>
            </w:r>
          </w:p>
        </w:tc>
        <w:tc>
          <w:tcPr>
            <w:tcW w:w="900" w:type="dxa"/>
            <w:vAlign w:val="top"/>
          </w:tcPr>
          <w:p w14:paraId="05BD0416">
            <w:pPr>
              <w:pStyle w:val="92"/>
              <w:spacing w:before="224" w:line="22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831" w14:cap="flat" w14:cmpd="sng">
                  <w14:solidFill>
                    <w14:srgbClr w14:val="000000"/>
                  </w14:solidFill>
                  <w14:prstDash w14:val="solid"/>
                  <w14:miter w14:val="0"/>
                </w14:textOutline>
              </w:rPr>
              <w:t>联系人</w:t>
            </w:r>
          </w:p>
        </w:tc>
        <w:tc>
          <w:tcPr>
            <w:tcW w:w="1455" w:type="dxa"/>
            <w:vAlign w:val="top"/>
          </w:tcPr>
          <w:p w14:paraId="38EC0E9E">
            <w:pPr>
              <w:pStyle w:val="92"/>
              <w:spacing w:before="223" w:line="220"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3831" w14:cap="flat" w14:cmpd="sng">
                  <w14:solidFill>
                    <w14:srgbClr w14:val="000000"/>
                  </w14:solidFill>
                  <w14:prstDash w14:val="solid"/>
                  <w14:miter w14:val="0"/>
                </w14:textOutline>
              </w:rPr>
              <w:t>电话</w:t>
            </w:r>
          </w:p>
        </w:tc>
      </w:tr>
      <w:tr w14:paraId="6C4BB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681" w:type="dxa"/>
            <w:vAlign w:val="top"/>
          </w:tcPr>
          <w:p w14:paraId="04706F67">
            <w:pPr>
              <w:pStyle w:val="92"/>
              <w:spacing w:before="257" w:line="180" w:lineRule="auto"/>
              <w:ind w:left="2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53" w:type="dxa"/>
            <w:vAlign w:val="top"/>
          </w:tcPr>
          <w:p w14:paraId="55F3522B">
            <w:pPr>
              <w:pStyle w:val="92"/>
              <w:spacing w:before="219" w:line="218"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中国建设银行延安分行</w:t>
            </w:r>
          </w:p>
        </w:tc>
        <w:tc>
          <w:tcPr>
            <w:tcW w:w="4008" w:type="dxa"/>
            <w:vAlign w:val="top"/>
          </w:tcPr>
          <w:p w14:paraId="47D76A64">
            <w:pPr>
              <w:pStyle w:val="92"/>
              <w:spacing w:before="219" w:line="219" w:lineRule="auto"/>
              <w:ind w:left="9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延安市宝塔区中心街</w:t>
            </w:r>
          </w:p>
        </w:tc>
        <w:tc>
          <w:tcPr>
            <w:tcW w:w="900" w:type="dxa"/>
            <w:vAlign w:val="top"/>
          </w:tcPr>
          <w:p w14:paraId="568BB976">
            <w:pPr>
              <w:pStyle w:val="92"/>
              <w:spacing w:before="219" w:line="222" w:lineRule="auto"/>
              <w:ind w:left="23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惠玉</w:t>
            </w:r>
          </w:p>
        </w:tc>
        <w:tc>
          <w:tcPr>
            <w:tcW w:w="1455" w:type="dxa"/>
            <w:vAlign w:val="top"/>
          </w:tcPr>
          <w:p w14:paraId="06C20715">
            <w:pPr>
              <w:pStyle w:val="92"/>
              <w:spacing w:before="257" w:line="18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13892179302</w:t>
            </w:r>
          </w:p>
        </w:tc>
      </w:tr>
      <w:tr w14:paraId="38D72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81" w:type="dxa"/>
            <w:vAlign w:val="top"/>
          </w:tcPr>
          <w:p w14:paraId="477947A0">
            <w:pPr>
              <w:pStyle w:val="92"/>
              <w:spacing w:before="259" w:line="179" w:lineRule="auto"/>
              <w:ind w:left="2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53" w:type="dxa"/>
            <w:vAlign w:val="top"/>
          </w:tcPr>
          <w:p w14:paraId="39DB1892">
            <w:pPr>
              <w:pStyle w:val="92"/>
              <w:spacing w:before="220" w:line="218"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中国工商银行延安分行</w:t>
            </w:r>
          </w:p>
        </w:tc>
        <w:tc>
          <w:tcPr>
            <w:tcW w:w="4008" w:type="dxa"/>
            <w:vAlign w:val="top"/>
          </w:tcPr>
          <w:p w14:paraId="4DBB6B29">
            <w:pPr>
              <w:pStyle w:val="92"/>
              <w:spacing w:before="221" w:line="219" w:lineRule="auto"/>
              <w:ind w:left="9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延安市宝塔区师范路</w:t>
            </w:r>
          </w:p>
        </w:tc>
        <w:tc>
          <w:tcPr>
            <w:tcW w:w="900" w:type="dxa"/>
            <w:vAlign w:val="top"/>
          </w:tcPr>
          <w:p w14:paraId="3F636660">
            <w:pPr>
              <w:pStyle w:val="92"/>
              <w:spacing w:before="220" w:line="220" w:lineRule="auto"/>
              <w:ind w:left="22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姬悦</w:t>
            </w:r>
          </w:p>
        </w:tc>
        <w:tc>
          <w:tcPr>
            <w:tcW w:w="1455" w:type="dxa"/>
            <w:vAlign w:val="top"/>
          </w:tcPr>
          <w:p w14:paraId="706843B2">
            <w:pPr>
              <w:pStyle w:val="92"/>
              <w:spacing w:before="258" w:line="18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18391156580</w:t>
            </w:r>
          </w:p>
        </w:tc>
      </w:tr>
      <w:tr w14:paraId="4C419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81" w:type="dxa"/>
            <w:vAlign w:val="top"/>
          </w:tcPr>
          <w:p w14:paraId="7B3C8353">
            <w:pPr>
              <w:pStyle w:val="92"/>
              <w:spacing w:before="260" w:line="179" w:lineRule="auto"/>
              <w:ind w:left="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53" w:type="dxa"/>
            <w:vAlign w:val="top"/>
          </w:tcPr>
          <w:p w14:paraId="3529EAD6">
            <w:pPr>
              <w:pStyle w:val="92"/>
              <w:spacing w:before="221" w:line="218" w:lineRule="auto"/>
              <w:ind w:left="33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北京银行延安分行</w:t>
            </w:r>
          </w:p>
        </w:tc>
        <w:tc>
          <w:tcPr>
            <w:tcW w:w="4008" w:type="dxa"/>
            <w:vAlign w:val="top"/>
          </w:tcPr>
          <w:p w14:paraId="1A361AC3">
            <w:pPr>
              <w:pStyle w:val="92"/>
              <w:spacing w:before="221" w:line="219" w:lineRule="auto"/>
              <w:ind w:left="85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延安市宝塔区双拥大道</w:t>
            </w:r>
          </w:p>
        </w:tc>
        <w:tc>
          <w:tcPr>
            <w:tcW w:w="900" w:type="dxa"/>
            <w:vAlign w:val="top"/>
          </w:tcPr>
          <w:p w14:paraId="4936E27F">
            <w:pPr>
              <w:pStyle w:val="92"/>
              <w:spacing w:before="221" w:line="219"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奥宝森</w:t>
            </w:r>
          </w:p>
        </w:tc>
        <w:tc>
          <w:tcPr>
            <w:tcW w:w="1455" w:type="dxa"/>
            <w:vAlign w:val="top"/>
          </w:tcPr>
          <w:p w14:paraId="56C2B4F3">
            <w:pPr>
              <w:pStyle w:val="92"/>
              <w:spacing w:before="259" w:line="18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15592925222</w:t>
            </w:r>
          </w:p>
        </w:tc>
      </w:tr>
      <w:tr w14:paraId="22D2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681" w:type="dxa"/>
            <w:vAlign w:val="top"/>
          </w:tcPr>
          <w:p w14:paraId="0B215258">
            <w:pPr>
              <w:pStyle w:val="92"/>
              <w:spacing w:before="261" w:line="179" w:lineRule="auto"/>
              <w:ind w:left="2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53" w:type="dxa"/>
            <w:vAlign w:val="top"/>
          </w:tcPr>
          <w:p w14:paraId="4D1F383C">
            <w:pPr>
              <w:pStyle w:val="92"/>
              <w:spacing w:before="222" w:line="218" w:lineRule="auto"/>
              <w:ind w:left="3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邮储银行延安分行</w:t>
            </w:r>
          </w:p>
        </w:tc>
        <w:tc>
          <w:tcPr>
            <w:tcW w:w="4008" w:type="dxa"/>
            <w:vAlign w:val="top"/>
          </w:tcPr>
          <w:p w14:paraId="7D6B9366">
            <w:pPr>
              <w:pStyle w:val="92"/>
              <w:spacing w:before="223" w:line="219" w:lineRule="auto"/>
              <w:ind w:left="53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延安市宝塔区枣园路志丹大厦</w:t>
            </w:r>
          </w:p>
        </w:tc>
        <w:tc>
          <w:tcPr>
            <w:tcW w:w="900" w:type="dxa"/>
            <w:vAlign w:val="top"/>
          </w:tcPr>
          <w:p w14:paraId="0E188AAA">
            <w:pPr>
              <w:pStyle w:val="92"/>
              <w:spacing w:before="222"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杨慧花</w:t>
            </w:r>
          </w:p>
        </w:tc>
        <w:tc>
          <w:tcPr>
            <w:tcW w:w="1455" w:type="dxa"/>
            <w:vAlign w:val="top"/>
          </w:tcPr>
          <w:p w14:paraId="26641EE9">
            <w:pPr>
              <w:pStyle w:val="92"/>
              <w:spacing w:before="260" w:line="18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13909113843</w:t>
            </w:r>
          </w:p>
        </w:tc>
      </w:tr>
      <w:tr w14:paraId="321D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81" w:type="dxa"/>
            <w:vAlign w:val="top"/>
          </w:tcPr>
          <w:p w14:paraId="6B0C7725">
            <w:pPr>
              <w:pStyle w:val="92"/>
              <w:spacing w:before="263" w:line="178" w:lineRule="auto"/>
              <w:ind w:left="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53" w:type="dxa"/>
            <w:vAlign w:val="top"/>
          </w:tcPr>
          <w:p w14:paraId="1BFF58B5">
            <w:pPr>
              <w:pStyle w:val="92"/>
              <w:spacing w:before="223" w:line="218"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光大银行延安分行</w:t>
            </w:r>
          </w:p>
        </w:tc>
        <w:tc>
          <w:tcPr>
            <w:tcW w:w="4008" w:type="dxa"/>
            <w:vAlign w:val="top"/>
          </w:tcPr>
          <w:p w14:paraId="067930EC">
            <w:pPr>
              <w:pStyle w:val="92"/>
              <w:spacing w:before="224" w:line="218"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延安市宝塔区卷烟厂东信时代一、二层</w:t>
            </w:r>
          </w:p>
        </w:tc>
        <w:tc>
          <w:tcPr>
            <w:tcW w:w="900" w:type="dxa"/>
            <w:vAlign w:val="top"/>
          </w:tcPr>
          <w:p w14:paraId="2460614F">
            <w:pPr>
              <w:pStyle w:val="92"/>
              <w:spacing w:before="224" w:line="220" w:lineRule="auto"/>
              <w:ind w:left="12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汪昊田</w:t>
            </w:r>
          </w:p>
        </w:tc>
        <w:tc>
          <w:tcPr>
            <w:tcW w:w="1455" w:type="dxa"/>
            <w:vAlign w:val="top"/>
          </w:tcPr>
          <w:p w14:paraId="6DA7AACD">
            <w:pPr>
              <w:pStyle w:val="92"/>
              <w:spacing w:before="261" w:line="18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13509115500</w:t>
            </w:r>
          </w:p>
        </w:tc>
      </w:tr>
    </w:tbl>
    <w:p w14:paraId="409D391A">
      <w:pPr>
        <w:pStyle w:val="2"/>
        <w:rPr>
          <w:rFonts w:hint="eastAsia" w:ascii="宋体" w:hAnsi="宋体" w:eastAsia="宋体" w:cs="宋体"/>
          <w:color w:val="auto"/>
          <w:highlight w:val="none"/>
          <w:lang w:val="en-US" w:eastAsia="zh-CN"/>
        </w:rPr>
      </w:pPr>
    </w:p>
    <w:bookmarkEnd w:id="112"/>
    <w:bookmarkEnd w:id="113"/>
    <w:bookmarkEnd w:id="114"/>
    <w:p w14:paraId="398ED746">
      <w:pPr>
        <w:pStyle w:val="6"/>
        <w:jc w:val="center"/>
        <w:rPr>
          <w:rFonts w:hint="eastAsia" w:ascii="宋体" w:hAnsi="宋体" w:eastAsia="宋体" w:cs="宋体"/>
          <w:b/>
          <w:bCs/>
          <w:color w:val="auto"/>
          <w:spacing w:val="4"/>
          <w:sz w:val="28"/>
          <w:szCs w:val="28"/>
          <w:highlight w:val="none"/>
        </w:rPr>
      </w:pPr>
    </w:p>
    <w:p w14:paraId="283B0F62">
      <w:pPr>
        <w:pStyle w:val="6"/>
        <w:jc w:val="center"/>
        <w:rPr>
          <w:rFonts w:hint="eastAsia" w:ascii="宋体" w:hAnsi="宋体" w:eastAsia="宋体" w:cs="宋体"/>
          <w:b/>
          <w:bCs/>
          <w:color w:val="auto"/>
          <w:spacing w:val="4"/>
          <w:sz w:val="28"/>
          <w:szCs w:val="28"/>
          <w:highlight w:val="none"/>
        </w:rPr>
      </w:pPr>
    </w:p>
    <w:p w14:paraId="6F664E9B">
      <w:pPr>
        <w:pStyle w:val="6"/>
        <w:jc w:val="center"/>
        <w:rPr>
          <w:rFonts w:hint="eastAsia" w:ascii="宋体" w:hAnsi="宋体" w:eastAsia="宋体" w:cs="宋体"/>
          <w:b/>
          <w:bCs/>
          <w:color w:val="auto"/>
          <w:spacing w:val="4"/>
          <w:sz w:val="28"/>
          <w:szCs w:val="28"/>
          <w:highlight w:val="none"/>
        </w:rPr>
      </w:pPr>
    </w:p>
    <w:p w14:paraId="155630F4">
      <w:pPr>
        <w:pStyle w:val="6"/>
        <w:jc w:val="center"/>
        <w:rPr>
          <w:rFonts w:hint="eastAsia" w:ascii="宋体" w:hAnsi="宋体" w:eastAsia="宋体" w:cs="宋体"/>
          <w:b/>
          <w:bCs/>
          <w:color w:val="auto"/>
          <w:spacing w:val="4"/>
          <w:sz w:val="28"/>
          <w:szCs w:val="28"/>
          <w:highlight w:val="none"/>
        </w:rPr>
      </w:pPr>
    </w:p>
    <w:p w14:paraId="1DDBAAB0">
      <w:pPr>
        <w:pStyle w:val="6"/>
        <w:jc w:val="center"/>
        <w:rPr>
          <w:rFonts w:hint="eastAsia" w:ascii="宋体" w:hAnsi="宋体" w:eastAsia="宋体" w:cs="宋体"/>
          <w:b/>
          <w:bCs/>
          <w:color w:val="auto"/>
          <w:spacing w:val="4"/>
          <w:sz w:val="28"/>
          <w:szCs w:val="28"/>
          <w:highlight w:val="none"/>
        </w:rPr>
      </w:pPr>
    </w:p>
    <w:p w14:paraId="36FC153F">
      <w:pPr>
        <w:pStyle w:val="6"/>
        <w:jc w:val="center"/>
        <w:rPr>
          <w:rFonts w:hint="eastAsia" w:ascii="宋体" w:hAnsi="宋体" w:eastAsia="宋体" w:cs="宋体"/>
          <w:b/>
          <w:bCs/>
          <w:color w:val="auto"/>
          <w:spacing w:val="4"/>
          <w:sz w:val="28"/>
          <w:szCs w:val="28"/>
          <w:highlight w:val="none"/>
        </w:rPr>
      </w:pPr>
    </w:p>
    <w:p w14:paraId="7D55583D">
      <w:pPr>
        <w:pStyle w:val="6"/>
        <w:jc w:val="center"/>
        <w:rPr>
          <w:rFonts w:hint="eastAsia" w:ascii="宋体" w:hAnsi="宋体" w:eastAsia="宋体" w:cs="宋体"/>
          <w:b/>
          <w:bCs/>
          <w:color w:val="auto"/>
          <w:spacing w:val="4"/>
          <w:sz w:val="28"/>
          <w:szCs w:val="28"/>
          <w:highlight w:val="none"/>
        </w:rPr>
      </w:pPr>
    </w:p>
    <w:p w14:paraId="58238F06">
      <w:pPr>
        <w:pStyle w:val="6"/>
        <w:jc w:val="center"/>
        <w:rPr>
          <w:rFonts w:hint="eastAsia" w:ascii="宋体" w:hAnsi="宋体" w:eastAsia="宋体" w:cs="宋体"/>
          <w:b/>
          <w:bCs/>
          <w:color w:val="auto"/>
          <w:spacing w:val="4"/>
          <w:sz w:val="28"/>
          <w:szCs w:val="28"/>
          <w:highlight w:val="none"/>
        </w:rPr>
      </w:pPr>
    </w:p>
    <w:p w14:paraId="19DD05B5">
      <w:pPr>
        <w:pStyle w:val="6"/>
        <w:jc w:val="center"/>
        <w:rPr>
          <w:rFonts w:hint="eastAsia" w:ascii="宋体" w:hAnsi="宋体" w:eastAsia="宋体" w:cs="宋体"/>
          <w:b/>
          <w:bCs/>
          <w:color w:val="auto"/>
          <w:spacing w:val="4"/>
          <w:sz w:val="28"/>
          <w:szCs w:val="28"/>
          <w:highlight w:val="none"/>
        </w:rPr>
      </w:pPr>
    </w:p>
    <w:p w14:paraId="64586C4E">
      <w:pPr>
        <w:pStyle w:val="6"/>
        <w:jc w:val="center"/>
        <w:rPr>
          <w:rFonts w:hint="eastAsia" w:ascii="宋体" w:hAnsi="宋体" w:eastAsia="宋体" w:cs="宋体"/>
          <w:b/>
          <w:bCs/>
          <w:color w:val="auto"/>
          <w:spacing w:val="4"/>
          <w:sz w:val="28"/>
          <w:szCs w:val="28"/>
          <w:highlight w:val="none"/>
        </w:rPr>
      </w:pPr>
    </w:p>
    <w:p w14:paraId="41FC7757">
      <w:pPr>
        <w:pStyle w:val="6"/>
        <w:jc w:val="center"/>
        <w:rPr>
          <w:rFonts w:hint="eastAsia" w:ascii="宋体" w:hAnsi="宋体" w:eastAsia="宋体" w:cs="宋体"/>
          <w:b/>
          <w:bCs/>
          <w:color w:val="auto"/>
          <w:spacing w:val="4"/>
          <w:sz w:val="28"/>
          <w:szCs w:val="28"/>
          <w:highlight w:val="none"/>
        </w:rPr>
      </w:pPr>
    </w:p>
    <w:p w14:paraId="4207CD1F">
      <w:pPr>
        <w:pStyle w:val="6"/>
        <w:jc w:val="center"/>
        <w:rPr>
          <w:rFonts w:hint="eastAsia" w:ascii="宋体" w:hAnsi="宋体" w:eastAsia="宋体" w:cs="宋体"/>
          <w:b/>
          <w:bCs/>
          <w:color w:val="auto"/>
          <w:spacing w:val="4"/>
          <w:sz w:val="28"/>
          <w:szCs w:val="28"/>
          <w:highlight w:val="none"/>
        </w:rPr>
      </w:pPr>
    </w:p>
    <w:p w14:paraId="6E014268">
      <w:pPr>
        <w:pStyle w:val="6"/>
        <w:jc w:val="center"/>
        <w:rPr>
          <w:rFonts w:hint="eastAsia" w:ascii="宋体" w:hAnsi="宋体" w:eastAsia="宋体" w:cs="宋体"/>
          <w:b/>
          <w:bCs/>
          <w:color w:val="auto"/>
          <w:spacing w:val="4"/>
          <w:sz w:val="28"/>
          <w:szCs w:val="28"/>
          <w:highlight w:val="none"/>
        </w:rPr>
      </w:pPr>
    </w:p>
    <w:p w14:paraId="7084C00A">
      <w:pPr>
        <w:pStyle w:val="6"/>
        <w:jc w:val="center"/>
        <w:rPr>
          <w:rFonts w:hint="eastAsia" w:ascii="宋体" w:hAnsi="宋体" w:eastAsia="宋体" w:cs="宋体"/>
          <w:b/>
          <w:bCs/>
          <w:color w:val="auto"/>
          <w:spacing w:val="4"/>
          <w:sz w:val="28"/>
          <w:szCs w:val="28"/>
          <w:highlight w:val="none"/>
        </w:rPr>
      </w:pPr>
    </w:p>
    <w:p w14:paraId="7A916D81">
      <w:pPr>
        <w:pStyle w:val="2"/>
        <w:rPr>
          <w:rFonts w:hint="eastAsia" w:ascii="宋体" w:hAnsi="宋体" w:eastAsia="宋体" w:cs="宋体"/>
          <w:color w:val="auto"/>
          <w:highlight w:val="none"/>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830E">
    <w:pPr>
      <w:pBdr>
        <w:top w:val="double" w:color="auto" w:sz="4" w:space="1"/>
      </w:pBdr>
      <w:tabs>
        <w:tab w:val="center" w:pos="4685"/>
      </w:tabs>
      <w:jc w:val="left"/>
      <w:rPr>
        <w:rFonts w:hint="eastAsia" w:eastAsia="宋体"/>
        <w:lang w:eastAsia="zh-CN"/>
      </w:rPr>
    </w:pPr>
    <w:r>
      <w:rPr>
        <w:rFonts w:hint="eastAsia"/>
        <w:lang w:eastAsia="zh-CN"/>
      </w:rPr>
      <w:t>陕西玥鑫项目管理有限公司</w:t>
    </w:r>
    <w:r>
      <w:rPr>
        <w:rFonts w:hint="eastAsia"/>
      </w:rPr>
      <w:t xml:space="preserve"> </w:t>
    </w:r>
    <w:r>
      <w:rPr>
        <w:rFonts w:hint="eastAsia"/>
        <w:lang w:eastAsia="zh-CN"/>
      </w:rPr>
      <w:t>西安市雁塔区泰维智链中心一期B栋202室</w:t>
    </w:r>
    <w:r>
      <w:rPr>
        <w:rFonts w:hint="eastAsia"/>
      </w:rPr>
      <w:t xml:space="preserve">  </w:t>
    </w:r>
    <w:r>
      <w:rPr>
        <w:rFonts w:hint="eastAsia"/>
        <w:lang w:eastAsia="zh-CN"/>
      </w:rPr>
      <w:t>029-82520739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1341">
    <w:pPr>
      <w:pBdr>
        <w:top w:val="double" w:color="auto" w:sz="4" w:space="1"/>
      </w:pBdr>
      <w:tabs>
        <w:tab w:val="center" w:pos="4685"/>
      </w:tabs>
      <w:jc w:val="left"/>
      <w:rPr>
        <w:rFonts w:hint="eastAsia" w:ascii="仿宋" w:hAnsi="仿宋" w:eastAsia="仿宋" w:cs="仿宋"/>
        <w:sz w:val="21"/>
        <w:szCs w:val="18"/>
        <w:lang w:eastAsia="zh-CN"/>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15CD69C8">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15CD69C8">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lang w:eastAsia="zh-CN"/>
      </w:rPr>
      <w:t>陕西玥鑫项目管理有限公司</w:t>
    </w:r>
    <w:r>
      <w:rPr>
        <w:rFonts w:hint="eastAsia" w:ascii="仿宋" w:hAnsi="仿宋" w:eastAsia="仿宋" w:cs="仿宋"/>
        <w:sz w:val="21"/>
        <w:szCs w:val="18"/>
      </w:rPr>
      <w:t xml:space="preserve"> </w:t>
    </w:r>
    <w:r>
      <w:rPr>
        <w:rFonts w:hint="eastAsia" w:ascii="仿宋" w:hAnsi="仿宋" w:eastAsia="仿宋" w:cs="仿宋"/>
        <w:sz w:val="21"/>
        <w:szCs w:val="18"/>
      </w:rPr>
      <w:tab/>
    </w:r>
    <w:r>
      <w:rPr>
        <w:rFonts w:hint="eastAsia" w:ascii="仿宋" w:hAnsi="仿宋" w:eastAsia="仿宋" w:cs="仿宋"/>
        <w:sz w:val="21"/>
        <w:szCs w:val="18"/>
      </w:rPr>
      <w:t xml:space="preserve">    </w:t>
    </w:r>
    <w:r>
      <w:rPr>
        <w:rFonts w:hint="eastAsia" w:ascii="仿宋" w:hAnsi="仿宋" w:eastAsia="仿宋" w:cs="仿宋"/>
        <w:sz w:val="21"/>
        <w:szCs w:val="18"/>
        <w:lang w:eastAsia="zh-CN"/>
      </w:rPr>
      <w:t>西安市雁塔区泰维智链中心一期B栋202室</w:t>
    </w:r>
    <w:r>
      <w:rPr>
        <w:rFonts w:hint="eastAsia" w:ascii="仿宋" w:hAnsi="仿宋" w:eastAsia="仿宋" w:cs="仿宋"/>
        <w:sz w:val="21"/>
        <w:szCs w:val="18"/>
      </w:rPr>
      <w:t xml:space="preserve">     </w:t>
    </w:r>
    <w:r>
      <w:rPr>
        <w:rFonts w:hint="eastAsia" w:ascii="仿宋" w:hAnsi="仿宋" w:eastAsia="仿宋" w:cs="仿宋"/>
        <w:color w:val="333333"/>
        <w:shd w:val="clear" w:color="auto" w:fill="FFFFFF"/>
        <w:lang w:eastAsia="zh-CN"/>
      </w:rPr>
      <w:t>029-82520739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92F6">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27C6">
    <w:pPr>
      <w:pStyle w:val="19"/>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西安市信访局2025年度机关餐饮服务项目(二次)</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EE41">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971E3D88"/>
    <w:multiLevelType w:val="singleLevel"/>
    <w:tmpl w:val="971E3D88"/>
    <w:lvl w:ilvl="0" w:tentative="0">
      <w:start w:val="1"/>
      <w:numFmt w:val="decimal"/>
      <w:suff w:val="nothing"/>
      <w:lvlText w:val="（%1）"/>
      <w:lvlJc w:val="left"/>
    </w:lvl>
  </w:abstractNum>
  <w:abstractNum w:abstractNumId="2">
    <w:nsid w:val="A12A1E1B"/>
    <w:multiLevelType w:val="singleLevel"/>
    <w:tmpl w:val="A12A1E1B"/>
    <w:lvl w:ilvl="0" w:tentative="0">
      <w:start w:val="1"/>
      <w:numFmt w:val="chineseCounting"/>
      <w:suff w:val="nothing"/>
      <w:lvlText w:val="%1、"/>
      <w:lvlJc w:val="left"/>
      <w:rPr>
        <w:rFonts w:hint="eastAsia"/>
      </w:rPr>
    </w:lvl>
  </w:abstractNum>
  <w:abstractNum w:abstractNumId="3">
    <w:nsid w:val="C111D952"/>
    <w:multiLevelType w:val="singleLevel"/>
    <w:tmpl w:val="C111D952"/>
    <w:lvl w:ilvl="0" w:tentative="0">
      <w:start w:val="1"/>
      <w:numFmt w:val="decimal"/>
      <w:lvlText w:val="%1)"/>
      <w:lvlJc w:val="left"/>
      <w:pPr>
        <w:ind w:left="425" w:hanging="425"/>
      </w:pPr>
      <w:rPr>
        <w:rFonts w:hint="default"/>
      </w:rPr>
    </w:lvl>
  </w:abstractNum>
  <w:abstractNum w:abstractNumId="4">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5">
    <w:nsid w:val="1820403B"/>
    <w:multiLevelType w:val="singleLevel"/>
    <w:tmpl w:val="1820403B"/>
    <w:lvl w:ilvl="0" w:tentative="0">
      <w:start w:val="4"/>
      <w:numFmt w:val="decimal"/>
      <w:lvlText w:val="(%1)"/>
      <w:lvlJc w:val="left"/>
      <w:pPr>
        <w:tabs>
          <w:tab w:val="left" w:pos="312"/>
        </w:tabs>
      </w:pPr>
    </w:lvl>
  </w:abstractNum>
  <w:abstractNum w:abstractNumId="6">
    <w:nsid w:val="22487AB3"/>
    <w:multiLevelType w:val="singleLevel"/>
    <w:tmpl w:val="22487AB3"/>
    <w:lvl w:ilvl="0" w:tentative="0">
      <w:start w:val="1"/>
      <w:numFmt w:val="decimal"/>
      <w:suff w:val="nothing"/>
      <w:lvlText w:val="（%1）"/>
      <w:lvlJc w:val="left"/>
    </w:lvl>
  </w:abstractNum>
  <w:abstractNum w:abstractNumId="7">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87"/>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8"/>
  </w:num>
  <w:num w:numId="2">
    <w:abstractNumId w:val="1"/>
  </w:num>
  <w:num w:numId="3">
    <w:abstractNumId w:val="7"/>
  </w:num>
  <w:num w:numId="4">
    <w:abstractNumId w:val="0"/>
  </w:num>
  <w:num w:numId="5">
    <w:abstractNumId w:val="3"/>
  </w:num>
  <w:num w:numId="6">
    <w:abstractNumId w:val="4"/>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kNmEwODUxZTlhY2U2ZTM0OTI0ZDY1ZmQzYTAyZjY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B46F2C"/>
    <w:rsid w:val="02066D67"/>
    <w:rsid w:val="02564B51"/>
    <w:rsid w:val="02AB73DD"/>
    <w:rsid w:val="02BD5294"/>
    <w:rsid w:val="02C66169"/>
    <w:rsid w:val="02E21323"/>
    <w:rsid w:val="02ED480B"/>
    <w:rsid w:val="03654D86"/>
    <w:rsid w:val="036653F8"/>
    <w:rsid w:val="039E22F4"/>
    <w:rsid w:val="051E6132"/>
    <w:rsid w:val="05490A3B"/>
    <w:rsid w:val="056D58A2"/>
    <w:rsid w:val="0580326D"/>
    <w:rsid w:val="05932C6E"/>
    <w:rsid w:val="05B6269C"/>
    <w:rsid w:val="05C749CA"/>
    <w:rsid w:val="06583168"/>
    <w:rsid w:val="065F1A39"/>
    <w:rsid w:val="06B878D4"/>
    <w:rsid w:val="071B5892"/>
    <w:rsid w:val="078E032C"/>
    <w:rsid w:val="07A237BB"/>
    <w:rsid w:val="087C7181"/>
    <w:rsid w:val="08D315F8"/>
    <w:rsid w:val="09090A14"/>
    <w:rsid w:val="090A6E69"/>
    <w:rsid w:val="093322E7"/>
    <w:rsid w:val="09533E4E"/>
    <w:rsid w:val="09B32C87"/>
    <w:rsid w:val="09D70F07"/>
    <w:rsid w:val="09E01ABF"/>
    <w:rsid w:val="09E02E6F"/>
    <w:rsid w:val="0A03249E"/>
    <w:rsid w:val="0A03574F"/>
    <w:rsid w:val="0A0B19A8"/>
    <w:rsid w:val="0A2637BC"/>
    <w:rsid w:val="0A4B74A5"/>
    <w:rsid w:val="0A4C4318"/>
    <w:rsid w:val="0A825B11"/>
    <w:rsid w:val="0A860F4C"/>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F2C29"/>
    <w:rsid w:val="0F6016B2"/>
    <w:rsid w:val="0FD87665"/>
    <w:rsid w:val="10025A51"/>
    <w:rsid w:val="10755AE8"/>
    <w:rsid w:val="10862995"/>
    <w:rsid w:val="10CB4116"/>
    <w:rsid w:val="10D4477D"/>
    <w:rsid w:val="10F437D3"/>
    <w:rsid w:val="111E7A3F"/>
    <w:rsid w:val="117D028D"/>
    <w:rsid w:val="117F6C7E"/>
    <w:rsid w:val="11864CAE"/>
    <w:rsid w:val="11BF02AB"/>
    <w:rsid w:val="11DA55CB"/>
    <w:rsid w:val="12267D12"/>
    <w:rsid w:val="126F44AE"/>
    <w:rsid w:val="12AF63E3"/>
    <w:rsid w:val="12BD2907"/>
    <w:rsid w:val="12D363A6"/>
    <w:rsid w:val="13595805"/>
    <w:rsid w:val="136B4277"/>
    <w:rsid w:val="144E7D68"/>
    <w:rsid w:val="14814BAE"/>
    <w:rsid w:val="14AE4E9E"/>
    <w:rsid w:val="14BC12D4"/>
    <w:rsid w:val="14E2746C"/>
    <w:rsid w:val="15364DB8"/>
    <w:rsid w:val="155213EE"/>
    <w:rsid w:val="1570612F"/>
    <w:rsid w:val="15C24C1E"/>
    <w:rsid w:val="15C37496"/>
    <w:rsid w:val="16C04AD8"/>
    <w:rsid w:val="17031836"/>
    <w:rsid w:val="172059C3"/>
    <w:rsid w:val="173575C8"/>
    <w:rsid w:val="17B43FAD"/>
    <w:rsid w:val="17B67E79"/>
    <w:rsid w:val="17E36735"/>
    <w:rsid w:val="17EB056B"/>
    <w:rsid w:val="180D4FC6"/>
    <w:rsid w:val="18237858"/>
    <w:rsid w:val="18573033"/>
    <w:rsid w:val="18AB05AC"/>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B773B0"/>
    <w:rsid w:val="1ED33FFC"/>
    <w:rsid w:val="1EFF6B48"/>
    <w:rsid w:val="1F025B67"/>
    <w:rsid w:val="1F975C85"/>
    <w:rsid w:val="1FB12E34"/>
    <w:rsid w:val="203748DC"/>
    <w:rsid w:val="205310CF"/>
    <w:rsid w:val="205552D0"/>
    <w:rsid w:val="209566F8"/>
    <w:rsid w:val="21204F2B"/>
    <w:rsid w:val="22934AD2"/>
    <w:rsid w:val="22AF0D33"/>
    <w:rsid w:val="22CD6561"/>
    <w:rsid w:val="23637330"/>
    <w:rsid w:val="23701F96"/>
    <w:rsid w:val="23B33533"/>
    <w:rsid w:val="23D0369C"/>
    <w:rsid w:val="24853FA4"/>
    <w:rsid w:val="24EB0296"/>
    <w:rsid w:val="255268D8"/>
    <w:rsid w:val="255574FE"/>
    <w:rsid w:val="258A0126"/>
    <w:rsid w:val="25A10C0E"/>
    <w:rsid w:val="260B3AF2"/>
    <w:rsid w:val="2684068A"/>
    <w:rsid w:val="269310DE"/>
    <w:rsid w:val="26C51C72"/>
    <w:rsid w:val="26DF6C4D"/>
    <w:rsid w:val="27117D71"/>
    <w:rsid w:val="272351DA"/>
    <w:rsid w:val="27BB660B"/>
    <w:rsid w:val="27CA50AA"/>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D0F2711"/>
    <w:rsid w:val="2D2875D8"/>
    <w:rsid w:val="2D7175D5"/>
    <w:rsid w:val="2D91543B"/>
    <w:rsid w:val="2DB81892"/>
    <w:rsid w:val="2DDF4554"/>
    <w:rsid w:val="2DFF5C18"/>
    <w:rsid w:val="2E3E638D"/>
    <w:rsid w:val="2E462EDB"/>
    <w:rsid w:val="2E4B3FA8"/>
    <w:rsid w:val="2E74088C"/>
    <w:rsid w:val="2E766669"/>
    <w:rsid w:val="2EB75DE0"/>
    <w:rsid w:val="2EC00056"/>
    <w:rsid w:val="2F126410"/>
    <w:rsid w:val="2FA15DE1"/>
    <w:rsid w:val="2FB90FDC"/>
    <w:rsid w:val="2FB944D3"/>
    <w:rsid w:val="2FDEE2C7"/>
    <w:rsid w:val="303A2D32"/>
    <w:rsid w:val="306A72EA"/>
    <w:rsid w:val="308C7C42"/>
    <w:rsid w:val="30FB252D"/>
    <w:rsid w:val="310C3CE5"/>
    <w:rsid w:val="31B3122F"/>
    <w:rsid w:val="31E43039"/>
    <w:rsid w:val="32454A35"/>
    <w:rsid w:val="32C2710D"/>
    <w:rsid w:val="32F61C22"/>
    <w:rsid w:val="33347A0A"/>
    <w:rsid w:val="33400A6D"/>
    <w:rsid w:val="334360CE"/>
    <w:rsid w:val="335224CC"/>
    <w:rsid w:val="3390106E"/>
    <w:rsid w:val="33B5389C"/>
    <w:rsid w:val="343B6932"/>
    <w:rsid w:val="344D7405"/>
    <w:rsid w:val="34A233FA"/>
    <w:rsid w:val="34CD0436"/>
    <w:rsid w:val="351A2638"/>
    <w:rsid w:val="352F0DCA"/>
    <w:rsid w:val="35531DB4"/>
    <w:rsid w:val="355BB90B"/>
    <w:rsid w:val="35747DC3"/>
    <w:rsid w:val="35A6254C"/>
    <w:rsid w:val="35E714A8"/>
    <w:rsid w:val="360F461D"/>
    <w:rsid w:val="36157FC1"/>
    <w:rsid w:val="36263B37"/>
    <w:rsid w:val="366D6646"/>
    <w:rsid w:val="37054AD1"/>
    <w:rsid w:val="37783A7D"/>
    <w:rsid w:val="377D0476"/>
    <w:rsid w:val="37B835C4"/>
    <w:rsid w:val="37C337CD"/>
    <w:rsid w:val="37EB4243"/>
    <w:rsid w:val="38621C2D"/>
    <w:rsid w:val="386237C7"/>
    <w:rsid w:val="387845C4"/>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6E5789"/>
    <w:rsid w:val="3DC7164A"/>
    <w:rsid w:val="3E1675C3"/>
    <w:rsid w:val="3E7C15E5"/>
    <w:rsid w:val="3E8B4D5B"/>
    <w:rsid w:val="3E8C2F03"/>
    <w:rsid w:val="3E9042A5"/>
    <w:rsid w:val="3EBE53BD"/>
    <w:rsid w:val="3F1874A2"/>
    <w:rsid w:val="3F713809"/>
    <w:rsid w:val="3F73768E"/>
    <w:rsid w:val="3F8F587F"/>
    <w:rsid w:val="402976EF"/>
    <w:rsid w:val="40324859"/>
    <w:rsid w:val="40A02CD3"/>
    <w:rsid w:val="40A5751C"/>
    <w:rsid w:val="40C727F3"/>
    <w:rsid w:val="40E67048"/>
    <w:rsid w:val="411E57CA"/>
    <w:rsid w:val="41237074"/>
    <w:rsid w:val="416A07BB"/>
    <w:rsid w:val="41807C8E"/>
    <w:rsid w:val="41A31E73"/>
    <w:rsid w:val="41CE5A5E"/>
    <w:rsid w:val="42153AB9"/>
    <w:rsid w:val="42214965"/>
    <w:rsid w:val="425F0891"/>
    <w:rsid w:val="42795A04"/>
    <w:rsid w:val="42EB0EE8"/>
    <w:rsid w:val="430E6F58"/>
    <w:rsid w:val="43374E41"/>
    <w:rsid w:val="438235F5"/>
    <w:rsid w:val="43AA1D1C"/>
    <w:rsid w:val="43FE4C26"/>
    <w:rsid w:val="44295E33"/>
    <w:rsid w:val="44610BB9"/>
    <w:rsid w:val="44943B80"/>
    <w:rsid w:val="44D60EA3"/>
    <w:rsid w:val="450E3C7D"/>
    <w:rsid w:val="451156D2"/>
    <w:rsid w:val="454D4B6C"/>
    <w:rsid w:val="458C5803"/>
    <w:rsid w:val="466A1778"/>
    <w:rsid w:val="46882DF4"/>
    <w:rsid w:val="46896C28"/>
    <w:rsid w:val="46C45F14"/>
    <w:rsid w:val="46F1491E"/>
    <w:rsid w:val="473F6AAA"/>
    <w:rsid w:val="47486CB4"/>
    <w:rsid w:val="47693359"/>
    <w:rsid w:val="47982EBF"/>
    <w:rsid w:val="479B32AB"/>
    <w:rsid w:val="47D53006"/>
    <w:rsid w:val="47FD283F"/>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E72CF3"/>
    <w:rsid w:val="4BFF47E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B5B27"/>
    <w:rsid w:val="4EE25A25"/>
    <w:rsid w:val="4EEA1FF1"/>
    <w:rsid w:val="4F527C52"/>
    <w:rsid w:val="4F631A95"/>
    <w:rsid w:val="4F9CB9D4"/>
    <w:rsid w:val="4FD57B2B"/>
    <w:rsid w:val="4FFD5555"/>
    <w:rsid w:val="501B25C1"/>
    <w:rsid w:val="50282405"/>
    <w:rsid w:val="50605A80"/>
    <w:rsid w:val="507F1834"/>
    <w:rsid w:val="508546CE"/>
    <w:rsid w:val="50A73E77"/>
    <w:rsid w:val="512C7ED2"/>
    <w:rsid w:val="51384EF6"/>
    <w:rsid w:val="515B45AE"/>
    <w:rsid w:val="515E041A"/>
    <w:rsid w:val="51656440"/>
    <w:rsid w:val="51BB5A4E"/>
    <w:rsid w:val="51E56C3A"/>
    <w:rsid w:val="51E74F62"/>
    <w:rsid w:val="52477FB9"/>
    <w:rsid w:val="5270749E"/>
    <w:rsid w:val="52813798"/>
    <w:rsid w:val="52E7213A"/>
    <w:rsid w:val="53332CCF"/>
    <w:rsid w:val="533C7C39"/>
    <w:rsid w:val="53421DE6"/>
    <w:rsid w:val="53453E2E"/>
    <w:rsid w:val="53E0645B"/>
    <w:rsid w:val="53FB5528"/>
    <w:rsid w:val="54437915"/>
    <w:rsid w:val="54705100"/>
    <w:rsid w:val="548633EE"/>
    <w:rsid w:val="548F06A5"/>
    <w:rsid w:val="54D2234C"/>
    <w:rsid w:val="54E16E62"/>
    <w:rsid w:val="54F26070"/>
    <w:rsid w:val="551306D9"/>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FE5DB1"/>
    <w:rsid w:val="5A1A42FD"/>
    <w:rsid w:val="5A617614"/>
    <w:rsid w:val="5A943ECD"/>
    <w:rsid w:val="5AB8771B"/>
    <w:rsid w:val="5B160A43"/>
    <w:rsid w:val="5B2A24B5"/>
    <w:rsid w:val="5B48305A"/>
    <w:rsid w:val="5B5A57CC"/>
    <w:rsid w:val="5B913620"/>
    <w:rsid w:val="5BCA3A6F"/>
    <w:rsid w:val="5BFF784C"/>
    <w:rsid w:val="5BFFFAEC"/>
    <w:rsid w:val="5C0B6550"/>
    <w:rsid w:val="5C57011D"/>
    <w:rsid w:val="5CE138FE"/>
    <w:rsid w:val="5CF90EAB"/>
    <w:rsid w:val="5D9958D6"/>
    <w:rsid w:val="5DAE23A7"/>
    <w:rsid w:val="5E2C2993"/>
    <w:rsid w:val="5E59187D"/>
    <w:rsid w:val="5E683F93"/>
    <w:rsid w:val="5E7F1DF2"/>
    <w:rsid w:val="5E885D0C"/>
    <w:rsid w:val="5EB3691D"/>
    <w:rsid w:val="5EFF1CDE"/>
    <w:rsid w:val="5F7D4C95"/>
    <w:rsid w:val="5F8748DA"/>
    <w:rsid w:val="5F92022D"/>
    <w:rsid w:val="60096A5F"/>
    <w:rsid w:val="60201E9B"/>
    <w:rsid w:val="602867D3"/>
    <w:rsid w:val="606A6585"/>
    <w:rsid w:val="608545AF"/>
    <w:rsid w:val="60C56AE9"/>
    <w:rsid w:val="60CA1CA6"/>
    <w:rsid w:val="60EC10DB"/>
    <w:rsid w:val="612D083D"/>
    <w:rsid w:val="61523065"/>
    <w:rsid w:val="61774699"/>
    <w:rsid w:val="61963FB3"/>
    <w:rsid w:val="620B398A"/>
    <w:rsid w:val="62127AB7"/>
    <w:rsid w:val="623854C9"/>
    <w:rsid w:val="628337CD"/>
    <w:rsid w:val="62E41FCE"/>
    <w:rsid w:val="631D04A8"/>
    <w:rsid w:val="633E139F"/>
    <w:rsid w:val="63C9234B"/>
    <w:rsid w:val="63DC5FEA"/>
    <w:rsid w:val="64403B07"/>
    <w:rsid w:val="644D10C3"/>
    <w:rsid w:val="64943DD8"/>
    <w:rsid w:val="64B85521"/>
    <w:rsid w:val="6528077E"/>
    <w:rsid w:val="656C1129"/>
    <w:rsid w:val="658C7807"/>
    <w:rsid w:val="6598349C"/>
    <w:rsid w:val="65FD3896"/>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90E0A5E"/>
    <w:rsid w:val="698C2C78"/>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D031434"/>
    <w:rsid w:val="6D0443EC"/>
    <w:rsid w:val="6D2E7AC3"/>
    <w:rsid w:val="6D3B1643"/>
    <w:rsid w:val="6D4F6931"/>
    <w:rsid w:val="6D643657"/>
    <w:rsid w:val="6D9C243D"/>
    <w:rsid w:val="6DAC22A7"/>
    <w:rsid w:val="6DEE0D89"/>
    <w:rsid w:val="6E392E75"/>
    <w:rsid w:val="6E3C67F4"/>
    <w:rsid w:val="6E641B01"/>
    <w:rsid w:val="6E9A03A3"/>
    <w:rsid w:val="6F0C4592"/>
    <w:rsid w:val="6F352669"/>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259730A"/>
    <w:rsid w:val="72694F09"/>
    <w:rsid w:val="72A02886"/>
    <w:rsid w:val="72A550E9"/>
    <w:rsid w:val="72C70CD2"/>
    <w:rsid w:val="72CF6D83"/>
    <w:rsid w:val="73681127"/>
    <w:rsid w:val="738E58F8"/>
    <w:rsid w:val="73AB3572"/>
    <w:rsid w:val="73B65723"/>
    <w:rsid w:val="73CD0678"/>
    <w:rsid w:val="742F4C4C"/>
    <w:rsid w:val="748702F8"/>
    <w:rsid w:val="751211BF"/>
    <w:rsid w:val="752C0E9F"/>
    <w:rsid w:val="7581526D"/>
    <w:rsid w:val="758D7B90"/>
    <w:rsid w:val="75AD1C8E"/>
    <w:rsid w:val="76271592"/>
    <w:rsid w:val="762E19DD"/>
    <w:rsid w:val="76303784"/>
    <w:rsid w:val="76C174E4"/>
    <w:rsid w:val="76C80E10"/>
    <w:rsid w:val="777F70C2"/>
    <w:rsid w:val="77C63DD0"/>
    <w:rsid w:val="77F532B2"/>
    <w:rsid w:val="77F60A8C"/>
    <w:rsid w:val="77FD4885"/>
    <w:rsid w:val="785F7751"/>
    <w:rsid w:val="786C3B6A"/>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5"/>
    <w:qFormat/>
    <w:uiPriority w:val="0"/>
    <w:pPr>
      <w:keepNext/>
      <w:keepLines/>
      <w:spacing w:line="360" w:lineRule="auto"/>
      <w:jc w:val="center"/>
      <w:outlineLvl w:val="0"/>
    </w:pPr>
    <w:rPr>
      <w:b/>
      <w:bCs/>
      <w:kern w:val="44"/>
      <w:sz w:val="30"/>
      <w:szCs w:val="44"/>
    </w:rPr>
  </w:style>
  <w:style w:type="paragraph" w:styleId="4">
    <w:name w:val="heading 2"/>
    <w:basedOn w:val="1"/>
    <w:next w:val="1"/>
    <w:link w:val="94"/>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8">
    <w:name w:val="heading 4"/>
    <w:basedOn w:val="1"/>
    <w:next w:val="9"/>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10">
    <w:name w:val="heading 6"/>
    <w:basedOn w:val="1"/>
    <w:next w:val="1"/>
    <w:link w:val="62"/>
    <w:qFormat/>
    <w:uiPriority w:val="99"/>
    <w:pPr>
      <w:keepNext/>
      <w:keepLines/>
      <w:spacing w:before="240" w:after="64" w:line="320" w:lineRule="auto"/>
      <w:outlineLvl w:val="5"/>
    </w:pPr>
    <w:rPr>
      <w:rFonts w:ascii="Calibri Light" w:hAnsi="Calibri Light"/>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rPr>
  </w:style>
  <w:style w:type="paragraph" w:styleId="6">
    <w:name w:val="Normal Indent"/>
    <w:basedOn w:val="1"/>
    <w:next w:val="7"/>
    <w:qFormat/>
    <w:uiPriority w:val="0"/>
    <w:pPr>
      <w:spacing w:line="300" w:lineRule="auto"/>
      <w:ind w:firstLine="420" w:firstLineChars="200"/>
    </w:pPr>
  </w:style>
  <w:style w:type="paragraph" w:styleId="7">
    <w:name w:val="toc 4"/>
    <w:basedOn w:val="1"/>
    <w:next w:val="1"/>
    <w:unhideWhenUsed/>
    <w:qFormat/>
    <w:uiPriority w:val="31"/>
    <w:pPr>
      <w:ind w:left="1275"/>
    </w:pPr>
    <w:rPr>
      <w:rFonts w:ascii="Calibri" w:hAnsi="Calibri"/>
      <w:szCs w:val="21"/>
    </w:rPr>
  </w:style>
  <w:style w:type="paragraph" w:customStyle="1" w:styleId="9">
    <w:name w:val="正文模式"/>
    <w:basedOn w:val="1"/>
    <w:qFormat/>
    <w:uiPriority w:val="0"/>
    <w:pPr>
      <w:spacing w:line="360" w:lineRule="auto"/>
      <w:ind w:firstLine="480" w:firstLineChars="200"/>
    </w:pPr>
    <w:rPr>
      <w:rFonts w:cs="宋体"/>
      <w:sz w:val="24"/>
      <w:szCs w:val="20"/>
    </w:rPr>
  </w:style>
  <w:style w:type="paragraph" w:styleId="11">
    <w:name w:val="annotation text"/>
    <w:basedOn w:val="1"/>
    <w:link w:val="66"/>
    <w:qFormat/>
    <w:uiPriority w:val="0"/>
    <w:pPr>
      <w:jc w:val="left"/>
    </w:p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0"/>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alloon Text"/>
    <w:basedOn w:val="1"/>
    <w:link w:val="68"/>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3">
    <w:name w:val="toc 2"/>
    <w:basedOn w:val="1"/>
    <w:next w:val="1"/>
    <w:qFormat/>
    <w:uiPriority w:val="39"/>
    <w:pPr>
      <w:ind w:left="420" w:leftChars="200"/>
    </w:pPr>
  </w:style>
  <w:style w:type="paragraph" w:styleId="24">
    <w:name w:val="toc 9"/>
    <w:basedOn w:val="1"/>
    <w:next w:val="1"/>
    <w:qFormat/>
    <w:uiPriority w:val="0"/>
    <w:pPr>
      <w:wordWrap w:val="0"/>
      <w:ind w:left="2975"/>
    </w:pPr>
    <w:rPr>
      <w:rFonts w:ascii="Times New Roman" w:hAnsi="Times New Roman"/>
    </w:rPr>
  </w:style>
  <w:style w:type="paragraph" w:styleId="25">
    <w:name w:val="Body Text 2"/>
    <w:basedOn w:val="1"/>
    <w:qFormat/>
    <w:uiPriority w:val="0"/>
    <w:pPr>
      <w:spacing w:line="360" w:lineRule="auto"/>
    </w:pPr>
    <w:rPr>
      <w:rFonts w:ascii="等线" w:eastAsia="等线"/>
      <w:u w:val="single"/>
    </w:rPr>
  </w:style>
  <w:style w:type="paragraph" w:styleId="26">
    <w:name w:val="Normal (Web)"/>
    <w:basedOn w:val="1"/>
    <w:qFormat/>
    <w:uiPriority w:val="0"/>
    <w:pPr>
      <w:widowControl/>
      <w:spacing w:beforeAutospacing="1" w:afterAutospacing="1" w:line="240" w:lineRule="auto"/>
      <w:jc w:val="left"/>
    </w:pPr>
    <w:rPr>
      <w:rFonts w:ascii="宋体" w:hAnsi="宋体" w:cs="宋体"/>
      <w:kern w:val="0"/>
    </w:rPr>
  </w:style>
  <w:style w:type="paragraph" w:styleId="27">
    <w:name w:val="annotation subject"/>
    <w:basedOn w:val="11"/>
    <w:next w:val="11"/>
    <w:link w:val="67"/>
    <w:qFormat/>
    <w:uiPriority w:val="0"/>
    <w:rPr>
      <w:b/>
      <w:bCs/>
    </w:rPr>
  </w:style>
  <w:style w:type="paragraph" w:styleId="28">
    <w:name w:val="Body Text First Indent"/>
    <w:basedOn w:val="2"/>
    <w:next w:val="29"/>
    <w:qFormat/>
    <w:uiPriority w:val="99"/>
    <w:pPr>
      <w:ind w:firstLine="420" w:firstLineChars="100"/>
    </w:pPr>
  </w:style>
  <w:style w:type="paragraph" w:styleId="29">
    <w:name w:val="Body Text First Indent 2"/>
    <w:basedOn w:val="12"/>
    <w:next w:val="1"/>
    <w:qFormat/>
    <w:uiPriority w:val="0"/>
    <w:pPr>
      <w:ind w:firstLine="20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555555"/>
      <w:u w:val="none"/>
    </w:rPr>
  </w:style>
  <w:style w:type="character" w:styleId="36">
    <w:name w:val="Emphasis"/>
    <w:basedOn w:val="32"/>
    <w:qFormat/>
    <w:uiPriority w:val="0"/>
  </w:style>
  <w:style w:type="character" w:styleId="37">
    <w:name w:val="HTML Definition"/>
    <w:basedOn w:val="32"/>
    <w:qFormat/>
    <w:uiPriority w:val="0"/>
    <w:rPr>
      <w:i/>
      <w:iCs/>
    </w:rPr>
  </w:style>
  <w:style w:type="character" w:styleId="38">
    <w:name w:val="Hyperlink"/>
    <w:basedOn w:val="32"/>
    <w:qFormat/>
    <w:uiPriority w:val="99"/>
    <w:rPr>
      <w:rFonts w:hint="eastAsia" w:ascii="宋体" w:hAnsi="宋体" w:eastAsia="宋体" w:cs="宋体"/>
      <w:color w:val="000000"/>
      <w:sz w:val="18"/>
      <w:szCs w:val="18"/>
      <w:u w:val="none"/>
    </w:rPr>
  </w:style>
  <w:style w:type="character" w:styleId="39">
    <w:name w:val="HTML Code"/>
    <w:basedOn w:val="32"/>
    <w:qFormat/>
    <w:uiPriority w:val="0"/>
    <w:rPr>
      <w:rFonts w:hint="default" w:ascii="Menlo" w:hAnsi="Menlo" w:eastAsia="Menlo" w:cs="Menlo"/>
      <w:color w:val="C7254E"/>
      <w:sz w:val="21"/>
      <w:szCs w:val="21"/>
      <w:shd w:val="clear" w:color="auto" w:fill="F9F2F4"/>
    </w:rPr>
  </w:style>
  <w:style w:type="character" w:styleId="40">
    <w:name w:val="annotation reference"/>
    <w:basedOn w:val="32"/>
    <w:qFormat/>
    <w:uiPriority w:val="0"/>
    <w:rPr>
      <w:sz w:val="21"/>
      <w:szCs w:val="21"/>
    </w:rPr>
  </w:style>
  <w:style w:type="character" w:styleId="41">
    <w:name w:val="footnote reference"/>
    <w:basedOn w:val="32"/>
    <w:qFormat/>
    <w:uiPriority w:val="0"/>
    <w:rPr>
      <w:vertAlign w:val="superscript"/>
    </w:rPr>
  </w:style>
  <w:style w:type="character" w:styleId="42">
    <w:name w:val="HTML Keyboard"/>
    <w:basedOn w:val="32"/>
    <w:qFormat/>
    <w:uiPriority w:val="0"/>
    <w:rPr>
      <w:rFonts w:ascii="Menlo" w:hAnsi="Menlo" w:eastAsia="Menlo" w:cs="Menlo"/>
      <w:color w:val="FFFFFF"/>
      <w:sz w:val="21"/>
      <w:szCs w:val="21"/>
      <w:shd w:val="clear" w:color="auto" w:fill="333333"/>
    </w:rPr>
  </w:style>
  <w:style w:type="character" w:styleId="43">
    <w:name w:val="HTML Sample"/>
    <w:basedOn w:val="32"/>
    <w:qFormat/>
    <w:uiPriority w:val="0"/>
    <w:rPr>
      <w:rFonts w:hint="default" w:ascii="Menlo" w:hAnsi="Menlo" w:eastAsia="Menlo" w:cs="Menlo"/>
      <w:sz w:val="21"/>
      <w:szCs w:val="21"/>
    </w:rPr>
  </w:style>
  <w:style w:type="paragraph" w:customStyle="1" w:styleId="44">
    <w:name w:val="列出段落1"/>
    <w:basedOn w:val="1"/>
    <w:qFormat/>
    <w:uiPriority w:val="34"/>
    <w:pPr>
      <w:ind w:firstLine="420" w:firstLineChars="200"/>
    </w:pPr>
    <w:rPr>
      <w:rFonts w:ascii="Calibri" w:hAnsi="Calibri"/>
      <w:szCs w:val="22"/>
    </w:rPr>
  </w:style>
  <w:style w:type="character" w:customStyle="1" w:styleId="45">
    <w:name w:val="标题 1 字符"/>
    <w:link w:val="3"/>
    <w:qFormat/>
    <w:uiPriority w:val="0"/>
    <w:rPr>
      <w:b/>
      <w:bCs/>
      <w:kern w:val="44"/>
      <w:sz w:val="30"/>
      <w:szCs w:val="44"/>
    </w:rPr>
  </w:style>
  <w:style w:type="paragraph" w:customStyle="1" w:styleId="4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7">
    <w:name w:val="方案正文"/>
    <w:basedOn w:val="1"/>
    <w:qFormat/>
    <w:uiPriority w:val="0"/>
    <w:pPr>
      <w:widowControl/>
      <w:spacing w:line="360" w:lineRule="auto"/>
      <w:ind w:firstLine="504"/>
      <w:jc w:val="left"/>
    </w:pPr>
    <w:rPr>
      <w:rFonts w:ascii="宋体" w:hAnsi="宋体"/>
      <w:kern w:val="0"/>
      <w:szCs w:val="28"/>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49">
    <w:name w:val="List Paragraph"/>
    <w:basedOn w:val="1"/>
    <w:qFormat/>
    <w:uiPriority w:val="34"/>
    <w:pPr>
      <w:ind w:firstLine="420" w:firstLineChars="200"/>
    </w:pPr>
  </w:style>
  <w:style w:type="character" w:customStyle="1" w:styleId="50">
    <w:name w:val="纯文本 字符"/>
    <w:link w:val="14"/>
    <w:qFormat/>
    <w:uiPriority w:val="99"/>
    <w:rPr>
      <w:rFonts w:ascii="宋体" w:hAnsi="Courier New" w:cs="Courier New"/>
      <w:kern w:val="2"/>
      <w:sz w:val="21"/>
      <w:szCs w:val="21"/>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3">
    <w:name w:val="hour_am"/>
    <w:basedOn w:val="32"/>
    <w:qFormat/>
    <w:uiPriority w:val="0"/>
  </w:style>
  <w:style w:type="character" w:customStyle="1" w:styleId="54">
    <w:name w:val="old"/>
    <w:basedOn w:val="32"/>
    <w:qFormat/>
    <w:uiPriority w:val="0"/>
    <w:rPr>
      <w:color w:val="999999"/>
    </w:rPr>
  </w:style>
  <w:style w:type="character" w:customStyle="1" w:styleId="55">
    <w:name w:val="tmpztreemove_arrow"/>
    <w:basedOn w:val="32"/>
    <w:qFormat/>
    <w:uiPriority w:val="0"/>
    <w:rPr>
      <w:shd w:val="clear" w:color="auto" w:fill="FFFFFF"/>
    </w:rPr>
  </w:style>
  <w:style w:type="character" w:customStyle="1" w:styleId="56">
    <w:name w:val="hover3"/>
    <w:basedOn w:val="32"/>
    <w:qFormat/>
    <w:uiPriority w:val="0"/>
    <w:rPr>
      <w:shd w:val="clear" w:color="auto" w:fill="EEEEEE"/>
    </w:rPr>
  </w:style>
  <w:style w:type="character" w:customStyle="1" w:styleId="57">
    <w:name w:val="glyphicon4"/>
    <w:basedOn w:val="32"/>
    <w:qFormat/>
    <w:uiPriority w:val="0"/>
  </w:style>
  <w:style w:type="character" w:customStyle="1" w:styleId="58">
    <w:name w:val="hour_pm"/>
    <w:basedOn w:val="32"/>
    <w:qFormat/>
    <w:uiPriority w:val="0"/>
  </w:style>
  <w:style w:type="character" w:customStyle="1" w:styleId="59">
    <w:name w:val="button"/>
    <w:basedOn w:val="32"/>
    <w:qFormat/>
    <w:uiPriority w:val="0"/>
  </w:style>
  <w:style w:type="paragraph" w:customStyle="1" w:styleId="60">
    <w:name w:val="样式1"/>
    <w:basedOn w:val="1"/>
    <w:qFormat/>
    <w:uiPriority w:val="0"/>
    <w:pPr>
      <w:adjustRightInd w:val="0"/>
      <w:textAlignment w:val="baseline"/>
    </w:pPr>
    <w:rPr>
      <w:rFonts w:ascii="宋体" w:hAnsi="宋体"/>
      <w:kern w:val="0"/>
      <w:szCs w:val="21"/>
    </w:rPr>
  </w:style>
  <w:style w:type="character" w:customStyle="1" w:styleId="61">
    <w:name w:val="indent"/>
    <w:basedOn w:val="32"/>
    <w:qFormat/>
    <w:uiPriority w:val="0"/>
  </w:style>
  <w:style w:type="character" w:customStyle="1" w:styleId="62">
    <w:name w:val="标题 6 字符"/>
    <w:basedOn w:val="32"/>
    <w:link w:val="10"/>
    <w:qFormat/>
    <w:uiPriority w:val="99"/>
    <w:rPr>
      <w:rFonts w:ascii="Calibri Light" w:hAnsi="Calibri Light"/>
      <w:b/>
      <w:bCs/>
      <w:kern w:val="2"/>
      <w:sz w:val="24"/>
      <w:szCs w:val="24"/>
    </w:rPr>
  </w:style>
  <w:style w:type="paragraph" w:customStyle="1" w:styleId="63">
    <w:name w:val="my-正文"/>
    <w:basedOn w:val="1"/>
    <w:qFormat/>
    <w:uiPriority w:val="0"/>
    <w:pPr>
      <w:spacing w:line="360" w:lineRule="auto"/>
    </w:pPr>
    <w:rPr>
      <w:rFonts w:ascii="宋体" w:hAnsi="宋体"/>
      <w:lang w:val="zh-CN"/>
    </w:rPr>
  </w:style>
  <w:style w:type="paragraph" w:customStyle="1" w:styleId="64">
    <w:name w:val="样式 首行缩进:  2 字符"/>
    <w:basedOn w:val="1"/>
    <w:qFormat/>
    <w:uiPriority w:val="0"/>
    <w:pPr>
      <w:spacing w:line="400" w:lineRule="exact"/>
      <w:ind w:firstLine="200" w:firstLineChars="200"/>
    </w:pPr>
    <w:rPr>
      <w:rFonts w:cs="宋体"/>
    </w:rPr>
  </w:style>
  <w:style w:type="paragraph" w:customStyle="1" w:styleId="65">
    <w:name w:val="p1"/>
    <w:basedOn w:val="1"/>
    <w:qFormat/>
    <w:uiPriority w:val="0"/>
    <w:pPr>
      <w:widowControl/>
    </w:pPr>
    <w:rPr>
      <w:rFonts w:ascii="Lucida Grande" w:hAnsi="Lucida Grande" w:cs="Lucida Grande"/>
      <w:color w:val="323333"/>
      <w:kern w:val="0"/>
      <w:szCs w:val="21"/>
    </w:rPr>
  </w:style>
  <w:style w:type="character" w:customStyle="1" w:styleId="66">
    <w:name w:val="批注文字 字符"/>
    <w:basedOn w:val="32"/>
    <w:link w:val="11"/>
    <w:qFormat/>
    <w:uiPriority w:val="0"/>
    <w:rPr>
      <w:kern w:val="2"/>
      <w:sz w:val="21"/>
      <w:szCs w:val="24"/>
    </w:rPr>
  </w:style>
  <w:style w:type="character" w:customStyle="1" w:styleId="67">
    <w:name w:val="批注主题 字符"/>
    <w:basedOn w:val="66"/>
    <w:link w:val="27"/>
    <w:qFormat/>
    <w:uiPriority w:val="0"/>
    <w:rPr>
      <w:b/>
      <w:bCs/>
      <w:kern w:val="2"/>
      <w:sz w:val="21"/>
      <w:szCs w:val="24"/>
    </w:rPr>
  </w:style>
  <w:style w:type="character" w:customStyle="1" w:styleId="68">
    <w:name w:val="批注框文本 字符"/>
    <w:basedOn w:val="32"/>
    <w:link w:val="17"/>
    <w:qFormat/>
    <w:uiPriority w:val="0"/>
    <w:rPr>
      <w:kern w:val="2"/>
      <w:sz w:val="18"/>
      <w:szCs w:val="18"/>
    </w:rPr>
  </w:style>
  <w:style w:type="paragraph" w:customStyle="1" w:styleId="69">
    <w:name w:val="title1"/>
    <w:basedOn w:val="1"/>
    <w:qFormat/>
    <w:uiPriority w:val="0"/>
    <w:pPr>
      <w:spacing w:before="150"/>
      <w:jc w:val="left"/>
    </w:pPr>
    <w:rPr>
      <w:b/>
      <w:kern w:val="0"/>
      <w:sz w:val="22"/>
      <w:szCs w:val="22"/>
    </w:rPr>
  </w:style>
  <w:style w:type="character" w:customStyle="1" w:styleId="70">
    <w:name w:val="标题 1 Char Char"/>
    <w:qFormat/>
    <w:uiPriority w:val="0"/>
    <w:rPr>
      <w:rFonts w:eastAsia="宋体"/>
      <w:b/>
      <w:spacing w:val="-2"/>
      <w:sz w:val="24"/>
      <w:lang w:val="en-US" w:eastAsia="zh-CN" w:bidi="ar-SA"/>
    </w:rPr>
  </w:style>
  <w:style w:type="character" w:customStyle="1" w:styleId="71">
    <w:name w:val="apple-converted-space"/>
    <w:basedOn w:val="32"/>
    <w:qFormat/>
    <w:uiPriority w:val="0"/>
  </w:style>
  <w:style w:type="character" w:customStyle="1" w:styleId="72">
    <w:name w:val="font71"/>
    <w:basedOn w:val="32"/>
    <w:qFormat/>
    <w:uiPriority w:val="0"/>
    <w:rPr>
      <w:rFonts w:hint="default" w:ascii="Times New Roman" w:hAnsi="Times New Roman" w:cs="Times New Roman"/>
      <w:b/>
      <w:color w:val="000000"/>
      <w:sz w:val="21"/>
      <w:szCs w:val="21"/>
      <w:u w:val="none"/>
    </w:rPr>
  </w:style>
  <w:style w:type="character" w:customStyle="1" w:styleId="73">
    <w:name w:val="font101"/>
    <w:basedOn w:val="32"/>
    <w:qFormat/>
    <w:uiPriority w:val="0"/>
    <w:rPr>
      <w:rFonts w:hint="default" w:ascii="Times New Roman" w:hAnsi="Times New Roman" w:cs="Times New Roman"/>
      <w:color w:val="333333"/>
      <w:sz w:val="21"/>
      <w:szCs w:val="21"/>
      <w:u w:val="none"/>
    </w:rPr>
  </w:style>
  <w:style w:type="paragraph" w:customStyle="1" w:styleId="74">
    <w:name w:val="y"/>
    <w:basedOn w:val="1"/>
    <w:qFormat/>
    <w:uiPriority w:val="0"/>
    <w:pPr>
      <w:spacing w:line="360" w:lineRule="auto"/>
      <w:ind w:firstLine="480" w:firstLineChars="200"/>
    </w:pPr>
    <w:rPr>
      <w:rFonts w:ascii="宋体" w:hAnsi="宋体"/>
    </w:rPr>
  </w:style>
  <w:style w:type="paragraph" w:customStyle="1" w:styleId="75">
    <w:name w:val="p18"/>
    <w:basedOn w:val="1"/>
    <w:qFormat/>
    <w:uiPriority w:val="0"/>
    <w:pPr>
      <w:widowControl/>
      <w:spacing w:line="360" w:lineRule="auto"/>
      <w:ind w:firstLine="420"/>
    </w:pPr>
    <w:rPr>
      <w:rFonts w:ascii="Arial" w:hAnsi="Arial" w:eastAsia="Adobe 仿宋 Std R" w:cs="Arial"/>
      <w:kern w:val="0"/>
    </w:rPr>
  </w:style>
  <w:style w:type="paragraph" w:customStyle="1" w:styleId="76">
    <w:name w:val="p17"/>
    <w:basedOn w:val="1"/>
    <w:qFormat/>
    <w:uiPriority w:val="0"/>
    <w:pPr>
      <w:widowControl/>
      <w:ind w:firstLine="420"/>
    </w:pPr>
    <w:rPr>
      <w:kern w:val="0"/>
      <w:szCs w:val="21"/>
    </w:rPr>
  </w:style>
  <w:style w:type="paragraph" w:customStyle="1" w:styleId="77">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78">
    <w:name w:val="列出段落11"/>
    <w:basedOn w:val="1"/>
    <w:qFormat/>
    <w:uiPriority w:val="34"/>
    <w:pPr>
      <w:ind w:firstLine="420" w:firstLineChars="200"/>
    </w:pPr>
    <w:rPr>
      <w:rFonts w:ascii="Calibri" w:hAnsi="Calibri"/>
      <w:szCs w:val="22"/>
    </w:rPr>
  </w:style>
  <w:style w:type="paragraph" w:customStyle="1" w:styleId="79">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0">
    <w:name w:val="正文自定"/>
    <w:basedOn w:val="1"/>
    <w:qFormat/>
    <w:uiPriority w:val="0"/>
    <w:pPr>
      <w:tabs>
        <w:tab w:val="left" w:pos="7665"/>
      </w:tabs>
      <w:spacing w:line="360" w:lineRule="auto"/>
      <w:ind w:firstLine="480" w:firstLineChars="200"/>
    </w:pPr>
    <w:rPr>
      <w:rFonts w:ascii="宋体" w:hAnsi="宋体"/>
    </w:rPr>
  </w:style>
  <w:style w:type="character" w:customStyle="1" w:styleId="81">
    <w:name w:val="font21"/>
    <w:basedOn w:val="32"/>
    <w:qFormat/>
    <w:uiPriority w:val="0"/>
    <w:rPr>
      <w:rFonts w:hint="eastAsia" w:ascii="宋体" w:hAnsi="宋体" w:eastAsia="宋体" w:cs="宋体"/>
      <w:color w:val="000000"/>
      <w:sz w:val="22"/>
      <w:szCs w:val="22"/>
      <w:u w:val="none"/>
    </w:rPr>
  </w:style>
  <w:style w:type="character" w:customStyle="1" w:styleId="82">
    <w:name w:val="font01"/>
    <w:basedOn w:val="32"/>
    <w:qFormat/>
    <w:uiPriority w:val="0"/>
    <w:rPr>
      <w:rFonts w:hint="eastAsia" w:ascii="宋体" w:hAnsi="宋体" w:eastAsia="宋体" w:cs="宋体"/>
      <w:color w:val="000000"/>
      <w:sz w:val="22"/>
      <w:szCs w:val="22"/>
      <w:u w:val="none"/>
    </w:rPr>
  </w:style>
  <w:style w:type="character" w:customStyle="1" w:styleId="83">
    <w:name w:val="font31"/>
    <w:basedOn w:val="32"/>
    <w:qFormat/>
    <w:uiPriority w:val="0"/>
    <w:rPr>
      <w:rFonts w:hint="eastAsia" w:ascii="宋体" w:hAnsi="宋体" w:eastAsia="宋体" w:cs="宋体"/>
      <w:color w:val="000000"/>
      <w:sz w:val="21"/>
      <w:szCs w:val="21"/>
      <w:u w:val="none"/>
    </w:rPr>
  </w:style>
  <w:style w:type="character" w:customStyle="1" w:styleId="84">
    <w:name w:val="font41"/>
    <w:basedOn w:val="32"/>
    <w:qFormat/>
    <w:uiPriority w:val="0"/>
    <w:rPr>
      <w:rFonts w:hint="eastAsia" w:ascii="宋体" w:hAnsi="宋体" w:eastAsia="宋体" w:cs="宋体"/>
      <w:color w:val="000000"/>
      <w:sz w:val="21"/>
      <w:szCs w:val="21"/>
      <w:u w:val="none"/>
    </w:rPr>
  </w:style>
  <w:style w:type="paragraph" w:customStyle="1" w:styleId="85">
    <w:name w:val="目录"/>
    <w:basedOn w:val="1"/>
    <w:qFormat/>
    <w:uiPriority w:val="0"/>
    <w:pPr>
      <w:widowControl/>
      <w:jc w:val="center"/>
    </w:pPr>
    <w:rPr>
      <w:rFonts w:ascii="宋体"/>
      <w:b/>
      <w:kern w:val="0"/>
      <w:sz w:val="36"/>
    </w:rPr>
  </w:style>
  <w:style w:type="paragraph" w:customStyle="1" w:styleId="86">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87">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88">
    <w:name w:val="title13"/>
    <w:basedOn w:val="1"/>
    <w:qFormat/>
    <w:uiPriority w:val="0"/>
    <w:pPr>
      <w:spacing w:before="150"/>
      <w:jc w:val="left"/>
    </w:pPr>
    <w:rPr>
      <w:b/>
      <w:bCs/>
      <w:kern w:val="0"/>
      <w:sz w:val="22"/>
      <w:szCs w:val="22"/>
    </w:rPr>
  </w:style>
  <w:style w:type="character" w:customStyle="1" w:styleId="89">
    <w:name w:val="15"/>
    <w:basedOn w:val="32"/>
    <w:qFormat/>
    <w:uiPriority w:val="0"/>
  </w:style>
  <w:style w:type="paragraph" w:customStyle="1" w:styleId="90">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1">
    <w:name w:val="正文缩进1"/>
    <w:basedOn w:val="1"/>
    <w:qFormat/>
    <w:uiPriority w:val="0"/>
    <w:pPr>
      <w:ind w:firstLine="420" w:firstLineChars="200"/>
    </w:pPr>
  </w:style>
  <w:style w:type="paragraph" w:customStyle="1" w:styleId="92">
    <w:name w:val="Table Text"/>
    <w:basedOn w:val="1"/>
    <w:semiHidden/>
    <w:qFormat/>
    <w:uiPriority w:val="0"/>
    <w:rPr>
      <w:rFonts w:ascii="仿宋" w:hAnsi="仿宋" w:eastAsia="仿宋" w:cs="仿宋"/>
      <w:sz w:val="24"/>
      <w:szCs w:val="24"/>
      <w:lang w:val="en-US" w:eastAsia="en-US" w:bidi="ar-SA"/>
    </w:r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标题 2 Char"/>
    <w:link w:val="4"/>
    <w:qFormat/>
    <w:uiPriority w:val="0"/>
    <w:rPr>
      <w:rFonts w:ascii="Arial" w:hAnsi="Arial"/>
      <w:b/>
      <w:bCs/>
      <w:sz w:val="28"/>
      <w:szCs w:val="32"/>
    </w:rPr>
  </w:style>
  <w:style w:type="table" w:customStyle="1" w:styleId="95">
    <w:name w:val="网格型5"/>
    <w:basedOn w:val="30"/>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20531</Words>
  <Characters>22014</Characters>
  <Lines>297</Lines>
  <Paragraphs>83</Paragraphs>
  <TotalTime>1</TotalTime>
  <ScaleCrop>false</ScaleCrop>
  <LinksUpToDate>false</LinksUpToDate>
  <CharactersWithSpaces>22301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2023-03-24T02:03:00Z</dcterms:created>
  <dc:creator>不言、不语</dc:creator>
  <cp:lastModifiedBy>李蹊</cp:lastModifiedBy>
  <cp:lastPrinted>2023-04-13T01:31:00Z</cp:lastPrinted>
  <dcterms:modified xsi:type="dcterms:W3CDTF">2025-05-21T02:47:27Z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8138E18FDBE64F72848A7AF49CB1901D_13</vt:lpwstr>
  </property>
  <property fmtid="{D5CDD505-2E9C-101B-9397-08002B2CF9AE}" pid="4" name="KSOTemplateDocerSaveRecord">
    <vt:lpwstr>eyJoZGlkIjoiN2MzMmZkYTdlOTdhNDViYTg2YzM1MTEwNGI4MzY5OTMiLCJ1c2VySWQiOiIyMDMxMDgyMDUifQ==</vt:lpwstr>
  </property>
</Properties>
</file>