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35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450"/>
        <w:gridCol w:w="441"/>
        <w:gridCol w:w="1069"/>
        <w:gridCol w:w="675"/>
        <w:gridCol w:w="2747"/>
        <w:gridCol w:w="2859"/>
      </w:tblGrid>
      <w:tr w14:paraId="4073507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18BECF03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序号</w:t>
            </w:r>
          </w:p>
        </w:tc>
        <w:tc>
          <w:tcPr>
            <w:tcW w:w="4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36F0174F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货物名称</w:t>
            </w:r>
          </w:p>
        </w:tc>
        <w:tc>
          <w:tcPr>
            <w:tcW w:w="4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4EE019DB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尺码</w:t>
            </w:r>
          </w:p>
        </w:tc>
        <w:tc>
          <w:tcPr>
            <w:tcW w:w="10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77BD9472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最高限价</w:t>
            </w:r>
            <w:r>
              <w:rPr>
                <w:color w:val="auto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（元/片）</w:t>
            </w:r>
          </w:p>
        </w:tc>
        <w:tc>
          <w:tcPr>
            <w:tcW w:w="6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1FBF492A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274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1CA08000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技术参数</w:t>
            </w:r>
          </w:p>
        </w:tc>
        <w:tc>
          <w:tcPr>
            <w:tcW w:w="285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7301C037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产品材质和功能</w:t>
            </w:r>
          </w:p>
        </w:tc>
      </w:tr>
      <w:tr w14:paraId="5F5A80A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9F4F76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EDE82F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BEAC9D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1EF937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329D88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BF5A39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8BC1DA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3A7C9AC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69784CE0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1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77653058">
            <w:pPr>
              <w:pStyle w:val="4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超强吸收干爽婴儿纸尿裤</w:t>
            </w:r>
            <w:r>
              <w:rPr>
                <w:rFonts w:hint="eastAsia" w:ascii="宋体" w:hAnsi="宋体" w:eastAsia="宋体" w:cs="宋体"/>
                <w:color w:val="auto"/>
                <w:sz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highlight w:val="none"/>
                <w:lang w:val="en-US" w:eastAsia="zh-CN"/>
              </w:rPr>
              <w:t>核心产品</w:t>
            </w:r>
            <w:r>
              <w:rPr>
                <w:rFonts w:hint="eastAsia" w:ascii="宋体" w:hAnsi="宋体" w:eastAsia="宋体" w:cs="宋体"/>
                <w:color w:val="auto"/>
                <w:sz w:val="18"/>
                <w:highlight w:val="none"/>
                <w:lang w:eastAsia="zh-CN"/>
              </w:rPr>
              <w:t>）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4C6FABB7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M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F9CA61A">
            <w:pPr>
              <w:pStyle w:val="4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1.8</w:t>
            </w:r>
            <w:r>
              <w:rPr>
                <w:rFonts w:hint="eastAsia" w:ascii="宋体" w:hAnsi="宋体" w:eastAsia="宋体" w:cs="宋体"/>
                <w:color w:val="auto"/>
                <w:sz w:val="18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6F5C271B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片</w:t>
            </w:r>
          </w:p>
        </w:tc>
        <w:tc>
          <w:tcPr>
            <w:tcW w:w="2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017C9F49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1、PH值：4.0-8.0；</w:t>
            </w:r>
          </w:p>
          <w:p w14:paraId="555F4215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2、交货水分：≤10.0%；</w:t>
            </w:r>
          </w:p>
          <w:p w14:paraId="60DE02C0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3、细菌菌落总数≤20CFU/g；</w:t>
            </w:r>
          </w:p>
          <w:p w14:paraId="6ACB5EB8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▲</w:t>
            </w: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4、</w:t>
            </w: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渗透性能：回渗量≤10.0g，渗漏量≤1.0g；</w:t>
            </w:r>
          </w:p>
          <w:p w14:paraId="593ABB4F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▲</w:t>
            </w: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5、</w:t>
            </w: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真菌菌落总数≤20CFU/g；</w:t>
            </w:r>
          </w:p>
          <w:p w14:paraId="15502225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▲</w:t>
            </w: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 xml:space="preserve">6、 </w:t>
            </w: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且不得检出大肠杆菌、绿脓杆菌、金黄色葡萄球菌、溶血性链球菌；</w:t>
            </w:r>
          </w:p>
          <w:p w14:paraId="2FB8C7EF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以上参数须提供每个规格的检测报告。</w:t>
            </w:r>
          </w:p>
        </w:tc>
        <w:tc>
          <w:tcPr>
            <w:tcW w:w="2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20D9871A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1、纸尿裤整体洁净，不掉色，面层手感柔软；</w:t>
            </w:r>
          </w:p>
          <w:p w14:paraId="0605BE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581"/>
              </w:tabs>
              <w:kinsoku/>
              <w:wordWrap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2、三层锁水，可</w:t>
            </w:r>
            <w:r>
              <w:rPr>
                <w:rFonts w:hint="eastAsia" w:ascii="宋体" w:hAnsi="宋体" w:eastAsia="宋体" w:cs="宋体"/>
                <w:color w:val="auto"/>
                <w:sz w:val="18"/>
                <w:highlight w:val="none"/>
                <w:lang w:val="en-US" w:eastAsia="zh-CN"/>
              </w:rPr>
              <w:t>多次吸收，使用时间长达12小时，不反渗，吸水量≥自身重量的30倍，面层干爽”</w:t>
            </w:r>
          </w:p>
          <w:p w14:paraId="405FE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581"/>
              </w:tabs>
              <w:kinsoku/>
              <w:wordWrap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highlight w:val="none"/>
                <w:lang w:val="en-US" w:eastAsia="zh-CN"/>
              </w:rPr>
              <w:t>3.原木浆棉芯，双芯体结构，超强吸收，特殊导流；</w:t>
            </w:r>
          </w:p>
          <w:p w14:paraId="6349AE44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3、柔软无纺布面层，环保透气底膜，柔软舒适，迅速干爽；</w:t>
            </w:r>
          </w:p>
          <w:p w14:paraId="1156F1C2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4、整片吸收芯体结构，不断层、不结块；</w:t>
            </w:r>
          </w:p>
          <w:p w14:paraId="52F6941B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5、新环抱式腰围及腰贴，外加左右魔术扣，自由调节定位；</w:t>
            </w:r>
          </w:p>
          <w:p w14:paraId="31671629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6、有尿显功能，方便观察。</w:t>
            </w:r>
          </w:p>
        </w:tc>
      </w:tr>
      <w:tr w14:paraId="41F7A0F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677A7914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2</w:t>
            </w: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6AB3DB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468B2B25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L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07923490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2.30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B5A6EE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331694"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2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C755C1">
            <w:pPr>
              <w:jc w:val="left"/>
              <w:rPr>
                <w:color w:val="auto"/>
                <w:highlight w:val="none"/>
              </w:rPr>
            </w:pPr>
          </w:p>
        </w:tc>
      </w:tr>
      <w:tr w14:paraId="0F852C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776A17FC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3</w:t>
            </w: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D2FBC6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76625895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XL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12ADF515">
            <w:pPr>
              <w:pStyle w:val="4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2.6</w:t>
            </w:r>
            <w:r>
              <w:rPr>
                <w:rFonts w:hint="eastAsia" w:ascii="宋体" w:hAnsi="宋体" w:eastAsia="宋体" w:cs="宋体"/>
                <w:color w:val="auto"/>
                <w:sz w:val="18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A3AC5D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14E6F0"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2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177E5E">
            <w:pPr>
              <w:jc w:val="left"/>
              <w:rPr>
                <w:color w:val="auto"/>
                <w:highlight w:val="none"/>
              </w:rPr>
            </w:pPr>
          </w:p>
        </w:tc>
      </w:tr>
      <w:tr w14:paraId="30E46F4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16228C11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4</w:t>
            </w: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3106E3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4559A366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XXL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361138F0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3.08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64CA9F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8ED025"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2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13CD9D">
            <w:pPr>
              <w:jc w:val="left"/>
              <w:rPr>
                <w:color w:val="auto"/>
                <w:highlight w:val="none"/>
              </w:rPr>
            </w:pPr>
          </w:p>
        </w:tc>
      </w:tr>
      <w:tr w14:paraId="0116A4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0649BA6E">
            <w:pPr>
              <w:pStyle w:val="4"/>
              <w:jc w:val="center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highlight w:val="none"/>
                <w:lang w:val="en-US" w:eastAsia="zh-CN"/>
              </w:rPr>
              <w:t>5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2E17E6E8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幼儿学步拉拉裤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3CC6AD22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L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7F5DDEE2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2.95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4C4FA052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片</w:t>
            </w:r>
          </w:p>
        </w:tc>
        <w:tc>
          <w:tcPr>
            <w:tcW w:w="2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45A0373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1、PH值：4.0-8.0；</w:t>
            </w:r>
          </w:p>
          <w:p w14:paraId="00F1B3AC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2、交货水分：≤10.0%；</w:t>
            </w:r>
          </w:p>
          <w:p w14:paraId="0973F158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3、细菌菌落总数≤20cfu/g；</w:t>
            </w:r>
          </w:p>
          <w:p w14:paraId="3257831F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▲</w:t>
            </w: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4、</w:t>
            </w: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渗透性能：回渗量≤10.0g，渗漏量≤0.5g；</w:t>
            </w:r>
          </w:p>
          <w:p w14:paraId="52AF2C30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▲</w:t>
            </w: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5、</w:t>
            </w: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真菌菌落总数≤20cfu/g；</w:t>
            </w:r>
          </w:p>
          <w:p w14:paraId="38F31ADA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▲</w:t>
            </w: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 xml:space="preserve">6、 </w:t>
            </w: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且不得检出大肠杆菌、绿脓杆菌、金黄色葡萄球菌、溶血性链球菌；</w:t>
            </w:r>
          </w:p>
          <w:p w14:paraId="62310B0D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以上参数须提供每个规格的检测报告。</w:t>
            </w:r>
            <w:r>
              <w:rPr>
                <w:color w:val="auto"/>
                <w:highlight w:val="none"/>
              </w:rPr>
              <w:br w:type="textWrapping"/>
            </w:r>
          </w:p>
        </w:tc>
        <w:tc>
          <w:tcPr>
            <w:tcW w:w="2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4C82DC94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1、水波纹柔软外表层，轻柔透气；</w:t>
            </w:r>
          </w:p>
          <w:p w14:paraId="4179FDF8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2、S曲线侧腰围，不勒肚肚，减少摩擦；</w:t>
            </w:r>
          </w:p>
          <w:p w14:paraId="359E4C8A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3、全弹力腰围，360°贴身呵护；</w:t>
            </w:r>
          </w:p>
          <w:p w14:paraId="47713DC5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4、清新透气微孔，排走湿气，不闷屁屁；</w:t>
            </w:r>
          </w:p>
          <w:p w14:paraId="5560C8D0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5、双层吸收体，不为侧漏、背漏烦恼。</w:t>
            </w:r>
          </w:p>
        </w:tc>
      </w:tr>
      <w:tr w14:paraId="73F4E2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179EAB5">
            <w:pPr>
              <w:pStyle w:val="4"/>
              <w:jc w:val="center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highlight w:val="none"/>
                <w:lang w:val="en-US" w:eastAsia="zh-CN"/>
              </w:rPr>
              <w:t>6</w:t>
            </w: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D400A0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0DCEBADA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XL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43366659">
            <w:pPr>
              <w:pStyle w:val="4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3.3</w:t>
            </w:r>
            <w:r>
              <w:rPr>
                <w:rFonts w:hint="eastAsia" w:ascii="宋体" w:hAnsi="宋体" w:eastAsia="宋体" w:cs="宋体"/>
                <w:color w:val="auto"/>
                <w:sz w:val="18"/>
                <w:highlight w:val="none"/>
                <w:lang w:val="en-US" w:eastAsia="zh-CN"/>
              </w:rPr>
              <w:t>0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2FA4C4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7E281A"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2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960326">
            <w:pPr>
              <w:jc w:val="left"/>
              <w:rPr>
                <w:color w:val="auto"/>
                <w:highlight w:val="none"/>
              </w:rPr>
            </w:pPr>
          </w:p>
        </w:tc>
      </w:tr>
      <w:tr w14:paraId="7BD5CD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46E289A2">
            <w:pPr>
              <w:pStyle w:val="4"/>
              <w:jc w:val="center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highlight w:val="none"/>
                <w:lang w:val="en-US" w:eastAsia="zh-CN"/>
              </w:rPr>
              <w:t>7</w:t>
            </w: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D6EE71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14A0EB07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XXL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7B2FEC5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3.65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4C6953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81CA87"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2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4DEFDDE7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1、3D立体防漏护围，一吸不漏，360°的弹力贴身呵护；</w:t>
            </w:r>
          </w:p>
          <w:p w14:paraId="2D436296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2、弹力大环腰伸缩腰围，穿脱方便；</w:t>
            </w:r>
          </w:p>
          <w:p w14:paraId="1613C686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3、棉柔透气干爽表层，柔软舒适更亲肤；</w:t>
            </w:r>
          </w:p>
          <w:p w14:paraId="3D288CEB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4、原木浆棉芯，双芯体结构，超强吸收，特殊导流。</w:t>
            </w:r>
          </w:p>
        </w:tc>
      </w:tr>
      <w:tr w14:paraId="6A69B3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069A80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6F4D5A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232F70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6783FC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8DDB11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B1F96D"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2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8B386B">
            <w:pPr>
              <w:jc w:val="left"/>
              <w:rPr>
                <w:color w:val="auto"/>
                <w:highlight w:val="none"/>
              </w:rPr>
            </w:pPr>
          </w:p>
        </w:tc>
      </w:tr>
      <w:tr w14:paraId="365DC1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165ACC9F">
            <w:pPr>
              <w:pStyle w:val="4"/>
              <w:jc w:val="center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highlight w:val="none"/>
                <w:lang w:val="en-US" w:eastAsia="zh-CN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6F046734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成人长效干爽纸尿裤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06404380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M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475C483C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3.80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23A8A7EB">
            <w:pPr>
              <w:pStyle w:val="4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片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2797BCF8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1、PH值：4.0-8.0；</w:t>
            </w:r>
          </w:p>
          <w:p w14:paraId="0A2EE089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2、交货水分：≤10.0%；</w:t>
            </w:r>
          </w:p>
          <w:p w14:paraId="63D30EB9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3、细菌菌落总数≤200cfu/g；</w:t>
            </w:r>
          </w:p>
          <w:p w14:paraId="6BA6C65E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▲</w:t>
            </w: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4、</w:t>
            </w: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渗透性能：回渗量≤10.0g，渗漏量≤0.5g；</w:t>
            </w:r>
          </w:p>
          <w:p w14:paraId="32D0BE24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▲</w:t>
            </w: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5、</w:t>
            </w: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真菌菌落总数≤100cfu/g</w:t>
            </w:r>
          </w:p>
          <w:p w14:paraId="2633C9F2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▲</w:t>
            </w: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6、</w:t>
            </w: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且不得检出大肠杆菌、绿脓杆菌、金黄色葡萄球菌、溶血性链球菌；</w:t>
            </w:r>
            <w:r>
              <w:rPr>
                <w:color w:val="auto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以上参数须提供每个规格的检测报告。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52125A16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b/>
                <w:color w:val="auto"/>
                <w:sz w:val="18"/>
                <w:highlight w:val="none"/>
              </w:rPr>
              <w:t>1、</w:t>
            </w: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尾部弹性腰围，防止背漏；</w:t>
            </w:r>
          </w:p>
          <w:p w14:paraId="44ACF290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2、高分子吸收体，迅速锁水，超强吸水；</w:t>
            </w:r>
            <w:bookmarkStart w:id="0" w:name="_GoBack"/>
            <w:bookmarkEnd w:id="0"/>
          </w:p>
          <w:p w14:paraId="7EF3B939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>3、采用环保可降解材料，棉柔透气复合底膜，舒适透气；</w:t>
            </w:r>
          </w:p>
          <w:p w14:paraId="29BD1E50">
            <w:pPr>
              <w:pStyle w:val="4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highlight w:val="none"/>
              </w:rPr>
              <w:t xml:space="preserve">4、环抱式腰围及腰贴，外加左右魔术扣，自由调节定位；      </w:t>
            </w:r>
            <w:r>
              <w:rPr>
                <w:color w:val="auto"/>
                <w:highlight w:val="none"/>
              </w:rPr>
              <w:br w:type="textWrapping"/>
            </w:r>
          </w:p>
        </w:tc>
      </w:tr>
    </w:tbl>
    <w:p w14:paraId="7B72B654">
      <w:pPr>
        <w:pStyle w:val="4"/>
        <w:ind w:firstLine="422"/>
        <w:jc w:val="both"/>
      </w:pPr>
      <w:r>
        <w:rPr>
          <w:rFonts w:ascii="仿宋_GB2312" w:hAnsi="仿宋_GB2312" w:eastAsia="仿宋_GB2312" w:cs="仿宋_GB2312"/>
          <w:b/>
          <w:sz w:val="21"/>
        </w:rPr>
        <w:t>一、付款方式：合同签订后10个工作日内支付合同总额的30%预付款，接到采购人订单后，中标人将货物运到采购人指定地点。据实验收合格后，供应商凭本批次送货清单、验收单、合同、中标通知书及发票原件办理结算手续。</w:t>
      </w:r>
    </w:p>
    <w:p w14:paraId="279B5FB0">
      <w:pPr>
        <w:pStyle w:val="4"/>
        <w:ind w:firstLine="422"/>
        <w:jc w:val="both"/>
      </w:pPr>
      <w:r>
        <w:rPr>
          <w:rFonts w:ascii="仿宋_GB2312" w:hAnsi="仿宋_GB2312" w:eastAsia="仿宋_GB2312" w:cs="仿宋_GB2312"/>
          <w:b/>
          <w:sz w:val="21"/>
        </w:rPr>
        <w:t>二、交货期限：合同签订之日起至2025年12月31日。接到采购人通知7天内交付完毕。</w:t>
      </w:r>
    </w:p>
    <w:p w14:paraId="60D812B2">
      <w:pPr>
        <w:pStyle w:val="4"/>
        <w:ind w:firstLine="422"/>
        <w:jc w:val="both"/>
      </w:pPr>
      <w:r>
        <w:rPr>
          <w:rFonts w:ascii="仿宋_GB2312" w:hAnsi="仿宋_GB2312" w:eastAsia="仿宋_GB2312" w:cs="仿宋_GB2312"/>
          <w:b/>
          <w:sz w:val="21"/>
        </w:rPr>
        <w:t>三、质保期：产品质保期为三年, 交货时货物使用期不少于2年</w:t>
      </w:r>
    </w:p>
    <w:p w14:paraId="3B9132A2">
      <w:pPr>
        <w:pStyle w:val="4"/>
        <w:ind w:firstLine="422"/>
      </w:pPr>
      <w:r>
        <w:rPr>
          <w:rFonts w:ascii="仿宋_GB2312" w:hAnsi="仿宋_GB2312" w:eastAsia="仿宋_GB2312" w:cs="仿宋_GB2312"/>
          <w:b/>
          <w:sz w:val="21"/>
        </w:rPr>
        <w:t>四、交货地点：采购人指定地点</w:t>
      </w:r>
    </w:p>
    <w:p w14:paraId="4837D8FC">
      <w:pPr>
        <w:pStyle w:val="4"/>
        <w:ind w:firstLine="422"/>
        <w:jc w:val="both"/>
      </w:pPr>
      <w:r>
        <w:rPr>
          <w:rFonts w:ascii="仿宋_GB2312" w:hAnsi="仿宋_GB2312" w:eastAsia="仿宋_GB2312" w:cs="仿宋_GB2312"/>
          <w:b/>
          <w:sz w:val="21"/>
        </w:rPr>
        <w:t>五、供应商须提供投标产品的样品（每个规格提供1份样品）。开标当日用小型纸箱密封提交，未密封提交样品不予接受。密封样品标注单位名称。</w:t>
      </w:r>
    </w:p>
    <w:p w14:paraId="28E80355">
      <w:r>
        <w:rPr>
          <w:rFonts w:ascii="仿宋_GB2312" w:hAnsi="仿宋_GB2312" w:eastAsia="仿宋_GB2312" w:cs="仿宋_GB2312"/>
          <w:b/>
          <w:sz w:val="21"/>
        </w:rPr>
        <w:t xml:space="preserve">  六、本项目为单价招标，投标人需对每一个系列不同尺码单片纸尿裤进行单价报价，且单价报价不得超过单价限价。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616E9"/>
    <w:rsid w:val="0E0370AE"/>
    <w:rsid w:val="1A5616E9"/>
    <w:rsid w:val="5480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1146</Words>
  <Characters>1284</Characters>
  <Lines>0</Lines>
  <Paragraphs>0</Paragraphs>
  <TotalTime>1</TotalTime>
  <ScaleCrop>false</ScaleCrop>
  <LinksUpToDate>false</LinksUpToDate>
  <CharactersWithSpaces>1295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2025-05-30T07:23:00Z</dcterms:created>
  <dc:creator>lenovo</dc:creator>
  <cp:lastModifiedBy>lenovo</cp:lastModifiedBy>
  <dcterms:modified xsi:type="dcterms:W3CDTF">2025-05-30T07:47:38Z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7817B50329DA4742AAE57A363C0C16A9_11</vt:lpwstr>
  </property>
  <property fmtid="{D5CDD505-2E9C-101B-9397-08002B2CF9AE}" pid="4" name="KSOTemplateDocerSaveRecord">
    <vt:lpwstr>eyJoZGlkIjoiYzQwNDYxZmYyMjhmMjUzYmRjYjI4Y2RiNTNlYWI4ZTEifQ==</vt:lpwstr>
  </property>
</Properties>
</file>