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ACE0E">
      <w:pPr>
        <w:spacing w:line="56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项目编号：SXWZ2025ZB-SGLJ-070</w:t>
      </w:r>
    </w:p>
    <w:p w14:paraId="375FD9DC">
      <w:pPr>
        <w:jc w:val="center"/>
        <w:rPr>
          <w:rFonts w:hint="eastAsia" w:ascii="宋体" w:hAnsi="宋体" w:eastAsia="宋体" w:cs="宋体"/>
          <w:color w:val="auto"/>
          <w:sz w:val="44"/>
          <w:szCs w:val="44"/>
          <w:highlight w:val="none"/>
        </w:rPr>
      </w:pPr>
    </w:p>
    <w:p w14:paraId="7335A09D">
      <w:pPr>
        <w:jc w:val="both"/>
        <w:rPr>
          <w:rFonts w:hint="eastAsia" w:ascii="宋体" w:hAnsi="宋体" w:eastAsia="宋体" w:cs="宋体"/>
          <w:color w:val="auto"/>
          <w:sz w:val="52"/>
          <w:szCs w:val="52"/>
          <w:highlight w:val="none"/>
        </w:rPr>
      </w:pPr>
    </w:p>
    <w:p w14:paraId="6B5FA31D">
      <w:pPr>
        <w:spacing w:line="360" w:lineRule="auto"/>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西安市市场监督管理局</w:t>
      </w:r>
    </w:p>
    <w:p w14:paraId="4F0187F2">
      <w:pPr>
        <w:spacing w:line="360" w:lineRule="auto"/>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2025年机电类特种设备安全质量</w:t>
      </w:r>
    </w:p>
    <w:p w14:paraId="08C924DC">
      <w:pPr>
        <w:spacing w:line="360" w:lineRule="auto"/>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监督抽查项目</w:t>
      </w:r>
    </w:p>
    <w:p w14:paraId="2797CC83">
      <w:pPr>
        <w:jc w:val="center"/>
        <w:rPr>
          <w:rFonts w:hint="eastAsia" w:ascii="宋体" w:hAnsi="宋体" w:eastAsia="宋体" w:cs="宋体"/>
          <w:b/>
          <w:bCs/>
          <w:color w:val="auto"/>
          <w:sz w:val="56"/>
          <w:szCs w:val="56"/>
          <w:highlight w:val="none"/>
        </w:rPr>
      </w:pPr>
    </w:p>
    <w:p w14:paraId="058D8719">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72"/>
          <w:szCs w:val="72"/>
          <w:highlight w:val="none"/>
        </w:rPr>
        <w:t>招标文件</w:t>
      </w:r>
    </w:p>
    <w:p w14:paraId="218484D4">
      <w:pPr>
        <w:spacing w:line="560" w:lineRule="exact"/>
        <w:ind w:firstLine="803" w:firstLineChars="200"/>
        <w:jc w:val="both"/>
        <w:rPr>
          <w:rFonts w:hint="eastAsia" w:ascii="宋体" w:hAnsi="宋体" w:eastAsia="宋体" w:cs="宋体"/>
          <w:b/>
          <w:bCs/>
          <w:color w:val="auto"/>
          <w:sz w:val="40"/>
          <w:szCs w:val="40"/>
          <w:highlight w:val="none"/>
        </w:rPr>
      </w:pPr>
    </w:p>
    <w:p w14:paraId="73E87C13">
      <w:pPr>
        <w:spacing w:line="560" w:lineRule="exact"/>
        <w:ind w:firstLine="803" w:firstLineChars="200"/>
        <w:jc w:val="both"/>
        <w:rPr>
          <w:rFonts w:hint="eastAsia" w:ascii="宋体" w:hAnsi="宋体" w:eastAsia="宋体" w:cs="宋体"/>
          <w:b/>
          <w:bCs/>
          <w:color w:val="auto"/>
          <w:sz w:val="40"/>
          <w:szCs w:val="40"/>
          <w:highlight w:val="none"/>
        </w:rPr>
      </w:pPr>
    </w:p>
    <w:p w14:paraId="38ECD48C">
      <w:pPr>
        <w:spacing w:line="560" w:lineRule="exact"/>
        <w:ind w:firstLine="803" w:firstLineChars="200"/>
        <w:jc w:val="both"/>
        <w:rPr>
          <w:rFonts w:hint="eastAsia" w:ascii="宋体" w:hAnsi="宋体" w:eastAsia="宋体" w:cs="宋体"/>
          <w:b/>
          <w:bCs/>
          <w:color w:val="auto"/>
          <w:sz w:val="40"/>
          <w:szCs w:val="40"/>
          <w:highlight w:val="none"/>
        </w:rPr>
      </w:pPr>
    </w:p>
    <w:p w14:paraId="70A2CB35">
      <w:pPr>
        <w:spacing w:line="560" w:lineRule="exact"/>
        <w:ind w:firstLine="803" w:firstLineChars="200"/>
        <w:jc w:val="both"/>
        <w:rPr>
          <w:rFonts w:hint="eastAsia" w:ascii="宋体" w:hAnsi="宋体" w:eastAsia="宋体" w:cs="宋体"/>
          <w:b/>
          <w:bCs/>
          <w:color w:val="auto"/>
          <w:sz w:val="40"/>
          <w:szCs w:val="40"/>
          <w:highlight w:val="none"/>
        </w:rPr>
      </w:pPr>
    </w:p>
    <w:p w14:paraId="305AB3FB">
      <w:pPr>
        <w:spacing w:line="560" w:lineRule="exact"/>
        <w:ind w:firstLine="803" w:firstLineChars="200"/>
        <w:jc w:val="both"/>
        <w:rPr>
          <w:rFonts w:hint="eastAsia" w:ascii="宋体" w:hAnsi="宋体" w:eastAsia="宋体" w:cs="宋体"/>
          <w:b/>
          <w:bCs/>
          <w:color w:val="auto"/>
          <w:sz w:val="40"/>
          <w:szCs w:val="40"/>
          <w:highlight w:val="none"/>
        </w:rPr>
      </w:pPr>
    </w:p>
    <w:p w14:paraId="22B76440">
      <w:pPr>
        <w:spacing w:line="560" w:lineRule="exact"/>
        <w:ind w:firstLine="803" w:firstLineChars="200"/>
        <w:jc w:val="both"/>
        <w:rPr>
          <w:rFonts w:hint="eastAsia" w:ascii="宋体" w:hAnsi="宋体" w:eastAsia="宋体" w:cs="宋体"/>
          <w:b/>
          <w:bCs/>
          <w:color w:val="auto"/>
          <w:sz w:val="40"/>
          <w:szCs w:val="40"/>
          <w:highlight w:val="none"/>
        </w:rPr>
      </w:pPr>
    </w:p>
    <w:p w14:paraId="708DAA56">
      <w:pPr>
        <w:spacing w:line="560" w:lineRule="exact"/>
        <w:jc w:val="both"/>
        <w:rPr>
          <w:rFonts w:hint="eastAsia" w:ascii="宋体" w:hAnsi="宋体" w:eastAsia="宋体" w:cs="宋体"/>
          <w:color w:val="auto"/>
          <w:sz w:val="32"/>
          <w:szCs w:val="32"/>
          <w:highlight w:val="none"/>
        </w:rPr>
      </w:pPr>
    </w:p>
    <w:p w14:paraId="05CCA333">
      <w:pPr>
        <w:spacing w:line="560" w:lineRule="exact"/>
        <w:ind w:firstLine="640" w:firstLineChars="200"/>
        <w:jc w:val="center"/>
        <w:rPr>
          <w:rFonts w:hint="eastAsia" w:ascii="宋体" w:hAnsi="宋体" w:eastAsia="宋体" w:cs="宋体"/>
          <w:color w:val="auto"/>
          <w:sz w:val="32"/>
          <w:szCs w:val="32"/>
          <w:highlight w:val="none"/>
        </w:rPr>
      </w:pPr>
    </w:p>
    <w:p w14:paraId="169D9C0B">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陕西万泽招标有限公司</w:t>
      </w:r>
    </w:p>
    <w:p w14:paraId="37781489">
      <w:pPr>
        <w:jc w:val="center"/>
        <w:rPr>
          <w:rFonts w:hint="eastAsia" w:ascii="宋体" w:hAnsi="宋体" w:eastAsia="宋体" w:cs="宋体"/>
          <w:color w:val="auto"/>
          <w:sz w:val="32"/>
          <w:szCs w:val="32"/>
          <w:highlight w:val="none"/>
        </w:rPr>
        <w:sectPr>
          <w:head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TIME \@ "yyyy年M月"</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2025年5月</w:t>
      </w:r>
      <w:r>
        <w:rPr>
          <w:rFonts w:hint="eastAsia" w:ascii="宋体" w:hAnsi="宋体" w:eastAsia="宋体" w:cs="宋体"/>
          <w:color w:val="auto"/>
          <w:sz w:val="32"/>
          <w:szCs w:val="32"/>
          <w:highlight w:val="none"/>
        </w:rPr>
        <w:fldChar w:fldCharType="end"/>
      </w:r>
      <w:bookmarkStart w:id="0" w:name="_Toc100219612"/>
    </w:p>
    <w:p w14:paraId="14B88AA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06AB51E8">
      <w:pPr>
        <w:pStyle w:val="26"/>
        <w:tabs>
          <w:tab w:val="right" w:leader="dot" w:pos="9746"/>
        </w:tabs>
        <w:spacing w:before="395" w:after="395"/>
        <w:rPr>
          <w:rFonts w:hint="eastAsia" w:ascii="宋体" w:hAnsi="宋体" w:cs="宋体"/>
          <w:color w:val="auto"/>
          <w:sz w:val="24"/>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"1-3"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"_Toc8557" </w:instrText>
      </w:r>
      <w:r>
        <w:rPr>
          <w:color w:val="auto"/>
          <w:highlight w:val="none"/>
        </w:rPr>
        <w:fldChar w:fldCharType="separate"/>
      </w:r>
      <w:r>
        <w:rPr>
          <w:rFonts w:hint="eastAsia" w:ascii="宋体" w:hAnsi="宋体" w:cs="宋体"/>
          <w:color w:val="auto"/>
          <w:sz w:val="24"/>
          <w:highlight w:val="none"/>
        </w:rPr>
        <w:t>第一章  投标邀请函</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_Toc8557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571D7B7">
      <w:pPr>
        <w:pStyle w:val="26"/>
        <w:tabs>
          <w:tab w:val="right" w:leader="dot" w:pos="9746"/>
        </w:tabs>
        <w:spacing w:before="395" w:after="395"/>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"_Toc6331" </w:instrText>
      </w:r>
      <w:r>
        <w:rPr>
          <w:color w:val="auto"/>
          <w:highlight w:val="none"/>
        </w:rPr>
        <w:fldChar w:fldCharType="separate"/>
      </w:r>
      <w:r>
        <w:rPr>
          <w:rFonts w:hint="eastAsia" w:ascii="宋体" w:hAnsi="宋体" w:cs="宋体"/>
          <w:color w:val="auto"/>
          <w:sz w:val="24"/>
          <w:highlight w:val="none"/>
        </w:rPr>
        <w:t>第二章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_Toc6331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B6D8EA7">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"_Toc21966" </w:instrText>
      </w:r>
      <w:r>
        <w:rPr>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066A39">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"_Toc16336" </w:instrText>
      </w:r>
      <w:r>
        <w:rPr>
          <w:color w:val="auto"/>
          <w:highlight w:val="none"/>
        </w:rPr>
        <w:fldChar w:fldCharType="separate"/>
      </w:r>
      <w:r>
        <w:rPr>
          <w:rFonts w:hint="eastAsia" w:ascii="宋体" w:hAnsi="宋体" w:eastAsia="宋体" w:cs="宋体"/>
          <w:color w:val="auto"/>
          <w:highlight w:val="none"/>
        </w:rPr>
        <w:t>一、有关定义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25C01D">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"_Toc16268" </w:instrText>
      </w:r>
      <w:r>
        <w:rPr>
          <w:color w:val="auto"/>
          <w:highlight w:val="none"/>
        </w:rPr>
        <w:fldChar w:fldCharType="separate"/>
      </w:r>
      <w:r>
        <w:rPr>
          <w:rFonts w:hint="eastAsia" w:ascii="宋体" w:hAnsi="宋体" w:eastAsia="宋体" w:cs="宋体"/>
          <w:color w:val="auto"/>
          <w:highlight w:val="none"/>
        </w:rPr>
        <w:t>二、供应商注意事项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47BCDF">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"_Toc18583" </w:instrText>
      </w:r>
      <w:r>
        <w:rPr>
          <w:color w:val="auto"/>
          <w:highlight w:val="none"/>
        </w:rPr>
        <w:fldChar w:fldCharType="separate"/>
      </w:r>
      <w:r>
        <w:rPr>
          <w:rFonts w:hint="eastAsia" w:ascii="宋体" w:hAnsi="宋体" w:eastAsia="宋体" w:cs="宋体"/>
          <w:color w:val="auto"/>
          <w:highlight w:val="none"/>
        </w:rPr>
        <w:t>三、招标文件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25BAE3">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"_Toc28396" </w:instrText>
      </w:r>
      <w:r>
        <w:rPr>
          <w:color w:val="auto"/>
          <w:highlight w:val="none"/>
        </w:rPr>
        <w:fldChar w:fldCharType="separate"/>
      </w:r>
      <w:r>
        <w:rPr>
          <w:rFonts w:hint="eastAsia" w:ascii="宋体" w:hAnsi="宋体" w:eastAsia="宋体" w:cs="宋体"/>
          <w:color w:val="auto"/>
          <w:highlight w:val="none"/>
        </w:rPr>
        <w:t>四、投标文件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7F7B64">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"_Toc16145" </w:instrText>
      </w:r>
      <w:r>
        <w:rPr>
          <w:color w:val="auto"/>
          <w:highlight w:val="none"/>
        </w:rPr>
        <w:fldChar w:fldCharType="separate"/>
      </w:r>
      <w:r>
        <w:rPr>
          <w:rFonts w:hint="eastAsia" w:ascii="宋体" w:hAnsi="宋体" w:eastAsia="宋体" w:cs="宋体"/>
          <w:color w:val="auto"/>
          <w:highlight w:val="none"/>
        </w:rPr>
        <w:t>五、开标程序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AD9EDF">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"_Toc27949" </w:instrText>
      </w:r>
      <w:r>
        <w:rPr>
          <w:color w:val="auto"/>
          <w:highlight w:val="none"/>
        </w:rPr>
        <w:fldChar w:fldCharType="separate"/>
      </w:r>
      <w:r>
        <w:rPr>
          <w:rFonts w:hint="eastAsia" w:ascii="宋体" w:hAnsi="宋体" w:eastAsia="宋体" w:cs="宋体"/>
          <w:color w:val="auto"/>
          <w:highlight w:val="none"/>
        </w:rPr>
        <w:t>六、资格审查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B48816">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"_Toc11090" </w:instrText>
      </w:r>
      <w:r>
        <w:rPr>
          <w:color w:val="auto"/>
          <w:highlight w:val="none"/>
        </w:rPr>
        <w:fldChar w:fldCharType="separate"/>
      </w:r>
      <w:r>
        <w:rPr>
          <w:rFonts w:hint="eastAsia" w:ascii="宋体" w:hAnsi="宋体" w:eastAsia="宋体" w:cs="宋体"/>
          <w:color w:val="auto"/>
          <w:highlight w:val="none"/>
        </w:rPr>
        <w:t>七、评审方法和程序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D57AE0">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"_Toc19973" </w:instrText>
      </w:r>
      <w:r>
        <w:rPr>
          <w:color w:val="auto"/>
          <w:highlight w:val="none"/>
        </w:rPr>
        <w:fldChar w:fldCharType="separate"/>
      </w:r>
      <w:r>
        <w:rPr>
          <w:rFonts w:hint="eastAsia" w:ascii="宋体" w:hAnsi="宋体" w:eastAsia="宋体" w:cs="宋体"/>
          <w:color w:val="auto"/>
          <w:highlight w:val="none"/>
        </w:rPr>
        <w:t>八、中标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D7B6C5">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"_Toc19289" </w:instrText>
      </w:r>
      <w:r>
        <w:rPr>
          <w:color w:val="auto"/>
          <w:highlight w:val="none"/>
        </w:rPr>
        <w:fldChar w:fldCharType="separate"/>
      </w:r>
      <w:r>
        <w:rPr>
          <w:rFonts w:hint="eastAsia" w:ascii="宋体" w:hAnsi="宋体" w:eastAsia="宋体" w:cs="宋体"/>
          <w:color w:val="auto"/>
          <w:highlight w:val="none"/>
        </w:rPr>
        <w:t>九、合同签订、履行及验收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8B83C7">
      <w:pPr>
        <w:pStyle w:val="19"/>
        <w:tabs>
          <w:tab w:val="right" w:leader="dot" w:pos="9746"/>
        </w:tabs>
        <w:spacing w:line="360" w:lineRule="auto"/>
        <w:ind w:left="994"/>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"_Toc15204" </w:instrText>
      </w:r>
      <w:r>
        <w:rPr>
          <w:color w:val="auto"/>
          <w:highlight w:val="none"/>
        </w:rPr>
        <w:fldChar w:fldCharType="separate"/>
      </w:r>
      <w:r>
        <w:rPr>
          <w:rFonts w:hint="eastAsia" w:ascii="宋体" w:hAnsi="宋体" w:eastAsia="宋体" w:cs="宋体"/>
          <w:color w:val="auto"/>
          <w:highlight w:val="none"/>
        </w:rPr>
        <w:t>十、废标及重新招标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4B2575">
      <w:pPr>
        <w:pStyle w:val="26"/>
        <w:tabs>
          <w:tab w:val="right" w:leader="dot" w:pos="9746"/>
        </w:tabs>
        <w:spacing w:before="395" w:after="39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"_Toc15304" </w:instrText>
      </w:r>
      <w:r>
        <w:rPr>
          <w:color w:val="auto"/>
          <w:highlight w:val="none"/>
        </w:rPr>
        <w:fldChar w:fldCharType="separate"/>
      </w:r>
      <w:r>
        <w:rPr>
          <w:rFonts w:hint="eastAsia" w:ascii="宋体" w:hAnsi="宋体" w:cs="宋体"/>
          <w:color w:val="auto"/>
          <w:sz w:val="24"/>
          <w:highlight w:val="none"/>
        </w:rPr>
        <w:t>第三章  招标内容及要求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_Toc15304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0E8F43E">
      <w:pPr>
        <w:pStyle w:val="26"/>
        <w:tabs>
          <w:tab w:val="right" w:leader="dot" w:pos="9746"/>
        </w:tabs>
        <w:spacing w:before="395" w:after="395"/>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"_Toc15832" </w:instrText>
      </w:r>
      <w:r>
        <w:rPr>
          <w:color w:val="auto"/>
          <w:highlight w:val="none"/>
        </w:rPr>
        <w:fldChar w:fldCharType="separate"/>
      </w:r>
      <w:r>
        <w:rPr>
          <w:rFonts w:hint="eastAsia" w:ascii="宋体" w:hAnsi="宋体" w:cs="宋体"/>
          <w:color w:val="auto"/>
          <w:sz w:val="24"/>
          <w:highlight w:val="none"/>
        </w:rPr>
        <w:t>第四章  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_Toc15832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3EE9005">
      <w:pPr>
        <w:pStyle w:val="26"/>
        <w:tabs>
          <w:tab w:val="right" w:leader="dot" w:pos="9746"/>
        </w:tabs>
        <w:spacing w:before="395" w:after="395"/>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"_Toc32580" </w:instrText>
      </w:r>
      <w:r>
        <w:rPr>
          <w:color w:val="auto"/>
          <w:highlight w:val="none"/>
        </w:rPr>
        <w:fldChar w:fldCharType="separate"/>
      </w:r>
      <w:r>
        <w:rPr>
          <w:rFonts w:hint="eastAsia" w:ascii="宋体" w:hAnsi="宋体" w:cs="宋体"/>
          <w:color w:val="auto"/>
          <w:sz w:val="24"/>
          <w:highlight w:val="none"/>
        </w:rPr>
        <w:t>第五章  投标文件构成及格式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_Toc32580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217CAB5">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"_Toc13179" </w:instrText>
      </w:r>
      <w:r>
        <w:rPr>
          <w:color w:val="auto"/>
          <w:highlight w:val="none"/>
        </w:rPr>
        <w:fldChar w:fldCharType="separate"/>
      </w:r>
      <w:r>
        <w:rPr>
          <w:rFonts w:hint="eastAsia" w:ascii="宋体" w:hAnsi="宋体" w:eastAsia="宋体" w:cs="宋体"/>
          <w:color w:val="auto"/>
          <w:highlight w:val="none"/>
        </w:rPr>
        <w:t>第一部分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C8849D">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"_Toc9494" </w:instrText>
      </w:r>
      <w:r>
        <w:rPr>
          <w:color w:val="auto"/>
          <w:highlight w:val="none"/>
        </w:rPr>
        <w:fldChar w:fldCharType="separate"/>
      </w:r>
      <w:r>
        <w:rPr>
          <w:rFonts w:hint="eastAsia" w:ascii="宋体" w:hAnsi="宋体" w:eastAsia="宋体" w:cs="宋体"/>
          <w:color w:val="auto"/>
          <w:highlight w:val="none"/>
        </w:rPr>
        <w:t>第二部分 开标一览表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944331">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"_Toc32367" </w:instrText>
      </w:r>
      <w:r>
        <w:rPr>
          <w:color w:val="auto"/>
          <w:highlight w:val="none"/>
        </w:rPr>
        <w:fldChar w:fldCharType="separate"/>
      </w:r>
      <w:r>
        <w:rPr>
          <w:rFonts w:hint="eastAsia" w:ascii="宋体" w:hAnsi="宋体" w:eastAsia="宋体" w:cs="宋体"/>
          <w:color w:val="auto"/>
          <w:highlight w:val="none"/>
        </w:rPr>
        <w:t>第三部分  资格证明文件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E28591">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"_Toc5825" </w:instrText>
      </w:r>
      <w:r>
        <w:rPr>
          <w:color w:val="auto"/>
          <w:highlight w:val="none"/>
        </w:rPr>
        <w:fldChar w:fldCharType="separate"/>
      </w:r>
      <w:r>
        <w:rPr>
          <w:rFonts w:hint="eastAsia" w:ascii="宋体" w:hAnsi="宋体" w:eastAsia="宋体" w:cs="宋体"/>
          <w:color w:val="auto"/>
          <w:highlight w:val="none"/>
        </w:rPr>
        <w:t>第四部分  供应商概况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2AF28D">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"_Toc26526" </w:instrText>
      </w:r>
      <w:r>
        <w:rPr>
          <w:color w:val="auto"/>
          <w:highlight w:val="none"/>
        </w:rPr>
        <w:fldChar w:fldCharType="separate"/>
      </w:r>
      <w:r>
        <w:rPr>
          <w:rFonts w:hint="eastAsia" w:ascii="宋体" w:hAnsi="宋体" w:eastAsia="宋体" w:cs="宋体"/>
          <w:color w:val="auto"/>
          <w:highlight w:val="none"/>
        </w:rPr>
        <w:t>第五部分  商务和技术响应偏离表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A7F433">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"_Toc12270" </w:instrText>
      </w:r>
      <w:r>
        <w:rPr>
          <w:color w:val="auto"/>
          <w:highlight w:val="none"/>
        </w:rPr>
        <w:fldChar w:fldCharType="separate"/>
      </w:r>
      <w:r>
        <w:rPr>
          <w:rFonts w:hint="eastAsia" w:ascii="宋体" w:hAnsi="宋体" w:eastAsia="宋体" w:cs="宋体"/>
          <w:color w:val="auto"/>
          <w:highlight w:val="none"/>
        </w:rPr>
        <w:t>第六部分  服务方案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500E5B">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"_Toc25334" </w:instrText>
      </w:r>
      <w:r>
        <w:rPr>
          <w:color w:val="auto"/>
          <w:highlight w:val="none"/>
        </w:rPr>
        <w:fldChar w:fldCharType="separate"/>
      </w:r>
      <w:r>
        <w:rPr>
          <w:rFonts w:hint="eastAsia" w:ascii="宋体" w:hAnsi="宋体" w:eastAsia="宋体" w:cs="宋体"/>
          <w:color w:val="auto"/>
          <w:highlight w:val="none"/>
        </w:rPr>
        <w:t>第七部分 技术支持资料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43C45A">
      <w:pPr>
        <w:pStyle w:val="28"/>
        <w:tabs>
          <w:tab w:val="right" w:leader="dot" w:pos="9746"/>
        </w:tabs>
        <w:spacing w:line="360" w:lineRule="auto"/>
        <w:ind w:left="497"/>
        <w:rPr>
          <w:color w:val="auto"/>
          <w:highlight w:val="none"/>
        </w:rPr>
      </w:pPr>
      <w:r>
        <w:rPr>
          <w:color w:val="auto"/>
          <w:highlight w:val="none"/>
        </w:rPr>
        <w:fldChar w:fldCharType="begin"/>
      </w:r>
      <w:r>
        <w:rPr>
          <w:color w:val="auto"/>
          <w:highlight w:val="none"/>
        </w:rPr>
        <w:instrText xml:space="preserve"> HYPERLINK \l "_Toc12259" </w:instrText>
      </w:r>
      <w:r>
        <w:rPr>
          <w:color w:val="auto"/>
          <w:highlight w:val="none"/>
        </w:rPr>
        <w:fldChar w:fldCharType="separate"/>
      </w:r>
      <w:r>
        <w:rPr>
          <w:rFonts w:hint="eastAsia" w:ascii="宋体" w:hAnsi="宋体" w:eastAsia="宋体" w:cs="宋体"/>
          <w:color w:val="auto"/>
          <w:highlight w:val="none"/>
        </w:rPr>
        <w:t>第八部分 供应商业绩一览表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D07DF2">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"_Toc14659" </w:instrText>
      </w:r>
      <w:r>
        <w:rPr>
          <w:color w:val="auto"/>
          <w:highlight w:val="none"/>
        </w:rPr>
        <w:fldChar w:fldCharType="separate"/>
      </w:r>
      <w:r>
        <w:rPr>
          <w:rFonts w:hint="eastAsia" w:ascii="宋体" w:hAnsi="宋体" w:eastAsia="宋体" w:cs="宋体"/>
          <w:color w:val="auto"/>
          <w:highlight w:val="none"/>
        </w:rPr>
        <w:t>第九部分  供应商认为有必要说明的其他问题</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_Toc14659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7C912B">
      <w:pPr>
        <w:pStyle w:val="28"/>
        <w:tabs>
          <w:tab w:val="right" w:leader="dot" w:pos="9746"/>
        </w:tabs>
        <w:spacing w:line="360" w:lineRule="auto"/>
        <w:ind w:left="497"/>
        <w:rPr>
          <w:rFonts w:hint="eastAsia" w:ascii="宋体" w:hAnsi="宋体" w:eastAsia="宋体" w:cs="宋体"/>
          <w:color w:val="auto"/>
          <w:szCs w:val="28"/>
          <w:highlight w:val="none"/>
        </w:rPr>
      </w:pPr>
      <w:r>
        <w:rPr>
          <w:rFonts w:hint="eastAsia" w:ascii="宋体" w:hAnsi="宋体" w:eastAsia="宋体" w:cs="宋体"/>
          <w:color w:val="auto"/>
          <w:szCs w:val="28"/>
          <w:highlight w:val="none"/>
        </w:rPr>
        <w:t>第十部分  供应商参加政府采购活动承诺书</w:t>
      </w:r>
      <w:r>
        <w:rPr>
          <w:rFonts w:hint="eastAsia" w:ascii="宋体" w:hAnsi="宋体" w:eastAsia="宋体" w:cs="宋体"/>
          <w:color w:val="auto"/>
          <w:highlight w:val="none"/>
        </w:rPr>
        <w:tab/>
      </w:r>
      <w:r>
        <w:rPr>
          <w:rFonts w:hint="eastAsia" w:ascii="宋体" w:hAnsi="宋体" w:eastAsia="宋体" w:cs="宋体"/>
          <w:color w:val="auto"/>
          <w:highlight w:val="none"/>
        </w:rPr>
        <w:t>118</w:t>
      </w:r>
    </w:p>
    <w:p w14:paraId="1DD9F9F6">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"_Toc9757" </w:instrText>
      </w:r>
      <w:r>
        <w:rPr>
          <w:color w:val="auto"/>
          <w:highlight w:val="none"/>
        </w:rPr>
        <w:fldChar w:fldCharType="separate"/>
      </w:r>
      <w:r>
        <w:rPr>
          <w:rFonts w:hint="eastAsia" w:ascii="宋体" w:hAnsi="宋体" w:eastAsia="宋体" w:cs="宋体"/>
          <w:color w:val="auto"/>
          <w:highlight w:val="none"/>
        </w:rPr>
        <w:t>附件一、中小企业申明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5715F4">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"_Toc30803" </w:instrText>
      </w:r>
      <w:r>
        <w:rPr>
          <w:color w:val="auto"/>
          <w:highlight w:val="none"/>
        </w:rPr>
        <w:fldChar w:fldCharType="separate"/>
      </w:r>
      <w:r>
        <w:rPr>
          <w:rFonts w:hint="eastAsia" w:ascii="宋体" w:hAnsi="宋体" w:eastAsia="宋体" w:cs="宋体"/>
          <w:color w:val="auto"/>
          <w:highlight w:val="none"/>
        </w:rPr>
        <w:t>附件二、残疾人福利性单位声明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F20555">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"_Toc23635" </w:instrText>
      </w:r>
      <w:r>
        <w:rPr>
          <w:color w:val="auto"/>
          <w:highlight w:val="none"/>
        </w:rPr>
        <w:fldChar w:fldCharType="separate"/>
      </w:r>
      <w:r>
        <w:rPr>
          <w:rFonts w:hint="eastAsia" w:ascii="宋体" w:hAnsi="宋体" w:eastAsia="宋体" w:cs="宋体"/>
          <w:color w:val="auto"/>
          <w:highlight w:val="none"/>
        </w:rPr>
        <w:t>附件三、监狱企业证明文件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C389F6">
      <w:pPr>
        <w:pStyle w:val="28"/>
        <w:tabs>
          <w:tab w:val="right" w:leader="dot" w:pos="9746"/>
        </w:tabs>
        <w:spacing w:line="360" w:lineRule="auto"/>
        <w:ind w:left="497"/>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"_Toc29084" </w:instrText>
      </w:r>
      <w:r>
        <w:rPr>
          <w:color w:val="auto"/>
          <w:highlight w:val="none"/>
        </w:rPr>
        <w:fldChar w:fldCharType="separate"/>
      </w:r>
      <w:r>
        <w:rPr>
          <w:rFonts w:hint="eastAsia" w:ascii="宋体" w:hAnsi="宋体" w:eastAsia="宋体" w:cs="宋体"/>
          <w:color w:val="auto"/>
          <w:highlight w:val="none"/>
        </w:rPr>
        <w:t>附件四、“节能产品”，“环境标志产品”证明材料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90746B">
      <w:pPr>
        <w:pStyle w:val="28"/>
        <w:tabs>
          <w:tab w:val="right" w:leader="dot" w:pos="9746"/>
        </w:tabs>
        <w:spacing w:line="360" w:lineRule="auto"/>
        <w:ind w:left="497"/>
        <w:rPr>
          <w:color w:val="auto"/>
          <w:highlight w:val="none"/>
        </w:rPr>
      </w:pPr>
      <w:r>
        <w:rPr>
          <w:color w:val="auto"/>
          <w:highlight w:val="none"/>
        </w:rPr>
        <w:fldChar w:fldCharType="begin"/>
      </w:r>
      <w:r>
        <w:rPr>
          <w:color w:val="auto"/>
          <w:highlight w:val="none"/>
        </w:rPr>
        <w:instrText xml:space="preserve"> HYPERLINK \l "_Toc14935" </w:instrText>
      </w:r>
      <w:r>
        <w:rPr>
          <w:color w:val="auto"/>
          <w:highlight w:val="none"/>
        </w:rPr>
        <w:fldChar w:fldCharType="separate"/>
      </w:r>
      <w:r>
        <w:rPr>
          <w:rFonts w:hint="eastAsia" w:ascii="宋体" w:hAnsi="宋体" w:eastAsia="宋体" w:cs="宋体"/>
          <w:color w:val="auto"/>
          <w:highlight w:val="none"/>
        </w:rPr>
        <w:t>附件五、质疑函样本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CEDC61">
      <w:pPr>
        <w:jc w:val="both"/>
        <w:rPr>
          <w:rFonts w:hint="eastAsia" w:ascii="宋体" w:hAnsi="宋体" w:eastAsia="宋体" w:cs="宋体"/>
          <w:color w:val="auto"/>
          <w:szCs w:val="28"/>
          <w:highlight w:val="none"/>
        </w:rPr>
      </w:pPr>
      <w:r>
        <w:rPr>
          <w:rFonts w:hint="eastAsia" w:ascii="宋体" w:hAnsi="宋体" w:eastAsia="宋体" w:cs="宋体"/>
          <w:color w:val="auto"/>
          <w:szCs w:val="28"/>
          <w:highlight w:val="none"/>
        </w:rPr>
        <w:fldChar w:fldCharType="end"/>
      </w:r>
      <w:r>
        <w:rPr>
          <w:rFonts w:hint="eastAsia" w:ascii="宋体" w:hAnsi="宋体" w:eastAsia="宋体" w:cs="宋体"/>
          <w:color w:val="auto"/>
          <w:szCs w:val="28"/>
          <w:highlight w:val="none"/>
        </w:rPr>
        <w:t xml:space="preserve">    </w:t>
      </w:r>
    </w:p>
    <w:p w14:paraId="6AE92EDB">
      <w:pPr>
        <w:jc w:val="both"/>
        <w:rPr>
          <w:rFonts w:hint="eastAsia" w:ascii="宋体" w:hAnsi="宋体" w:eastAsia="宋体" w:cs="宋体"/>
          <w:color w:val="auto"/>
          <w:szCs w:val="28"/>
          <w:highlight w:val="none"/>
        </w:rPr>
      </w:pPr>
    </w:p>
    <w:p w14:paraId="0EB77B8D">
      <w:pPr>
        <w:jc w:val="both"/>
        <w:rPr>
          <w:rFonts w:eastAsia="宋体"/>
          <w:color w:val="auto"/>
          <w:highlight w:val="none"/>
        </w:rPr>
      </w:pPr>
    </w:p>
    <w:p w14:paraId="300B8A9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D0AFCD">
      <w:pPr>
        <w:pStyle w:val="2"/>
        <w:rPr>
          <w:rFonts w:hint="eastAsia" w:ascii="宋体" w:hAnsi="宋体" w:eastAsia="宋体" w:cs="宋体"/>
          <w:color w:val="auto"/>
          <w:highlight w:val="none"/>
        </w:rPr>
      </w:pPr>
      <w:bookmarkStart w:id="1" w:name="_Toc8557"/>
      <w:r>
        <w:rPr>
          <w:rFonts w:hint="eastAsia" w:ascii="宋体" w:hAnsi="宋体" w:eastAsia="宋体" w:cs="宋体"/>
          <w:color w:val="auto"/>
          <w:highlight w:val="none"/>
        </w:rPr>
        <w:t>第一章  投标邀请函</w:t>
      </w:r>
      <w:bookmarkEnd w:id="0"/>
      <w:bookmarkEnd w:id="1"/>
    </w:p>
    <w:p w14:paraId="71F5295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陕西万泽招标有限公司受西安市市场监督管理局的委托，经政府采购监管部门批准，按照政府采购程序，对西安市市场监督管理局2025年机电类特种设备安全质量监督抽查项目进行公开招标，欢迎符合资格条件的、有能力提供本项目所需货物和服务的供应商参加投标。</w:t>
      </w:r>
    </w:p>
    <w:p w14:paraId="654078C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一、项目基本信息：</w:t>
      </w:r>
    </w:p>
    <w:p w14:paraId="75653EC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项目名称：西安市市场监督管理局2025年机电类特种设备安全质量监督抽查项目</w:t>
      </w:r>
    </w:p>
    <w:p w14:paraId="4826611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项目编号：SXWZ2025ZB-SGLJ-070</w:t>
      </w:r>
    </w:p>
    <w:p w14:paraId="03686317">
      <w:pPr>
        <w:spacing w:line="360" w:lineRule="auto"/>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预算执行书编号：ZCBN-西安市-2025-</w:t>
      </w:r>
      <w:r>
        <w:rPr>
          <w:rFonts w:hint="eastAsia" w:ascii="宋体" w:hAnsi="宋体" w:eastAsia="宋体" w:cs="宋体"/>
          <w:color w:val="auto"/>
          <w:sz w:val="28"/>
          <w:szCs w:val="28"/>
          <w:highlight w:val="none"/>
          <w:lang w:val="en-US" w:eastAsia="zh-CN"/>
        </w:rPr>
        <w:t>01075</w:t>
      </w:r>
    </w:p>
    <w:p w14:paraId="56AE1CC1">
      <w:pPr>
        <w:numPr>
          <w:ilvl w:val="0"/>
          <w:numId w:val="2"/>
        </w:num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项目性质：非专门面向中小企业的采购</w:t>
      </w:r>
    </w:p>
    <w:p w14:paraId="7092092D">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三、采购内容和要求：</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4491"/>
        <w:gridCol w:w="3698"/>
      </w:tblGrid>
      <w:tr w14:paraId="5F18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57" w:type="pct"/>
            <w:vAlign w:val="center"/>
          </w:tcPr>
          <w:p w14:paraId="2D770739">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包 号</w:t>
            </w:r>
          </w:p>
        </w:tc>
        <w:tc>
          <w:tcPr>
            <w:tcW w:w="2436" w:type="pct"/>
            <w:vAlign w:val="center"/>
          </w:tcPr>
          <w:p w14:paraId="4A5CE38F">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采购内容</w:t>
            </w:r>
          </w:p>
        </w:tc>
        <w:tc>
          <w:tcPr>
            <w:tcW w:w="2006" w:type="pct"/>
            <w:vAlign w:val="center"/>
          </w:tcPr>
          <w:p w14:paraId="6892B439">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p>
        </w:tc>
      </w:tr>
      <w:tr w14:paraId="084C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blHeader/>
          <w:jc w:val="center"/>
        </w:trPr>
        <w:tc>
          <w:tcPr>
            <w:tcW w:w="557" w:type="pct"/>
            <w:vAlign w:val="center"/>
          </w:tcPr>
          <w:p w14:paraId="55D528E4">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第一包</w:t>
            </w:r>
          </w:p>
        </w:tc>
        <w:tc>
          <w:tcPr>
            <w:tcW w:w="2436" w:type="pct"/>
            <w:vAlign w:val="center"/>
          </w:tcPr>
          <w:p w14:paraId="6D8E98F4">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2025年电梯维护保养、检验、检测质量监督抽查项目</w:t>
            </w:r>
          </w:p>
        </w:tc>
        <w:tc>
          <w:tcPr>
            <w:tcW w:w="2006" w:type="pct"/>
            <w:vAlign w:val="center"/>
          </w:tcPr>
          <w:p w14:paraId="128EB896">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4060000.00元</w:t>
            </w:r>
          </w:p>
        </w:tc>
      </w:tr>
      <w:tr w14:paraId="706D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blHeader/>
          <w:jc w:val="center"/>
        </w:trPr>
        <w:tc>
          <w:tcPr>
            <w:tcW w:w="557" w:type="pct"/>
            <w:vAlign w:val="center"/>
          </w:tcPr>
          <w:p w14:paraId="69B5B3EF">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第二包</w:t>
            </w:r>
          </w:p>
        </w:tc>
        <w:tc>
          <w:tcPr>
            <w:tcW w:w="2436" w:type="pct"/>
            <w:vAlign w:val="center"/>
          </w:tcPr>
          <w:p w14:paraId="7AC4BF99">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2025年机电类特种设备生产、使用单位监督抽查项目</w:t>
            </w:r>
          </w:p>
        </w:tc>
        <w:tc>
          <w:tcPr>
            <w:tcW w:w="2006" w:type="pct"/>
            <w:vAlign w:val="center"/>
          </w:tcPr>
          <w:p w14:paraId="68F7405F">
            <w:pPr>
              <w:pStyle w:val="77"/>
              <w:snapToGrid w:val="0"/>
              <w:ind w:left="0"/>
              <w:jc w:val="center"/>
              <w:rPr>
                <w:rFonts w:hint="eastAsia" w:ascii="宋体" w:hAnsi="宋体" w:eastAsia="宋体" w:cs="宋体"/>
                <w:color w:val="auto"/>
                <w:highlight w:val="none"/>
              </w:rPr>
            </w:pPr>
            <w:r>
              <w:rPr>
                <w:rFonts w:hint="eastAsia" w:ascii="宋体" w:hAnsi="宋体" w:eastAsia="宋体" w:cs="宋体"/>
                <w:color w:val="auto"/>
                <w:highlight w:val="none"/>
              </w:rPr>
              <w:t>320000.00元</w:t>
            </w:r>
          </w:p>
        </w:tc>
      </w:tr>
    </w:tbl>
    <w:p w14:paraId="49813B4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（详见招标文件第三章〈招标内容及要求〉）</w:t>
      </w:r>
    </w:p>
    <w:p w14:paraId="7DCBA3B9">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w:t>
      </w:r>
      <w:r>
        <w:rPr>
          <w:rFonts w:hint="eastAsia" w:ascii="宋体" w:hAnsi="宋体" w:eastAsia="宋体" w:cs="宋体"/>
          <w:color w:val="auto"/>
          <w:sz w:val="28"/>
          <w:szCs w:val="28"/>
          <w:highlight w:val="none"/>
          <w:lang w:val="en-US" w:eastAsia="zh-CN"/>
        </w:rPr>
        <w:t>项目总</w:t>
      </w:r>
      <w:r>
        <w:rPr>
          <w:rFonts w:hint="eastAsia" w:ascii="宋体" w:hAnsi="宋体" w:eastAsia="宋体" w:cs="宋体"/>
          <w:color w:val="auto"/>
          <w:sz w:val="28"/>
          <w:szCs w:val="28"/>
          <w:highlight w:val="none"/>
        </w:rPr>
        <w:t>采购预算：4380000.00元；</w:t>
      </w:r>
    </w:p>
    <w:p w14:paraId="0854F25C">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五、供应商资格要求：</w:t>
      </w:r>
    </w:p>
    <w:p w14:paraId="3DE27A8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1．基本资格条件</w:t>
      </w:r>
    </w:p>
    <w:p w14:paraId="3483755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满足《中华人民共和国政府采购法》第二十二条规定。</w:t>
      </w:r>
    </w:p>
    <w:p w14:paraId="323984D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2．特定资格条件</w:t>
      </w:r>
    </w:p>
    <w:p w14:paraId="63A90337">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2.1具有独立承担民事责任能力的法人、其他组织或自然人，并出具合法有效的营业执照或事业单位法人证书等国家规定的相关证明，自然人参与的提供其身份证明；</w:t>
      </w:r>
    </w:p>
    <w:p w14:paraId="65ED4525">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社会保障资金缴纳证明：供应商提供本单位2024年10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A82996C">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2.3税收缴纳证明：供应商提供本单位2024年10月至今已缴纳的至少一个月纳税证明或完税证明，依法免税的单位应提供相关证明材料（以税款所属时期为准）； </w:t>
      </w:r>
    </w:p>
    <w:p w14:paraId="5F449D2C">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2.4财务状况证明：提供本单位经会计师事务所审计的2023年或2024年任意一年的财务审计报告（须带二维码可验证）或在开标日期前六个月内其基本开户银行出具的资信证明；  </w:t>
      </w:r>
    </w:p>
    <w:p w14:paraId="664E9220">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2.5供应商应出具参加本次政府采购活动前3年内在经营活动中没有重大违法违纪，以及未被列入失信被执行人、重大税收违法案件当事人名单、政府采购严重违法失信行为记录名单的书面声明；</w:t>
      </w:r>
    </w:p>
    <w:p w14:paraId="6F48BA1A">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2.6非法定代表人参加投标，须提供法定代表人授权委托书（授权代表参与投标的，提供授权代表开标前三个月内至少一个月的社会保险参保缴费情况证明）；法定代表人参加投标时,只须提供法定代表人身份证；</w:t>
      </w:r>
    </w:p>
    <w:p w14:paraId="5418678A">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2.7投标人应为具备国家市场监督管理总局颁发的《中华人民共和国特种设备检验检测机构核准证（综合检验机构甲类）》</w:t>
      </w:r>
      <w:r>
        <w:rPr>
          <w:rFonts w:hint="eastAsia" w:ascii="宋体" w:hAnsi="宋体" w:eastAsia="宋体" w:cs="宋体"/>
          <w:b/>
          <w:bCs/>
          <w:color w:val="auto"/>
          <w:sz w:val="28"/>
          <w:szCs w:val="28"/>
          <w:highlight w:val="none"/>
        </w:rPr>
        <w:t>或者</w:t>
      </w:r>
      <w:r>
        <w:rPr>
          <w:rFonts w:hint="eastAsia" w:ascii="宋体" w:hAnsi="宋体" w:eastAsia="宋体" w:cs="宋体"/>
          <w:color w:val="auto"/>
          <w:sz w:val="28"/>
          <w:szCs w:val="28"/>
          <w:highlight w:val="none"/>
        </w:rPr>
        <w:t>《中华人民共和国特种设备检验检测机构核准证（甲类A2级及以上检验机构）》的特种设备检验检测机构。（提供证明资料）</w:t>
      </w:r>
    </w:p>
    <w:p w14:paraId="4748E8C8">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2.8第一包：为保证本次监督抽查项目的公正性，投标人应当未在西安市开展机电类特种设备检验、检测工作，须提供书面声明。</w:t>
      </w:r>
    </w:p>
    <w:p w14:paraId="53171DB7">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2.9第二包：投标人须具备评审资格并提供国家级或省级市场监管部门书面认定证明或其他相关证明材料。（提供证明材料）</w:t>
      </w:r>
    </w:p>
    <w:p w14:paraId="38DBE640">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2.10第二包：投标人须承诺与被抽查单位不存在资产、业务、管理等方面的利益关系。（提供书面声明）</w:t>
      </w:r>
    </w:p>
    <w:p w14:paraId="671CE6E3">
      <w:pPr>
        <w:spacing w:line="360" w:lineRule="auto"/>
        <w:ind w:firstLine="576" w:firstLineChars="200"/>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2.11本项目不接受联合体投标。</w:t>
      </w:r>
    </w:p>
    <w:p w14:paraId="5AD270C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六、执行的其他政府采购政策：</w:t>
      </w:r>
    </w:p>
    <w:p w14:paraId="563E363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2BB3FD8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3313154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3．陕西省财政厅关于印发《陕西省中小企业政府采购信用融资办法》（陕财办采〔2018〕23号）。</w:t>
      </w:r>
    </w:p>
    <w:p w14:paraId="7E24968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4．详见招标文件第二章相关事项。</w:t>
      </w:r>
    </w:p>
    <w:p w14:paraId="5CAF2F9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七、招标文件获取方式及公告期限：</w:t>
      </w:r>
    </w:p>
    <w:p w14:paraId="47C2054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1．获取方式：</w:t>
      </w:r>
    </w:p>
    <w:p w14:paraId="795168E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4333612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1.2供应商于文件发售时间内登录全国公共资源交易平台（陕西省·西安市）系统 （http://sxggzyjy.xa.gov.cn/），选择本项目点击“我要投标”，参与投标活动。</w:t>
      </w:r>
    </w:p>
    <w:p w14:paraId="252213C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2．获取时间：2025年</w:t>
      </w:r>
      <w:r>
        <w:rPr>
          <w:rFonts w:hint="eastAsia" w:ascii="宋体" w:hAnsi="宋体" w:eastAsia="宋体" w:cs="宋体"/>
          <w:color w:val="auto"/>
          <w:sz w:val="28"/>
          <w:szCs w:val="28"/>
          <w:highlight w:val="none"/>
          <w:lang w:val="en-US" w:eastAsia="zh-CN"/>
        </w:rPr>
        <w:t>05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rPr>
        <w:t>日起至2025年</w:t>
      </w:r>
      <w:r>
        <w:rPr>
          <w:rFonts w:hint="eastAsia" w:ascii="宋体" w:hAnsi="宋体" w:eastAsia="宋体" w:cs="宋体"/>
          <w:color w:val="auto"/>
          <w:sz w:val="28"/>
          <w:szCs w:val="28"/>
          <w:highlight w:val="none"/>
          <w:lang w:val="en-US" w:eastAsia="zh-CN"/>
        </w:rPr>
        <w:t>05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日止</w:t>
      </w:r>
    </w:p>
    <w:p w14:paraId="275D2BC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3．公告期自公告发布之日起5个工作日</w:t>
      </w:r>
    </w:p>
    <w:p w14:paraId="3C66635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4.友情提示：</w:t>
      </w:r>
    </w:p>
    <w:p w14:paraId="3EFEC55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4EE5A3A6">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sxggzyjy.xa.gov.cn/fwzn/004003/20230317/7f6bbf93-11ef-4ade-8c94-3a19514b459e.html</w:t>
      </w:r>
    </w:p>
    <w:p w14:paraId="5AC3F99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(3)请供应商务必及时下载项目招标文件并做好备份,否则会影响投标文件编制及后续投标活动。 </w:t>
      </w:r>
    </w:p>
    <w:p w14:paraId="2B4BBB80">
      <w:pPr>
        <w:spacing w:line="560" w:lineRule="exact"/>
        <w:ind w:firstLine="576" w:firstLineChars="200"/>
        <w:jc w:val="both"/>
        <w:rPr>
          <w:color w:val="auto"/>
          <w:highlight w:val="none"/>
        </w:rPr>
      </w:pPr>
      <w:r>
        <w:rPr>
          <w:rFonts w:hint="eastAsia" w:ascii="宋体" w:hAnsi="宋体" w:eastAsia="宋体" w:cs="宋体"/>
          <w:color w:val="auto"/>
          <w:sz w:val="28"/>
          <w:szCs w:val="28"/>
          <w:highlight w:val="none"/>
        </w:rPr>
        <w:t>(4)按照陕西省财政厅《关于政府采购供应商注册登记有关事项的通知》中的要求,供应商应通过陕西省政府采购网(http:〃www.ccgp shaanxi.gov.cn/)注册登记,加入陕西省政府采购供应商库 。</w:t>
      </w:r>
    </w:p>
    <w:p w14:paraId="1364F19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（5）制作电子投标文件（*.SXSTF）需要使用专用制作工具。软件下载及操作说明详见西安市公共资源交易平台〖首页·〉服务指南·〉下载专区〗中的《政府采购项目投标文件制作软件及操作手册》。</w:t>
      </w:r>
    </w:p>
    <w:p w14:paraId="2294403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2C71219A">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八、提交投标文件方式、截止时间及开标时间、形式：</w:t>
      </w:r>
    </w:p>
    <w:p w14:paraId="0B22E8B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5545765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2．提交投标文件截止时间及开标时间：2025年</w:t>
      </w:r>
      <w:r>
        <w:rPr>
          <w:rFonts w:hint="eastAsia" w:ascii="宋体" w:hAnsi="宋体" w:eastAsia="宋体" w:cs="宋体"/>
          <w:color w:val="auto"/>
          <w:sz w:val="28"/>
          <w:szCs w:val="28"/>
          <w:highlight w:val="none"/>
          <w:lang w:val="en-US" w:eastAsia="zh-CN"/>
        </w:rPr>
        <w:t>05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日09:30，逾期提交的，系统将拒绝接收。</w:t>
      </w:r>
    </w:p>
    <w:p w14:paraId="64D8B4C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3.开标地址：西安市公共资源交易中心</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楼开标室</w:t>
      </w:r>
      <w:r>
        <w:rPr>
          <w:rFonts w:hint="eastAsia" w:ascii="宋体" w:hAnsi="宋体" w:eastAsia="宋体" w:cs="宋体"/>
          <w:color w:val="auto"/>
          <w:sz w:val="28"/>
          <w:szCs w:val="28"/>
          <w:highlight w:val="none"/>
          <w:lang w:val="en-US" w:eastAsia="zh-CN"/>
        </w:rPr>
        <w:t>313</w:t>
      </w:r>
      <w:r>
        <w:rPr>
          <w:rFonts w:hint="eastAsia" w:ascii="宋体" w:hAnsi="宋体" w:eastAsia="宋体" w:cs="宋体"/>
          <w:color w:val="auto"/>
          <w:sz w:val="28"/>
          <w:szCs w:val="28"/>
          <w:highlight w:val="none"/>
        </w:rPr>
        <w:t>。</w:t>
      </w:r>
    </w:p>
    <w:p w14:paraId="689B13D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4．开标形式：本项目将采用“不见面开标”形式。操作说明详见平台〖首页·〉服务指南·〉下载专区〗中的《西安公共资源交易不见面开标大厅供应商操作手册》。。</w:t>
      </w:r>
    </w:p>
    <w:p w14:paraId="20554D7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九、联系方式</w:t>
      </w:r>
    </w:p>
    <w:p w14:paraId="03899BB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1．采购人：西安市市场监督管理局</w:t>
      </w:r>
    </w:p>
    <w:p w14:paraId="5127418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地址：陕西省西安市经开区凤城八路109号</w:t>
      </w:r>
    </w:p>
    <w:p w14:paraId="6A0A8D0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联系人：王老师</w:t>
      </w:r>
    </w:p>
    <w:p w14:paraId="31D1E27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联系方式：029-81876957</w:t>
      </w:r>
    </w:p>
    <w:p w14:paraId="5BEAF38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2．采购代理机构：陕西万泽招标有限公司</w:t>
      </w:r>
    </w:p>
    <w:p w14:paraId="5F8CA61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地址：西安市高新区唐延路旺座现代城C座25楼2504</w:t>
      </w:r>
    </w:p>
    <w:p w14:paraId="31CD388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总机：029-88319689</w:t>
      </w:r>
    </w:p>
    <w:p w14:paraId="28FE109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联系人：张刘艳  张航波  王增辉  郝思思</w:t>
      </w:r>
    </w:p>
    <w:p w14:paraId="35CE8B1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联系电话：029-88319689-8007</w:t>
      </w:r>
    </w:p>
    <w:p w14:paraId="4FBB4B06">
      <w:pPr>
        <w:spacing w:line="560" w:lineRule="exact"/>
        <w:ind w:firstLine="576"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陕西万泽招标有限公司</w:t>
      </w:r>
    </w:p>
    <w:p w14:paraId="5F39F234">
      <w:pPr>
        <w:spacing w:line="560" w:lineRule="exact"/>
        <w:ind w:firstLine="576"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2025年</w:t>
      </w:r>
      <w:r>
        <w:rPr>
          <w:rFonts w:hint="eastAsia" w:ascii="宋体" w:hAnsi="宋体" w:eastAsia="宋体" w:cs="宋体"/>
          <w:color w:val="auto"/>
          <w:sz w:val="28"/>
          <w:szCs w:val="28"/>
          <w:highlight w:val="none"/>
          <w:lang w:val="en-US" w:eastAsia="zh-CN"/>
        </w:rPr>
        <w:t>05</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07</w:t>
      </w:r>
      <w:r>
        <w:rPr>
          <w:rFonts w:hint="eastAsia" w:ascii="宋体" w:hAnsi="宋体" w:eastAsia="宋体" w:cs="宋体"/>
          <w:color w:val="auto"/>
          <w:sz w:val="28"/>
          <w:szCs w:val="28"/>
          <w:highlight w:val="none"/>
        </w:rPr>
        <w:t>日</w:t>
      </w:r>
    </w:p>
    <w:p w14:paraId="4D0DAA9A">
      <w:pPr>
        <w:spacing w:line="560" w:lineRule="exact"/>
        <w:ind w:firstLine="656" w:firstLineChars="200"/>
        <w:jc w:val="both"/>
        <w:rPr>
          <w:rFonts w:hint="eastAsia" w:ascii="宋体" w:hAnsi="宋体" w:eastAsia="宋体" w:cs="宋体"/>
          <w:color w:val="auto"/>
          <w:sz w:val="32"/>
          <w:szCs w:val="32"/>
          <w:highlight w:val="none"/>
        </w:rPr>
      </w:pPr>
      <w:bookmarkStart w:id="2" w:name="_Toc445407251"/>
      <w:bookmarkStart w:id="3" w:name="_Toc97563329"/>
      <w:bookmarkStart w:id="4" w:name="_Toc534656409"/>
      <w:bookmarkStart w:id="5" w:name="_Toc100219613"/>
      <w:bookmarkStart w:id="6" w:name="_Toc498349068"/>
      <w:bookmarkStart w:id="7" w:name="_Toc534656414"/>
      <w:bookmarkStart w:id="8" w:name="_Toc533363235"/>
      <w:bookmarkStart w:id="9" w:name="_Toc533363262"/>
      <w:r>
        <w:rPr>
          <w:rFonts w:hint="eastAsia" w:ascii="宋体" w:hAnsi="宋体" w:eastAsia="宋体" w:cs="宋体"/>
          <w:color w:val="auto"/>
          <w:sz w:val="32"/>
          <w:szCs w:val="32"/>
          <w:highlight w:val="none"/>
        </w:rPr>
        <w:br w:type="page"/>
      </w:r>
    </w:p>
    <w:p w14:paraId="2056BD80">
      <w:pPr>
        <w:pStyle w:val="2"/>
        <w:spacing w:line="240" w:lineRule="auto"/>
        <w:rPr>
          <w:rFonts w:hint="eastAsia" w:ascii="宋体" w:hAnsi="宋体" w:eastAsia="宋体" w:cs="宋体"/>
          <w:color w:val="auto"/>
          <w:highlight w:val="none"/>
        </w:rPr>
      </w:pPr>
      <w:bookmarkStart w:id="10" w:name="_Toc6331"/>
      <w:r>
        <w:rPr>
          <w:rFonts w:hint="eastAsia" w:ascii="宋体" w:hAnsi="宋体" w:eastAsia="宋体" w:cs="宋体"/>
          <w:color w:val="auto"/>
          <w:highlight w:val="none"/>
        </w:rPr>
        <w:t>第二章  供应商须知</w:t>
      </w:r>
      <w:bookmarkEnd w:id="2"/>
      <w:bookmarkEnd w:id="3"/>
      <w:bookmarkEnd w:id="4"/>
      <w:bookmarkEnd w:id="5"/>
      <w:bookmarkEnd w:id="6"/>
      <w:bookmarkEnd w:id="7"/>
      <w:bookmarkEnd w:id="8"/>
      <w:bookmarkEnd w:id="9"/>
      <w:bookmarkEnd w:id="10"/>
    </w:p>
    <w:p w14:paraId="3AB08C06">
      <w:pPr>
        <w:pStyle w:val="3"/>
        <w:spacing w:line="240" w:lineRule="auto"/>
        <w:ind w:firstLine="577"/>
        <w:jc w:val="left"/>
        <w:rPr>
          <w:rFonts w:hint="eastAsia" w:ascii="宋体" w:hAnsi="宋体" w:eastAsia="宋体" w:cs="宋体"/>
          <w:color w:val="auto"/>
          <w:sz w:val="28"/>
          <w:szCs w:val="28"/>
          <w:highlight w:val="none"/>
        </w:rPr>
      </w:pPr>
      <w:bookmarkStart w:id="11" w:name="_Toc21966"/>
      <w:r>
        <w:rPr>
          <w:rFonts w:hint="eastAsia" w:ascii="宋体" w:hAnsi="宋体" w:eastAsia="宋体" w:cs="宋体"/>
          <w:color w:val="auto"/>
          <w:sz w:val="28"/>
          <w:szCs w:val="28"/>
          <w:highlight w:val="none"/>
        </w:rPr>
        <w:t>〖前附表〗</w:t>
      </w:r>
      <w:bookmarkEnd w:id="11"/>
    </w:p>
    <w:tbl>
      <w:tblPr>
        <w:tblStyle w:val="34"/>
        <w:tblW w:w="90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063"/>
        <w:gridCol w:w="5027"/>
      </w:tblGrid>
      <w:tr w14:paraId="3B6C2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21F8A8A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063" w:type="dxa"/>
            <w:tcBorders>
              <w:top w:val="single" w:color="auto" w:sz="12" w:space="0"/>
              <w:bottom w:val="single" w:color="auto" w:sz="2" w:space="0"/>
            </w:tcBorders>
            <w:shd w:val="clear" w:color="auto" w:fill="F1F1F1" w:themeFill="background1" w:themeFillShade="F2"/>
            <w:vAlign w:val="center"/>
          </w:tcPr>
          <w:p w14:paraId="5B6C07A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内容</w:t>
            </w:r>
          </w:p>
        </w:tc>
        <w:tc>
          <w:tcPr>
            <w:tcW w:w="5027" w:type="dxa"/>
            <w:tcBorders>
              <w:top w:val="single" w:color="auto" w:sz="12" w:space="0"/>
              <w:bottom w:val="single" w:color="auto" w:sz="2" w:space="0"/>
            </w:tcBorders>
            <w:shd w:val="clear" w:color="auto" w:fill="F1F1F1" w:themeFill="background1" w:themeFillShade="F2"/>
            <w:vAlign w:val="center"/>
          </w:tcPr>
          <w:p w14:paraId="5A6DA55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说明和要求</w:t>
            </w:r>
          </w:p>
        </w:tc>
      </w:tr>
      <w:tr w14:paraId="3853AC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3E5FDF24">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63" w:type="dxa"/>
            <w:tcBorders>
              <w:top w:val="single" w:color="auto" w:sz="2" w:space="0"/>
            </w:tcBorders>
            <w:shd w:val="clear" w:color="auto" w:fill="auto"/>
            <w:vAlign w:val="center"/>
          </w:tcPr>
          <w:p w14:paraId="7F003CD2">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27" w:type="dxa"/>
            <w:tcBorders>
              <w:top w:val="single" w:color="auto" w:sz="2" w:space="0"/>
            </w:tcBorders>
            <w:shd w:val="clear" w:color="auto" w:fill="auto"/>
            <w:vAlign w:val="center"/>
          </w:tcPr>
          <w:p w14:paraId="472A2ED6">
            <w:pPr>
              <w:jc w:val="center"/>
              <w:rPr>
                <w:rFonts w:hint="eastAsia" w:ascii="宋体" w:hAnsi="宋体" w:eastAsia="宋体" w:cs="宋体"/>
                <w:color w:val="auto"/>
                <w:highlight w:val="none"/>
              </w:rPr>
            </w:pPr>
            <w:r>
              <w:rPr>
                <w:rFonts w:hint="eastAsia" w:ascii="宋体" w:hAnsi="宋体" w:eastAsia="宋体" w:cs="宋体"/>
                <w:color w:val="auto"/>
                <w:highlight w:val="none"/>
              </w:rPr>
              <w:t>西安市市场监督管理局2025年机电类特种设备安全质量监督抽查项目</w:t>
            </w:r>
          </w:p>
        </w:tc>
      </w:tr>
      <w:tr w14:paraId="2740EC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D1F8F24">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63" w:type="dxa"/>
            <w:shd w:val="clear" w:color="auto" w:fill="auto"/>
            <w:vAlign w:val="center"/>
          </w:tcPr>
          <w:p w14:paraId="3EC34B3E">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5027" w:type="dxa"/>
            <w:shd w:val="clear" w:color="auto" w:fill="auto"/>
            <w:vAlign w:val="center"/>
          </w:tcPr>
          <w:p w14:paraId="652A6A67">
            <w:pPr>
              <w:jc w:val="center"/>
              <w:rPr>
                <w:rFonts w:hint="eastAsia" w:ascii="宋体" w:hAnsi="宋体" w:eastAsia="宋体" w:cs="宋体"/>
                <w:color w:val="auto"/>
                <w:highlight w:val="none"/>
              </w:rPr>
            </w:pPr>
            <w:r>
              <w:rPr>
                <w:rFonts w:hint="eastAsia" w:ascii="宋体" w:hAnsi="宋体" w:eastAsia="宋体" w:cs="宋体"/>
                <w:color w:val="auto"/>
                <w:highlight w:val="none"/>
              </w:rPr>
              <w:t>SXWZ2025ZB-SGLJ-070</w:t>
            </w:r>
          </w:p>
        </w:tc>
      </w:tr>
      <w:tr w14:paraId="6254DA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0B61B9F">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063" w:type="dxa"/>
            <w:shd w:val="clear" w:color="auto" w:fill="auto"/>
            <w:vAlign w:val="center"/>
          </w:tcPr>
          <w:p w14:paraId="654E477A">
            <w:pPr>
              <w:jc w:val="center"/>
              <w:rPr>
                <w:rFonts w:hint="eastAsia" w:ascii="宋体" w:hAnsi="宋体" w:eastAsia="宋体" w:cs="宋体"/>
                <w:color w:val="auto"/>
                <w:highlight w:val="none"/>
              </w:rPr>
            </w:pPr>
            <w:r>
              <w:rPr>
                <w:rFonts w:hint="eastAsia" w:ascii="宋体" w:hAnsi="宋体" w:eastAsia="宋体" w:cs="宋体"/>
                <w:color w:val="auto"/>
                <w:highlight w:val="none"/>
              </w:rPr>
              <w:t>预算执行书编号</w:t>
            </w:r>
          </w:p>
        </w:tc>
        <w:tc>
          <w:tcPr>
            <w:tcW w:w="5027" w:type="dxa"/>
            <w:shd w:val="clear" w:color="auto" w:fill="auto"/>
            <w:vAlign w:val="center"/>
          </w:tcPr>
          <w:p w14:paraId="0718ED50">
            <w:pPr>
              <w:jc w:val="center"/>
              <w:rPr>
                <w:rFonts w:hint="eastAsia" w:ascii="宋体" w:hAnsi="宋体" w:eastAsia="宋体" w:cs="宋体"/>
                <w:color w:val="auto"/>
                <w:highlight w:val="none"/>
              </w:rPr>
            </w:pPr>
            <w:r>
              <w:rPr>
                <w:rFonts w:hint="eastAsia" w:ascii="宋体" w:hAnsi="宋体" w:eastAsia="宋体" w:cs="宋体"/>
                <w:color w:val="auto"/>
                <w:highlight w:val="none"/>
              </w:rPr>
              <w:t>ZCBN-西安市-2025-</w:t>
            </w:r>
            <w:r>
              <w:rPr>
                <w:rFonts w:hint="eastAsia" w:ascii="宋体" w:hAnsi="宋体" w:eastAsia="宋体" w:cs="宋体"/>
                <w:color w:val="auto"/>
                <w:highlight w:val="none"/>
                <w:lang w:val="en-US" w:eastAsia="zh-CN"/>
              </w:rPr>
              <w:t>01075</w:t>
            </w:r>
          </w:p>
        </w:tc>
      </w:tr>
      <w:tr w14:paraId="29CE68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C59A70F">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063" w:type="dxa"/>
            <w:shd w:val="clear" w:color="auto" w:fill="auto"/>
            <w:vAlign w:val="center"/>
          </w:tcPr>
          <w:p w14:paraId="466ACF14">
            <w:pPr>
              <w:jc w:val="center"/>
              <w:rPr>
                <w:rFonts w:hint="eastAsia" w:ascii="宋体" w:hAnsi="宋体" w:eastAsia="宋体" w:cs="宋体"/>
                <w:color w:val="auto"/>
                <w:highlight w:val="none"/>
              </w:rPr>
            </w:pPr>
            <w:r>
              <w:rPr>
                <w:rFonts w:hint="eastAsia" w:ascii="宋体" w:hAnsi="宋体" w:eastAsia="宋体" w:cs="宋体"/>
                <w:color w:val="auto"/>
                <w:highlight w:val="none"/>
              </w:rPr>
              <w:t>是否预留份额</w:t>
            </w:r>
          </w:p>
          <w:p w14:paraId="0A970A03">
            <w:pPr>
              <w:jc w:val="center"/>
              <w:rPr>
                <w:rFonts w:hint="eastAsia" w:ascii="宋体" w:hAnsi="宋体" w:eastAsia="宋体" w:cs="宋体"/>
                <w:color w:val="auto"/>
                <w:highlight w:val="none"/>
              </w:rPr>
            </w:pPr>
            <w:r>
              <w:rPr>
                <w:rFonts w:hint="eastAsia" w:ascii="宋体" w:hAnsi="宋体" w:eastAsia="宋体" w:cs="宋体"/>
                <w:color w:val="auto"/>
                <w:highlight w:val="none"/>
              </w:rPr>
              <w:t>专门面向中小企业采购</w:t>
            </w:r>
          </w:p>
        </w:tc>
        <w:tc>
          <w:tcPr>
            <w:tcW w:w="5027" w:type="dxa"/>
            <w:shd w:val="clear" w:color="auto" w:fill="auto"/>
            <w:vAlign w:val="center"/>
          </w:tcPr>
          <w:p w14:paraId="5F67BD1A">
            <w:pPr>
              <w:jc w:val="center"/>
              <w:rPr>
                <w:rFonts w:hint="eastAsia" w:ascii="宋体" w:hAnsi="宋体" w:eastAsia="宋体" w:cs="宋体"/>
                <w:color w:val="auto"/>
                <w:highlight w:val="none"/>
              </w:rPr>
            </w:pPr>
            <w:sdt>
              <w:sdtPr>
                <w:rPr>
                  <w:rFonts w:hint="eastAsia" w:ascii="宋体" w:hAnsi="宋体" w:eastAsia="宋体" w:cs="宋体"/>
                  <w:color w:val="auto"/>
                  <w:highlight w:val="none"/>
                </w:rPr>
                <w:id w:val="2139916130"/>
              </w:sdtPr>
              <w:sdtEndPr>
                <w:rPr>
                  <w:rFonts w:hint="eastAsia" w:ascii="宋体" w:hAnsi="宋体" w:eastAsia="宋体" w:cs="宋体"/>
                  <w:color w:val="auto"/>
                  <w:highlight w:val="none"/>
                </w:rPr>
              </w:sdtEndPr>
              <w:sdtContent>
                <w:r>
                  <w:rPr>
                    <w:rFonts w:hint="eastAsia" w:ascii="MS Gothic" w:hAnsi="MS Gothic" w:eastAsia="宋体" w:cs="宋体"/>
                    <w:color w:val="auto"/>
                    <w:highlight w:val="none"/>
                  </w:rPr>
                  <w:t>☐</w:t>
                </w:r>
              </w:sdtContent>
            </w:sdt>
            <w:r>
              <w:rPr>
                <w:rFonts w:hint="eastAsia" w:ascii="宋体" w:hAnsi="宋体" w:eastAsia="宋体" w:cs="宋体"/>
                <w:color w:val="auto"/>
                <w:highlight w:val="none"/>
              </w:rPr>
              <w:t xml:space="preserve">是  </w:t>
            </w:r>
            <w:sdt>
              <w:sdtPr>
                <w:rPr>
                  <w:rFonts w:hint="eastAsia" w:ascii="宋体" w:hAnsi="宋体" w:eastAsia="宋体" w:cs="宋体"/>
                  <w:color w:val="auto"/>
                  <w:highlight w:val="none"/>
                </w:rPr>
                <w:id w:val="-2072024220"/>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p>
        </w:tc>
      </w:tr>
      <w:tr w14:paraId="462E0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6E7DCA73">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063" w:type="dxa"/>
            <w:shd w:val="clear" w:color="auto" w:fill="auto"/>
            <w:vAlign w:val="center"/>
          </w:tcPr>
          <w:p w14:paraId="6ACC7F68">
            <w:pPr>
              <w:jc w:val="center"/>
              <w:rPr>
                <w:rFonts w:hint="eastAsia" w:ascii="宋体" w:hAnsi="宋体" w:eastAsia="宋体" w:cs="宋体"/>
                <w:color w:val="auto"/>
                <w:highlight w:val="none"/>
              </w:rPr>
            </w:pPr>
            <w:r>
              <w:rPr>
                <w:rFonts w:hint="eastAsia" w:ascii="宋体" w:hAnsi="宋体" w:eastAsia="宋体" w:cs="宋体"/>
                <w:color w:val="auto"/>
                <w:highlight w:val="none"/>
              </w:rPr>
              <w:t>预算金额</w:t>
            </w:r>
          </w:p>
        </w:tc>
        <w:tc>
          <w:tcPr>
            <w:tcW w:w="5027" w:type="dxa"/>
            <w:shd w:val="clear" w:color="auto" w:fill="auto"/>
            <w:vAlign w:val="center"/>
          </w:tcPr>
          <w:p w14:paraId="4240ACB2">
            <w:pPr>
              <w:jc w:val="center"/>
              <w:rPr>
                <w:rFonts w:hint="eastAsia" w:ascii="宋体" w:hAnsi="宋体" w:eastAsia="宋体" w:cs="宋体"/>
                <w:color w:val="auto"/>
                <w:highlight w:val="none"/>
              </w:rPr>
            </w:pPr>
            <w:r>
              <w:rPr>
                <w:rFonts w:hint="eastAsia" w:ascii="宋体" w:hAnsi="宋体" w:eastAsia="宋体" w:cs="宋体"/>
                <w:color w:val="auto"/>
                <w:highlight w:val="none"/>
              </w:rPr>
              <w:t>4380000.00元</w:t>
            </w:r>
          </w:p>
        </w:tc>
      </w:tr>
      <w:tr w14:paraId="178920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6E22E088">
            <w:pPr>
              <w:jc w:val="center"/>
              <w:rPr>
                <w:rFonts w:hint="eastAsia" w:ascii="宋体" w:hAnsi="宋体" w:eastAsia="宋体" w:cs="宋体"/>
                <w:color w:val="auto"/>
                <w:highlight w:val="none"/>
              </w:rPr>
            </w:pPr>
          </w:p>
        </w:tc>
        <w:tc>
          <w:tcPr>
            <w:tcW w:w="3063" w:type="dxa"/>
            <w:vMerge w:val="restart"/>
            <w:shd w:val="clear" w:color="auto" w:fill="auto"/>
            <w:vAlign w:val="center"/>
          </w:tcPr>
          <w:p w14:paraId="4B0CC129">
            <w:pPr>
              <w:jc w:val="center"/>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5027" w:type="dxa"/>
            <w:shd w:val="clear" w:color="auto" w:fill="auto"/>
            <w:vAlign w:val="center"/>
          </w:tcPr>
          <w:p w14:paraId="435B1032">
            <w:pPr>
              <w:jc w:val="center"/>
              <w:rPr>
                <w:rFonts w:hint="eastAsia" w:ascii="宋体" w:hAnsi="宋体" w:eastAsia="宋体" w:cs="宋体"/>
                <w:color w:val="auto"/>
                <w:highlight w:val="none"/>
              </w:rPr>
            </w:pPr>
            <w:r>
              <w:rPr>
                <w:rFonts w:hint="eastAsia" w:ascii="宋体" w:hAnsi="宋体" w:eastAsia="宋体" w:cs="宋体"/>
                <w:color w:val="auto"/>
                <w:highlight w:val="none"/>
              </w:rPr>
              <w:t>第一包：4060000.00元</w:t>
            </w:r>
          </w:p>
        </w:tc>
      </w:tr>
      <w:tr w14:paraId="29568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02BF6C53">
            <w:pPr>
              <w:jc w:val="center"/>
              <w:rPr>
                <w:rFonts w:hint="eastAsia" w:ascii="宋体" w:hAnsi="宋体" w:eastAsia="宋体" w:cs="宋体"/>
                <w:color w:val="auto"/>
                <w:highlight w:val="none"/>
              </w:rPr>
            </w:pPr>
          </w:p>
        </w:tc>
        <w:tc>
          <w:tcPr>
            <w:tcW w:w="3063" w:type="dxa"/>
            <w:vMerge w:val="continue"/>
            <w:shd w:val="clear" w:color="auto" w:fill="auto"/>
            <w:vAlign w:val="center"/>
          </w:tcPr>
          <w:p w14:paraId="04AB670D">
            <w:pPr>
              <w:jc w:val="center"/>
              <w:rPr>
                <w:rFonts w:hint="eastAsia" w:ascii="宋体" w:hAnsi="宋体" w:eastAsia="宋体" w:cs="宋体"/>
                <w:color w:val="auto"/>
                <w:highlight w:val="none"/>
              </w:rPr>
            </w:pPr>
          </w:p>
        </w:tc>
        <w:tc>
          <w:tcPr>
            <w:tcW w:w="5027" w:type="dxa"/>
            <w:shd w:val="clear" w:color="auto" w:fill="auto"/>
            <w:vAlign w:val="center"/>
          </w:tcPr>
          <w:p w14:paraId="3E9D085C">
            <w:pPr>
              <w:jc w:val="center"/>
              <w:rPr>
                <w:rFonts w:hint="eastAsia" w:ascii="宋体" w:hAnsi="宋体" w:eastAsia="宋体" w:cs="宋体"/>
                <w:color w:val="auto"/>
                <w:highlight w:val="none"/>
              </w:rPr>
            </w:pPr>
            <w:r>
              <w:rPr>
                <w:rFonts w:hint="eastAsia" w:ascii="宋体" w:hAnsi="宋体" w:eastAsia="宋体" w:cs="宋体"/>
                <w:color w:val="auto"/>
                <w:highlight w:val="none"/>
              </w:rPr>
              <w:t>第二包：320000.00元</w:t>
            </w:r>
          </w:p>
        </w:tc>
      </w:tr>
      <w:tr w14:paraId="12C1E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7E4021A">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063" w:type="dxa"/>
            <w:shd w:val="clear" w:color="auto" w:fill="auto"/>
            <w:vAlign w:val="center"/>
          </w:tcPr>
          <w:p w14:paraId="01318CEB">
            <w:pPr>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w:t>
            </w:r>
          </w:p>
        </w:tc>
        <w:tc>
          <w:tcPr>
            <w:tcW w:w="5027" w:type="dxa"/>
            <w:shd w:val="clear" w:color="auto" w:fill="auto"/>
            <w:vAlign w:val="center"/>
          </w:tcPr>
          <w:p w14:paraId="64F7D562">
            <w:pPr>
              <w:jc w:val="center"/>
              <w:rPr>
                <w:rFonts w:hint="eastAsia" w:ascii="宋体" w:hAnsi="宋体" w:eastAsia="宋体" w:cs="宋体"/>
                <w:color w:val="auto"/>
                <w:highlight w:val="none"/>
              </w:rPr>
            </w:pPr>
            <w:sdt>
              <w:sdtPr>
                <w:rPr>
                  <w:rFonts w:hint="eastAsia" w:ascii="宋体" w:hAnsi="宋体" w:eastAsia="宋体" w:cs="宋体"/>
                  <w:color w:val="auto"/>
                  <w:highlight w:val="none"/>
                </w:rPr>
                <w:id w:val="608160193"/>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 xml:space="preserve">是  </w:t>
            </w:r>
            <w:sdt>
              <w:sdtPr>
                <w:rPr>
                  <w:rFonts w:hint="eastAsia" w:ascii="宋体" w:hAnsi="宋体" w:eastAsia="宋体" w:cs="宋体"/>
                  <w:color w:val="auto"/>
                  <w:highlight w:val="none"/>
                </w:rPr>
                <w:id w:val="1317929335"/>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p>
        </w:tc>
      </w:tr>
      <w:tr w14:paraId="635F0A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4712C82">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063" w:type="dxa"/>
            <w:shd w:val="clear" w:color="auto" w:fill="auto"/>
            <w:vAlign w:val="center"/>
          </w:tcPr>
          <w:p w14:paraId="74C53963">
            <w:pPr>
              <w:jc w:val="center"/>
              <w:rPr>
                <w:rFonts w:hint="eastAsia" w:ascii="宋体" w:hAnsi="宋体" w:eastAsia="宋体" w:cs="宋体"/>
                <w:color w:val="auto"/>
                <w:highlight w:val="none"/>
              </w:rPr>
            </w:pPr>
            <w:r>
              <w:rPr>
                <w:rFonts w:hint="eastAsia" w:ascii="宋体" w:hAnsi="宋体" w:eastAsia="宋体" w:cs="宋体"/>
                <w:color w:val="auto"/>
                <w:highlight w:val="none"/>
              </w:rPr>
              <w:t>是否允许进口产品</w:t>
            </w:r>
          </w:p>
        </w:tc>
        <w:tc>
          <w:tcPr>
            <w:tcW w:w="5027" w:type="dxa"/>
            <w:shd w:val="clear" w:color="auto" w:fill="auto"/>
            <w:vAlign w:val="center"/>
          </w:tcPr>
          <w:p w14:paraId="4D3773B7">
            <w:pPr>
              <w:jc w:val="center"/>
              <w:rPr>
                <w:rFonts w:hint="eastAsia" w:ascii="宋体" w:hAnsi="宋体" w:eastAsia="宋体" w:cs="宋体"/>
                <w:color w:val="auto"/>
                <w:highlight w:val="none"/>
              </w:rPr>
            </w:pPr>
            <w:sdt>
              <w:sdtPr>
                <w:rPr>
                  <w:rFonts w:hint="eastAsia" w:ascii="宋体" w:hAnsi="宋体" w:eastAsia="宋体" w:cs="宋体"/>
                  <w:color w:val="auto"/>
                  <w:highlight w:val="none"/>
                </w:rPr>
                <w:id w:val="148570254"/>
              </w:sdtPr>
              <w:sdtEndPr>
                <w:rPr>
                  <w:rFonts w:hint="eastAsia" w:ascii="宋体" w:hAnsi="宋体" w:eastAsia="宋体" w:cs="宋体"/>
                  <w:color w:val="auto"/>
                  <w:highlight w:val="none"/>
                </w:rPr>
              </w:sdtEndPr>
              <w:sdtContent>
                <w:r>
                  <w:rPr>
                    <w:rFonts w:hint="eastAsia" w:ascii="MS Gothic" w:hAnsi="MS Gothic" w:eastAsia="宋体" w:cs="宋体"/>
                    <w:color w:val="auto"/>
                    <w:highlight w:val="none"/>
                  </w:rPr>
                  <w:t>☐</w:t>
                </w:r>
              </w:sdtContent>
            </w:sdt>
            <w:r>
              <w:rPr>
                <w:rFonts w:hint="eastAsia" w:ascii="宋体" w:hAnsi="宋体" w:eastAsia="宋体" w:cs="宋体"/>
                <w:color w:val="auto"/>
                <w:highlight w:val="none"/>
              </w:rPr>
              <w:t xml:space="preserve">是  </w:t>
            </w:r>
            <w:sdt>
              <w:sdtPr>
                <w:rPr>
                  <w:rFonts w:hint="eastAsia" w:ascii="宋体" w:hAnsi="宋体" w:eastAsia="宋体" w:cs="宋体"/>
                  <w:color w:val="auto"/>
                  <w:highlight w:val="none"/>
                </w:rPr>
                <w:id w:val="-1689594843"/>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p>
        </w:tc>
      </w:tr>
      <w:tr w14:paraId="2E6F4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032D899">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063" w:type="dxa"/>
            <w:shd w:val="clear" w:color="auto" w:fill="auto"/>
            <w:vAlign w:val="center"/>
          </w:tcPr>
          <w:p w14:paraId="49AC4FC1">
            <w:pPr>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5027" w:type="dxa"/>
            <w:shd w:val="clear" w:color="auto" w:fill="auto"/>
            <w:vAlign w:val="center"/>
          </w:tcPr>
          <w:p w14:paraId="727C87B6">
            <w:pPr>
              <w:jc w:val="center"/>
              <w:rPr>
                <w:rFonts w:hint="eastAsia" w:ascii="宋体" w:hAnsi="宋体" w:eastAsia="宋体" w:cs="宋体"/>
                <w:color w:val="auto"/>
                <w:highlight w:val="none"/>
              </w:rPr>
            </w:pPr>
            <w:r>
              <w:rPr>
                <w:rFonts w:hint="eastAsia" w:ascii="宋体" w:hAnsi="宋体" w:eastAsia="宋体" w:cs="宋体"/>
                <w:color w:val="auto"/>
                <w:highlight w:val="none"/>
              </w:rPr>
              <w:t>免交</w:t>
            </w:r>
          </w:p>
        </w:tc>
      </w:tr>
      <w:tr w14:paraId="2746A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D1724FC">
            <w:pP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063" w:type="dxa"/>
            <w:shd w:val="clear" w:color="auto" w:fill="auto"/>
            <w:vAlign w:val="center"/>
          </w:tcPr>
          <w:p w14:paraId="7BF2D02E">
            <w:pPr>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5027" w:type="dxa"/>
            <w:shd w:val="clear" w:color="auto" w:fill="auto"/>
            <w:vAlign w:val="center"/>
          </w:tcPr>
          <w:p w14:paraId="2D295FA3">
            <w:pPr>
              <w:jc w:val="center"/>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34D3A7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D2D8185">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063" w:type="dxa"/>
            <w:shd w:val="clear" w:color="auto" w:fill="auto"/>
            <w:vAlign w:val="center"/>
          </w:tcPr>
          <w:p w14:paraId="35CEC47A">
            <w:pPr>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5027" w:type="dxa"/>
            <w:shd w:val="clear" w:color="auto" w:fill="auto"/>
            <w:vAlign w:val="center"/>
          </w:tcPr>
          <w:p w14:paraId="58544B25">
            <w:pPr>
              <w:jc w:val="both"/>
              <w:rPr>
                <w:rFonts w:hint="eastAsia" w:ascii="宋体" w:hAnsi="宋体" w:eastAsia="宋体" w:cs="宋体"/>
                <w:color w:val="auto"/>
                <w:highlight w:val="none"/>
              </w:rPr>
            </w:pPr>
            <w:r>
              <w:rPr>
                <w:rFonts w:hint="eastAsia" w:ascii="宋体" w:hAnsi="宋体" w:eastAsia="宋体" w:cs="宋体"/>
                <w:color w:val="000000" w:themeColor="text1"/>
                <w14:textFill>
                  <w14:solidFill>
                    <w14:schemeClr w14:val="tx1"/>
                  </w14:solidFill>
                </w14:textFill>
              </w:rPr>
              <w:t>如纸质版文件与电子版文件不一致，以上传平台电子版文件为准；</w:t>
            </w:r>
            <w:r>
              <w:rPr>
                <w:rFonts w:hint="eastAsia" w:ascii="宋体" w:hAnsi="宋体" w:eastAsia="宋体" w:cs="宋体"/>
                <w:color w:val="000000" w:themeColor="text1"/>
                <w:lang w:val="en-US" w:eastAsia="zh-CN"/>
                <w14:textFill>
                  <w14:solidFill>
                    <w14:schemeClr w14:val="tx1"/>
                  </w14:solidFill>
                </w14:textFill>
              </w:rPr>
              <w:t>中标</w:t>
            </w:r>
            <w:r>
              <w:rPr>
                <w:rFonts w:hint="eastAsia" w:ascii="宋体" w:hAnsi="宋体" w:eastAsia="宋体" w:cs="宋体"/>
                <w:color w:val="000000" w:themeColor="text1"/>
                <w14:textFill>
                  <w14:solidFill>
                    <w14:schemeClr w14:val="tx1"/>
                  </w14:solidFill>
                </w14:textFill>
              </w:rPr>
              <w:t>供应商需</w:t>
            </w:r>
            <w:r>
              <w:rPr>
                <w:rFonts w:hint="eastAsia" w:ascii="宋体" w:hAnsi="宋体" w:eastAsia="宋体" w:cs="宋体"/>
                <w:color w:val="000000" w:themeColor="text1"/>
                <w:lang w:val="en-US" w:eastAsia="zh-CN"/>
                <w14:textFill>
                  <w14:solidFill>
                    <w14:schemeClr w14:val="tx1"/>
                  </w14:solidFill>
                </w14:textFill>
              </w:rPr>
              <w:t>在中标公告发布之日起3天内</w:t>
            </w:r>
            <w:r>
              <w:rPr>
                <w:rFonts w:hint="eastAsia" w:ascii="宋体" w:hAnsi="宋体" w:eastAsia="宋体" w:cs="宋体"/>
                <w:color w:val="000000" w:themeColor="text1"/>
                <w14:textFill>
                  <w14:solidFill>
                    <w14:schemeClr w14:val="tx1"/>
                  </w14:solidFill>
                </w14:textFill>
              </w:rPr>
              <w:t>提供纸质版投标文件（密封一正两副）送至西安市高新区唐延路旺座现代城C座25楼250</w:t>
            </w:r>
            <w:r>
              <w:rPr>
                <w:rFonts w:hint="eastAsia" w:ascii="宋体" w:hAnsi="宋体" w:eastAsia="宋体" w:cs="宋体"/>
                <w:color w:val="000000" w:themeColor="text1"/>
                <w:lang w:val="en-US" w:eastAsia="zh-CN"/>
                <w14:textFill>
                  <w14:solidFill>
                    <w14:schemeClr w14:val="tx1"/>
                  </w14:solidFill>
                </w14:textFill>
              </w:rPr>
              <w:t>2室</w:t>
            </w:r>
          </w:p>
        </w:tc>
      </w:tr>
      <w:tr w14:paraId="78DB69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6D0AA23">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063" w:type="dxa"/>
            <w:shd w:val="clear" w:color="auto" w:fill="auto"/>
            <w:vAlign w:val="center"/>
          </w:tcPr>
          <w:p w14:paraId="7E1BE497">
            <w:pPr>
              <w:jc w:val="center"/>
              <w:rPr>
                <w:rFonts w:hint="eastAsia" w:ascii="宋体" w:hAnsi="宋体" w:eastAsia="宋体" w:cs="宋体"/>
                <w:color w:val="auto"/>
                <w:highlight w:val="none"/>
              </w:rPr>
            </w:pPr>
            <w:r>
              <w:rPr>
                <w:rFonts w:hint="eastAsia" w:ascii="宋体" w:hAnsi="宋体" w:eastAsia="宋体" w:cs="宋体"/>
                <w:color w:val="auto"/>
                <w:highlight w:val="none"/>
              </w:rPr>
              <w:t>现场踏勘和集中答疑</w:t>
            </w:r>
          </w:p>
        </w:tc>
        <w:tc>
          <w:tcPr>
            <w:tcW w:w="5027" w:type="dxa"/>
            <w:shd w:val="clear" w:color="auto" w:fill="auto"/>
            <w:vAlign w:val="center"/>
          </w:tcPr>
          <w:p w14:paraId="0F1D79EE">
            <w:pPr>
              <w:jc w:val="center"/>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3936FF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4736B8C">
            <w:pP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063" w:type="dxa"/>
            <w:shd w:val="clear" w:color="auto" w:fill="auto"/>
            <w:vAlign w:val="center"/>
          </w:tcPr>
          <w:p w14:paraId="2AF19A39">
            <w:pPr>
              <w:jc w:val="center"/>
              <w:rPr>
                <w:rFonts w:hint="eastAsia" w:ascii="宋体" w:hAnsi="宋体" w:eastAsia="宋体" w:cs="宋体"/>
                <w:color w:val="auto"/>
                <w:highlight w:val="none"/>
              </w:rPr>
            </w:pPr>
            <w:r>
              <w:rPr>
                <w:rFonts w:hint="eastAsia" w:ascii="宋体" w:hAnsi="宋体" w:eastAsia="宋体" w:cs="宋体"/>
                <w:color w:val="auto"/>
                <w:highlight w:val="none"/>
              </w:rPr>
              <w:t>政府采购信息发布媒体</w:t>
            </w:r>
          </w:p>
          <w:p w14:paraId="11B657AC">
            <w:pPr>
              <w:jc w:val="center"/>
              <w:rPr>
                <w:rFonts w:hint="eastAsia" w:ascii="宋体" w:hAnsi="宋体" w:eastAsia="宋体" w:cs="宋体"/>
                <w:color w:val="auto"/>
                <w:highlight w:val="none"/>
              </w:rPr>
            </w:pPr>
            <w:r>
              <w:rPr>
                <w:rFonts w:hint="eastAsia" w:ascii="宋体" w:hAnsi="宋体" w:eastAsia="宋体" w:cs="宋体"/>
                <w:color w:val="auto"/>
                <w:highlight w:val="none"/>
              </w:rPr>
              <w:t>（采购公告、采购结果公告、变更公告）</w:t>
            </w:r>
          </w:p>
        </w:tc>
        <w:tc>
          <w:tcPr>
            <w:tcW w:w="5027" w:type="dxa"/>
            <w:shd w:val="clear" w:color="auto" w:fill="auto"/>
            <w:vAlign w:val="center"/>
          </w:tcPr>
          <w:p w14:paraId="1B4E2898">
            <w:pPr>
              <w:rPr>
                <w:rFonts w:hint="eastAsia" w:ascii="宋体" w:hAnsi="宋体" w:eastAsia="宋体" w:cs="宋体"/>
                <w:color w:val="auto"/>
                <w:highlight w:val="none"/>
              </w:rPr>
            </w:pPr>
            <w:r>
              <w:rPr>
                <w:rFonts w:hint="eastAsia" w:ascii="宋体" w:hAnsi="宋体" w:eastAsia="宋体" w:cs="宋体"/>
                <w:color w:val="auto"/>
                <w:highlight w:val="none"/>
              </w:rPr>
              <w:t>1．陕西省政府采购网：仅提供项目公告，官网地址：http://ccgp-shaanxi.gov.cn/。</w:t>
            </w:r>
          </w:p>
          <w:p w14:paraId="20781128">
            <w:pPr>
              <w:rPr>
                <w:rFonts w:hint="eastAsia" w:ascii="宋体" w:hAnsi="宋体" w:eastAsia="宋体" w:cs="宋体"/>
                <w:color w:val="auto"/>
                <w:highlight w:val="none"/>
              </w:rPr>
            </w:pPr>
            <w:r>
              <w:rPr>
                <w:rFonts w:hint="eastAsia" w:ascii="宋体" w:hAnsi="宋体" w:eastAsia="宋体" w:cs="宋体"/>
                <w:color w:val="auto"/>
                <w:highlight w:val="none"/>
              </w:rPr>
              <w:t>2．全国公共资源交易平台（陕西省·西安市）：即西安市公共资源交易平台，提供项目公告和采购文件下载。官网地址：http://sxggzyjy.xa.gov.cn/</w:t>
            </w:r>
          </w:p>
        </w:tc>
      </w:tr>
      <w:tr w14:paraId="2A859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DEFE988">
            <w:pP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3063" w:type="dxa"/>
            <w:shd w:val="clear" w:color="auto" w:fill="auto"/>
            <w:vAlign w:val="center"/>
          </w:tcPr>
          <w:p w14:paraId="47DED036">
            <w:pPr>
              <w:jc w:val="center"/>
              <w:rPr>
                <w:rFonts w:hint="eastAsia" w:ascii="宋体" w:hAnsi="宋体" w:eastAsia="宋体" w:cs="宋体"/>
                <w:color w:val="auto"/>
                <w:highlight w:val="none"/>
              </w:rPr>
            </w:pPr>
            <w:r>
              <w:rPr>
                <w:rFonts w:hint="eastAsia" w:ascii="宋体" w:hAnsi="宋体" w:eastAsia="宋体" w:cs="宋体"/>
                <w:color w:val="auto"/>
                <w:highlight w:val="none"/>
              </w:rPr>
              <w:t>询问和质疑</w:t>
            </w:r>
          </w:p>
        </w:tc>
        <w:tc>
          <w:tcPr>
            <w:tcW w:w="5027" w:type="dxa"/>
            <w:shd w:val="clear" w:color="auto" w:fill="auto"/>
            <w:vAlign w:val="center"/>
          </w:tcPr>
          <w:p w14:paraId="49E67E3C">
            <w:pPr>
              <w:jc w:val="both"/>
              <w:rPr>
                <w:rFonts w:hint="eastAsia" w:ascii="宋体" w:hAnsi="宋体" w:eastAsia="宋体" w:cs="宋体"/>
                <w:color w:val="auto"/>
                <w:highlight w:val="none"/>
              </w:rPr>
            </w:pPr>
            <w:r>
              <w:rPr>
                <w:rFonts w:hint="eastAsia" w:ascii="宋体" w:hAnsi="宋体" w:eastAsia="宋体" w:cs="宋体"/>
                <w:color w:val="auto"/>
                <w:highlight w:val="none"/>
              </w:rPr>
              <w:t>见投标邀请函中的“联系方式”</w:t>
            </w:r>
          </w:p>
        </w:tc>
      </w:tr>
      <w:tr w14:paraId="67ACBB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2DAC970">
            <w:pPr>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3063" w:type="dxa"/>
            <w:shd w:val="clear" w:color="auto" w:fill="auto"/>
            <w:vAlign w:val="center"/>
          </w:tcPr>
          <w:p w14:paraId="7E6EB22A">
            <w:pPr>
              <w:jc w:val="center"/>
              <w:rPr>
                <w:rFonts w:hint="eastAsia" w:ascii="宋体" w:hAnsi="宋体" w:eastAsia="宋体" w:cs="宋体"/>
                <w:color w:val="auto"/>
                <w:highlight w:val="none"/>
              </w:rPr>
            </w:pPr>
            <w:r>
              <w:rPr>
                <w:rFonts w:hint="eastAsia" w:ascii="宋体" w:hAnsi="宋体" w:eastAsia="宋体" w:cs="宋体"/>
                <w:color w:val="auto"/>
                <w:highlight w:val="none"/>
              </w:rPr>
              <w:t>投诉受理</w:t>
            </w:r>
          </w:p>
        </w:tc>
        <w:tc>
          <w:tcPr>
            <w:tcW w:w="5027" w:type="dxa"/>
            <w:shd w:val="clear" w:color="auto" w:fill="auto"/>
            <w:vAlign w:val="center"/>
          </w:tcPr>
          <w:p w14:paraId="77B5E559">
            <w:pPr>
              <w:jc w:val="both"/>
              <w:rPr>
                <w:rFonts w:hint="eastAsia" w:ascii="宋体" w:hAnsi="宋体" w:eastAsia="宋体" w:cs="宋体"/>
                <w:color w:val="auto"/>
                <w:highlight w:val="none"/>
              </w:rPr>
            </w:pPr>
            <w:r>
              <w:rPr>
                <w:rFonts w:hint="eastAsia" w:ascii="宋体" w:hAnsi="宋体" w:eastAsia="宋体" w:cs="宋体"/>
                <w:color w:val="auto"/>
                <w:highlight w:val="none"/>
              </w:rPr>
              <w:t>1．受理单位：西安市财政局政府采购管理处</w:t>
            </w:r>
          </w:p>
          <w:p w14:paraId="182C7D59">
            <w:pPr>
              <w:jc w:val="both"/>
              <w:rPr>
                <w:rFonts w:hint="eastAsia" w:ascii="宋体" w:hAnsi="宋体" w:eastAsia="宋体" w:cs="宋体"/>
                <w:color w:val="auto"/>
                <w:highlight w:val="none"/>
              </w:rPr>
            </w:pPr>
            <w:r>
              <w:rPr>
                <w:rFonts w:hint="eastAsia" w:ascii="宋体" w:hAnsi="宋体" w:eastAsia="宋体" w:cs="宋体"/>
                <w:color w:val="auto"/>
                <w:highlight w:val="none"/>
              </w:rPr>
              <w:t>2．联系电话：029-89821846</w:t>
            </w:r>
          </w:p>
          <w:p w14:paraId="7DD1761A">
            <w:pPr>
              <w:jc w:val="both"/>
              <w:rPr>
                <w:rFonts w:hint="eastAsia" w:ascii="宋体" w:hAnsi="宋体" w:eastAsia="宋体" w:cs="宋体"/>
                <w:color w:val="auto"/>
                <w:highlight w:val="none"/>
              </w:rPr>
            </w:pPr>
            <w:r>
              <w:rPr>
                <w:rFonts w:hint="eastAsia" w:ascii="宋体" w:hAnsi="宋体" w:eastAsia="宋体" w:cs="宋体"/>
                <w:color w:val="auto"/>
                <w:highlight w:val="none"/>
              </w:rPr>
              <w:t>3．地址：西安市未央区西北国金中心A座18层</w:t>
            </w:r>
          </w:p>
        </w:tc>
      </w:tr>
      <w:tr w14:paraId="38716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895B7BD">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063" w:type="dxa"/>
            <w:shd w:val="clear" w:color="auto" w:fill="auto"/>
            <w:vAlign w:val="center"/>
          </w:tcPr>
          <w:p w14:paraId="52B6BA4E">
            <w:pPr>
              <w:jc w:val="center"/>
              <w:rPr>
                <w:rFonts w:hint="eastAsia" w:ascii="宋体" w:hAnsi="宋体" w:eastAsia="宋体" w:cs="宋体"/>
                <w:color w:val="auto"/>
                <w:highlight w:val="none"/>
              </w:rPr>
            </w:pPr>
            <w:r>
              <w:rPr>
                <w:rFonts w:hint="eastAsia" w:ascii="宋体" w:hAnsi="宋体" w:eastAsia="宋体" w:cs="宋体"/>
                <w:color w:val="auto"/>
                <w:highlight w:val="none"/>
              </w:rPr>
              <w:t>信用信息查询截止时点</w:t>
            </w:r>
          </w:p>
        </w:tc>
        <w:tc>
          <w:tcPr>
            <w:tcW w:w="5027" w:type="dxa"/>
            <w:shd w:val="clear" w:color="auto" w:fill="auto"/>
            <w:vAlign w:val="center"/>
          </w:tcPr>
          <w:p w14:paraId="47162AB6">
            <w:pPr>
              <w:jc w:val="both"/>
              <w:rPr>
                <w:rFonts w:hint="eastAsia" w:ascii="宋体" w:hAnsi="宋体" w:eastAsia="宋体" w:cs="宋体"/>
                <w:color w:val="auto"/>
                <w:highlight w:val="none"/>
              </w:rPr>
            </w:pPr>
            <w:r>
              <w:rPr>
                <w:rFonts w:hint="eastAsia" w:ascii="宋体" w:hAnsi="宋体" w:eastAsia="宋体" w:cs="宋体"/>
                <w:color w:val="auto"/>
                <w:highlight w:val="none"/>
              </w:rPr>
              <w:t>同提交投标文件截止时间</w:t>
            </w:r>
          </w:p>
        </w:tc>
      </w:tr>
      <w:tr w14:paraId="3587CA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0ED23FE">
            <w:pPr>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3063" w:type="dxa"/>
            <w:shd w:val="clear" w:color="auto" w:fill="auto"/>
            <w:vAlign w:val="center"/>
          </w:tcPr>
          <w:p w14:paraId="548AB7D1">
            <w:pPr>
              <w:jc w:val="center"/>
              <w:rPr>
                <w:rFonts w:hint="eastAsia" w:ascii="宋体" w:hAnsi="宋体" w:eastAsia="宋体" w:cs="宋体"/>
                <w:color w:val="auto"/>
                <w:highlight w:val="none"/>
              </w:rPr>
            </w:pPr>
            <w:r>
              <w:rPr>
                <w:rFonts w:hint="eastAsia" w:ascii="宋体" w:hAnsi="宋体" w:eastAsia="宋体" w:cs="宋体"/>
                <w:color w:val="auto"/>
                <w:highlight w:val="none"/>
              </w:rPr>
              <w:t>开标形式</w:t>
            </w:r>
          </w:p>
        </w:tc>
        <w:tc>
          <w:tcPr>
            <w:tcW w:w="5027" w:type="dxa"/>
            <w:shd w:val="clear" w:color="auto" w:fill="auto"/>
            <w:vAlign w:val="center"/>
          </w:tcPr>
          <w:p w14:paraId="68BAA02B">
            <w:pPr>
              <w:jc w:val="both"/>
              <w:rPr>
                <w:rFonts w:hint="eastAsia" w:ascii="宋体" w:hAnsi="宋体" w:eastAsia="宋体" w:cs="宋体"/>
                <w:color w:val="auto"/>
                <w:highlight w:val="none"/>
              </w:rPr>
            </w:pPr>
            <w:sdt>
              <w:sdtPr>
                <w:rPr>
                  <w:rFonts w:hint="eastAsia" w:ascii="宋体" w:hAnsi="宋体" w:eastAsia="宋体" w:cs="宋体"/>
                  <w:color w:val="auto"/>
                  <w:highlight w:val="none"/>
                </w:rPr>
                <w:id w:val="1077786224"/>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 xml:space="preserve">不见面开标  </w:t>
            </w:r>
            <w:sdt>
              <w:sdtPr>
                <w:rPr>
                  <w:rFonts w:hint="eastAsia" w:ascii="宋体" w:hAnsi="宋体" w:eastAsia="宋体" w:cs="宋体"/>
                  <w:color w:val="auto"/>
                  <w:highlight w:val="none"/>
                </w:rPr>
                <w:id w:val="1553575034"/>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见面开标</w:t>
            </w:r>
          </w:p>
          <w:p w14:paraId="5A9F8A41">
            <w:pPr>
              <w:jc w:val="both"/>
              <w:rPr>
                <w:rFonts w:hint="eastAsia" w:ascii="宋体" w:hAnsi="宋体" w:eastAsia="宋体" w:cs="宋体"/>
                <w:color w:val="auto"/>
                <w:highlight w:val="none"/>
              </w:rPr>
            </w:pPr>
            <w:r>
              <w:rPr>
                <w:rFonts w:hint="eastAsia" w:ascii="宋体" w:hAnsi="宋体" w:eastAsia="宋体" w:cs="宋体"/>
                <w:color w:val="auto"/>
                <w:highlight w:val="none"/>
              </w:rPr>
              <w:t>详见本章“开标程序”有关内容。</w:t>
            </w:r>
          </w:p>
        </w:tc>
      </w:tr>
      <w:tr w14:paraId="123E8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56C0B96">
            <w:pPr>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3063" w:type="dxa"/>
            <w:shd w:val="clear" w:color="auto" w:fill="auto"/>
            <w:vAlign w:val="center"/>
          </w:tcPr>
          <w:p w14:paraId="0D05483F">
            <w:pPr>
              <w:jc w:val="center"/>
              <w:rPr>
                <w:rFonts w:hint="eastAsia" w:ascii="宋体" w:hAnsi="宋体" w:eastAsia="宋体" w:cs="宋体"/>
                <w:color w:val="auto"/>
                <w:highlight w:val="none"/>
              </w:rPr>
            </w:pPr>
            <w:r>
              <w:rPr>
                <w:rFonts w:hint="eastAsia" w:ascii="宋体" w:hAnsi="宋体" w:eastAsia="宋体" w:cs="宋体"/>
                <w:color w:val="auto"/>
                <w:highlight w:val="none"/>
              </w:rPr>
              <w:t>是否允许递交多个备选投标方案</w:t>
            </w:r>
          </w:p>
        </w:tc>
        <w:tc>
          <w:tcPr>
            <w:tcW w:w="5027" w:type="dxa"/>
            <w:shd w:val="clear" w:color="auto" w:fill="auto"/>
            <w:vAlign w:val="center"/>
          </w:tcPr>
          <w:p w14:paraId="1EB148B1">
            <w:pPr>
              <w:jc w:val="both"/>
              <w:rPr>
                <w:rFonts w:hint="eastAsia" w:ascii="宋体" w:hAnsi="宋体" w:eastAsia="宋体" w:cs="宋体"/>
                <w:color w:val="auto"/>
                <w:highlight w:val="none"/>
              </w:rPr>
            </w:pPr>
            <w:sdt>
              <w:sdtPr>
                <w:rPr>
                  <w:rFonts w:hint="eastAsia" w:ascii="宋体" w:hAnsi="宋体" w:eastAsia="宋体" w:cs="宋体"/>
                  <w:color w:val="auto"/>
                  <w:highlight w:val="none"/>
                </w:rPr>
                <w:id w:val="1608857843"/>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 xml:space="preserve">是  </w:t>
            </w:r>
            <w:sdt>
              <w:sdtPr>
                <w:rPr>
                  <w:rFonts w:hint="eastAsia" w:ascii="宋体" w:hAnsi="宋体" w:eastAsia="宋体" w:cs="宋体"/>
                  <w:color w:val="auto"/>
                  <w:highlight w:val="none"/>
                </w:rPr>
                <w:id w:val="618331253"/>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p>
        </w:tc>
      </w:tr>
      <w:tr w14:paraId="08FD07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352E641">
            <w:pPr>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3063" w:type="dxa"/>
            <w:shd w:val="clear" w:color="auto" w:fill="auto"/>
            <w:vAlign w:val="center"/>
          </w:tcPr>
          <w:p w14:paraId="1E58077C">
            <w:pPr>
              <w:jc w:val="center"/>
              <w:rPr>
                <w:rFonts w:hint="eastAsia" w:ascii="宋体" w:hAnsi="宋体" w:eastAsia="宋体" w:cs="宋体"/>
                <w:color w:val="auto"/>
                <w:highlight w:val="none"/>
              </w:rPr>
            </w:pPr>
            <w:r>
              <w:rPr>
                <w:rFonts w:hint="eastAsia" w:ascii="宋体" w:hAnsi="宋体" w:eastAsia="宋体" w:cs="宋体"/>
                <w:color w:val="auto"/>
                <w:highlight w:val="none"/>
              </w:rPr>
              <w:t>中标通知书</w:t>
            </w:r>
          </w:p>
        </w:tc>
        <w:tc>
          <w:tcPr>
            <w:tcW w:w="5027" w:type="dxa"/>
            <w:shd w:val="clear" w:color="auto" w:fill="auto"/>
            <w:vAlign w:val="center"/>
          </w:tcPr>
          <w:p w14:paraId="3223D88C">
            <w:pPr>
              <w:jc w:val="both"/>
              <w:rPr>
                <w:rFonts w:hint="eastAsia" w:ascii="宋体" w:hAnsi="宋体" w:eastAsia="宋体" w:cs="宋体"/>
                <w:color w:val="auto"/>
                <w:highlight w:val="none"/>
              </w:rPr>
            </w:pPr>
            <w:r>
              <w:rPr>
                <w:rFonts w:hint="eastAsia" w:ascii="宋体" w:hAnsi="宋体" w:eastAsia="宋体" w:cs="宋体"/>
                <w:color w:val="auto"/>
                <w:highlight w:val="none"/>
              </w:rPr>
              <w:t>1．领取地点：西安市高新区唐延路旺座现代城C座25楼2504</w:t>
            </w:r>
          </w:p>
          <w:p w14:paraId="24373BB1">
            <w:pPr>
              <w:jc w:val="both"/>
              <w:rPr>
                <w:rFonts w:hint="eastAsia" w:ascii="宋体" w:hAnsi="宋体" w:eastAsia="宋体" w:cs="宋体"/>
                <w:color w:val="auto"/>
                <w:highlight w:val="none"/>
              </w:rPr>
            </w:pPr>
            <w:r>
              <w:rPr>
                <w:rFonts w:hint="eastAsia" w:ascii="宋体" w:hAnsi="宋体" w:eastAsia="宋体" w:cs="宋体"/>
                <w:color w:val="auto"/>
                <w:highlight w:val="none"/>
              </w:rPr>
              <w:t>2．联系电话：029-88319689-8007</w:t>
            </w:r>
          </w:p>
          <w:p w14:paraId="75F9BE0E">
            <w:pPr>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3．联系人：张刘艳 张航波 郝思思 王增辉 </w:t>
            </w:r>
          </w:p>
        </w:tc>
      </w:tr>
      <w:tr w14:paraId="31C96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E0B7537">
            <w:pPr>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3063" w:type="dxa"/>
            <w:shd w:val="clear" w:color="auto" w:fill="auto"/>
            <w:vAlign w:val="center"/>
          </w:tcPr>
          <w:p w14:paraId="489CB8D0">
            <w:pPr>
              <w:jc w:val="center"/>
              <w:rPr>
                <w:rFonts w:hint="eastAsia" w:ascii="宋体" w:hAnsi="宋体" w:eastAsia="宋体" w:cs="宋体"/>
                <w:color w:val="auto"/>
                <w:highlight w:val="none"/>
              </w:rPr>
            </w:pPr>
            <w:r>
              <w:rPr>
                <w:rFonts w:hint="eastAsia" w:ascii="宋体" w:hAnsi="宋体" w:eastAsia="宋体" w:cs="宋体"/>
                <w:color w:val="auto"/>
                <w:highlight w:val="none"/>
              </w:rPr>
              <w:t>西安市公共资源交易中心电子化政府采购系统技术支持（软件开发商）</w:t>
            </w:r>
          </w:p>
        </w:tc>
        <w:tc>
          <w:tcPr>
            <w:tcW w:w="5027" w:type="dxa"/>
            <w:shd w:val="clear" w:color="auto" w:fill="auto"/>
            <w:vAlign w:val="center"/>
          </w:tcPr>
          <w:p w14:paraId="3F6AEAE4">
            <w:pPr>
              <w:jc w:val="both"/>
              <w:rPr>
                <w:rFonts w:hint="eastAsia" w:ascii="宋体" w:hAnsi="宋体" w:eastAsia="宋体" w:cs="宋体"/>
                <w:color w:val="auto"/>
                <w:highlight w:val="none"/>
              </w:rPr>
            </w:pPr>
            <w:r>
              <w:rPr>
                <w:rFonts w:hint="eastAsia" w:ascii="宋体" w:hAnsi="宋体" w:eastAsia="宋体" w:cs="宋体"/>
                <w:color w:val="auto"/>
                <w:highlight w:val="none"/>
              </w:rPr>
              <w:t>国泰新点软件股份有限公司</w:t>
            </w:r>
          </w:p>
          <w:p w14:paraId="03C1F2D1">
            <w:pPr>
              <w:rPr>
                <w:rFonts w:hint="eastAsia" w:ascii="宋体" w:hAnsi="宋体" w:eastAsia="宋体" w:cs="宋体"/>
                <w:color w:val="auto"/>
                <w:highlight w:val="none"/>
              </w:rPr>
            </w:pPr>
            <w:r>
              <w:rPr>
                <w:rFonts w:hint="eastAsia" w:ascii="宋体" w:hAnsi="宋体" w:eastAsia="宋体" w:cs="宋体"/>
                <w:color w:val="auto"/>
                <w:highlight w:val="none"/>
              </w:rPr>
              <w:t>1．技术支持热线：400-998-0000/400-928-0095</w:t>
            </w:r>
          </w:p>
          <w:p w14:paraId="428CE211">
            <w:pPr>
              <w:rPr>
                <w:rFonts w:hint="eastAsia" w:ascii="宋体" w:hAnsi="宋体" w:eastAsia="宋体" w:cs="宋体"/>
                <w:color w:val="auto"/>
                <w:highlight w:val="none"/>
              </w:rPr>
            </w:pPr>
            <w:r>
              <w:rPr>
                <w:rFonts w:hint="eastAsia" w:ascii="宋体" w:hAnsi="宋体" w:eastAsia="宋体" w:cs="宋体"/>
                <w:color w:val="auto"/>
                <w:highlight w:val="none"/>
              </w:rPr>
              <w:t>2．驻场技术人员：029-86510166/86510167转80310</w:t>
            </w:r>
          </w:p>
        </w:tc>
      </w:tr>
      <w:tr w14:paraId="239BE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71EEF36">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3063" w:type="dxa"/>
            <w:shd w:val="clear" w:color="auto" w:fill="auto"/>
            <w:vAlign w:val="center"/>
          </w:tcPr>
          <w:p w14:paraId="18CB9C86">
            <w:pPr>
              <w:jc w:val="center"/>
              <w:rPr>
                <w:rFonts w:hint="eastAsia" w:ascii="宋体" w:hAnsi="宋体" w:eastAsia="宋体" w:cs="宋体"/>
                <w:color w:val="auto"/>
                <w:highlight w:val="none"/>
              </w:rPr>
            </w:pPr>
            <w:r>
              <w:rPr>
                <w:rFonts w:hint="eastAsia" w:ascii="宋体" w:hAnsi="宋体" w:eastAsia="宋体" w:cs="宋体"/>
                <w:color w:val="auto"/>
                <w:highlight w:val="none"/>
              </w:rPr>
              <w:t>CA业务网点</w:t>
            </w:r>
          </w:p>
        </w:tc>
        <w:tc>
          <w:tcPr>
            <w:tcW w:w="5027" w:type="dxa"/>
            <w:shd w:val="clear" w:color="auto" w:fill="auto"/>
            <w:vAlign w:val="center"/>
          </w:tcPr>
          <w:p w14:paraId="5640731B">
            <w:pPr>
              <w:jc w:val="both"/>
              <w:rPr>
                <w:rFonts w:hint="eastAsia" w:ascii="宋体" w:hAnsi="宋体" w:eastAsia="宋体" w:cs="宋体"/>
                <w:color w:val="auto"/>
                <w:highlight w:val="none"/>
              </w:rPr>
            </w:pPr>
            <w:r>
              <w:rPr>
                <w:rFonts w:hint="eastAsia" w:ascii="宋体" w:hAnsi="宋体" w:eastAsia="宋体" w:cs="宋体"/>
                <w:color w:val="auto"/>
                <w:highlight w:val="none"/>
              </w:rPr>
              <w:t>陕西省数字证书认证中心股份有限公司</w:t>
            </w:r>
          </w:p>
          <w:p w14:paraId="018CB605">
            <w:pPr>
              <w:jc w:val="both"/>
              <w:rPr>
                <w:rFonts w:hint="eastAsia" w:ascii="宋体" w:hAnsi="宋体" w:eastAsia="宋体" w:cs="宋体"/>
                <w:color w:val="auto"/>
                <w:highlight w:val="none"/>
              </w:rPr>
            </w:pPr>
            <w:r>
              <w:rPr>
                <w:rFonts w:hint="eastAsia" w:ascii="宋体" w:hAnsi="宋体" w:eastAsia="宋体" w:cs="宋体"/>
                <w:color w:val="auto"/>
                <w:highlight w:val="none"/>
              </w:rPr>
              <w:t>网点1：西安市高新三路信息港大厦1楼客服中心</w:t>
            </w:r>
          </w:p>
          <w:p w14:paraId="0E2F7DD0">
            <w:pPr>
              <w:jc w:val="both"/>
              <w:rPr>
                <w:rFonts w:hint="eastAsia" w:ascii="宋体" w:hAnsi="宋体" w:eastAsia="宋体" w:cs="宋体"/>
                <w:color w:val="auto"/>
                <w:highlight w:val="none"/>
              </w:rPr>
            </w:pPr>
            <w:r>
              <w:rPr>
                <w:rFonts w:hint="eastAsia" w:ascii="宋体" w:hAnsi="宋体" w:eastAsia="宋体" w:cs="宋体"/>
                <w:color w:val="auto"/>
                <w:highlight w:val="none"/>
              </w:rPr>
              <w:t>客服电话：4006-369-888</w:t>
            </w:r>
          </w:p>
          <w:p w14:paraId="4EFA5D8B">
            <w:pPr>
              <w:jc w:val="both"/>
              <w:rPr>
                <w:rFonts w:hint="eastAsia" w:ascii="宋体" w:hAnsi="宋体" w:eastAsia="宋体" w:cs="宋体"/>
                <w:color w:val="auto"/>
                <w:highlight w:val="none"/>
              </w:rPr>
            </w:pPr>
            <w:r>
              <w:rPr>
                <w:rFonts w:hint="eastAsia" w:ascii="宋体" w:hAnsi="宋体" w:eastAsia="宋体" w:cs="宋体"/>
                <w:color w:val="auto"/>
                <w:highlight w:val="none"/>
              </w:rPr>
              <w:t>网点2：西安市长安北路14号省体育公寓B座一楼</w:t>
            </w:r>
          </w:p>
          <w:p w14:paraId="75E37FB0">
            <w:pPr>
              <w:jc w:val="both"/>
              <w:rPr>
                <w:rFonts w:hint="eastAsia" w:ascii="宋体" w:hAnsi="宋体" w:eastAsia="宋体" w:cs="宋体"/>
                <w:color w:val="auto"/>
                <w:highlight w:val="none"/>
              </w:rPr>
            </w:pPr>
            <w:r>
              <w:rPr>
                <w:rFonts w:hint="eastAsia" w:ascii="宋体" w:hAnsi="宋体" w:eastAsia="宋体" w:cs="宋体"/>
                <w:color w:val="auto"/>
                <w:highlight w:val="none"/>
              </w:rPr>
              <w:t>咨询电话：029-88661241</w:t>
            </w:r>
          </w:p>
          <w:p w14:paraId="33A67188">
            <w:pPr>
              <w:jc w:val="both"/>
              <w:rPr>
                <w:rFonts w:hint="eastAsia" w:ascii="宋体" w:hAnsi="宋体" w:eastAsia="宋体" w:cs="宋体"/>
                <w:color w:val="auto"/>
                <w:highlight w:val="none"/>
              </w:rPr>
            </w:pPr>
            <w:r>
              <w:rPr>
                <w:rFonts w:hint="eastAsia" w:ascii="宋体" w:hAnsi="宋体" w:eastAsia="宋体" w:cs="宋体"/>
                <w:color w:val="auto"/>
                <w:highlight w:val="none"/>
              </w:rPr>
              <w:t>网点3：西安市文景北路16号白桦林国际B座2楼11#窗口</w:t>
            </w:r>
          </w:p>
          <w:p w14:paraId="135E4C25">
            <w:pPr>
              <w:jc w:val="both"/>
              <w:rPr>
                <w:rFonts w:hint="eastAsia" w:ascii="宋体" w:hAnsi="宋体" w:eastAsia="宋体" w:cs="宋体"/>
                <w:color w:val="auto"/>
                <w:highlight w:val="none"/>
              </w:rPr>
            </w:pPr>
            <w:r>
              <w:rPr>
                <w:rFonts w:hint="eastAsia" w:ascii="宋体" w:hAnsi="宋体" w:eastAsia="宋体" w:cs="宋体"/>
                <w:color w:val="auto"/>
                <w:highlight w:val="none"/>
              </w:rPr>
              <w:t>咨询电话：029-86510073转80211</w:t>
            </w:r>
          </w:p>
        </w:tc>
      </w:tr>
      <w:tr w14:paraId="574AB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E804BA8">
            <w:pPr>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3063" w:type="dxa"/>
            <w:shd w:val="clear" w:color="auto" w:fill="auto"/>
            <w:vAlign w:val="center"/>
          </w:tcPr>
          <w:p w14:paraId="0AE32761">
            <w:pPr>
              <w:jc w:val="center"/>
              <w:rPr>
                <w:rFonts w:hint="eastAsia" w:ascii="宋体" w:hAnsi="宋体" w:eastAsia="宋体" w:cs="宋体"/>
                <w:color w:val="auto"/>
                <w:highlight w:val="none"/>
              </w:rPr>
            </w:pPr>
            <w:r>
              <w:rPr>
                <w:rFonts w:hint="eastAsia" w:ascii="宋体" w:hAnsi="宋体" w:eastAsia="宋体" w:cs="宋体"/>
                <w:color w:val="auto"/>
                <w:highlight w:val="none"/>
              </w:rPr>
              <w:t>本项目所属行业</w:t>
            </w:r>
          </w:p>
        </w:tc>
        <w:tc>
          <w:tcPr>
            <w:tcW w:w="5027" w:type="dxa"/>
            <w:shd w:val="clear" w:color="auto" w:fill="auto"/>
            <w:vAlign w:val="center"/>
          </w:tcPr>
          <w:p w14:paraId="476A6252">
            <w:pPr>
              <w:jc w:val="both"/>
              <w:rPr>
                <w:rFonts w:hint="eastAsia" w:ascii="宋体" w:hAnsi="宋体" w:eastAsia="宋体" w:cs="宋体"/>
                <w:color w:val="auto"/>
                <w:highlight w:val="none"/>
              </w:rPr>
            </w:pPr>
            <w:r>
              <w:rPr>
                <w:rFonts w:hint="eastAsia" w:ascii="宋体" w:hAnsi="宋体" w:eastAsia="宋体" w:cs="宋体"/>
                <w:color w:val="auto"/>
                <w:highlight w:val="none"/>
              </w:rPr>
              <w:t>其他未列明行业</w:t>
            </w:r>
          </w:p>
        </w:tc>
      </w:tr>
      <w:tr w14:paraId="31BBAD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7AD4E6D">
            <w:pPr>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3063" w:type="dxa"/>
            <w:shd w:val="clear" w:color="auto" w:fill="auto"/>
            <w:vAlign w:val="center"/>
          </w:tcPr>
          <w:p w14:paraId="7EA6AB92">
            <w:pPr>
              <w:jc w:val="center"/>
              <w:rPr>
                <w:rFonts w:hint="eastAsia" w:ascii="宋体" w:hAnsi="宋体" w:eastAsia="宋体" w:cs="宋体"/>
                <w:color w:val="auto"/>
                <w:highlight w:val="none"/>
              </w:rPr>
            </w:pPr>
            <w:r>
              <w:rPr>
                <w:rFonts w:hint="eastAsia" w:ascii="宋体" w:hAnsi="宋体" w:eastAsia="宋体" w:cs="宋体"/>
                <w:color w:val="auto"/>
                <w:highlight w:val="none"/>
              </w:rPr>
              <w:t>代理服务费</w:t>
            </w:r>
          </w:p>
        </w:tc>
        <w:tc>
          <w:tcPr>
            <w:tcW w:w="5027" w:type="dxa"/>
            <w:shd w:val="clear" w:color="auto" w:fill="auto"/>
            <w:vAlign w:val="center"/>
          </w:tcPr>
          <w:p w14:paraId="5B110988">
            <w:pPr>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代理服务费参照国家计委关于印发《招标代理服务收费管理暂行办法的通知》（计价格[2002]1980 号）的规定收取，服务费不足6000元的按6000元收取。由中标人在领取中标通知书时向代理机构缴纳代理服务费。 </w:t>
            </w:r>
          </w:p>
          <w:p w14:paraId="37A78C3C">
            <w:pPr>
              <w:jc w:val="both"/>
              <w:rPr>
                <w:rFonts w:hint="eastAsia" w:ascii="宋体" w:hAnsi="宋体" w:eastAsia="宋体" w:cs="宋体"/>
                <w:color w:val="auto"/>
                <w:highlight w:val="none"/>
              </w:rPr>
            </w:pPr>
            <w:r>
              <w:rPr>
                <w:rFonts w:hint="eastAsia" w:ascii="宋体" w:hAnsi="宋体" w:eastAsia="宋体" w:cs="宋体"/>
                <w:color w:val="auto"/>
                <w:highlight w:val="none"/>
              </w:rPr>
              <w:t>供应商将招标代理服务费计入投标报价但不单独列明，中标单位在领取中标通知书前，须向采购代理机构一次性支付招标代理服务费；代理服务费以转账、电汇或现金等形式交纳</w:t>
            </w:r>
          </w:p>
        </w:tc>
      </w:tr>
      <w:tr w14:paraId="7514E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809EFD9">
            <w:pPr>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3063" w:type="dxa"/>
            <w:shd w:val="clear" w:color="auto" w:fill="auto"/>
            <w:vAlign w:val="center"/>
          </w:tcPr>
          <w:p w14:paraId="00431547">
            <w:pPr>
              <w:jc w:val="center"/>
              <w:rPr>
                <w:rFonts w:hint="eastAsia" w:ascii="宋体" w:hAnsi="宋体" w:eastAsia="宋体" w:cs="宋体"/>
                <w:color w:val="auto"/>
                <w:highlight w:val="none"/>
              </w:rPr>
            </w:pPr>
            <w:r>
              <w:rPr>
                <w:rFonts w:hint="eastAsia" w:ascii="宋体" w:hAnsi="宋体" w:eastAsia="宋体" w:cs="宋体"/>
                <w:color w:val="auto"/>
                <w:highlight w:val="none"/>
              </w:rPr>
              <w:t>弃标须知</w:t>
            </w:r>
          </w:p>
        </w:tc>
        <w:tc>
          <w:tcPr>
            <w:tcW w:w="5027" w:type="dxa"/>
            <w:shd w:val="clear" w:color="auto" w:fill="auto"/>
            <w:vAlign w:val="center"/>
          </w:tcPr>
          <w:p w14:paraId="2893F62C">
            <w:pPr>
              <w:jc w:val="both"/>
              <w:rPr>
                <w:rFonts w:hint="eastAsia" w:ascii="宋体" w:hAnsi="宋体" w:cs="宋体"/>
                <w:color w:val="auto"/>
                <w:szCs w:val="21"/>
                <w:highlight w:val="none"/>
              </w:rPr>
            </w:pPr>
            <w:r>
              <w:rPr>
                <w:rFonts w:hint="eastAsia" w:ascii="宋体" w:hAnsi="宋体" w:cs="宋体"/>
                <w:color w:val="auto"/>
                <w:szCs w:val="21"/>
                <w:highlight w:val="none"/>
              </w:rPr>
              <w:t>根据市财函〔2021〕431号文第16条规定：投标人登记免费领取采购文件的，如不参与项目投标，应在递交投标（或响应）文件截止时间前一日以书面形式告知采购代理机构。投标人一年内累计出现三次该情形，将被监管部门记录为失信行为。</w:t>
            </w:r>
          </w:p>
          <w:p w14:paraId="4F57C45C">
            <w:pPr>
              <w:jc w:val="both"/>
              <w:rPr>
                <w:rFonts w:hint="eastAsia" w:ascii="宋体" w:hAnsi="宋体" w:cs="宋体"/>
                <w:color w:val="auto"/>
                <w:szCs w:val="21"/>
                <w:highlight w:val="none"/>
              </w:rPr>
            </w:pPr>
            <w:r>
              <w:rPr>
                <w:rFonts w:hint="eastAsia" w:ascii="宋体" w:hAnsi="宋体" w:cs="宋体"/>
                <w:color w:val="auto"/>
                <w:szCs w:val="21"/>
                <w:highlight w:val="none"/>
              </w:rPr>
              <w:t>报名下载文件后如放弃参加项目请发送弃标函至sxwzzb123@163.com</w:t>
            </w:r>
          </w:p>
        </w:tc>
      </w:tr>
    </w:tbl>
    <w:p w14:paraId="3DB51E7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85D9EB4">
      <w:pPr>
        <w:pStyle w:val="4"/>
        <w:rPr>
          <w:rFonts w:hint="eastAsia" w:ascii="宋体" w:hAnsi="宋体" w:eastAsia="宋体" w:cs="宋体"/>
          <w:color w:val="auto"/>
          <w:sz w:val="28"/>
          <w:szCs w:val="28"/>
          <w:highlight w:val="none"/>
        </w:rPr>
      </w:pPr>
      <w:bookmarkStart w:id="12" w:name="_Toc16336"/>
      <w:r>
        <w:rPr>
          <w:rFonts w:hint="eastAsia" w:ascii="宋体" w:hAnsi="宋体" w:eastAsia="宋体" w:cs="宋体"/>
          <w:color w:val="auto"/>
          <w:sz w:val="28"/>
          <w:szCs w:val="28"/>
          <w:highlight w:val="none"/>
        </w:rPr>
        <w:t>一、有关定义</w:t>
      </w:r>
      <w:bookmarkEnd w:id="12"/>
    </w:p>
    <w:p w14:paraId="6A9E4E6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1．采购人：依法进行政府采购的西安市市级机关、事业单位或团体组织。</w:t>
      </w:r>
    </w:p>
    <w:p w14:paraId="5633D98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2．供应商：指向采购人提供货物、工程或者服务的法人、其他组织或者自然人。</w:t>
      </w:r>
    </w:p>
    <w:p w14:paraId="1E2C1A4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3．同级政府采购监管部门：西安市财政局政府采购管理处。</w:t>
      </w:r>
    </w:p>
    <w:p w14:paraId="1CF81B23">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4．西安市公共资源交易平台：即【全国公共资源交易平台（陕西省·西安市）】的简称，官网地址</w:t>
      </w:r>
      <w:r>
        <w:rPr>
          <w:rFonts w:hint="eastAsia"/>
          <w:color w:val="auto"/>
          <w:highlight w:val="none"/>
        </w:rPr>
        <w:fldChar w:fldCharType="begin"/>
      </w:r>
      <w:r>
        <w:rPr>
          <w:color w:val="auto"/>
          <w:highlight w:val="none"/>
        </w:rPr>
        <w:instrText xml:space="preserve"> HYPERLINK "http://sxggzyjy.xa.gov.cn/" </w:instrText>
      </w:r>
      <w:r>
        <w:rPr>
          <w:rFonts w:hint="eastAsia"/>
          <w:color w:val="auto"/>
          <w:highlight w:val="none"/>
        </w:rPr>
        <w:fldChar w:fldCharType="separate"/>
      </w:r>
      <w:r>
        <w:rPr>
          <w:rStyle w:val="40"/>
          <w:rFonts w:hint="eastAsia" w:ascii="宋体" w:hAnsi="宋体" w:eastAsia="宋体" w:cs="宋体"/>
          <w:color w:val="auto"/>
          <w:sz w:val="28"/>
          <w:szCs w:val="28"/>
          <w:highlight w:val="none"/>
          <w:u w:val="none"/>
        </w:rPr>
        <w:t>http://sxggzyjy.xa.gov.cn/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w:t>
      </w:r>
    </w:p>
    <w:p w14:paraId="7535DA4A">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5．企业端：指西安市公共资源交易平台〖首页·〉电子交易平台·〉陕西政府采购交易系统·〉企业端〗，快捷登录网址</w:t>
      </w:r>
      <w:r>
        <w:rPr>
          <w:color w:val="auto"/>
          <w:highlight w:val="none"/>
        </w:rPr>
        <w:fldChar w:fldCharType="begin"/>
      </w:r>
      <w:r>
        <w:rPr>
          <w:color w:val="auto"/>
          <w:highlight w:val="none"/>
        </w:rPr>
        <w:instrText xml:space="preserve"> HYPERLINK "http://www.sxggzyjy.cn:9002/TPBidder/memberLogin" </w:instrText>
      </w:r>
      <w:r>
        <w:rPr>
          <w:color w:val="auto"/>
          <w:highlight w:val="none"/>
        </w:rPr>
        <w:fldChar w:fldCharType="separate"/>
      </w:r>
      <w:r>
        <w:rPr>
          <w:rStyle w:val="40"/>
          <w:rFonts w:hint="eastAsia" w:ascii="宋体" w:hAnsi="宋体" w:eastAsia="宋体" w:cs="宋体"/>
          <w:color w:val="auto"/>
          <w:sz w:val="28"/>
          <w:szCs w:val="28"/>
          <w:highlight w:val="none"/>
          <w:u w:val="none"/>
        </w:rPr>
        <w:t>http://www.sxggzyjy.cn:9002/TPBidder/memberLogin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w:t>
      </w:r>
    </w:p>
    <w:p w14:paraId="2E043B26">
      <w:pPr>
        <w:pStyle w:val="4"/>
        <w:rPr>
          <w:rFonts w:hint="eastAsia" w:ascii="宋体" w:hAnsi="宋体" w:eastAsia="宋体" w:cs="宋体"/>
          <w:color w:val="auto"/>
          <w:sz w:val="28"/>
          <w:szCs w:val="28"/>
          <w:highlight w:val="none"/>
        </w:rPr>
      </w:pPr>
      <w:bookmarkStart w:id="13" w:name="_Toc16268"/>
      <w:r>
        <w:rPr>
          <w:rFonts w:hint="eastAsia" w:ascii="宋体" w:hAnsi="宋体" w:eastAsia="宋体" w:cs="宋体"/>
          <w:color w:val="auto"/>
          <w:sz w:val="28"/>
          <w:szCs w:val="28"/>
          <w:highlight w:val="none"/>
        </w:rPr>
        <w:t>二、供应商注意事项</w:t>
      </w:r>
      <w:bookmarkEnd w:id="13"/>
    </w:p>
    <w:p w14:paraId="735DFACA">
      <w:pPr>
        <w:pStyle w:val="101"/>
        <w:spacing w:before="197" w:after="197"/>
        <w:ind w:firstLine="579"/>
        <w:outlineLvl w:val="3"/>
        <w:rPr>
          <w:rFonts w:hint="eastAsia" w:ascii="宋体" w:hAnsi="宋体" w:eastAsia="宋体" w:cs="宋体"/>
          <w:color w:val="auto"/>
          <w:sz w:val="28"/>
          <w:szCs w:val="28"/>
          <w:highlight w:val="none"/>
        </w:rPr>
      </w:pPr>
      <w:bookmarkStart w:id="14" w:name="_Toc25278"/>
      <w:bookmarkStart w:id="15" w:name="_Toc14756"/>
      <w:bookmarkStart w:id="16" w:name="_Toc8868"/>
      <w:r>
        <w:rPr>
          <w:rFonts w:hint="eastAsia" w:ascii="宋体" w:hAnsi="宋体" w:eastAsia="宋体" w:cs="宋体"/>
          <w:color w:val="auto"/>
          <w:sz w:val="28"/>
          <w:szCs w:val="28"/>
          <w:highlight w:val="none"/>
        </w:rPr>
        <w:t>（一）供应商投标流程</w:t>
      </w:r>
      <w:bookmarkEnd w:id="14"/>
      <w:bookmarkEnd w:id="15"/>
      <w:bookmarkEnd w:id="16"/>
    </w:p>
    <w:p w14:paraId="776B1D5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使用电子交易系统的采购项目（即线上项目），将同时提供WORD\PDF格式（仅用于预览）和SXSZF格式（用于制作电子投标文件）两个版本，文件内容一致。</w:t>
      </w:r>
    </w:p>
    <w:p w14:paraId="6351FD3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1．预览采购文件：打开西安市公共资源交易平台〖首页·〉交易大厅·〉政府采购〗栏目，下载和阅读本项目采购文件的预览版本（WORD\PDF格式）；</w:t>
      </w:r>
    </w:p>
    <w:p w14:paraId="5B6BA94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2．办理注册登记（针对初次使用电子交易系统的用户）：</w:t>
      </w:r>
    </w:p>
    <w:p w14:paraId="4C4AE10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（1）办理诚信入库注册：在决定参加本项目采购活动后，供应商应先在西安市公共资源交易平台上完成“诚信入库登记”；</w:t>
      </w:r>
    </w:p>
    <w:p w14:paraId="6FA71B7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78D562DE">
      <w:pPr>
        <w:widowControl w:val="0"/>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办理须知：</w:t>
      </w:r>
    </w:p>
    <w:p w14:paraId="2D3ED928">
      <w:pPr>
        <w:widowControl w:val="0"/>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http://</w:t>
      </w:r>
      <w:r>
        <w:rPr>
          <w:color w:val="auto"/>
          <w:highlight w:val="none"/>
        </w:rPr>
        <w:fldChar w:fldCharType="begin"/>
      </w:r>
      <w:r>
        <w:rPr>
          <w:color w:val="auto"/>
          <w:highlight w:val="none"/>
        </w:rPr>
        <w:instrText xml:space="preserve"> HYPERLINK "http://www.snca.com.cn/channel/show/27.html" </w:instrText>
      </w:r>
      <w:r>
        <w:rPr>
          <w:color w:val="auto"/>
          <w:highlight w:val="none"/>
        </w:rPr>
        <w:fldChar w:fldCharType="separate"/>
      </w:r>
      <w:r>
        <w:rPr>
          <w:rStyle w:val="40"/>
          <w:rFonts w:hint="eastAsia" w:ascii="宋体" w:hAnsi="宋体" w:eastAsia="宋体" w:cs="宋体"/>
          <w:color w:val="auto"/>
          <w:sz w:val="28"/>
          <w:szCs w:val="28"/>
          <w:highlight w:val="none"/>
          <w:u w:val="none"/>
        </w:rPr>
        <w:t>www.snca.com.cn/channel/show/27.html</w:t>
      </w:r>
      <w:r>
        <w:rPr>
          <w:rStyle w:val="40"/>
          <w:rFonts w:hint="eastAsia" w:ascii="宋体" w:hAnsi="宋体" w:eastAsia="宋体" w:cs="宋体"/>
          <w:color w:val="auto"/>
          <w:sz w:val="28"/>
          <w:szCs w:val="28"/>
          <w:highlight w:val="none"/>
          <w:u w:val="none"/>
        </w:rPr>
        <w:fldChar w:fldCharType="end"/>
      </w:r>
    </w:p>
    <w:p w14:paraId="5F1DACC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（3）绑定和激活CA：将数字证书与诚信库中的供应商账户进行绑定。</w:t>
      </w:r>
    </w:p>
    <w:p w14:paraId="1079E83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FCE8057">
      <w:pPr>
        <w:spacing w:line="560" w:lineRule="exact"/>
        <w:ind w:firstLine="576"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4．制作电子投标文件：需要使用专用制作软件“新点投标文件制作软件（陕西公共资源）”进行编制，编制完成后使用CA锁对电子投标文件进行签章、加密。详见本章中的“投标文件”相关内容。</w:t>
      </w:r>
    </w:p>
    <w:p w14:paraId="201E54D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5．提交电子投标文件：在提交投标文件截止时间前及时提交加密后电子投标文件，逾期提交的，系统将会拒收；</w:t>
      </w:r>
    </w:p>
    <w:p w14:paraId="46A9574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698722B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7．等待专家评审：评审期间，可能需要对评审专家提出的问题进行澄清或答复。在主持人宣布评审结束前，供应商请勿擅自离席，否则由此造成的不利后果，由供应商自行承担。</w:t>
      </w:r>
    </w:p>
    <w:p w14:paraId="004B254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8．中标供应商注册：按照陕西省政府采购监管部门的要求，采购代理机构在发布中标公告前，应由中标供应商在陕西省政府采购网上完成注册。</w:t>
      </w:r>
    </w:p>
    <w:p w14:paraId="5DE24FD0">
      <w:pPr>
        <w:pStyle w:val="101"/>
        <w:spacing w:before="197" w:after="197"/>
        <w:ind w:firstLine="579"/>
        <w:outlineLvl w:val="3"/>
        <w:rPr>
          <w:rFonts w:hint="eastAsia" w:ascii="宋体" w:hAnsi="宋体" w:eastAsia="宋体" w:cs="宋体"/>
          <w:color w:val="auto"/>
          <w:sz w:val="28"/>
          <w:szCs w:val="28"/>
          <w:highlight w:val="none"/>
        </w:rPr>
      </w:pPr>
      <w:bookmarkStart w:id="17" w:name="_Toc2759"/>
      <w:bookmarkStart w:id="18" w:name="_Toc16100"/>
      <w:bookmarkStart w:id="19" w:name="_Toc5831"/>
      <w:r>
        <w:rPr>
          <w:rFonts w:hint="eastAsia" w:ascii="宋体" w:hAnsi="宋体" w:eastAsia="宋体" w:cs="宋体"/>
          <w:color w:val="auto"/>
          <w:sz w:val="28"/>
          <w:szCs w:val="28"/>
          <w:highlight w:val="none"/>
        </w:rPr>
        <w:t>（二）关于询问、质疑和投诉</w:t>
      </w:r>
      <w:bookmarkEnd w:id="17"/>
      <w:bookmarkEnd w:id="18"/>
      <w:bookmarkEnd w:id="19"/>
    </w:p>
    <w:p w14:paraId="4E1CC6CA">
      <w:pPr>
        <w:pStyle w:val="100"/>
        <w:outlineLvl w:val="9"/>
        <w:rPr>
          <w:rFonts w:hint="eastAsia" w:ascii="宋体" w:hAnsi="宋体" w:eastAsia="宋体" w:cs="宋体"/>
          <w:color w:val="auto"/>
          <w:sz w:val="28"/>
          <w:szCs w:val="28"/>
          <w:highlight w:val="none"/>
        </w:rPr>
      </w:pPr>
      <w:bookmarkStart w:id="20" w:name="_Toc15516"/>
      <w:bookmarkStart w:id="21" w:name="_Toc4717"/>
      <w:bookmarkStart w:id="22" w:name="_Toc4510"/>
      <w:r>
        <w:rPr>
          <w:rFonts w:hint="eastAsia" w:ascii="宋体" w:hAnsi="宋体" w:eastAsia="宋体" w:cs="宋体"/>
          <w:color w:val="auto"/>
          <w:sz w:val="28"/>
          <w:szCs w:val="28"/>
          <w:highlight w:val="none"/>
        </w:rPr>
        <w:t>1．询问</w:t>
      </w:r>
      <w:bookmarkEnd w:id="20"/>
      <w:bookmarkEnd w:id="21"/>
      <w:bookmarkEnd w:id="22"/>
    </w:p>
    <w:p w14:paraId="41030EA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供应商对政府采购活动事项有疑问的，可以向采购人或采购代理机构提出询问。采购人或采购代理机构将在3个工作日内对供应商依法提出的询问作出答复。</w:t>
      </w:r>
    </w:p>
    <w:p w14:paraId="2D55B2E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根据采购人和采购代理机构签订的《政府采购委托代理协议》，针对采购需求（包括采购内容、技术或服务要求、商务要求、合同条款、供应商资格条件、评审要素及分值一览表）的询问请向采购人提出。</w:t>
      </w:r>
    </w:p>
    <w:p w14:paraId="4BBDDF8D">
      <w:pPr>
        <w:pStyle w:val="100"/>
        <w:outlineLvl w:val="9"/>
        <w:rPr>
          <w:rFonts w:hint="eastAsia" w:ascii="宋体" w:hAnsi="宋体" w:eastAsia="宋体" w:cs="宋体"/>
          <w:color w:val="auto"/>
          <w:sz w:val="28"/>
          <w:szCs w:val="28"/>
          <w:highlight w:val="none"/>
        </w:rPr>
      </w:pPr>
      <w:bookmarkStart w:id="23" w:name="_Toc31375"/>
      <w:bookmarkStart w:id="24" w:name="_Toc29778"/>
      <w:bookmarkStart w:id="25" w:name="_Toc11622"/>
      <w:r>
        <w:rPr>
          <w:rFonts w:hint="eastAsia" w:ascii="宋体" w:hAnsi="宋体" w:eastAsia="宋体" w:cs="宋体"/>
          <w:color w:val="auto"/>
          <w:sz w:val="28"/>
          <w:szCs w:val="28"/>
          <w:highlight w:val="none"/>
        </w:rPr>
        <w:t>2．质疑</w:t>
      </w:r>
      <w:bookmarkEnd w:id="23"/>
      <w:bookmarkEnd w:id="24"/>
      <w:bookmarkEnd w:id="25"/>
    </w:p>
    <w:p w14:paraId="4E35F99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（1）供应商认为采购文件、采购过程、成交结果使自己的权益受到损害的，可以在知道或应知其权益受到损害之日起7个工作日内以书面形式向采购人、采购代理机构提出。</w:t>
      </w:r>
    </w:p>
    <w:p w14:paraId="07B4053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（2）质疑方式：</w:t>
      </w:r>
    </w:p>
    <w:p w14:paraId="203A060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 在线质疑：</w:t>
      </w:r>
    </w:p>
    <w:p w14:paraId="6D04E5B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登录西安市公共资源交易平台〖首页·〉电子交易平台·〉企业端〗，在〖我的项目〗中点击“项目流程·〉提出质疑”，填写表单并提交质疑。</w:t>
      </w:r>
    </w:p>
    <w:p w14:paraId="6FEEAF9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 书面质疑：</w:t>
      </w:r>
    </w:p>
    <w:p w14:paraId="32D43B8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书面质疑函应按照财政部国库司制定的《政府采购供应商质疑函范本》（见下方链接）进行填写，签字、盖章后提交至采购人、采购代理机构。</w:t>
      </w:r>
    </w:p>
    <w:p w14:paraId="12FBAE7D">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质疑函范本地址：</w:t>
      </w: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40"/>
          <w:rFonts w:hint="eastAsia" w:ascii="宋体" w:hAnsi="宋体" w:eastAsia="宋体" w:cs="宋体"/>
          <w:color w:val="auto"/>
          <w:sz w:val="28"/>
          <w:szCs w:val="28"/>
          <w:highlight w:val="none"/>
          <w:u w:val="none"/>
        </w:rPr>
        <w:t>http://download.ccgp.gov.cn/2018/zhiyihanfanben.zip</w:t>
      </w:r>
      <w:r>
        <w:rPr>
          <w:rStyle w:val="40"/>
          <w:rFonts w:hint="eastAsia" w:ascii="宋体" w:hAnsi="宋体" w:eastAsia="宋体" w:cs="宋体"/>
          <w:color w:val="auto"/>
          <w:sz w:val="28"/>
          <w:szCs w:val="28"/>
          <w:highlight w:val="none"/>
          <w:u w:val="none"/>
        </w:rPr>
        <w:fldChar w:fldCharType="end"/>
      </w:r>
    </w:p>
    <w:p w14:paraId="5C61B71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2BB9EAB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（4）在法定质疑期内，针对同一采购程序环节的质疑应当一次性提出。采购人、采购代理机构将在收到书面质疑后7个工作日内作出答复，并以书面形式通知质疑人和其他有关供应商。</w:t>
      </w:r>
    </w:p>
    <w:p w14:paraId="166E1D8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（5）有下列情形之一的，属于无效质疑：</w:t>
      </w:r>
    </w:p>
    <w:p w14:paraId="196FED4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 对采购文件提出质疑的质疑人不是依法获取采购文件的潜在供应商；对采购过程、中标结果提出质疑的质疑人不是参与本次政府采购项目的供应商；</w:t>
      </w:r>
    </w:p>
    <w:p w14:paraId="75EFAFA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 超过法定期限或未以书面形式提出的；</w:t>
      </w:r>
    </w:p>
    <w:p w14:paraId="0733D16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 缺乏必要的证明材料，或捏造事实、提供虚假材料，或以非法手段取得证明材料的；</w:t>
      </w:r>
    </w:p>
    <w:p w14:paraId="69F5F80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 质疑函没有合法有效的签字、盖章或委托授权书的（代理人提出质疑和投诉，应当提交供应商签署的授权委托书）；</w:t>
      </w:r>
    </w:p>
    <w:p w14:paraId="1C38C53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 针对同一采购程序环节又提出其他质疑事项的，或质疑答复后就同一事项再次提出质疑的；</w:t>
      </w:r>
    </w:p>
    <w:p w14:paraId="48F289F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⑥ 不符合法律法规、规章和政府采购监管机构规定的其他条件的。</w:t>
      </w:r>
    </w:p>
    <w:p w14:paraId="1BA3073F">
      <w:pPr>
        <w:pStyle w:val="100"/>
        <w:outlineLvl w:val="9"/>
        <w:rPr>
          <w:rFonts w:hint="eastAsia" w:ascii="宋体" w:hAnsi="宋体" w:eastAsia="宋体" w:cs="宋体"/>
          <w:color w:val="auto"/>
          <w:sz w:val="28"/>
          <w:szCs w:val="28"/>
          <w:highlight w:val="none"/>
        </w:rPr>
      </w:pPr>
      <w:bookmarkStart w:id="26" w:name="_Toc20429"/>
      <w:bookmarkStart w:id="27" w:name="_Toc15314"/>
      <w:bookmarkStart w:id="28" w:name="_Toc19223"/>
      <w:r>
        <w:rPr>
          <w:rFonts w:hint="eastAsia" w:ascii="宋体" w:hAnsi="宋体" w:eastAsia="宋体" w:cs="宋体"/>
          <w:color w:val="auto"/>
          <w:sz w:val="28"/>
          <w:szCs w:val="28"/>
          <w:highlight w:val="none"/>
        </w:rPr>
        <w:t>3．投诉</w:t>
      </w:r>
      <w:bookmarkEnd w:id="26"/>
      <w:bookmarkEnd w:id="27"/>
      <w:bookmarkEnd w:id="28"/>
    </w:p>
    <w:p w14:paraId="5859B8C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质疑供应商对采购人、采购代理机构的答复不满意，或者采购人、采购代理机构未在规定的时间内作出答复的，可以在答复期满后15个工作日内按照《政府采购质疑和投诉办法》（财政部94号令）相关规定向西安市财政局政府采购管理处提出投诉。</w:t>
      </w:r>
    </w:p>
    <w:p w14:paraId="0513842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（2）供应商投诉的事项不得超出已质疑事项的范围。供应商提出投诉时，应当提交投诉书和必要的证明材料，并按财政部《投诉书范本》给定的格式进行填写。</w:t>
      </w:r>
    </w:p>
    <w:p w14:paraId="58C2041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投诉书范本地址：</w:t>
      </w:r>
    </w:p>
    <w:p w14:paraId="2624C9F8">
      <w:pPr>
        <w:spacing w:line="560" w:lineRule="exact"/>
        <w:ind w:firstLine="496" w:firstLineChars="200"/>
        <w:jc w:val="both"/>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40"/>
          <w:rFonts w:hint="eastAsia" w:ascii="宋体" w:hAnsi="宋体" w:eastAsia="宋体" w:cs="宋体"/>
          <w:color w:val="auto"/>
          <w:sz w:val="28"/>
          <w:szCs w:val="28"/>
          <w:highlight w:val="none"/>
        </w:rPr>
        <w:t>http://download.ccgp.gov.cn/2018/tousushufanben.zip</w:t>
      </w:r>
      <w:r>
        <w:rPr>
          <w:rStyle w:val="40"/>
          <w:rFonts w:hint="eastAsia" w:ascii="宋体" w:hAnsi="宋体" w:eastAsia="宋体" w:cs="宋体"/>
          <w:color w:val="auto"/>
          <w:sz w:val="28"/>
          <w:szCs w:val="28"/>
          <w:highlight w:val="none"/>
        </w:rPr>
        <w:fldChar w:fldCharType="end"/>
      </w:r>
    </w:p>
    <w:p w14:paraId="6C64E51D">
      <w:pPr>
        <w:pStyle w:val="100"/>
        <w:outlineLvl w:val="9"/>
        <w:rPr>
          <w:rFonts w:hint="eastAsia" w:ascii="宋体" w:hAnsi="宋体" w:eastAsia="宋体" w:cs="宋体"/>
          <w:color w:val="auto"/>
          <w:sz w:val="28"/>
          <w:szCs w:val="28"/>
          <w:highlight w:val="none"/>
        </w:rPr>
      </w:pPr>
      <w:bookmarkStart w:id="29" w:name="_Toc7447"/>
      <w:bookmarkStart w:id="30" w:name="_Toc18052"/>
      <w:bookmarkStart w:id="31" w:name="_Toc21947"/>
      <w:r>
        <w:rPr>
          <w:rFonts w:hint="eastAsia" w:ascii="宋体" w:hAnsi="宋体" w:eastAsia="宋体" w:cs="宋体"/>
          <w:color w:val="auto"/>
          <w:sz w:val="28"/>
          <w:szCs w:val="28"/>
          <w:highlight w:val="none"/>
        </w:rPr>
        <w:t>4．恶意质疑、投诉的法律后果</w:t>
      </w:r>
      <w:bookmarkEnd w:id="29"/>
      <w:bookmarkEnd w:id="30"/>
      <w:bookmarkEnd w:id="31"/>
    </w:p>
    <w:p w14:paraId="75B6885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（1）对捏造事实、提供虚假材料进行质疑、投诉的行为予以严肃处理：</w:t>
      </w:r>
    </w:p>
    <w:p w14:paraId="76984BC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BA05F6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（2）对捏造事实诬告陷害他人、诽谤他人的法律适用：</w:t>
      </w:r>
    </w:p>
    <w:p w14:paraId="6279806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6A3F1AB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《中华人民共和国刑法》第246条【侮辱罪、诽谤罪】以暴力或者其他方法公然侮辱他人或者捏造事实诽谤他人，情节严重的，处三年以下有期徒刑、拘役、管制或者剥夺政治权利。</w:t>
      </w:r>
    </w:p>
    <w:p w14:paraId="11F207DA">
      <w:pPr>
        <w:pStyle w:val="101"/>
        <w:spacing w:before="197" w:after="197"/>
        <w:ind w:firstLine="579"/>
        <w:outlineLvl w:val="3"/>
        <w:rPr>
          <w:rFonts w:hint="eastAsia" w:ascii="宋体" w:hAnsi="宋体" w:eastAsia="宋体" w:cs="宋体"/>
          <w:color w:val="auto"/>
          <w:sz w:val="28"/>
          <w:szCs w:val="28"/>
          <w:highlight w:val="none"/>
        </w:rPr>
      </w:pPr>
      <w:bookmarkStart w:id="32" w:name="_Toc20213"/>
      <w:bookmarkStart w:id="33" w:name="_Toc27472"/>
      <w:bookmarkStart w:id="34" w:name="_Toc21499"/>
      <w:r>
        <w:rPr>
          <w:rFonts w:hint="eastAsia" w:ascii="宋体" w:hAnsi="宋体" w:eastAsia="宋体" w:cs="宋体"/>
          <w:color w:val="auto"/>
          <w:sz w:val="28"/>
          <w:szCs w:val="28"/>
          <w:highlight w:val="none"/>
        </w:rPr>
        <w:t>（三）关于保证金</w:t>
      </w:r>
      <w:bookmarkEnd w:id="32"/>
      <w:bookmarkEnd w:id="33"/>
      <w:bookmarkEnd w:id="34"/>
    </w:p>
    <w:p w14:paraId="0D23F058">
      <w:pPr>
        <w:pStyle w:val="100"/>
        <w:outlineLvl w:val="9"/>
        <w:rPr>
          <w:rFonts w:hint="eastAsia" w:ascii="宋体" w:hAnsi="宋体" w:eastAsia="宋体" w:cs="宋体"/>
          <w:color w:val="auto"/>
          <w:sz w:val="28"/>
          <w:szCs w:val="28"/>
          <w:highlight w:val="none"/>
        </w:rPr>
      </w:pPr>
      <w:bookmarkStart w:id="35" w:name="_Toc6123"/>
      <w:bookmarkStart w:id="36" w:name="_Toc1490"/>
      <w:bookmarkStart w:id="37" w:name="_Toc9131"/>
      <w:r>
        <w:rPr>
          <w:rFonts w:hint="eastAsia" w:ascii="宋体" w:hAnsi="宋体" w:eastAsia="宋体" w:cs="宋体"/>
          <w:color w:val="auto"/>
          <w:sz w:val="28"/>
          <w:szCs w:val="28"/>
          <w:highlight w:val="none"/>
        </w:rPr>
        <w:t>1．西安市政府采购信用担保及信用融资政策</w:t>
      </w:r>
      <w:bookmarkEnd w:id="35"/>
      <w:bookmarkEnd w:id="36"/>
      <w:bookmarkEnd w:id="37"/>
    </w:p>
    <w:p w14:paraId="36C811A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3459D13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74BB0E0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《实施方案》链接地址：</w:t>
      </w:r>
    </w:p>
    <w:p w14:paraId="471527F6">
      <w:pPr>
        <w:spacing w:line="560" w:lineRule="exact"/>
        <w:ind w:firstLine="496" w:firstLineChars="200"/>
        <w:jc w:val="both"/>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"http://xaczj.xa.gov.cn/zfcg/cgfg/5db90552fd850863a9e4594d.html" </w:instrText>
      </w:r>
      <w:r>
        <w:rPr>
          <w:color w:val="auto"/>
          <w:highlight w:val="none"/>
        </w:rPr>
        <w:fldChar w:fldCharType="separate"/>
      </w:r>
      <w:r>
        <w:rPr>
          <w:rStyle w:val="40"/>
          <w:rFonts w:hint="eastAsia" w:ascii="宋体" w:hAnsi="宋体" w:eastAsia="宋体" w:cs="宋体"/>
          <w:color w:val="auto"/>
          <w:sz w:val="28"/>
          <w:szCs w:val="28"/>
          <w:highlight w:val="none"/>
          <w:u w:val="none"/>
        </w:rPr>
        <w:t>http://xaczj.xa.gov.cn/zfcg/cgfg/5db90552fd850863a9e4594d.html</w:t>
      </w:r>
      <w:r>
        <w:rPr>
          <w:rStyle w:val="40"/>
          <w:rFonts w:hint="eastAsia" w:ascii="宋体" w:hAnsi="宋体" w:eastAsia="宋体" w:cs="宋体"/>
          <w:color w:val="auto"/>
          <w:sz w:val="28"/>
          <w:szCs w:val="28"/>
          <w:highlight w:val="none"/>
          <w:u w:val="none"/>
        </w:rPr>
        <w:fldChar w:fldCharType="end"/>
      </w:r>
    </w:p>
    <w:p w14:paraId="11AADBE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《合作机构名单》链接地址：</w:t>
      </w:r>
    </w:p>
    <w:p w14:paraId="62C367CA">
      <w:pPr>
        <w:spacing w:line="560" w:lineRule="exact"/>
        <w:ind w:firstLine="496" w:firstLineChars="200"/>
        <w:jc w:val="both"/>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"http://xaczj.xa.gov.cn/zfcg/cgfg/5db9054565cbd804f69e97e0.html" </w:instrText>
      </w:r>
      <w:r>
        <w:rPr>
          <w:color w:val="auto"/>
          <w:highlight w:val="none"/>
        </w:rPr>
        <w:fldChar w:fldCharType="separate"/>
      </w:r>
      <w:r>
        <w:rPr>
          <w:rStyle w:val="40"/>
          <w:rFonts w:hint="eastAsia" w:ascii="宋体" w:hAnsi="宋体" w:eastAsia="宋体" w:cs="宋体"/>
          <w:color w:val="auto"/>
          <w:sz w:val="28"/>
          <w:szCs w:val="28"/>
          <w:highlight w:val="none"/>
          <w:u w:val="none"/>
        </w:rPr>
        <w:t>http://xaczj.xa.gov.cn/zfcg/cgfg/5db9054565cbd804f69e97e0.html</w:t>
      </w:r>
      <w:r>
        <w:rPr>
          <w:rStyle w:val="40"/>
          <w:rFonts w:hint="eastAsia" w:ascii="宋体" w:hAnsi="宋体" w:eastAsia="宋体" w:cs="宋体"/>
          <w:color w:val="auto"/>
          <w:sz w:val="28"/>
          <w:szCs w:val="28"/>
          <w:highlight w:val="none"/>
          <w:u w:val="none"/>
        </w:rPr>
        <w:fldChar w:fldCharType="end"/>
      </w:r>
    </w:p>
    <w:p w14:paraId="7D718AAB">
      <w:pPr>
        <w:pStyle w:val="100"/>
        <w:outlineLvl w:val="9"/>
        <w:rPr>
          <w:rFonts w:hint="eastAsia" w:ascii="宋体" w:hAnsi="宋体" w:eastAsia="宋体" w:cs="宋体"/>
          <w:color w:val="auto"/>
          <w:sz w:val="28"/>
          <w:szCs w:val="28"/>
          <w:highlight w:val="none"/>
        </w:rPr>
      </w:pPr>
      <w:bookmarkStart w:id="38" w:name="_Toc21323"/>
      <w:bookmarkStart w:id="39" w:name="_Toc629"/>
      <w:bookmarkStart w:id="40" w:name="_Toc911"/>
      <w:r>
        <w:rPr>
          <w:rFonts w:hint="eastAsia" w:ascii="宋体" w:hAnsi="宋体" w:eastAsia="宋体" w:cs="宋体"/>
          <w:color w:val="auto"/>
          <w:sz w:val="28"/>
          <w:szCs w:val="28"/>
          <w:highlight w:val="none"/>
        </w:rPr>
        <w:t>2．投标保证金</w:t>
      </w:r>
      <w:bookmarkEnd w:id="38"/>
      <w:bookmarkEnd w:id="39"/>
      <w:bookmarkEnd w:id="40"/>
    </w:p>
    <w:p w14:paraId="07E1BD9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按照西安市财政局《关于促进政府采购公平竞争优化营商环境的通知》第三条规定，供应商参与西安市政府采购活动时，免交投标保证金。</w:t>
      </w:r>
    </w:p>
    <w:p w14:paraId="7A33A3F8">
      <w:pPr>
        <w:pStyle w:val="100"/>
        <w:outlineLvl w:val="9"/>
        <w:rPr>
          <w:rFonts w:hint="eastAsia" w:ascii="宋体" w:hAnsi="宋体" w:eastAsia="宋体" w:cs="宋体"/>
          <w:color w:val="auto"/>
          <w:sz w:val="28"/>
          <w:szCs w:val="28"/>
          <w:highlight w:val="none"/>
        </w:rPr>
      </w:pPr>
      <w:bookmarkStart w:id="41" w:name="_Toc18336"/>
      <w:bookmarkStart w:id="42" w:name="_Toc25849"/>
      <w:bookmarkStart w:id="43" w:name="_Toc15288"/>
      <w:r>
        <w:rPr>
          <w:rFonts w:hint="eastAsia" w:ascii="宋体" w:hAnsi="宋体" w:eastAsia="宋体" w:cs="宋体"/>
          <w:color w:val="auto"/>
          <w:sz w:val="28"/>
          <w:szCs w:val="28"/>
          <w:highlight w:val="none"/>
        </w:rPr>
        <w:t>3．履约保证金</w:t>
      </w:r>
      <w:bookmarkEnd w:id="41"/>
      <w:bookmarkEnd w:id="42"/>
      <w:bookmarkEnd w:id="43"/>
    </w:p>
    <w:p w14:paraId="2A2657E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w:t>
      </w:r>
    </w:p>
    <w:p w14:paraId="1C082299">
      <w:pPr>
        <w:pStyle w:val="101"/>
        <w:spacing w:before="197" w:after="197"/>
        <w:ind w:firstLine="579"/>
        <w:outlineLvl w:val="3"/>
        <w:rPr>
          <w:rFonts w:hint="eastAsia" w:ascii="宋体" w:hAnsi="宋体" w:eastAsia="宋体" w:cs="宋体"/>
          <w:color w:val="auto"/>
          <w:sz w:val="28"/>
          <w:szCs w:val="28"/>
          <w:highlight w:val="none"/>
        </w:rPr>
      </w:pPr>
      <w:bookmarkStart w:id="44" w:name="_Toc13221"/>
      <w:bookmarkStart w:id="45" w:name="_Toc1911"/>
      <w:bookmarkStart w:id="46" w:name="_Toc31634"/>
      <w:r>
        <w:rPr>
          <w:rFonts w:hint="eastAsia" w:ascii="宋体" w:hAnsi="宋体" w:eastAsia="宋体" w:cs="宋体"/>
          <w:color w:val="auto"/>
          <w:sz w:val="28"/>
          <w:szCs w:val="28"/>
          <w:highlight w:val="none"/>
        </w:rPr>
        <w:t>（四）关于联合体</w:t>
      </w:r>
      <w:bookmarkEnd w:id="44"/>
      <w:bookmarkEnd w:id="45"/>
      <w:bookmarkEnd w:id="46"/>
    </w:p>
    <w:p w14:paraId="7F2418F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26DE2C8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345EC91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3355BBA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4．供应商以联合体形式参加政府采购活动时，遵循以下规则：</w:t>
      </w:r>
    </w:p>
    <w:p w14:paraId="7B0D651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4BEAFDC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111611D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 采用资格前审的项目，联合体应当在提交资格前审申请文件前组成。资格前审后联合体不得增减、更换成员。</w:t>
      </w:r>
    </w:p>
    <w:p w14:paraId="16B7ED9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 资格审查阶段，采购人将对所有联合体成员进行信用记录查询，联合体成员存在不良信用记录的，视同联合体存在不良信用记录。</w:t>
      </w:r>
    </w:p>
    <w:p w14:paraId="29230E2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 招标文件要求供应商交纳保证金的，可以由联合体中的一方或者多方共同交纳保证金，其交纳的保证金对联合体各方均具有约束力。</w:t>
      </w:r>
    </w:p>
    <w:p w14:paraId="40E1D20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⑥ 招标文件要求供应商提供履约人员和设备情况的，联合体各方均应提供，以说明其作为独立供应商所具有的能有效执行合同的能力和资源。</w:t>
      </w:r>
    </w:p>
    <w:p w14:paraId="3242CEF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⑦ 招标文件要求供应商提供同类或类似项目业绩的，联合体各方符合招标文件要求的同类或类似业绩可以累计，但联合体一方或多方共同参与的同一业绩不重复计算。</w:t>
      </w:r>
    </w:p>
    <w:p w14:paraId="480B196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6CDA29F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⑨ 对采购项目提出投诉时，应当由组成联合体的所有供应商共同提出。</w:t>
      </w:r>
    </w:p>
    <w:p w14:paraId="088875E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（5）联合体出现下列情形之一的，联合体投标无效：</w:t>
      </w:r>
    </w:p>
    <w:p w14:paraId="7620910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 没有提交有效的联合体协议的；</w:t>
      </w:r>
    </w:p>
    <w:p w14:paraId="5A67F55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 组成联合体的大中型企业和其他自然人、法人或者其他组织，与小型、微型企业之间存在投资关系的；</w:t>
      </w:r>
    </w:p>
    <w:p w14:paraId="613C992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 联合体协议签订后，联合体成员单独参加或者与其他供应商另外组成联合体参加同一合同项下的政府采购活动的；</w:t>
      </w:r>
    </w:p>
    <w:p w14:paraId="6CCD032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 资格前审后联合体增减、更换成员的；</w:t>
      </w:r>
    </w:p>
    <w:p w14:paraId="0FFEC4A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 联合体成员因存在不良信用记录，被拒绝其参与政府采购活动的。</w:t>
      </w:r>
    </w:p>
    <w:p w14:paraId="3BCB6AFA">
      <w:pPr>
        <w:pStyle w:val="101"/>
        <w:spacing w:before="197" w:after="197"/>
        <w:ind w:firstLine="579"/>
        <w:outlineLvl w:val="3"/>
        <w:rPr>
          <w:rFonts w:hint="eastAsia" w:ascii="宋体" w:hAnsi="宋体" w:eastAsia="宋体" w:cs="宋体"/>
          <w:color w:val="auto"/>
          <w:sz w:val="28"/>
          <w:szCs w:val="28"/>
          <w:highlight w:val="none"/>
        </w:rPr>
      </w:pPr>
      <w:bookmarkStart w:id="47" w:name="_Toc5209"/>
      <w:bookmarkStart w:id="48" w:name="_Toc30555"/>
      <w:bookmarkStart w:id="49" w:name="_Toc3859"/>
      <w:r>
        <w:rPr>
          <w:rFonts w:hint="eastAsia" w:ascii="宋体" w:hAnsi="宋体" w:eastAsia="宋体" w:cs="宋体"/>
          <w:color w:val="auto"/>
          <w:sz w:val="28"/>
          <w:szCs w:val="28"/>
          <w:highlight w:val="none"/>
        </w:rPr>
        <w:t>（五）关于进口产品</w:t>
      </w:r>
      <w:bookmarkEnd w:id="47"/>
      <w:bookmarkEnd w:id="48"/>
      <w:bookmarkEnd w:id="49"/>
    </w:p>
    <w:p w14:paraId="05D3BBA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26D2F6C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0651BC23">
      <w:pPr>
        <w:pStyle w:val="101"/>
        <w:spacing w:before="197" w:after="197"/>
        <w:ind w:firstLine="579"/>
        <w:outlineLvl w:val="3"/>
        <w:rPr>
          <w:rFonts w:hint="eastAsia" w:ascii="宋体" w:hAnsi="宋体" w:eastAsia="宋体" w:cs="宋体"/>
          <w:color w:val="auto"/>
          <w:sz w:val="28"/>
          <w:szCs w:val="28"/>
          <w:highlight w:val="none"/>
        </w:rPr>
      </w:pPr>
      <w:bookmarkStart w:id="50" w:name="_Toc22855"/>
      <w:bookmarkStart w:id="51" w:name="_Toc7633"/>
      <w:bookmarkStart w:id="52" w:name="_Toc1509"/>
      <w:r>
        <w:rPr>
          <w:rFonts w:hint="eastAsia" w:ascii="宋体" w:hAnsi="宋体" w:eastAsia="宋体" w:cs="宋体"/>
          <w:color w:val="auto"/>
          <w:sz w:val="28"/>
          <w:szCs w:val="28"/>
          <w:highlight w:val="none"/>
        </w:rPr>
        <w:t>（六）关于政府采购政策</w:t>
      </w:r>
      <w:bookmarkEnd w:id="50"/>
      <w:bookmarkEnd w:id="51"/>
      <w:bookmarkEnd w:id="52"/>
    </w:p>
    <w:p w14:paraId="08AB32A8">
      <w:pPr>
        <w:pStyle w:val="100"/>
        <w:outlineLvl w:val="9"/>
        <w:rPr>
          <w:rFonts w:hint="eastAsia" w:ascii="宋体" w:hAnsi="宋体" w:eastAsia="宋体" w:cs="宋体"/>
          <w:color w:val="auto"/>
          <w:sz w:val="28"/>
          <w:szCs w:val="28"/>
          <w:highlight w:val="none"/>
        </w:rPr>
      </w:pPr>
      <w:bookmarkStart w:id="53" w:name="_Toc10187"/>
      <w:bookmarkStart w:id="54" w:name="_Toc21485"/>
      <w:bookmarkStart w:id="55" w:name="_Toc31475"/>
      <w:r>
        <w:rPr>
          <w:rFonts w:hint="eastAsia" w:ascii="宋体" w:hAnsi="宋体" w:eastAsia="宋体" w:cs="宋体"/>
          <w:color w:val="auto"/>
          <w:sz w:val="28"/>
          <w:szCs w:val="28"/>
          <w:highlight w:val="none"/>
        </w:rPr>
        <w:t>1．对中小企业、监狱企业、残疾人福利性单位的优惠政策</w:t>
      </w:r>
      <w:bookmarkEnd w:id="53"/>
      <w:bookmarkEnd w:id="54"/>
      <w:bookmarkEnd w:id="55"/>
    </w:p>
    <w:p w14:paraId="2AC3036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1665DB3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（2）根据财政部、司法部联合下发的《关于政府采购支持监狱企业发展有关问题的通知》（财库〔2014〕68号）的规定，监狱企业视同小型、微型企业。</w:t>
      </w:r>
    </w:p>
    <w:p w14:paraId="5C967B5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4063CE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E5A44C7">
      <w:pPr>
        <w:pStyle w:val="100"/>
        <w:outlineLvl w:val="9"/>
        <w:rPr>
          <w:rFonts w:hint="eastAsia" w:ascii="宋体" w:hAnsi="宋体" w:eastAsia="宋体" w:cs="宋体"/>
          <w:color w:val="auto"/>
          <w:sz w:val="28"/>
          <w:szCs w:val="28"/>
          <w:highlight w:val="none"/>
        </w:rPr>
      </w:pPr>
      <w:bookmarkStart w:id="56" w:name="_Toc22577"/>
      <w:bookmarkStart w:id="57" w:name="_Toc2556"/>
      <w:bookmarkStart w:id="58" w:name="_Toc8987"/>
      <w:r>
        <w:rPr>
          <w:rFonts w:hint="eastAsia" w:ascii="宋体" w:hAnsi="宋体" w:eastAsia="宋体" w:cs="宋体"/>
          <w:color w:val="auto"/>
          <w:sz w:val="28"/>
          <w:szCs w:val="28"/>
          <w:highlight w:val="none"/>
        </w:rPr>
        <w:t>2．节能、环保产品采购政策</w:t>
      </w:r>
      <w:bookmarkEnd w:id="56"/>
      <w:bookmarkEnd w:id="57"/>
      <w:bookmarkEnd w:id="58"/>
    </w:p>
    <w:p w14:paraId="780D533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23F604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45CFC8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（3）《节能产品政府采购品目清单》见财政部、发展改革委《关于印发节能产品政府采购品目清单的通知》（财库〔2019〕19号）附件。</w:t>
      </w:r>
    </w:p>
    <w:p w14:paraId="3E50892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（4）《环境标志产品政府采购品目清单》见财政部、生态环境部《关于印发环境标志产品政府采购品目清单的通知》（财库〔2019〕18号）附件。</w:t>
      </w:r>
    </w:p>
    <w:p w14:paraId="32A998C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（5）“国家确定的认证机构”名单见市场监管总局《关于发布参与实施政府采购节能产品、环境标志产品认证机构名录的公告》（2019年第16号）。</w:t>
      </w:r>
    </w:p>
    <w:p w14:paraId="2F5698FB">
      <w:pPr>
        <w:pStyle w:val="100"/>
        <w:outlineLvl w:val="9"/>
        <w:rPr>
          <w:rFonts w:hint="eastAsia" w:ascii="宋体" w:hAnsi="宋体" w:eastAsia="宋体" w:cs="宋体"/>
          <w:color w:val="auto"/>
          <w:sz w:val="28"/>
          <w:szCs w:val="28"/>
          <w:highlight w:val="none"/>
        </w:rPr>
      </w:pPr>
      <w:bookmarkStart w:id="59" w:name="_Toc28666"/>
      <w:bookmarkStart w:id="60" w:name="_Toc15090"/>
      <w:bookmarkStart w:id="61" w:name="_Toc26083"/>
      <w:r>
        <w:rPr>
          <w:rFonts w:hint="eastAsia" w:ascii="宋体" w:hAnsi="宋体" w:eastAsia="宋体" w:cs="宋体"/>
          <w:color w:val="auto"/>
          <w:sz w:val="28"/>
          <w:szCs w:val="28"/>
          <w:highlight w:val="none"/>
        </w:rPr>
        <w:t>3．陕西省中小企业政府采购信用融资办法</w:t>
      </w:r>
      <w:bookmarkEnd w:id="59"/>
      <w:bookmarkEnd w:id="60"/>
      <w:bookmarkEnd w:id="61"/>
    </w:p>
    <w:p w14:paraId="28379FB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8F7E53B">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链接地址：</w:t>
      </w:r>
      <w:r>
        <w:rPr>
          <w:color w:val="auto"/>
          <w:highlight w:val="none"/>
        </w:rPr>
        <w:fldChar w:fldCharType="begin"/>
      </w:r>
      <w:r>
        <w:rPr>
          <w:color w:val="auto"/>
          <w:highlight w:val="none"/>
        </w:rPr>
        <w:instrText xml:space="preserve"> HYPERLINK "http://www.ccgp-shaanxi.gov.cn/zcdservice/zcd/shanxi/article/zcdt/1390497710741917696" </w:instrText>
      </w:r>
      <w:r>
        <w:rPr>
          <w:color w:val="auto"/>
          <w:highlight w:val="none"/>
        </w:rPr>
        <w:fldChar w:fldCharType="separate"/>
      </w:r>
      <w:r>
        <w:rPr>
          <w:rStyle w:val="40"/>
          <w:rFonts w:hint="eastAsia" w:ascii="宋体" w:hAnsi="宋体" w:eastAsia="宋体" w:cs="宋体"/>
          <w:color w:val="auto"/>
          <w:sz w:val="28"/>
          <w:szCs w:val="28"/>
          <w:highlight w:val="none"/>
          <w:u w:val="none"/>
        </w:rPr>
        <w:t>http://www.ccgp-shaanxi.gov.cn/zcdservice/zcd/shanxi/article/zcdt/1390497710741917696</w:t>
      </w:r>
      <w:r>
        <w:rPr>
          <w:rStyle w:val="40"/>
          <w:rFonts w:hint="eastAsia" w:ascii="宋体" w:hAnsi="宋体" w:eastAsia="宋体" w:cs="宋体"/>
          <w:color w:val="auto"/>
          <w:sz w:val="28"/>
          <w:szCs w:val="28"/>
          <w:highlight w:val="none"/>
          <w:u w:val="none"/>
        </w:rPr>
        <w:fldChar w:fldCharType="end"/>
      </w:r>
    </w:p>
    <w:p w14:paraId="592204E3">
      <w:pPr>
        <w:pStyle w:val="101"/>
        <w:spacing w:before="197" w:after="197"/>
        <w:ind w:firstLine="579"/>
        <w:outlineLvl w:val="3"/>
        <w:rPr>
          <w:rFonts w:hint="eastAsia" w:ascii="宋体" w:hAnsi="宋体" w:eastAsia="宋体" w:cs="宋体"/>
          <w:color w:val="auto"/>
          <w:sz w:val="28"/>
          <w:szCs w:val="28"/>
          <w:highlight w:val="none"/>
        </w:rPr>
      </w:pPr>
      <w:bookmarkStart w:id="62" w:name="_Toc21474"/>
      <w:bookmarkStart w:id="63" w:name="_Toc903"/>
      <w:bookmarkStart w:id="64" w:name="_Toc12744"/>
      <w:r>
        <w:rPr>
          <w:rFonts w:hint="eastAsia" w:ascii="宋体" w:hAnsi="宋体" w:eastAsia="宋体" w:cs="宋体"/>
          <w:color w:val="auto"/>
          <w:sz w:val="28"/>
          <w:szCs w:val="28"/>
          <w:highlight w:val="none"/>
        </w:rPr>
        <w:t>（七）关于现场踏勘和集中答疑</w:t>
      </w:r>
      <w:bookmarkEnd w:id="62"/>
      <w:bookmarkEnd w:id="63"/>
      <w:bookmarkEnd w:id="64"/>
    </w:p>
    <w:p w14:paraId="09226D6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08CCDD3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64E7E8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凡未参加现场踏勘和集中答疑的供应商，由此带来的不利后果由该供应商自行承担。</w:t>
      </w:r>
    </w:p>
    <w:p w14:paraId="7C593086">
      <w:pPr>
        <w:pStyle w:val="101"/>
        <w:spacing w:before="197" w:after="197"/>
        <w:ind w:firstLine="579"/>
        <w:outlineLvl w:val="3"/>
        <w:rPr>
          <w:rFonts w:hint="eastAsia" w:ascii="宋体" w:hAnsi="宋体" w:eastAsia="宋体" w:cs="宋体"/>
          <w:color w:val="auto"/>
          <w:sz w:val="28"/>
          <w:szCs w:val="28"/>
          <w:highlight w:val="none"/>
        </w:rPr>
      </w:pPr>
      <w:bookmarkStart w:id="65" w:name="_Toc18895"/>
      <w:bookmarkStart w:id="66" w:name="_Toc21460"/>
      <w:bookmarkStart w:id="67" w:name="_Toc11850"/>
      <w:r>
        <w:rPr>
          <w:rFonts w:hint="eastAsia" w:ascii="宋体" w:hAnsi="宋体" w:eastAsia="宋体" w:cs="宋体"/>
          <w:color w:val="auto"/>
          <w:sz w:val="28"/>
          <w:szCs w:val="28"/>
          <w:highlight w:val="none"/>
        </w:rPr>
        <w:t>（八）关于同一品牌产品的处理</w:t>
      </w:r>
      <w:bookmarkEnd w:id="65"/>
      <w:bookmarkEnd w:id="66"/>
      <w:bookmarkEnd w:id="67"/>
    </w:p>
    <w:p w14:paraId="04A76DF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政府采购货物和服务招标投标管理办法》相关规定，单一产品采购项目提供相同品牌产品或非单一产品采购项目多家供应商提供的核心产品品牌相同的且通过资格审查、符合性审查的不同供应商参加同一合同项下投标的，按一家供应商计算，评审后得分最高的同品牌供应商获得中标候选人推荐资格；评审得分相同的，由采购人或者采购人委托评标委员会按照报价得分最高的方式确定一个供应商获得中标候选人推荐资格。</w:t>
      </w:r>
    </w:p>
    <w:p w14:paraId="26320B6D">
      <w:pPr>
        <w:pStyle w:val="101"/>
        <w:spacing w:before="197" w:after="197"/>
        <w:ind w:firstLine="579"/>
        <w:outlineLvl w:val="3"/>
        <w:rPr>
          <w:rFonts w:hint="eastAsia" w:ascii="宋体" w:hAnsi="宋体" w:eastAsia="宋体" w:cs="宋体"/>
          <w:color w:val="auto"/>
          <w:sz w:val="28"/>
          <w:szCs w:val="28"/>
          <w:highlight w:val="none"/>
        </w:rPr>
      </w:pPr>
      <w:bookmarkStart w:id="68" w:name="_Toc5554"/>
      <w:bookmarkStart w:id="69" w:name="_Toc27199"/>
      <w:bookmarkStart w:id="70" w:name="_Toc30039"/>
      <w:r>
        <w:rPr>
          <w:rFonts w:hint="eastAsia" w:ascii="宋体" w:hAnsi="宋体" w:eastAsia="宋体" w:cs="宋体"/>
          <w:color w:val="auto"/>
          <w:sz w:val="28"/>
          <w:szCs w:val="28"/>
          <w:highlight w:val="none"/>
        </w:rPr>
        <w:t>（九）关于知识产权和保密事项</w:t>
      </w:r>
      <w:bookmarkEnd w:id="68"/>
      <w:bookmarkEnd w:id="69"/>
      <w:bookmarkEnd w:id="70"/>
    </w:p>
    <w:p w14:paraId="68ED09A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1．所有涉及知识产权的产品及设计，供应商必须确保委托人、采购人拥有其合法的、不受限制的无偿使用权，并免受任何侵权诉讼或索偿；否则，由此产生的一切经济损失和法律责任由供应商承担。</w:t>
      </w:r>
    </w:p>
    <w:p w14:paraId="6897EFD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标以外的任何用途。开标后，若采购人有要求，供应商须归还采购人认为需保密的文件和资料，并销毁所有相应的备份文件及资料。</w:t>
      </w:r>
    </w:p>
    <w:p w14:paraId="27D99A7F">
      <w:pPr>
        <w:pStyle w:val="101"/>
        <w:spacing w:before="197" w:after="197"/>
        <w:ind w:firstLine="579"/>
        <w:outlineLvl w:val="3"/>
        <w:rPr>
          <w:rFonts w:hint="eastAsia" w:ascii="宋体" w:hAnsi="宋体" w:eastAsia="宋体" w:cs="宋体"/>
          <w:color w:val="auto"/>
          <w:sz w:val="28"/>
          <w:szCs w:val="28"/>
          <w:highlight w:val="none"/>
        </w:rPr>
      </w:pPr>
      <w:bookmarkStart w:id="71" w:name="_Toc2960"/>
      <w:bookmarkStart w:id="72" w:name="_Toc18448"/>
      <w:bookmarkStart w:id="73" w:name="_Toc27768"/>
      <w:r>
        <w:rPr>
          <w:rFonts w:hint="eastAsia" w:ascii="宋体" w:hAnsi="宋体" w:eastAsia="宋体" w:cs="宋体"/>
          <w:color w:val="auto"/>
          <w:sz w:val="28"/>
          <w:szCs w:val="28"/>
          <w:highlight w:val="none"/>
        </w:rPr>
        <w:t>（十）关于信用记录的查询和使用</w:t>
      </w:r>
      <w:bookmarkEnd w:id="71"/>
      <w:bookmarkEnd w:id="72"/>
      <w:bookmarkEnd w:id="73"/>
    </w:p>
    <w:p w14:paraId="6208D03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1．根据财政部《关于在政府采购活动中查询及使用信用记录有关问题的通知》（财库〔2016〕125号）第二条有关要求，采购人将在资格审查阶段通过【信用中国】（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Style w:val="40"/>
          <w:rFonts w:hint="eastAsia" w:ascii="宋体" w:hAnsi="宋体" w:eastAsia="宋体" w:cs="宋体"/>
          <w:color w:val="auto"/>
          <w:sz w:val="28"/>
          <w:szCs w:val="28"/>
          <w:highlight w:val="none"/>
          <w:u w:val="none"/>
        </w:rPr>
        <w:t>https://www.creditchina.gov.cn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0"/>
          <w:rFonts w:hint="eastAsia" w:ascii="宋体" w:hAnsi="宋体" w:eastAsia="宋体" w:cs="宋体"/>
          <w:color w:val="auto"/>
          <w:sz w:val="28"/>
          <w:szCs w:val="28"/>
          <w:highlight w:val="none"/>
          <w:u w:val="none"/>
        </w:rPr>
        <w:t>http://www.ccgp.gov.cn/）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对供应商的信用情况进行甄别。</w:t>
      </w:r>
    </w:p>
    <w:p w14:paraId="072935F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14:paraId="5307DFA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3．供应商在参加政府采购活动前3年内因违法经营被禁止在一定期限内参加政府采购活动，期限届满的，可以参加政府采购活动的，但供应商应提供相关证明材料。</w:t>
      </w:r>
    </w:p>
    <w:p w14:paraId="701B055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4．信用记录查询结果打印后，将与其他采购文件一并保存。</w:t>
      </w:r>
    </w:p>
    <w:p w14:paraId="57A8E359">
      <w:pPr>
        <w:pStyle w:val="101"/>
        <w:spacing w:before="197" w:after="197"/>
        <w:ind w:firstLine="579"/>
        <w:outlineLvl w:val="3"/>
        <w:rPr>
          <w:rFonts w:hint="eastAsia" w:ascii="宋体" w:hAnsi="宋体" w:eastAsia="宋体" w:cs="宋体"/>
          <w:color w:val="auto"/>
          <w:sz w:val="28"/>
          <w:szCs w:val="28"/>
          <w:highlight w:val="none"/>
        </w:rPr>
      </w:pPr>
      <w:bookmarkStart w:id="74" w:name="_Toc13558"/>
      <w:bookmarkStart w:id="75" w:name="_Toc20462"/>
      <w:bookmarkStart w:id="76" w:name="_Toc31802"/>
      <w:r>
        <w:rPr>
          <w:rFonts w:hint="eastAsia" w:ascii="宋体" w:hAnsi="宋体" w:eastAsia="宋体" w:cs="宋体"/>
          <w:color w:val="auto"/>
          <w:sz w:val="28"/>
          <w:szCs w:val="28"/>
          <w:highlight w:val="none"/>
        </w:rPr>
        <w:t>（十一）其他重要事项</w:t>
      </w:r>
      <w:bookmarkEnd w:id="74"/>
      <w:bookmarkEnd w:id="75"/>
      <w:bookmarkEnd w:id="76"/>
    </w:p>
    <w:p w14:paraId="0526BA3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1．招标文件内所附网络链接仅供参考，不保证其长期有效性。</w:t>
      </w:r>
    </w:p>
    <w:p w14:paraId="39C233C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2．供应商的投标费用自理。</w:t>
      </w:r>
    </w:p>
    <w:p w14:paraId="6A4A5AA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18472F6">
      <w:pPr>
        <w:pStyle w:val="4"/>
        <w:rPr>
          <w:rFonts w:hint="eastAsia" w:ascii="宋体" w:hAnsi="宋体" w:eastAsia="宋体" w:cs="宋体"/>
          <w:color w:val="auto"/>
          <w:sz w:val="28"/>
          <w:szCs w:val="28"/>
          <w:highlight w:val="none"/>
        </w:rPr>
      </w:pPr>
      <w:bookmarkStart w:id="77" w:name="_Toc18583"/>
      <w:r>
        <w:rPr>
          <w:rFonts w:hint="eastAsia" w:ascii="宋体" w:hAnsi="宋体" w:eastAsia="宋体" w:cs="宋体"/>
          <w:color w:val="auto"/>
          <w:sz w:val="28"/>
          <w:szCs w:val="28"/>
          <w:highlight w:val="none"/>
        </w:rPr>
        <w:t>三、招标文件</w:t>
      </w:r>
      <w:bookmarkEnd w:id="77"/>
    </w:p>
    <w:p w14:paraId="113B2D59">
      <w:pPr>
        <w:pStyle w:val="101"/>
        <w:spacing w:before="197" w:after="197"/>
        <w:ind w:firstLine="579"/>
        <w:outlineLvl w:val="3"/>
        <w:rPr>
          <w:rFonts w:hint="eastAsia" w:ascii="宋体" w:hAnsi="宋体" w:eastAsia="宋体" w:cs="宋体"/>
          <w:color w:val="auto"/>
          <w:sz w:val="28"/>
          <w:szCs w:val="28"/>
          <w:highlight w:val="none"/>
        </w:rPr>
      </w:pPr>
      <w:bookmarkStart w:id="78" w:name="_Toc4420"/>
      <w:bookmarkStart w:id="79" w:name="_Toc22177"/>
      <w:bookmarkStart w:id="80" w:name="_Toc25768"/>
      <w:r>
        <w:rPr>
          <w:rFonts w:hint="eastAsia" w:ascii="宋体" w:hAnsi="宋体" w:eastAsia="宋体" w:cs="宋体"/>
          <w:color w:val="auto"/>
          <w:sz w:val="28"/>
          <w:szCs w:val="28"/>
          <w:highlight w:val="none"/>
        </w:rPr>
        <w:t>（一）招标文件的解释权</w:t>
      </w:r>
      <w:bookmarkEnd w:id="78"/>
      <w:bookmarkEnd w:id="79"/>
      <w:bookmarkEnd w:id="80"/>
    </w:p>
    <w:p w14:paraId="26476AF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本项目招标文件的解释权归采购代理机构，评标委员会成员应根据政府采购法律法规和招标文件所载明的评审方法、标准进行评审。</w:t>
      </w:r>
    </w:p>
    <w:p w14:paraId="1CDFC2C7">
      <w:pPr>
        <w:pStyle w:val="101"/>
        <w:spacing w:before="197" w:after="197"/>
        <w:ind w:firstLine="579"/>
        <w:outlineLvl w:val="3"/>
        <w:rPr>
          <w:rFonts w:hint="eastAsia" w:ascii="宋体" w:hAnsi="宋体" w:eastAsia="宋体" w:cs="宋体"/>
          <w:color w:val="auto"/>
          <w:sz w:val="28"/>
          <w:szCs w:val="28"/>
          <w:highlight w:val="none"/>
        </w:rPr>
      </w:pPr>
      <w:bookmarkStart w:id="81" w:name="_Toc27003"/>
      <w:bookmarkStart w:id="82" w:name="_Toc13551"/>
      <w:bookmarkStart w:id="83" w:name="_Toc29738"/>
      <w:r>
        <w:rPr>
          <w:rFonts w:hint="eastAsia" w:ascii="宋体" w:hAnsi="宋体" w:eastAsia="宋体" w:cs="宋体"/>
          <w:color w:val="auto"/>
          <w:sz w:val="28"/>
          <w:szCs w:val="28"/>
          <w:highlight w:val="none"/>
        </w:rPr>
        <w:t>（二）招标文件主要内容</w:t>
      </w:r>
      <w:bookmarkEnd w:id="81"/>
      <w:bookmarkEnd w:id="82"/>
      <w:bookmarkEnd w:id="83"/>
    </w:p>
    <w:p w14:paraId="4F400A7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第1章  投标邀请函</w:t>
      </w:r>
    </w:p>
    <w:p w14:paraId="66DF07B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第2章  供应商须知</w:t>
      </w:r>
    </w:p>
    <w:p w14:paraId="1538F5E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第3章  招标内容及要求</w:t>
      </w:r>
    </w:p>
    <w:p w14:paraId="453EEF7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第4章  合同文本</w:t>
      </w:r>
    </w:p>
    <w:p w14:paraId="1A74AF4D">
      <w:pPr>
        <w:spacing w:line="560" w:lineRule="exact"/>
        <w:ind w:firstLine="576"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第5章  投标文件构成及格式</w:t>
      </w:r>
    </w:p>
    <w:p w14:paraId="0975CA02">
      <w:pPr>
        <w:pStyle w:val="101"/>
        <w:spacing w:before="197" w:after="197"/>
        <w:ind w:firstLine="579"/>
        <w:outlineLvl w:val="3"/>
        <w:rPr>
          <w:rFonts w:hint="eastAsia" w:ascii="宋体" w:hAnsi="宋体" w:eastAsia="宋体" w:cs="宋体"/>
          <w:color w:val="auto"/>
          <w:sz w:val="28"/>
          <w:szCs w:val="28"/>
          <w:highlight w:val="none"/>
        </w:rPr>
      </w:pPr>
      <w:bookmarkStart w:id="84" w:name="_Toc29373"/>
      <w:bookmarkStart w:id="85" w:name="_Toc20422"/>
      <w:bookmarkStart w:id="86" w:name="_Toc9476"/>
      <w:r>
        <w:rPr>
          <w:rFonts w:hint="eastAsia" w:ascii="宋体" w:hAnsi="宋体" w:eastAsia="宋体" w:cs="宋体"/>
          <w:color w:val="auto"/>
          <w:sz w:val="28"/>
          <w:szCs w:val="28"/>
          <w:highlight w:val="none"/>
        </w:rPr>
        <w:t>（三）招标文件的检查及阅读</w:t>
      </w:r>
      <w:bookmarkEnd w:id="84"/>
      <w:bookmarkEnd w:id="85"/>
      <w:bookmarkEnd w:id="86"/>
    </w:p>
    <w:p w14:paraId="06D3689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供应商应认真阅读和充分理解招标文件中所有的事项、格式条款和规范要求，在投标文件中对招标文件做出全面响应，并按招标文件的要求提交全部资料。</w:t>
      </w:r>
    </w:p>
    <w:p w14:paraId="775F8B9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项目废标后重新组织招标的，采购代理机构将重新编制、发布新版招标文件，供应商应按新版招标文件重新编制投标文件。原招标文件及投标文件失效。</w:t>
      </w:r>
    </w:p>
    <w:p w14:paraId="277A3469">
      <w:pPr>
        <w:pStyle w:val="101"/>
        <w:spacing w:before="197" w:after="197"/>
        <w:ind w:firstLine="579"/>
        <w:outlineLvl w:val="3"/>
        <w:rPr>
          <w:rFonts w:hint="eastAsia" w:ascii="宋体" w:hAnsi="宋体" w:eastAsia="宋体" w:cs="宋体"/>
          <w:color w:val="auto"/>
          <w:sz w:val="28"/>
          <w:szCs w:val="28"/>
          <w:highlight w:val="none"/>
        </w:rPr>
      </w:pPr>
      <w:bookmarkStart w:id="87" w:name="_Toc15105"/>
      <w:bookmarkStart w:id="88" w:name="_Toc12523"/>
      <w:bookmarkStart w:id="89" w:name="_Toc6838"/>
      <w:r>
        <w:rPr>
          <w:rFonts w:hint="eastAsia" w:ascii="宋体" w:hAnsi="宋体" w:eastAsia="宋体" w:cs="宋体"/>
          <w:color w:val="auto"/>
          <w:sz w:val="28"/>
          <w:szCs w:val="28"/>
          <w:highlight w:val="none"/>
        </w:rPr>
        <w:t>（四）招标文件的修改、澄清</w:t>
      </w:r>
      <w:bookmarkEnd w:id="87"/>
      <w:bookmarkEnd w:id="88"/>
      <w:bookmarkEnd w:id="89"/>
    </w:p>
    <w:p w14:paraId="1639680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1．提交投标文件截止之日前，采购人或采购代理机构可能对已发出的招标文件进行澄清或者修改，澄清或者修改的内容为招标文件的组成部分。</w:t>
      </w:r>
    </w:p>
    <w:p w14:paraId="3357A94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2．当需要澄清或修改时，采购代理机构将在提交投标文件截止之日15日前，在财政部门指定的“政府采购信息发布媒体”上发布变更公告；不足15日的，将顺延提交投标文件截止时间。</w:t>
      </w:r>
    </w:p>
    <w:p w14:paraId="450519F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6FC24CD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4．请各供应商在提交投标文件截止时间之前，务必随时关注“政府采购信息发布媒体”上发布的变更公告，采购代理机构不再另行通知，因供应商未及时关注所造成的一切后果由供应商自行承担：</w:t>
      </w:r>
    </w:p>
    <w:p w14:paraId="0C0B60E0">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0"/>
          <w:rFonts w:hint="eastAsia" w:ascii="宋体" w:hAnsi="宋体" w:eastAsia="宋体" w:cs="宋体"/>
          <w:color w:val="auto"/>
          <w:sz w:val="28"/>
          <w:szCs w:val="28"/>
          <w:highlight w:val="none"/>
          <w:u w:val="none"/>
        </w:rPr>
        <w:t>陕西省政府采购网</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0"/>
          <w:rFonts w:hint="eastAsia" w:ascii="宋体" w:hAnsi="宋体" w:eastAsia="宋体" w:cs="宋体"/>
          <w:color w:val="auto"/>
          <w:sz w:val="28"/>
          <w:szCs w:val="28"/>
          <w:highlight w:val="none"/>
          <w:u w:val="none"/>
        </w:rPr>
        <w:t>http://www.ccgp-shaanxi.gov.cn/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）中的〖首页·〉信息公告·〉市级·〉西安市〗；</w:t>
      </w:r>
    </w:p>
    <w:p w14:paraId="2B9039D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color w:val="auto"/>
          <w:highlight w:val="none"/>
        </w:rPr>
        <w:fldChar w:fldCharType="begin"/>
      </w:r>
      <w:r>
        <w:rPr>
          <w:color w:val="auto"/>
          <w:highlight w:val="none"/>
        </w:rPr>
        <w:instrText xml:space="preserve"> HYPERLINK "http://xa.sxggzyjy.cn/" </w:instrText>
      </w:r>
      <w:r>
        <w:rPr>
          <w:color w:val="auto"/>
          <w:highlight w:val="none"/>
        </w:rPr>
        <w:fldChar w:fldCharType="separate"/>
      </w:r>
      <w:r>
        <w:rPr>
          <w:rStyle w:val="40"/>
          <w:rFonts w:hint="eastAsia" w:ascii="宋体" w:hAnsi="宋体" w:eastAsia="宋体" w:cs="宋体"/>
          <w:color w:val="auto"/>
          <w:sz w:val="28"/>
          <w:szCs w:val="28"/>
          <w:highlight w:val="none"/>
          <w:u w:val="none"/>
        </w:rPr>
        <w:t>全国公共资源交易网（陕西省·西安市）</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40"/>
          <w:rFonts w:hint="eastAsia" w:ascii="宋体" w:hAnsi="宋体" w:eastAsia="宋体" w:cs="宋体"/>
          <w:color w:val="auto"/>
          <w:sz w:val="28"/>
          <w:szCs w:val="28"/>
          <w:highlight w:val="none"/>
          <w:u w:val="none"/>
        </w:rPr>
        <w:t>http://sxggzyjy.xa.gov.cn/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）中的〖首页·〉交易大厅·〉政府采购〗。</w:t>
      </w:r>
    </w:p>
    <w:p w14:paraId="57076CA8">
      <w:pPr>
        <w:pStyle w:val="4"/>
        <w:rPr>
          <w:rFonts w:hint="eastAsia" w:ascii="宋体" w:hAnsi="宋体" w:eastAsia="宋体" w:cs="宋体"/>
          <w:color w:val="auto"/>
          <w:sz w:val="28"/>
          <w:szCs w:val="28"/>
          <w:highlight w:val="none"/>
        </w:rPr>
      </w:pPr>
      <w:bookmarkStart w:id="90" w:name="_Toc28396"/>
      <w:r>
        <w:rPr>
          <w:rFonts w:hint="eastAsia" w:ascii="宋体" w:hAnsi="宋体" w:eastAsia="宋体" w:cs="宋体"/>
          <w:color w:val="auto"/>
          <w:sz w:val="28"/>
          <w:szCs w:val="28"/>
          <w:highlight w:val="none"/>
        </w:rPr>
        <w:t>四、投标文件</w:t>
      </w:r>
      <w:bookmarkEnd w:id="90"/>
    </w:p>
    <w:p w14:paraId="52E03F6C">
      <w:pPr>
        <w:pStyle w:val="101"/>
        <w:spacing w:before="197" w:after="197"/>
        <w:ind w:firstLine="579"/>
        <w:outlineLvl w:val="3"/>
        <w:rPr>
          <w:rFonts w:hint="eastAsia" w:ascii="宋体" w:hAnsi="宋体" w:eastAsia="宋体" w:cs="宋体"/>
          <w:color w:val="auto"/>
          <w:sz w:val="28"/>
          <w:szCs w:val="28"/>
          <w:highlight w:val="none"/>
        </w:rPr>
      </w:pPr>
      <w:bookmarkStart w:id="91" w:name="_Toc27979"/>
      <w:bookmarkStart w:id="92" w:name="_Toc32648"/>
      <w:bookmarkStart w:id="93" w:name="_Toc7988"/>
      <w:r>
        <w:rPr>
          <w:rFonts w:hint="eastAsia" w:ascii="宋体" w:hAnsi="宋体" w:eastAsia="宋体" w:cs="宋体"/>
          <w:color w:val="auto"/>
          <w:sz w:val="28"/>
          <w:szCs w:val="28"/>
          <w:highlight w:val="none"/>
        </w:rPr>
        <w:t>（一）投标文件的式样</w:t>
      </w:r>
      <w:bookmarkEnd w:id="91"/>
      <w:bookmarkEnd w:id="92"/>
      <w:bookmarkEnd w:id="93"/>
    </w:p>
    <w:p w14:paraId="7FEDFCA1">
      <w:pPr>
        <w:pStyle w:val="100"/>
        <w:outlineLvl w:val="9"/>
        <w:rPr>
          <w:rFonts w:hint="eastAsia" w:ascii="宋体" w:hAnsi="宋体" w:eastAsia="宋体" w:cs="宋体"/>
          <w:color w:val="auto"/>
          <w:sz w:val="28"/>
          <w:szCs w:val="28"/>
          <w:highlight w:val="none"/>
        </w:rPr>
      </w:pPr>
      <w:bookmarkStart w:id="94" w:name="_Toc29432"/>
      <w:bookmarkStart w:id="95" w:name="_Toc10324"/>
      <w:bookmarkStart w:id="96" w:name="_Toc7870"/>
      <w:r>
        <w:rPr>
          <w:rFonts w:hint="eastAsia" w:ascii="宋体" w:hAnsi="宋体" w:eastAsia="宋体" w:cs="宋体"/>
          <w:color w:val="auto"/>
          <w:sz w:val="28"/>
          <w:szCs w:val="28"/>
          <w:highlight w:val="none"/>
        </w:rPr>
        <w:t>1．组成及格式</w:t>
      </w:r>
      <w:bookmarkEnd w:id="94"/>
      <w:bookmarkEnd w:id="95"/>
      <w:bookmarkEnd w:id="96"/>
    </w:p>
    <w:p w14:paraId="6801A9F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供应商依照招标文件第五章《投标文件构成及格式》给定形式进行编制投标文件。</w:t>
      </w:r>
    </w:p>
    <w:p w14:paraId="22E358B5">
      <w:pPr>
        <w:pStyle w:val="100"/>
        <w:outlineLvl w:val="9"/>
        <w:rPr>
          <w:rFonts w:hint="eastAsia" w:ascii="宋体" w:hAnsi="宋体" w:eastAsia="宋体" w:cs="宋体"/>
          <w:color w:val="auto"/>
          <w:sz w:val="28"/>
          <w:szCs w:val="28"/>
          <w:highlight w:val="none"/>
        </w:rPr>
      </w:pPr>
      <w:bookmarkStart w:id="97" w:name="_Toc7406"/>
      <w:bookmarkStart w:id="98" w:name="_Toc2969"/>
      <w:bookmarkStart w:id="99" w:name="_Toc8641"/>
      <w:r>
        <w:rPr>
          <w:rFonts w:hint="eastAsia" w:ascii="宋体" w:hAnsi="宋体" w:eastAsia="宋体" w:cs="宋体"/>
          <w:color w:val="auto"/>
          <w:sz w:val="28"/>
          <w:szCs w:val="28"/>
          <w:highlight w:val="none"/>
        </w:rPr>
        <w:t>2．语言</w:t>
      </w:r>
      <w:bookmarkEnd w:id="97"/>
      <w:bookmarkEnd w:id="98"/>
      <w:bookmarkEnd w:id="99"/>
    </w:p>
    <w:p w14:paraId="06CECCA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招标活动的所有文件、资料、函电文字均使用简体中文，确需提交用其他语言形成的资料，必须翻译成简体中文，如有差异，以简体中文为准。</w:t>
      </w:r>
    </w:p>
    <w:p w14:paraId="468E05A6">
      <w:pPr>
        <w:pStyle w:val="100"/>
        <w:outlineLvl w:val="9"/>
        <w:rPr>
          <w:rFonts w:hint="eastAsia" w:ascii="宋体" w:hAnsi="宋体" w:eastAsia="宋体" w:cs="宋体"/>
          <w:color w:val="auto"/>
          <w:sz w:val="28"/>
          <w:szCs w:val="28"/>
          <w:highlight w:val="none"/>
        </w:rPr>
      </w:pPr>
      <w:bookmarkStart w:id="100" w:name="_Toc5789"/>
      <w:bookmarkStart w:id="101" w:name="_Toc20329"/>
      <w:bookmarkStart w:id="102" w:name="_Toc3202"/>
      <w:r>
        <w:rPr>
          <w:rFonts w:hint="eastAsia" w:ascii="宋体" w:hAnsi="宋体" w:eastAsia="宋体" w:cs="宋体"/>
          <w:color w:val="auto"/>
          <w:sz w:val="28"/>
          <w:szCs w:val="28"/>
          <w:highlight w:val="none"/>
        </w:rPr>
        <w:t>3．计量单位</w:t>
      </w:r>
      <w:bookmarkEnd w:id="100"/>
      <w:bookmarkEnd w:id="101"/>
      <w:bookmarkEnd w:id="102"/>
    </w:p>
    <w:p w14:paraId="517B891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投标文件的计量单位应使用中华人民共和国法定计量单位，但招标文件另有规定的除外。</w:t>
      </w:r>
    </w:p>
    <w:p w14:paraId="0B483F9C">
      <w:pPr>
        <w:pStyle w:val="101"/>
        <w:spacing w:before="197" w:after="197"/>
        <w:ind w:firstLine="579"/>
        <w:outlineLvl w:val="3"/>
        <w:rPr>
          <w:rFonts w:hint="eastAsia" w:ascii="宋体" w:hAnsi="宋体" w:eastAsia="宋体" w:cs="宋体"/>
          <w:color w:val="auto"/>
          <w:sz w:val="28"/>
          <w:szCs w:val="28"/>
          <w:highlight w:val="none"/>
        </w:rPr>
      </w:pPr>
      <w:bookmarkStart w:id="103" w:name="_Toc27677"/>
      <w:bookmarkStart w:id="104" w:name="_Toc32395"/>
      <w:bookmarkStart w:id="105" w:name="_Toc19653"/>
      <w:r>
        <w:rPr>
          <w:rFonts w:hint="eastAsia" w:ascii="宋体" w:hAnsi="宋体" w:eastAsia="宋体" w:cs="宋体"/>
          <w:color w:val="auto"/>
          <w:sz w:val="28"/>
          <w:szCs w:val="28"/>
          <w:highlight w:val="none"/>
        </w:rPr>
        <w:t>（二）投标文件的有效期</w:t>
      </w:r>
      <w:bookmarkEnd w:id="103"/>
      <w:bookmarkEnd w:id="104"/>
      <w:bookmarkEnd w:id="105"/>
    </w:p>
    <w:p w14:paraId="6DBCF2E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投标文件有效期为自开标之日起不少于90个日历日。如中标，延长至合同执行完毕时止。</w:t>
      </w:r>
    </w:p>
    <w:p w14:paraId="04BE65DA">
      <w:pPr>
        <w:pStyle w:val="101"/>
        <w:spacing w:before="197" w:after="197"/>
        <w:ind w:firstLine="579"/>
        <w:outlineLvl w:val="3"/>
        <w:rPr>
          <w:rFonts w:hint="eastAsia" w:ascii="宋体" w:hAnsi="宋体" w:eastAsia="宋体" w:cs="宋体"/>
          <w:color w:val="auto"/>
          <w:sz w:val="28"/>
          <w:szCs w:val="28"/>
          <w:highlight w:val="none"/>
        </w:rPr>
      </w:pPr>
      <w:bookmarkStart w:id="106" w:name="_Toc10386"/>
      <w:bookmarkStart w:id="107" w:name="_Toc931"/>
      <w:bookmarkStart w:id="108" w:name="_Toc27115"/>
      <w:r>
        <w:rPr>
          <w:rFonts w:hint="eastAsia" w:ascii="宋体" w:hAnsi="宋体" w:eastAsia="宋体" w:cs="宋体"/>
          <w:color w:val="auto"/>
          <w:sz w:val="28"/>
          <w:szCs w:val="28"/>
          <w:highlight w:val="none"/>
        </w:rPr>
        <w:t>（三）投标报价</w:t>
      </w:r>
      <w:bookmarkEnd w:id="106"/>
      <w:bookmarkEnd w:id="107"/>
      <w:bookmarkEnd w:id="108"/>
    </w:p>
    <w:p w14:paraId="1756140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投标报价是供应商响应采购项目要求的全部工作内容的价格体现，包括完成采购内容及过程中相关其它的一切费用。</w:t>
      </w:r>
    </w:p>
    <w:p w14:paraId="5C4AC3A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1．供应商在报价时应充分考虑所有可能发生的费用，招标文件未列明，而供应商认为应当计取的费用均应列入报价中。报价时不论是否计取，采购人均按已计取对待。</w:t>
      </w:r>
    </w:p>
    <w:p w14:paraId="3B40D49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14:paraId="412815B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3．投标报价货币：人民币；单位：元。</w:t>
      </w:r>
    </w:p>
    <w:p w14:paraId="39D6198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4．投标文件报价出现前后不一致的，除招标文件另有规定外，按照下列规则修正：</w:t>
      </w:r>
    </w:p>
    <w:p w14:paraId="659DEFD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（1）投标文件中开标一览表内容与投标文件中其他位置相应内容表述不一致的，以开标一览表为准；</w:t>
      </w:r>
    </w:p>
    <w:p w14:paraId="7705D8F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662B80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（3）单价金额小数点或者百分比有明显错位的，以开标一览表的总价为准，并修改单价；</w:t>
      </w:r>
    </w:p>
    <w:p w14:paraId="043BD00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（4）总价金额与按单价汇总金额不一致的，以单价金额计算结果为准。</w:t>
      </w:r>
    </w:p>
    <w:p w14:paraId="05A82EF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同时出现两种以上不一致的，按照前款规定的顺序修正。修正后的报价经供应商确认后产生约束力，供应商不确认的，其投标无效。</w:t>
      </w:r>
    </w:p>
    <w:p w14:paraId="201EFA8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5．因供应商对招标文件理解不透、误解、疏漏或对市场行情了解不清造成的后果和风险，均由供应商自己负责。</w:t>
      </w:r>
    </w:p>
    <w:p w14:paraId="5F7DA804">
      <w:pPr>
        <w:pStyle w:val="101"/>
        <w:spacing w:before="197" w:after="197"/>
        <w:ind w:firstLine="579"/>
        <w:outlineLvl w:val="3"/>
        <w:rPr>
          <w:rFonts w:hint="eastAsia" w:ascii="宋体" w:hAnsi="宋体" w:eastAsia="宋体" w:cs="宋体"/>
          <w:color w:val="auto"/>
          <w:sz w:val="28"/>
          <w:szCs w:val="28"/>
          <w:highlight w:val="none"/>
        </w:rPr>
      </w:pPr>
      <w:bookmarkStart w:id="109" w:name="_Toc20169"/>
      <w:bookmarkStart w:id="110" w:name="_Toc19004"/>
      <w:bookmarkStart w:id="111" w:name="_Toc26096"/>
      <w:r>
        <w:rPr>
          <w:rFonts w:hint="eastAsia" w:ascii="宋体" w:hAnsi="宋体" w:eastAsia="宋体" w:cs="宋体"/>
          <w:color w:val="auto"/>
          <w:sz w:val="28"/>
          <w:szCs w:val="28"/>
          <w:highlight w:val="none"/>
        </w:rPr>
        <w:t>（四）投标文件的制作和签章</w:t>
      </w:r>
      <w:bookmarkEnd w:id="109"/>
      <w:bookmarkEnd w:id="110"/>
      <w:bookmarkEnd w:id="111"/>
    </w:p>
    <w:p w14:paraId="72A38A4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6FCA40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链接地址：</w:t>
      </w:r>
    </w:p>
    <w:p w14:paraId="252E740C">
      <w:pPr>
        <w:spacing w:line="560" w:lineRule="exact"/>
        <w:ind w:firstLine="496" w:firstLineChars="200"/>
        <w:jc w:val="both"/>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"http://sxggzyjy.xa.gov.cn/fwzn/004003/20181115/4d59c184-e8f6-4d5a-a416-c2f6b0601e66.html" </w:instrText>
      </w:r>
      <w:r>
        <w:rPr>
          <w:color w:val="auto"/>
          <w:highlight w:val="none"/>
        </w:rPr>
        <w:fldChar w:fldCharType="separate"/>
      </w:r>
      <w:r>
        <w:rPr>
          <w:rStyle w:val="40"/>
          <w:rFonts w:hint="eastAsia" w:ascii="宋体" w:hAnsi="宋体" w:eastAsia="宋体" w:cs="宋体"/>
          <w:color w:val="auto"/>
          <w:sz w:val="28"/>
          <w:szCs w:val="28"/>
          <w:highlight w:val="none"/>
        </w:rPr>
        <w:t>http://sxggzyjy.xa.gov.cn/fwzn/004003/20181115/4d59c184-e8f6-4d5a-a416-c2f6b0601e66.html</w:t>
      </w:r>
      <w:r>
        <w:rPr>
          <w:rStyle w:val="40"/>
          <w:rFonts w:hint="eastAsia" w:ascii="宋体" w:hAnsi="宋体" w:eastAsia="宋体" w:cs="宋体"/>
          <w:color w:val="auto"/>
          <w:sz w:val="28"/>
          <w:szCs w:val="28"/>
          <w:highlight w:val="none"/>
        </w:rPr>
        <w:fldChar w:fldCharType="end"/>
      </w:r>
    </w:p>
    <w:p w14:paraId="0226A45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F7C398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7BB7132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3．电子投标文件制作过程中，需要法定代表人签字或盖章的地方，请使用“法人CA锁”进行签章；需要加盖供应商公章的地方，请使用“企业CA锁”进行签章。</w:t>
      </w:r>
    </w:p>
    <w:p w14:paraId="3965E73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15638671">
      <w:pPr>
        <w:pStyle w:val="101"/>
        <w:spacing w:before="197" w:after="197"/>
        <w:ind w:firstLine="579"/>
        <w:outlineLvl w:val="3"/>
        <w:rPr>
          <w:rFonts w:hint="eastAsia" w:ascii="宋体" w:hAnsi="宋体" w:eastAsia="宋体" w:cs="宋体"/>
          <w:color w:val="auto"/>
          <w:sz w:val="28"/>
          <w:szCs w:val="28"/>
          <w:highlight w:val="none"/>
        </w:rPr>
      </w:pPr>
      <w:bookmarkStart w:id="112" w:name="_Toc3908"/>
      <w:bookmarkStart w:id="113" w:name="_Toc16688"/>
      <w:bookmarkStart w:id="114" w:name="_Toc32257"/>
      <w:r>
        <w:rPr>
          <w:rFonts w:hint="eastAsia" w:ascii="宋体" w:hAnsi="宋体" w:eastAsia="宋体" w:cs="宋体"/>
          <w:color w:val="auto"/>
          <w:sz w:val="28"/>
          <w:szCs w:val="28"/>
          <w:highlight w:val="none"/>
        </w:rPr>
        <w:t>（五）投标文件的加密和提交</w:t>
      </w:r>
      <w:bookmarkEnd w:id="112"/>
      <w:bookmarkEnd w:id="113"/>
      <w:bookmarkEnd w:id="114"/>
    </w:p>
    <w:p w14:paraId="26295AA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1．在生成电子投标文件时，需要使用CA锁对投标文件进行加密。</w:t>
      </w:r>
    </w:p>
    <w:p w14:paraId="1B872B4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注意：加密投标文件和开标时解密投标文件应当使用同一CA，否则将会导致解密失败。</w:t>
      </w:r>
    </w:p>
    <w:p w14:paraId="2B93491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C68919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3．上传文件有误或需要重新提交的，可先撤销已经上传的文件，然后重新上传新文件。</w:t>
      </w:r>
    </w:p>
    <w:p w14:paraId="62A6F0BA">
      <w:pPr>
        <w:pStyle w:val="101"/>
        <w:spacing w:before="197" w:after="197"/>
        <w:ind w:firstLine="579"/>
        <w:outlineLvl w:val="3"/>
        <w:rPr>
          <w:rFonts w:hint="eastAsia" w:ascii="宋体" w:hAnsi="宋体" w:eastAsia="宋体" w:cs="宋体"/>
          <w:color w:val="auto"/>
          <w:sz w:val="28"/>
          <w:szCs w:val="28"/>
          <w:highlight w:val="none"/>
        </w:rPr>
      </w:pPr>
      <w:bookmarkStart w:id="115" w:name="_Toc9823"/>
      <w:bookmarkStart w:id="116" w:name="_Toc3106"/>
      <w:bookmarkStart w:id="117" w:name="_Toc1286"/>
      <w:r>
        <w:rPr>
          <w:rFonts w:hint="eastAsia" w:ascii="宋体" w:hAnsi="宋体" w:eastAsia="宋体" w:cs="宋体"/>
          <w:color w:val="auto"/>
          <w:sz w:val="28"/>
          <w:szCs w:val="28"/>
          <w:highlight w:val="none"/>
        </w:rPr>
        <w:t>（六）投标文件的补充、修改和撤回</w:t>
      </w:r>
      <w:bookmarkEnd w:id="115"/>
      <w:bookmarkEnd w:id="116"/>
      <w:bookmarkEnd w:id="117"/>
    </w:p>
    <w:p w14:paraId="396DEE5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495DEA4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2．供应商在提交投标文件截止时间后，撤回投标文件的，投标保证金不予退还。</w:t>
      </w:r>
    </w:p>
    <w:p w14:paraId="32F1A21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AE48008">
      <w:pPr>
        <w:pStyle w:val="101"/>
        <w:spacing w:before="197" w:after="197"/>
        <w:ind w:firstLine="579"/>
        <w:outlineLvl w:val="3"/>
        <w:rPr>
          <w:rFonts w:hint="eastAsia" w:ascii="宋体" w:hAnsi="宋体" w:eastAsia="宋体" w:cs="宋体"/>
          <w:color w:val="auto"/>
          <w:sz w:val="28"/>
          <w:szCs w:val="28"/>
          <w:highlight w:val="none"/>
        </w:rPr>
      </w:pPr>
      <w:bookmarkStart w:id="118" w:name="_Toc18903"/>
      <w:bookmarkStart w:id="119" w:name="_Toc23655"/>
      <w:bookmarkStart w:id="120" w:name="_Toc11956"/>
      <w:r>
        <w:rPr>
          <w:rFonts w:hint="eastAsia" w:ascii="宋体" w:hAnsi="宋体" w:eastAsia="宋体" w:cs="宋体"/>
          <w:color w:val="auto"/>
          <w:sz w:val="28"/>
          <w:szCs w:val="28"/>
          <w:highlight w:val="none"/>
        </w:rPr>
        <w:t>（七）关于投标文件的雷同性分析</w:t>
      </w:r>
      <w:bookmarkEnd w:id="118"/>
      <w:bookmarkEnd w:id="119"/>
      <w:bookmarkEnd w:id="120"/>
    </w:p>
    <w:p w14:paraId="2B10A2C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3841671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401D8D9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8CCB8D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若“文件创建标识码”一致，则表示不同投标供应商使用投标文件制作软件时，使用同一源工程文件，该情形建议由评标委员会结合项目情况综合判定。</w:t>
      </w:r>
    </w:p>
    <w:p w14:paraId="70DBB651">
      <w:pPr>
        <w:pStyle w:val="101"/>
        <w:spacing w:before="197" w:after="197"/>
        <w:ind w:firstLine="579"/>
        <w:outlineLvl w:val="3"/>
        <w:rPr>
          <w:rFonts w:hint="eastAsia" w:ascii="宋体" w:hAnsi="宋体" w:eastAsia="宋体" w:cs="宋体"/>
          <w:color w:val="auto"/>
          <w:sz w:val="28"/>
          <w:szCs w:val="28"/>
          <w:highlight w:val="none"/>
        </w:rPr>
      </w:pPr>
      <w:bookmarkStart w:id="121" w:name="_Toc26136"/>
      <w:bookmarkStart w:id="122" w:name="_Toc12362"/>
      <w:bookmarkStart w:id="123" w:name="_Toc32375"/>
      <w:r>
        <w:rPr>
          <w:rFonts w:hint="eastAsia" w:ascii="宋体" w:hAnsi="宋体" w:eastAsia="宋体" w:cs="宋体"/>
          <w:color w:val="auto"/>
          <w:sz w:val="28"/>
          <w:szCs w:val="28"/>
          <w:highlight w:val="none"/>
        </w:rPr>
        <w:t>（八）投标文件被拒绝接收的情形</w:t>
      </w:r>
      <w:bookmarkEnd w:id="121"/>
      <w:bookmarkEnd w:id="122"/>
      <w:bookmarkEnd w:id="123"/>
    </w:p>
    <w:p w14:paraId="37EE33B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1．误投的或采用旧版电子招标文件制作的；</w:t>
      </w:r>
    </w:p>
    <w:p w14:paraId="4841E74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2．逾期提交电子投标文件的。</w:t>
      </w:r>
    </w:p>
    <w:p w14:paraId="2352E17E">
      <w:pPr>
        <w:pStyle w:val="4"/>
        <w:rPr>
          <w:rFonts w:hint="eastAsia" w:ascii="宋体" w:hAnsi="宋体" w:eastAsia="宋体" w:cs="宋体"/>
          <w:color w:val="auto"/>
          <w:sz w:val="28"/>
          <w:szCs w:val="28"/>
          <w:highlight w:val="none"/>
        </w:rPr>
      </w:pPr>
      <w:bookmarkStart w:id="124" w:name="_Toc16145"/>
      <w:r>
        <w:rPr>
          <w:rFonts w:hint="eastAsia" w:ascii="宋体" w:hAnsi="宋体" w:eastAsia="宋体" w:cs="宋体"/>
          <w:color w:val="auto"/>
          <w:sz w:val="28"/>
          <w:szCs w:val="28"/>
          <w:highlight w:val="none"/>
        </w:rPr>
        <w:t>五、开标程序</w:t>
      </w:r>
      <w:bookmarkEnd w:id="124"/>
    </w:p>
    <w:p w14:paraId="3DA16FE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开标工作由采购代理机构组织实施，整个过程受同级政府采购监管机构的监督、管理。</w:t>
      </w:r>
    </w:p>
    <w:p w14:paraId="754F7FB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“不见面开标”是依托政府采购云平台实现的供应商在线参与开标的一种组织形式。供应商无需抵达开标现场，即可在线实现开标、解密、澄清等操作。</w:t>
      </w:r>
    </w:p>
    <w:p w14:paraId="05E32DD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1．供应商登录：开标前，请各供应商至少提前半小时登录西安市公共资源交易平台〖首页·〉不见面开标〗系统。</w:t>
      </w:r>
    </w:p>
    <w:p w14:paraId="7761E73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2．主持人宣布开标：提交投标文件截止时间过后，系统将不再接收任何投标文件。</w:t>
      </w:r>
    </w:p>
    <w:p w14:paraId="01F03AF2">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7812031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4．唱标：对于公开招标项目，“不见面开标”系统将自动展示供应商名单及其投标报价。</w:t>
      </w:r>
    </w:p>
    <w:p w14:paraId="660D9DD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5．开标结束：进入评审环节。供应商请保持在线，评审期间评标委员会可能会要求供应商做相应的澄清。因供应商擅自离席造成的不利后果，由供应商自行承担。</w:t>
      </w:r>
    </w:p>
    <w:p w14:paraId="336E18A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“不见面开标”系统操作说明：详见西安市公共资源交易平台〖首页·〉服务指南·〉下载专区〗中的《西安公共资源交易不见面开标大厅供应商操作手册》。</w:t>
      </w:r>
    </w:p>
    <w:p w14:paraId="21B491B1">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链接地址：</w:t>
      </w:r>
      <w:r>
        <w:rPr>
          <w:color w:val="auto"/>
          <w:highlight w:val="none"/>
        </w:rPr>
        <w:fldChar w:fldCharType="begin"/>
      </w:r>
      <w:r>
        <w:rPr>
          <w:color w:val="auto"/>
          <w:highlight w:val="none"/>
        </w:rPr>
        <w:instrText xml:space="preserve"> HYPERLINK "http://sxggzyjy.xa.gov.cn/fwzn/004003/20200426/bc8b2c1e-abe2-4168-913c-68ff93345faf.html" </w:instrText>
      </w:r>
      <w:r>
        <w:rPr>
          <w:color w:val="auto"/>
          <w:highlight w:val="none"/>
        </w:rPr>
        <w:fldChar w:fldCharType="separate"/>
      </w:r>
      <w:r>
        <w:rPr>
          <w:rStyle w:val="40"/>
          <w:rFonts w:hint="eastAsia" w:ascii="宋体" w:hAnsi="宋体" w:eastAsia="宋体" w:cs="宋体"/>
          <w:color w:val="auto"/>
          <w:sz w:val="28"/>
          <w:szCs w:val="28"/>
          <w:highlight w:val="none"/>
          <w:u w:val="none"/>
        </w:rPr>
        <w:t>http://sxggzyjy.xa.gov.cn/fwzn/004003/20200426/bc8b2c1e-abe2-4168-913c-68ff93345faf.html</w:t>
      </w:r>
      <w:r>
        <w:rPr>
          <w:rStyle w:val="40"/>
          <w:rFonts w:hint="eastAsia" w:ascii="宋体" w:hAnsi="宋体" w:eastAsia="宋体" w:cs="宋体"/>
          <w:color w:val="auto"/>
          <w:sz w:val="28"/>
          <w:szCs w:val="28"/>
          <w:highlight w:val="none"/>
          <w:u w:val="none"/>
        </w:rPr>
        <w:fldChar w:fldCharType="end"/>
      </w:r>
    </w:p>
    <w:p w14:paraId="2745F0AB">
      <w:pPr>
        <w:pStyle w:val="101"/>
        <w:spacing w:before="197" w:after="197"/>
        <w:ind w:firstLine="579"/>
        <w:outlineLvl w:val="3"/>
        <w:rPr>
          <w:rFonts w:hint="eastAsia" w:ascii="宋体" w:hAnsi="宋体" w:eastAsia="宋体" w:cs="宋体"/>
          <w:color w:val="auto"/>
          <w:sz w:val="28"/>
          <w:szCs w:val="28"/>
          <w:highlight w:val="none"/>
        </w:rPr>
      </w:pPr>
      <w:bookmarkStart w:id="125" w:name="_Toc7605"/>
      <w:bookmarkStart w:id="126" w:name="_Toc10708"/>
      <w:bookmarkStart w:id="127" w:name="_Toc10446"/>
      <w:r>
        <w:rPr>
          <w:rFonts w:hint="eastAsia" w:ascii="宋体" w:hAnsi="宋体" w:eastAsia="宋体" w:cs="宋体"/>
          <w:color w:val="auto"/>
          <w:sz w:val="28"/>
          <w:szCs w:val="28"/>
          <w:highlight w:val="none"/>
        </w:rPr>
        <w:t>（一）开标环节投标文件视为无效的情形</w:t>
      </w:r>
      <w:bookmarkEnd w:id="125"/>
      <w:bookmarkEnd w:id="126"/>
      <w:bookmarkEnd w:id="127"/>
    </w:p>
    <w:p w14:paraId="412EA0E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1．供应商放弃或拒绝对电子投标文件进行解密的；</w:t>
      </w:r>
    </w:p>
    <w:p w14:paraId="34DF43B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2．因供应商自身原因，导致未在规定的解密时限内完整解密的，如忘带CA锁、或携带的CA锁与加密文件的CA锁不同、或使用旧版招标文件编制投标文件等情形；</w:t>
      </w:r>
    </w:p>
    <w:p w14:paraId="7434904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3．上传的电子投标文件无法正常打开的；</w:t>
      </w:r>
    </w:p>
    <w:p w14:paraId="1F8ED4D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4．政府采购法律法规规定的其他无效情形。</w:t>
      </w:r>
    </w:p>
    <w:p w14:paraId="45893EF6">
      <w:pPr>
        <w:pStyle w:val="101"/>
        <w:spacing w:before="197" w:after="197"/>
        <w:ind w:firstLine="579"/>
        <w:outlineLvl w:val="3"/>
        <w:rPr>
          <w:rFonts w:hint="eastAsia" w:ascii="宋体" w:hAnsi="宋体" w:eastAsia="宋体" w:cs="宋体"/>
          <w:color w:val="auto"/>
          <w:sz w:val="28"/>
          <w:szCs w:val="28"/>
          <w:highlight w:val="none"/>
        </w:rPr>
      </w:pPr>
      <w:bookmarkStart w:id="128" w:name="_Toc28474"/>
      <w:bookmarkStart w:id="129" w:name="_Toc10968"/>
      <w:bookmarkStart w:id="130" w:name="_Toc25819"/>
      <w:r>
        <w:rPr>
          <w:rFonts w:hint="eastAsia" w:ascii="宋体" w:hAnsi="宋体" w:eastAsia="宋体" w:cs="宋体"/>
          <w:color w:val="auto"/>
          <w:sz w:val="28"/>
          <w:szCs w:val="28"/>
          <w:highlight w:val="none"/>
        </w:rPr>
        <w:t>（二）突发状况的应急处置</w:t>
      </w:r>
      <w:bookmarkEnd w:id="128"/>
      <w:bookmarkEnd w:id="129"/>
      <w:bookmarkEnd w:id="130"/>
    </w:p>
    <w:p w14:paraId="3D4135F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在开评标过程中，如因停电、断网、电子化系统故障等特殊原因导致电子化开、评标工作无法正常进行时，采购代理机构将及时汇报政府采购监管部门，并等待或中止后续活动。</w:t>
      </w:r>
    </w:p>
    <w:p w14:paraId="09BF1879">
      <w:pPr>
        <w:pStyle w:val="4"/>
        <w:rPr>
          <w:rFonts w:hint="eastAsia" w:ascii="宋体" w:hAnsi="宋体" w:eastAsia="宋体" w:cs="宋体"/>
          <w:color w:val="auto"/>
          <w:sz w:val="28"/>
          <w:szCs w:val="28"/>
          <w:highlight w:val="none"/>
        </w:rPr>
      </w:pPr>
      <w:bookmarkStart w:id="131" w:name="_Toc27949"/>
      <w:r>
        <w:rPr>
          <w:rFonts w:hint="eastAsia" w:ascii="宋体" w:hAnsi="宋体" w:eastAsia="宋体" w:cs="宋体"/>
          <w:color w:val="auto"/>
          <w:sz w:val="28"/>
          <w:szCs w:val="28"/>
          <w:highlight w:val="none"/>
        </w:rPr>
        <w:t>六、资格审查</w:t>
      </w:r>
      <w:bookmarkEnd w:id="131"/>
    </w:p>
    <w:p w14:paraId="031A9D1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开标结束后，依据法律法规和招标文件的规定，对投标文件中的资格证明文件等进行审查，以确保供应商是否具备相应资格。</w:t>
      </w:r>
    </w:p>
    <w:p w14:paraId="2F0971F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供应商提供的资格证明文件缺少任何一项或有任何一项不满足，都将被视为无效投标。供应商所提供的资格证明文件应图文清晰、易于辨识，否则由此带来的不利后果由供应商自行承担。</w:t>
      </w:r>
    </w:p>
    <w:p w14:paraId="1865FF2E">
      <w:pPr>
        <w:spacing w:line="560" w:lineRule="exact"/>
        <w:ind w:firstLine="576"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合格供应商不足3家的，不得评标。</w:t>
      </w:r>
    </w:p>
    <w:p w14:paraId="1BFB4827">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14:paraId="05F17B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120BBBB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940" w:type="dxa"/>
            <w:tcBorders>
              <w:top w:val="single" w:color="auto" w:sz="12" w:space="0"/>
              <w:bottom w:val="single" w:color="auto" w:sz="2" w:space="0"/>
            </w:tcBorders>
            <w:shd w:val="clear" w:color="auto" w:fill="F1F1F1" w:themeFill="background1" w:themeFillShade="F2"/>
            <w:vAlign w:val="center"/>
          </w:tcPr>
          <w:p w14:paraId="672E04A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资格项</w:t>
            </w:r>
          </w:p>
        </w:tc>
        <w:tc>
          <w:tcPr>
            <w:tcW w:w="6092" w:type="dxa"/>
            <w:tcBorders>
              <w:top w:val="single" w:color="auto" w:sz="12" w:space="0"/>
              <w:bottom w:val="single" w:color="auto" w:sz="2" w:space="0"/>
            </w:tcBorders>
            <w:shd w:val="clear" w:color="auto" w:fill="F1F1F1" w:themeFill="background1" w:themeFillShade="F2"/>
            <w:vAlign w:val="center"/>
          </w:tcPr>
          <w:p w14:paraId="6B75169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审查内容</w:t>
            </w:r>
          </w:p>
        </w:tc>
      </w:tr>
      <w:tr w14:paraId="2E67B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14:paraId="1C243742">
            <w:pPr>
              <w:jc w:val="center"/>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8032" w:type="dxa"/>
            <w:gridSpan w:val="2"/>
            <w:tcBorders>
              <w:top w:val="single" w:color="auto" w:sz="2" w:space="0"/>
            </w:tcBorders>
            <w:shd w:val="clear" w:color="auto" w:fill="auto"/>
            <w:vAlign w:val="center"/>
          </w:tcPr>
          <w:p w14:paraId="3468AAA8">
            <w:pPr>
              <w:jc w:val="center"/>
              <w:rPr>
                <w:rFonts w:hint="eastAsia" w:ascii="宋体" w:hAnsi="宋体" w:eastAsia="宋体" w:cs="宋体"/>
                <w:color w:val="auto"/>
                <w:highlight w:val="none"/>
              </w:rPr>
            </w:pPr>
            <w:r>
              <w:rPr>
                <w:rFonts w:hint="eastAsia" w:ascii="宋体" w:hAnsi="宋体" w:eastAsia="宋体" w:cs="宋体"/>
                <w:color w:val="auto"/>
                <w:highlight w:val="none"/>
              </w:rPr>
              <w:t>基本资格条件</w:t>
            </w:r>
          </w:p>
        </w:tc>
      </w:tr>
      <w:tr w14:paraId="05972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B72C8A3">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40" w:type="dxa"/>
            <w:vAlign w:val="center"/>
          </w:tcPr>
          <w:p w14:paraId="5D87E95C">
            <w:pPr>
              <w:jc w:val="center"/>
              <w:rPr>
                <w:rFonts w:hint="eastAsia" w:ascii="宋体" w:hAnsi="宋体" w:eastAsia="宋体" w:cs="宋体"/>
                <w:color w:val="auto"/>
                <w:highlight w:val="none"/>
              </w:rPr>
            </w:pPr>
            <w:r>
              <w:rPr>
                <w:rFonts w:hint="eastAsia" w:ascii="宋体" w:hAnsi="宋体" w:eastAsia="宋体" w:cs="宋体"/>
                <w:color w:val="auto"/>
                <w:highlight w:val="none"/>
              </w:rPr>
              <w:t>有效的主体资格证明</w:t>
            </w:r>
          </w:p>
        </w:tc>
        <w:tc>
          <w:tcPr>
            <w:tcW w:w="6092" w:type="dxa"/>
            <w:vAlign w:val="center"/>
          </w:tcPr>
          <w:p w14:paraId="42104796">
            <w:pPr>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具有独立承担民事责任能力的法人、其他组织或自然人，并出具合法有效的营业执照或事业单位法人证书等国家规定的相关证明，自然人参与的提供其身份证明；</w:t>
            </w:r>
          </w:p>
        </w:tc>
      </w:tr>
      <w:tr w14:paraId="1071B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27A0777">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40" w:type="dxa"/>
            <w:vAlign w:val="center"/>
          </w:tcPr>
          <w:p w14:paraId="6E7D2B15">
            <w:pPr>
              <w:jc w:val="center"/>
              <w:rPr>
                <w:rFonts w:hint="eastAsia" w:ascii="宋体" w:hAnsi="宋体" w:eastAsia="宋体" w:cs="宋体"/>
                <w:color w:val="auto"/>
                <w:highlight w:val="none"/>
              </w:rPr>
            </w:pPr>
            <w:r>
              <w:rPr>
                <w:rFonts w:hint="eastAsia" w:ascii="宋体" w:hAnsi="宋体" w:eastAsia="宋体" w:cs="宋体"/>
                <w:color w:val="auto"/>
                <w:highlight w:val="none"/>
              </w:rPr>
              <w:t>社会保障资金缴纳证明</w:t>
            </w:r>
          </w:p>
        </w:tc>
        <w:tc>
          <w:tcPr>
            <w:tcW w:w="6092" w:type="dxa"/>
            <w:vAlign w:val="center"/>
          </w:tcPr>
          <w:p w14:paraId="52EAB013">
            <w:pPr>
              <w:rPr>
                <w:rFonts w:hint="eastAsia" w:ascii="宋体" w:hAnsi="宋体" w:eastAsia="宋体" w:cs="宋体"/>
                <w:color w:val="auto"/>
                <w:highlight w:val="none"/>
              </w:rPr>
            </w:pPr>
            <w:r>
              <w:rPr>
                <w:rFonts w:hint="eastAsia" w:ascii="宋体" w:hAnsi="宋体" w:eastAsia="宋体" w:cs="宋体"/>
                <w:color w:val="auto"/>
                <w:highlight w:val="none"/>
              </w:rPr>
              <w:t>社会保障资金缴纳证明：供应商提供本单位2024年10月至今已缴纳的至少一个月的社会保障资金缴存单据或社保机构开具的社会保险参保缴费情况证明，单据或证明上应有社保机构或代收机构的公章。依法不需要缴纳社会保障资金的供应商应提供相关文件证明；</w:t>
            </w:r>
          </w:p>
        </w:tc>
      </w:tr>
      <w:tr w14:paraId="1DA4C3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53A8523">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40" w:type="dxa"/>
            <w:vAlign w:val="center"/>
          </w:tcPr>
          <w:p w14:paraId="61128760">
            <w:pPr>
              <w:jc w:val="center"/>
              <w:rPr>
                <w:rFonts w:hint="eastAsia" w:ascii="宋体" w:hAnsi="宋体" w:eastAsia="宋体" w:cs="宋体"/>
                <w:color w:val="auto"/>
                <w:highlight w:val="none"/>
              </w:rPr>
            </w:pPr>
            <w:r>
              <w:rPr>
                <w:rFonts w:hint="eastAsia" w:ascii="宋体" w:hAnsi="宋体" w:eastAsia="宋体" w:cs="宋体"/>
                <w:color w:val="auto"/>
                <w:highlight w:val="none"/>
              </w:rPr>
              <w:t>税收缴纳证明</w:t>
            </w:r>
          </w:p>
        </w:tc>
        <w:tc>
          <w:tcPr>
            <w:tcW w:w="6092" w:type="dxa"/>
            <w:vAlign w:val="center"/>
          </w:tcPr>
          <w:p w14:paraId="1EE04ADD">
            <w:pPr>
              <w:jc w:val="both"/>
              <w:rPr>
                <w:rFonts w:hint="eastAsia" w:ascii="宋体" w:hAnsi="宋体" w:eastAsia="宋体" w:cs="宋体"/>
                <w:color w:val="auto"/>
                <w:highlight w:val="none"/>
              </w:rPr>
            </w:pPr>
            <w:r>
              <w:rPr>
                <w:rFonts w:hint="eastAsia" w:ascii="宋体" w:hAnsi="宋体" w:eastAsia="宋体" w:cs="宋体"/>
                <w:color w:val="auto"/>
                <w:highlight w:val="none"/>
              </w:rPr>
              <w:t>供应商提供本单位2024年10月至今已缴纳的至少一个月纳税证明或完税证明，依法免税的单位应提供相关证明材料（以税款所属时期为准）； </w:t>
            </w:r>
          </w:p>
        </w:tc>
      </w:tr>
      <w:tr w14:paraId="3DD1B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4F555F7">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40" w:type="dxa"/>
            <w:vAlign w:val="center"/>
          </w:tcPr>
          <w:p w14:paraId="62EFC2B0">
            <w:pPr>
              <w:jc w:val="center"/>
              <w:rPr>
                <w:rFonts w:hint="eastAsia" w:ascii="宋体" w:hAnsi="宋体" w:eastAsia="宋体" w:cs="宋体"/>
                <w:color w:val="auto"/>
                <w:highlight w:val="none"/>
              </w:rPr>
            </w:pPr>
            <w:r>
              <w:rPr>
                <w:rFonts w:hint="eastAsia" w:ascii="宋体" w:hAnsi="宋体" w:eastAsia="宋体" w:cs="宋体"/>
                <w:color w:val="auto"/>
                <w:highlight w:val="none"/>
              </w:rPr>
              <w:t>财务状况证明</w:t>
            </w:r>
          </w:p>
        </w:tc>
        <w:tc>
          <w:tcPr>
            <w:tcW w:w="6092" w:type="dxa"/>
            <w:vAlign w:val="center"/>
          </w:tcPr>
          <w:p w14:paraId="230CD19A">
            <w:pPr>
              <w:rPr>
                <w:rFonts w:hint="eastAsia" w:ascii="宋体" w:hAnsi="宋体" w:eastAsia="宋体" w:cs="宋体"/>
                <w:color w:val="auto"/>
                <w:highlight w:val="none"/>
              </w:rPr>
            </w:pPr>
            <w:r>
              <w:rPr>
                <w:rFonts w:hint="eastAsia" w:ascii="宋体" w:hAnsi="宋体" w:eastAsia="宋体" w:cs="宋体"/>
                <w:color w:val="auto"/>
                <w:highlight w:val="none"/>
              </w:rPr>
              <w:t xml:space="preserve">提供本单位经会计师事务所审计的2023年或2024年任意一年的财务审计报告（须带二维码可验证）或在开标日期前六个月内其基本开户银行出具的资信证明；  </w:t>
            </w:r>
          </w:p>
        </w:tc>
      </w:tr>
      <w:tr w14:paraId="6B628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1793F9B">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40" w:type="dxa"/>
            <w:vAlign w:val="center"/>
          </w:tcPr>
          <w:p w14:paraId="1389E731">
            <w:pPr>
              <w:jc w:val="center"/>
              <w:rPr>
                <w:rFonts w:hint="eastAsia" w:ascii="宋体" w:hAnsi="宋体" w:eastAsia="宋体" w:cs="宋体"/>
                <w:color w:val="auto"/>
                <w:highlight w:val="none"/>
              </w:rPr>
            </w:pPr>
            <w:r>
              <w:rPr>
                <w:rFonts w:hint="eastAsia" w:ascii="宋体" w:hAnsi="宋体" w:eastAsia="宋体" w:cs="宋体"/>
                <w:color w:val="auto"/>
                <w:highlight w:val="none"/>
              </w:rPr>
              <w:t>无重大违法记录声明</w:t>
            </w:r>
          </w:p>
        </w:tc>
        <w:tc>
          <w:tcPr>
            <w:tcW w:w="6092" w:type="dxa"/>
            <w:vAlign w:val="center"/>
          </w:tcPr>
          <w:p w14:paraId="2C76FA06">
            <w:pPr>
              <w:rPr>
                <w:rFonts w:hint="eastAsia" w:ascii="宋体" w:hAnsi="宋体" w:eastAsia="宋体" w:cs="宋体"/>
                <w:color w:val="auto"/>
                <w:highlight w:val="none"/>
              </w:rPr>
            </w:pPr>
            <w:r>
              <w:rPr>
                <w:rFonts w:hint="eastAsia" w:ascii="宋体" w:hAnsi="宋体" w:eastAsia="宋体" w:cs="宋体"/>
                <w:color w:val="auto"/>
                <w:highlight w:val="none"/>
              </w:rPr>
              <w:t>供应商应出具参加本次政府采购活动前3年内在经营活动中没有重大违法违纪，以及未被列入失信被执行人、重大税收违法案件当事人名单、政府采购严重违法失信行为记录名单的书面声明；</w:t>
            </w:r>
          </w:p>
        </w:tc>
      </w:tr>
      <w:tr w14:paraId="61DB93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EC80427">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40" w:type="dxa"/>
            <w:vAlign w:val="center"/>
          </w:tcPr>
          <w:p w14:paraId="1A542D34">
            <w:pP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法定代表人委托授权书或身份证明</w:t>
            </w:r>
          </w:p>
        </w:tc>
        <w:tc>
          <w:tcPr>
            <w:tcW w:w="6092" w:type="dxa"/>
            <w:vAlign w:val="center"/>
          </w:tcPr>
          <w:p w14:paraId="2A56DFFC">
            <w:pPr>
              <w:rPr>
                <w:rFonts w:hint="eastAsia" w:ascii="宋体" w:hAnsi="宋体" w:eastAsia="宋体" w:cs="宋体"/>
                <w:color w:val="auto"/>
                <w:highlight w:val="none"/>
              </w:rPr>
            </w:pPr>
            <w:r>
              <w:rPr>
                <w:rFonts w:hint="eastAsia" w:ascii="宋体" w:hAnsi="宋体" w:eastAsia="宋体" w:cs="宋体"/>
                <w:color w:val="auto"/>
                <w:highlight w:val="none"/>
              </w:rPr>
              <w:t>非法定代表人参加投标，须提供法定代表人授权委托书（授权代表参与投标的，提供授权代表开标前三个月内至少一个月的社会保险参保缴费情况证明）；法定代表人参加投标时,只须提供法定代表人身份证；</w:t>
            </w:r>
          </w:p>
        </w:tc>
      </w:tr>
      <w:tr w14:paraId="1BBE6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FC79D1B">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40" w:type="dxa"/>
            <w:vAlign w:val="center"/>
          </w:tcPr>
          <w:p w14:paraId="67E2E7C1">
            <w:pPr>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6092" w:type="dxa"/>
            <w:vAlign w:val="center"/>
          </w:tcPr>
          <w:p w14:paraId="06E1B3E1">
            <w:pPr>
              <w:rPr>
                <w:rFonts w:hint="eastAsia" w:ascii="宋体" w:hAnsi="宋体" w:eastAsia="宋体" w:cs="宋体"/>
                <w:color w:val="auto"/>
                <w:highlight w:val="none"/>
              </w:rPr>
            </w:pPr>
            <w:r>
              <w:rPr>
                <w:rFonts w:hint="eastAsia" w:ascii="宋体" w:hAnsi="宋体" w:eastAsia="宋体" w:cs="宋体"/>
                <w:color w:val="auto"/>
                <w:highlight w:val="none"/>
              </w:rPr>
              <w:t>7.1投标人应为具备国家市场监督管理总局颁发的《中华人民共和国特种设备检验检测机构核准证（综合检验机构甲类）》或者《中华人民共和国特种设备检验检测机构核准证（甲类A2级及以上检验机构）》的特种设备检验检测机构。（提供证明资料）</w:t>
            </w:r>
          </w:p>
        </w:tc>
      </w:tr>
      <w:tr w14:paraId="3BAF0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372C22F">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40" w:type="dxa"/>
            <w:vAlign w:val="center"/>
          </w:tcPr>
          <w:p w14:paraId="14908847">
            <w:pPr>
              <w:jc w:val="center"/>
              <w:rPr>
                <w:rFonts w:hint="eastAsia" w:ascii="宋体" w:hAnsi="宋体" w:eastAsia="宋体" w:cs="宋体"/>
                <w:color w:val="auto"/>
                <w:highlight w:val="none"/>
              </w:rPr>
            </w:pPr>
            <w:r>
              <w:rPr>
                <w:rFonts w:hint="eastAsia" w:ascii="宋体" w:hAnsi="宋体" w:eastAsia="宋体" w:cs="宋体"/>
                <w:color w:val="auto"/>
                <w:highlight w:val="none"/>
              </w:rPr>
              <w:t>针对第一包声明函</w:t>
            </w:r>
          </w:p>
        </w:tc>
        <w:tc>
          <w:tcPr>
            <w:tcW w:w="6092" w:type="dxa"/>
            <w:vAlign w:val="center"/>
          </w:tcPr>
          <w:p w14:paraId="07C8C15F">
            <w:pPr>
              <w:rPr>
                <w:rFonts w:hint="eastAsia" w:ascii="宋体" w:hAnsi="宋体" w:eastAsia="宋体" w:cs="宋体"/>
                <w:color w:val="auto"/>
                <w:highlight w:val="none"/>
              </w:rPr>
            </w:pPr>
            <w:r>
              <w:rPr>
                <w:rFonts w:hint="eastAsia" w:ascii="宋体" w:hAnsi="宋体" w:eastAsia="宋体" w:cs="宋体"/>
                <w:color w:val="auto"/>
                <w:highlight w:val="none"/>
              </w:rPr>
              <w:t>为保证本次监督抽查项目的公正性，投标人应当未在西安市开展机电类特种设备检验、检测工作，须提供书面声明</w:t>
            </w:r>
          </w:p>
        </w:tc>
      </w:tr>
      <w:tr w14:paraId="5AF3CA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4D73FFD">
            <w:pP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40" w:type="dxa"/>
            <w:vAlign w:val="center"/>
          </w:tcPr>
          <w:p w14:paraId="10BEA5A1">
            <w:pPr>
              <w:jc w:val="center"/>
              <w:rPr>
                <w:rFonts w:hint="eastAsia" w:ascii="宋体" w:hAnsi="宋体" w:eastAsia="宋体" w:cs="宋体"/>
                <w:color w:val="auto"/>
                <w:highlight w:val="none"/>
              </w:rPr>
            </w:pPr>
            <w:r>
              <w:rPr>
                <w:rFonts w:hint="eastAsia" w:ascii="宋体" w:hAnsi="宋体" w:eastAsia="宋体" w:cs="宋体"/>
                <w:color w:val="auto"/>
                <w:highlight w:val="none"/>
              </w:rPr>
              <w:t>针对第二包的特殊资质</w:t>
            </w:r>
          </w:p>
        </w:tc>
        <w:tc>
          <w:tcPr>
            <w:tcW w:w="6092" w:type="dxa"/>
            <w:vAlign w:val="center"/>
          </w:tcPr>
          <w:p w14:paraId="7CE4C75C">
            <w:pPr>
              <w:rPr>
                <w:rFonts w:hint="eastAsia" w:ascii="宋体" w:hAnsi="宋体" w:eastAsia="宋体" w:cs="宋体"/>
                <w:color w:val="auto"/>
                <w:highlight w:val="none"/>
              </w:rPr>
            </w:pPr>
            <w:r>
              <w:rPr>
                <w:rFonts w:hint="eastAsia" w:ascii="宋体" w:hAnsi="宋体" w:eastAsia="宋体" w:cs="宋体"/>
                <w:color w:val="auto"/>
                <w:highlight w:val="none"/>
              </w:rPr>
              <w:t>9.1第二包：投标人须具备评审资格并提供国家级或省级市场监管部门书面认定证明或其他相关证明材料。（提供证明材料）</w:t>
            </w:r>
          </w:p>
          <w:p w14:paraId="6FC10543">
            <w:pPr>
              <w:rPr>
                <w:rFonts w:hint="eastAsia" w:ascii="宋体" w:hAnsi="宋体" w:eastAsia="宋体" w:cs="宋体"/>
                <w:color w:val="auto"/>
                <w:highlight w:val="none"/>
              </w:rPr>
            </w:pPr>
            <w:r>
              <w:rPr>
                <w:rFonts w:hint="eastAsia" w:ascii="宋体" w:hAnsi="宋体" w:eastAsia="宋体" w:cs="宋体"/>
                <w:color w:val="auto"/>
                <w:highlight w:val="none"/>
              </w:rPr>
              <w:t>9.2第二包：投标人须承诺与被抽查单位不存在资产、业务、管理等方面的利益关系。（提供书面声明）</w:t>
            </w:r>
          </w:p>
        </w:tc>
      </w:tr>
      <w:tr w14:paraId="59ABF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5AAD2BA">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40" w:type="dxa"/>
            <w:vAlign w:val="center"/>
          </w:tcPr>
          <w:p w14:paraId="15631CD0">
            <w:pPr>
              <w:jc w:val="center"/>
              <w:rPr>
                <w:rFonts w:hint="eastAsia" w:ascii="宋体" w:hAnsi="宋体" w:eastAsia="宋体" w:cs="宋体"/>
                <w:color w:val="auto"/>
                <w:highlight w:val="none"/>
              </w:rPr>
            </w:pPr>
            <w:r>
              <w:rPr>
                <w:rFonts w:hint="eastAsia" w:ascii="宋体" w:hAnsi="宋体" w:eastAsia="宋体" w:cs="宋体"/>
                <w:color w:val="auto"/>
                <w:highlight w:val="none"/>
              </w:rPr>
              <w:t>联合体</w:t>
            </w:r>
          </w:p>
        </w:tc>
        <w:tc>
          <w:tcPr>
            <w:tcW w:w="6092" w:type="dxa"/>
            <w:vAlign w:val="center"/>
          </w:tcPr>
          <w:p w14:paraId="165518FA">
            <w:pPr>
              <w:jc w:val="both"/>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r>
              <w:rPr>
                <w:rFonts w:hint="eastAsia" w:ascii="宋体" w:hAnsi="宋体" w:eastAsia="宋体" w:cs="宋体"/>
                <w:b/>
                <w:bCs/>
                <w:color w:val="auto"/>
                <w:highlight w:val="none"/>
              </w:rPr>
              <w:t>。</w:t>
            </w:r>
          </w:p>
        </w:tc>
      </w:tr>
    </w:tbl>
    <w:p w14:paraId="355F8964">
      <w:pPr>
        <w:rPr>
          <w:rFonts w:hint="eastAsia" w:ascii="宋体" w:hAnsi="宋体" w:eastAsia="宋体" w:cs="宋体"/>
          <w:color w:val="auto"/>
          <w:sz w:val="28"/>
          <w:szCs w:val="28"/>
          <w:highlight w:val="none"/>
        </w:rPr>
      </w:pPr>
    </w:p>
    <w:p w14:paraId="2D268883">
      <w:pPr>
        <w:pStyle w:val="4"/>
        <w:rPr>
          <w:rFonts w:hint="eastAsia" w:ascii="宋体" w:hAnsi="宋体" w:eastAsia="宋体" w:cs="宋体"/>
          <w:color w:val="auto"/>
          <w:sz w:val="28"/>
          <w:szCs w:val="28"/>
          <w:highlight w:val="none"/>
        </w:rPr>
      </w:pPr>
      <w:bookmarkStart w:id="132" w:name="_Toc11090"/>
      <w:r>
        <w:rPr>
          <w:rFonts w:hint="eastAsia" w:ascii="宋体" w:hAnsi="宋体" w:eastAsia="宋体" w:cs="宋体"/>
          <w:color w:val="auto"/>
          <w:sz w:val="28"/>
          <w:szCs w:val="28"/>
          <w:highlight w:val="none"/>
        </w:rPr>
        <w:t>七、评审方法和程序</w:t>
      </w:r>
      <w:bookmarkEnd w:id="132"/>
    </w:p>
    <w:p w14:paraId="3A4FD27F">
      <w:pPr>
        <w:pStyle w:val="101"/>
        <w:spacing w:before="197" w:after="197"/>
        <w:ind w:firstLine="579"/>
        <w:outlineLvl w:val="3"/>
        <w:rPr>
          <w:rFonts w:hint="eastAsia" w:ascii="宋体" w:hAnsi="宋体" w:eastAsia="宋体" w:cs="宋体"/>
          <w:color w:val="auto"/>
          <w:sz w:val="28"/>
          <w:szCs w:val="28"/>
          <w:highlight w:val="none"/>
        </w:rPr>
      </w:pPr>
      <w:bookmarkStart w:id="133" w:name="_Toc14101"/>
      <w:bookmarkStart w:id="134" w:name="_Toc8600"/>
      <w:bookmarkStart w:id="135" w:name="_Toc3761"/>
      <w:r>
        <w:rPr>
          <w:rFonts w:hint="eastAsia" w:ascii="宋体" w:hAnsi="宋体" w:eastAsia="宋体" w:cs="宋体"/>
          <w:color w:val="auto"/>
          <w:sz w:val="28"/>
          <w:szCs w:val="28"/>
          <w:highlight w:val="none"/>
        </w:rPr>
        <w:t>（一）评标方法</w:t>
      </w:r>
      <w:bookmarkEnd w:id="133"/>
      <w:bookmarkEnd w:id="134"/>
      <w:bookmarkEnd w:id="135"/>
    </w:p>
    <w:p w14:paraId="234B21D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本项目采用综合评分法，即投标文件满足招标文件全部实质性要求，且按照评审因素的量化指标评审得分最高的供应商为中标候选人。</w:t>
      </w:r>
    </w:p>
    <w:p w14:paraId="145ED8F4">
      <w:pPr>
        <w:pStyle w:val="101"/>
        <w:spacing w:before="197" w:after="197"/>
        <w:ind w:firstLine="579"/>
        <w:outlineLvl w:val="3"/>
        <w:rPr>
          <w:rFonts w:hint="eastAsia" w:ascii="宋体" w:hAnsi="宋体" w:eastAsia="宋体" w:cs="宋体"/>
          <w:color w:val="auto"/>
          <w:sz w:val="28"/>
          <w:szCs w:val="28"/>
          <w:highlight w:val="none"/>
        </w:rPr>
      </w:pPr>
      <w:bookmarkStart w:id="136" w:name="_Toc25239"/>
      <w:bookmarkStart w:id="137" w:name="_Toc26336"/>
      <w:bookmarkStart w:id="138" w:name="_Toc20873"/>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（二）评标程序</w:t>
      </w:r>
      <w:bookmarkEnd w:id="136"/>
      <w:bookmarkEnd w:id="137"/>
      <w:bookmarkEnd w:id="138"/>
    </w:p>
    <w:p w14:paraId="15B5CEED">
      <w:pPr>
        <w:pStyle w:val="100"/>
        <w:outlineLvl w:val="9"/>
        <w:rPr>
          <w:rFonts w:hint="eastAsia" w:ascii="宋体" w:hAnsi="宋体" w:eastAsia="宋体" w:cs="宋体"/>
          <w:color w:val="auto"/>
          <w:sz w:val="28"/>
          <w:szCs w:val="28"/>
          <w:highlight w:val="none"/>
        </w:rPr>
      </w:pPr>
      <w:bookmarkStart w:id="139" w:name="_Toc5086"/>
      <w:bookmarkStart w:id="140" w:name="_Toc32585"/>
      <w:bookmarkStart w:id="141" w:name="_Toc21077"/>
      <w:r>
        <w:rPr>
          <w:rFonts w:hint="eastAsia" w:ascii="宋体" w:hAnsi="宋体" w:eastAsia="宋体" w:cs="宋体"/>
          <w:color w:val="auto"/>
          <w:sz w:val="28"/>
          <w:szCs w:val="28"/>
          <w:highlight w:val="none"/>
        </w:rPr>
        <w:t>1．组建评标委员会</w:t>
      </w:r>
      <w:bookmarkEnd w:id="139"/>
      <w:bookmarkEnd w:id="140"/>
      <w:bookmarkEnd w:id="141"/>
    </w:p>
    <w:p w14:paraId="7AD01C1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1CD338F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由采购代理机构组织评标委员会推选评标组长，采购人代表不得担任组长。</w:t>
      </w:r>
    </w:p>
    <w:p w14:paraId="6E3DFB14">
      <w:pPr>
        <w:pStyle w:val="100"/>
        <w:outlineLvl w:val="9"/>
        <w:rPr>
          <w:rFonts w:hint="eastAsia" w:ascii="宋体" w:hAnsi="宋体" w:eastAsia="宋体" w:cs="宋体"/>
          <w:color w:val="auto"/>
          <w:sz w:val="28"/>
          <w:szCs w:val="28"/>
          <w:highlight w:val="none"/>
        </w:rPr>
      </w:pPr>
      <w:bookmarkStart w:id="142" w:name="_Toc1702"/>
      <w:bookmarkStart w:id="143" w:name="_Toc20571"/>
      <w:bookmarkStart w:id="144" w:name="_Toc19123"/>
      <w:r>
        <w:rPr>
          <w:rFonts w:hint="eastAsia" w:ascii="宋体" w:hAnsi="宋体" w:eastAsia="宋体" w:cs="宋体"/>
          <w:color w:val="auto"/>
          <w:sz w:val="28"/>
          <w:szCs w:val="28"/>
          <w:highlight w:val="none"/>
        </w:rPr>
        <w:t>2．投标文件的符合性审查</w:t>
      </w:r>
      <w:bookmarkEnd w:id="142"/>
      <w:bookmarkEnd w:id="143"/>
      <w:bookmarkEnd w:id="144"/>
    </w:p>
    <w:p w14:paraId="5AD61EC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供应商资格性审查通过后，评标委员会对符合资格的投标人的投标文件进行符合性审查，以确定其是否满足招标文件的实质性要求。</w:t>
      </w:r>
    </w:p>
    <w:p w14:paraId="6368BE7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对于投标文件中含义不明确、同类问题表述不一致或者有明显文字和计算错误的内容，评标委员会应当以书面形式要求投标人作出必要的澄清、说明或者补正。</w:t>
      </w:r>
    </w:p>
    <w:p w14:paraId="445EEDA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8D13D5A">
      <w:pPr>
        <w:spacing w:line="56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08365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5E2B52F3">
            <w:pPr>
              <w:spacing w:line="56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14:paraId="3F1A2964">
            <w:pPr>
              <w:spacing w:line="56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69B2B77E">
            <w:pPr>
              <w:spacing w:line="56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通过条件</w:t>
            </w:r>
          </w:p>
        </w:tc>
      </w:tr>
      <w:tr w14:paraId="3FEE0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27F2FBFF">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92" w:type="dxa"/>
            <w:tcBorders>
              <w:top w:val="single" w:color="auto" w:sz="2" w:space="0"/>
            </w:tcBorders>
            <w:vAlign w:val="center"/>
          </w:tcPr>
          <w:p w14:paraId="2FBA2181">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投标报价是否超过预算或最高限价</w:t>
            </w:r>
          </w:p>
        </w:tc>
        <w:tc>
          <w:tcPr>
            <w:tcW w:w="5498" w:type="dxa"/>
            <w:tcBorders>
              <w:top w:val="single" w:color="auto" w:sz="2" w:space="0"/>
            </w:tcBorders>
            <w:vAlign w:val="center"/>
          </w:tcPr>
          <w:p w14:paraId="12A430BA">
            <w:pPr>
              <w:jc w:val="both"/>
              <w:rPr>
                <w:rFonts w:hint="eastAsia" w:ascii="宋体" w:hAnsi="宋体" w:eastAsia="宋体" w:cs="宋体"/>
                <w:color w:val="auto"/>
                <w:highlight w:val="none"/>
              </w:rPr>
            </w:pPr>
            <w:r>
              <w:rPr>
                <w:rFonts w:hint="eastAsia" w:ascii="宋体" w:hAnsi="宋体" w:eastAsia="宋体" w:cs="宋体"/>
                <w:color w:val="auto"/>
                <w:highlight w:val="none"/>
              </w:rPr>
              <w:t>投标报价未超过预算及最高限价</w:t>
            </w:r>
          </w:p>
        </w:tc>
      </w:tr>
      <w:tr w14:paraId="0A8C1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28B877E1">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92" w:type="dxa"/>
            <w:vAlign w:val="center"/>
          </w:tcPr>
          <w:p w14:paraId="47DBB3B3">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服务期限是否满足招标文件要求</w:t>
            </w:r>
          </w:p>
        </w:tc>
        <w:tc>
          <w:tcPr>
            <w:tcW w:w="5498" w:type="dxa"/>
            <w:vAlign w:val="center"/>
          </w:tcPr>
          <w:p w14:paraId="5289C65F">
            <w:pPr>
              <w:jc w:val="both"/>
              <w:rPr>
                <w:rFonts w:hint="eastAsia" w:ascii="宋体" w:hAnsi="宋体" w:eastAsia="宋体" w:cs="宋体"/>
                <w:color w:val="auto"/>
                <w:highlight w:val="none"/>
              </w:rPr>
            </w:pPr>
            <w:r>
              <w:rPr>
                <w:rFonts w:hint="eastAsia" w:ascii="宋体" w:hAnsi="宋体" w:eastAsia="宋体" w:cs="宋体"/>
                <w:color w:val="auto"/>
                <w:highlight w:val="none"/>
              </w:rPr>
              <w:t>服务期限满足招标文件要求</w:t>
            </w:r>
          </w:p>
        </w:tc>
      </w:tr>
      <w:tr w14:paraId="607D0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C4FD72C">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92" w:type="dxa"/>
            <w:vAlign w:val="center"/>
          </w:tcPr>
          <w:p w14:paraId="5DFE9105">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质保期是否满足招标文件要求</w:t>
            </w:r>
          </w:p>
        </w:tc>
        <w:tc>
          <w:tcPr>
            <w:tcW w:w="5498" w:type="dxa"/>
            <w:vAlign w:val="center"/>
          </w:tcPr>
          <w:p w14:paraId="0A0E4516">
            <w:pPr>
              <w:jc w:val="both"/>
              <w:rPr>
                <w:rFonts w:hint="eastAsia" w:ascii="宋体" w:hAnsi="宋体" w:eastAsia="宋体" w:cs="宋体"/>
                <w:color w:val="auto"/>
                <w:highlight w:val="none"/>
              </w:rPr>
            </w:pPr>
            <w:r>
              <w:rPr>
                <w:rFonts w:hint="eastAsia" w:ascii="宋体" w:hAnsi="宋体" w:eastAsia="宋体" w:cs="宋体"/>
                <w:color w:val="auto"/>
                <w:highlight w:val="none"/>
              </w:rPr>
              <w:t>质保期满足招标文件要求</w:t>
            </w:r>
          </w:p>
        </w:tc>
      </w:tr>
      <w:tr w14:paraId="66434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8C55F14">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392" w:type="dxa"/>
            <w:vAlign w:val="center"/>
          </w:tcPr>
          <w:p w14:paraId="06DD48A1">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签章</w:t>
            </w:r>
          </w:p>
        </w:tc>
        <w:tc>
          <w:tcPr>
            <w:tcW w:w="5498" w:type="dxa"/>
            <w:vAlign w:val="center"/>
          </w:tcPr>
          <w:p w14:paraId="7237EB1A">
            <w:pPr>
              <w:jc w:val="both"/>
              <w:rPr>
                <w:rFonts w:hint="eastAsia" w:ascii="宋体" w:hAnsi="宋体" w:eastAsia="宋体" w:cs="宋体"/>
                <w:color w:val="auto"/>
                <w:highlight w:val="none"/>
              </w:rPr>
            </w:pPr>
            <w:r>
              <w:rPr>
                <w:rFonts w:hint="eastAsia" w:ascii="宋体" w:hAnsi="宋体" w:eastAsia="宋体" w:cs="宋体"/>
                <w:color w:val="auto"/>
                <w:highlight w:val="none"/>
              </w:rPr>
              <w:t>签章均符合招标文件要求，且无遗漏。</w:t>
            </w:r>
          </w:p>
        </w:tc>
      </w:tr>
      <w:tr w14:paraId="12871E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D34AB7C">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392" w:type="dxa"/>
            <w:vAlign w:val="center"/>
          </w:tcPr>
          <w:p w14:paraId="28A381AD">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投标文件有效期</w:t>
            </w:r>
          </w:p>
        </w:tc>
        <w:tc>
          <w:tcPr>
            <w:tcW w:w="5498" w:type="dxa"/>
            <w:vAlign w:val="center"/>
          </w:tcPr>
          <w:p w14:paraId="23B28438">
            <w:pPr>
              <w:jc w:val="both"/>
              <w:rPr>
                <w:rFonts w:hint="eastAsia" w:ascii="宋体" w:hAnsi="宋体" w:eastAsia="宋体" w:cs="宋体"/>
                <w:color w:val="auto"/>
                <w:highlight w:val="none"/>
              </w:rPr>
            </w:pPr>
            <w:r>
              <w:rPr>
                <w:rFonts w:hint="eastAsia" w:ascii="宋体" w:hAnsi="宋体" w:eastAsia="宋体" w:cs="宋体"/>
                <w:color w:val="auto"/>
                <w:highlight w:val="none"/>
              </w:rPr>
              <w:t>符合招标文件的要求</w:t>
            </w:r>
          </w:p>
        </w:tc>
      </w:tr>
      <w:tr w14:paraId="43CCF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4BA47FB">
            <w:pPr>
              <w:spacing w:line="560" w:lineRule="exact"/>
              <w:jc w:val="center"/>
              <w:rPr>
                <w:rFonts w:hint="eastAsia" w:ascii="宋体" w:hAnsi="宋体" w:eastAsia="宋体" w:cs="宋体"/>
                <w:color w:val="auto"/>
                <w:highlight w:val="none"/>
              </w:rPr>
            </w:pPr>
            <w:bookmarkStart w:id="145" w:name="_Toc21491"/>
            <w:bookmarkStart w:id="146" w:name="_Toc9318"/>
            <w:bookmarkStart w:id="147" w:name="_Toc32313"/>
            <w:r>
              <w:rPr>
                <w:rFonts w:hint="eastAsia" w:ascii="宋体" w:hAnsi="宋体" w:eastAsia="宋体" w:cs="宋体"/>
                <w:color w:val="auto"/>
                <w:highlight w:val="none"/>
              </w:rPr>
              <w:t>6</w:t>
            </w:r>
          </w:p>
        </w:tc>
        <w:tc>
          <w:tcPr>
            <w:tcW w:w="2392" w:type="dxa"/>
            <w:vAlign w:val="center"/>
          </w:tcPr>
          <w:p w14:paraId="596858E0">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5498" w:type="dxa"/>
            <w:vAlign w:val="center"/>
          </w:tcPr>
          <w:p w14:paraId="13266A69">
            <w:pPr>
              <w:jc w:val="both"/>
              <w:rPr>
                <w:rFonts w:hint="eastAsia" w:ascii="宋体" w:hAnsi="宋体" w:eastAsia="宋体" w:cs="宋体"/>
                <w:color w:val="auto"/>
                <w:highlight w:val="none"/>
              </w:rPr>
            </w:pPr>
            <w:r>
              <w:rPr>
                <w:rFonts w:hint="eastAsia" w:ascii="宋体" w:hAnsi="宋体" w:eastAsia="宋体" w:cs="宋体"/>
                <w:color w:val="auto"/>
                <w:highlight w:val="none"/>
              </w:rPr>
              <w:t>与采购文件商务要求条款不一致或增加了采购人难以接受的条款</w:t>
            </w:r>
          </w:p>
        </w:tc>
      </w:tr>
      <w:tr w14:paraId="557D4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29A8C390">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392" w:type="dxa"/>
            <w:vAlign w:val="center"/>
          </w:tcPr>
          <w:p w14:paraId="4A633724">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法律法规和实质性要求</w:t>
            </w:r>
          </w:p>
        </w:tc>
        <w:tc>
          <w:tcPr>
            <w:tcW w:w="5498" w:type="dxa"/>
            <w:vAlign w:val="center"/>
          </w:tcPr>
          <w:p w14:paraId="5B473306">
            <w:pPr>
              <w:jc w:val="both"/>
              <w:rPr>
                <w:rFonts w:hint="eastAsia" w:ascii="宋体" w:hAnsi="宋体" w:eastAsia="宋体" w:cs="宋体"/>
                <w:color w:val="auto"/>
                <w:highlight w:val="none"/>
              </w:rPr>
            </w:pPr>
            <w:r>
              <w:rPr>
                <w:rFonts w:hint="eastAsia" w:ascii="宋体" w:hAnsi="宋体" w:eastAsia="宋体" w:cs="宋体"/>
                <w:color w:val="auto"/>
                <w:highlight w:val="none"/>
              </w:rPr>
              <w:t>是否符合法律法规和采购文件规定的其他实质性要求</w:t>
            </w:r>
          </w:p>
        </w:tc>
      </w:tr>
    </w:tbl>
    <w:p w14:paraId="428A7772">
      <w:pPr>
        <w:pStyle w:val="1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3．综合比较与评价</w:t>
      </w:r>
      <w:bookmarkEnd w:id="145"/>
      <w:bookmarkEnd w:id="146"/>
      <w:bookmarkEnd w:id="147"/>
    </w:p>
    <w:p w14:paraId="55152289">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评标委员会按《评审要素及分值一览表》中规定的评标方法和标准，对通过符合性审查的投标文件进行商务和技术评估，综合比较与评价。</w:t>
      </w:r>
    </w:p>
    <w:p w14:paraId="26DABE9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出现下列情形的，供应商投标无效：</w:t>
      </w:r>
    </w:p>
    <w:p w14:paraId="30CF1C2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（1）投标文件报价出现本章第五小节“投标报价”所列需要修正情形，但供应商对修正后的报价不予确认的；</w:t>
      </w:r>
    </w:p>
    <w:p w14:paraId="147891F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70854DC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504E3D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〖评审要素及分值一览表〗</w:t>
      </w:r>
    </w:p>
    <w:p w14:paraId="67A4A8C2">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第一包打分标准</w:t>
      </w:r>
    </w:p>
    <w:tbl>
      <w:tblPr>
        <w:tblStyle w:val="34"/>
        <w:tblW w:w="101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2"/>
        <w:gridCol w:w="654"/>
        <w:gridCol w:w="771"/>
        <w:gridCol w:w="8013"/>
      </w:tblGrid>
      <w:tr w14:paraId="3D7B7C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tblHeader/>
          <w:jc w:val="center"/>
        </w:trPr>
        <w:tc>
          <w:tcPr>
            <w:tcW w:w="712" w:type="dxa"/>
            <w:vAlign w:val="center"/>
          </w:tcPr>
          <w:p w14:paraId="32EB0088">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项别</w:t>
            </w:r>
          </w:p>
        </w:tc>
        <w:tc>
          <w:tcPr>
            <w:tcW w:w="654" w:type="dxa"/>
            <w:vAlign w:val="center"/>
          </w:tcPr>
          <w:p w14:paraId="7C802404">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总分值</w:t>
            </w:r>
          </w:p>
        </w:tc>
        <w:tc>
          <w:tcPr>
            <w:tcW w:w="771" w:type="dxa"/>
            <w:vAlign w:val="center"/>
          </w:tcPr>
          <w:p w14:paraId="5AF299A6">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分项最高分值</w:t>
            </w:r>
          </w:p>
        </w:tc>
        <w:tc>
          <w:tcPr>
            <w:tcW w:w="8013" w:type="dxa"/>
            <w:vAlign w:val="center"/>
          </w:tcPr>
          <w:p w14:paraId="27FD5A3C">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评审要素</w:t>
            </w:r>
          </w:p>
        </w:tc>
      </w:tr>
      <w:tr w14:paraId="60DE53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712" w:type="dxa"/>
            <w:vAlign w:val="center"/>
          </w:tcPr>
          <w:p w14:paraId="457639BE">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价格</w:t>
            </w:r>
          </w:p>
        </w:tc>
        <w:tc>
          <w:tcPr>
            <w:tcW w:w="654" w:type="dxa"/>
            <w:vAlign w:val="center"/>
          </w:tcPr>
          <w:p w14:paraId="63920D55">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771" w:type="dxa"/>
            <w:vAlign w:val="center"/>
          </w:tcPr>
          <w:p w14:paraId="75165183">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013" w:type="dxa"/>
            <w:vAlign w:val="center"/>
          </w:tcPr>
          <w:p w14:paraId="7442146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1.经初审合格的投标文件，其投标报价为有效投标报价，并对有效投标报价进行政策性扣减，依据扣减后的价格（评审价格）进行价格评审。</w:t>
            </w:r>
          </w:p>
          <w:p w14:paraId="2615E9D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2.满足招标文件实质性要求且最终报价最低的投标人的价格为投标基准价，其价格分为满分10分。</w:t>
            </w:r>
          </w:p>
          <w:p w14:paraId="31B9CEE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3.投标报价得分=（投标基准价/投标报价）×10的公式计算得分。</w:t>
            </w:r>
          </w:p>
          <w:p w14:paraId="4042506D">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4.投标报价不完整的，不进入评标标准价的计算，本项得0分。</w:t>
            </w:r>
          </w:p>
          <w:p w14:paraId="4B143266">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5.经评委一致认定，投标人的投标最终总报价低于公认市场成本，或超过采购预算,其投标将被拒绝。</w:t>
            </w:r>
          </w:p>
        </w:tc>
      </w:tr>
      <w:tr w14:paraId="2E2332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5" w:hRule="atLeast"/>
          <w:jc w:val="center"/>
        </w:trPr>
        <w:tc>
          <w:tcPr>
            <w:tcW w:w="712" w:type="dxa"/>
            <w:vMerge w:val="restart"/>
            <w:vAlign w:val="center"/>
          </w:tcPr>
          <w:p w14:paraId="4C4412D6">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w:t>
            </w:r>
          </w:p>
          <w:p w14:paraId="6A93758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方案</w:t>
            </w:r>
          </w:p>
        </w:tc>
        <w:tc>
          <w:tcPr>
            <w:tcW w:w="654" w:type="dxa"/>
            <w:vMerge w:val="restart"/>
            <w:vAlign w:val="center"/>
          </w:tcPr>
          <w:p w14:paraId="360FC6EE">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771" w:type="dxa"/>
            <w:vAlign w:val="center"/>
          </w:tcPr>
          <w:p w14:paraId="164F75F9">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013" w:type="dxa"/>
            <w:vAlign w:val="center"/>
          </w:tcPr>
          <w:p w14:paraId="016D9F50">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需求理解：</w:t>
            </w:r>
          </w:p>
          <w:p w14:paraId="658568F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 对采购需求的理解；2. 对项目现状的了解情况；3. 对本项目重点、难点的分析；4. 合理化建议。</w:t>
            </w:r>
          </w:p>
          <w:p w14:paraId="4A18F90A">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3B16DF1B">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（1）对采购项目需求的理解准确到位，对项目现状调研论证充分，对采购项目的特点、重点、难点能提出针对性切实可行的解决方法，且措施科学全面的，得(7-8]分；</w:t>
            </w:r>
          </w:p>
          <w:p w14:paraId="7779ECE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（2）对采购项目需求的理解基本准确，对项目现状的调研论证一般，对采购项目的特点、重点、难点有基本的解决办法和措施，得(4-7]分；</w:t>
            </w:r>
          </w:p>
          <w:p w14:paraId="1B82D29C">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（3）对采购项目需求理解不到位，未进行项目现状调研论证，对采购项目的特点、重点、难点未提出针对性解决方法和措施的，得[1-4]分;</w:t>
            </w:r>
          </w:p>
          <w:p w14:paraId="04D6590E">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561D98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712" w:type="dxa"/>
            <w:vMerge w:val="continue"/>
            <w:vAlign w:val="center"/>
          </w:tcPr>
          <w:p w14:paraId="174C6626">
            <w:pPr>
              <w:spacing w:line="280" w:lineRule="exact"/>
              <w:jc w:val="center"/>
              <w:rPr>
                <w:rFonts w:hint="eastAsia" w:ascii="宋体" w:hAnsi="宋体" w:eastAsia="宋体" w:cs="宋体"/>
                <w:color w:val="auto"/>
                <w:highlight w:val="none"/>
              </w:rPr>
            </w:pPr>
          </w:p>
        </w:tc>
        <w:tc>
          <w:tcPr>
            <w:tcW w:w="654" w:type="dxa"/>
            <w:vMerge w:val="continue"/>
            <w:vAlign w:val="center"/>
          </w:tcPr>
          <w:p w14:paraId="68F7748D">
            <w:pPr>
              <w:spacing w:line="280" w:lineRule="exact"/>
              <w:jc w:val="center"/>
              <w:rPr>
                <w:rFonts w:hint="eastAsia" w:ascii="宋体" w:hAnsi="宋体" w:eastAsia="宋体" w:cs="宋体"/>
                <w:color w:val="auto"/>
                <w:highlight w:val="none"/>
              </w:rPr>
            </w:pPr>
          </w:p>
        </w:tc>
        <w:tc>
          <w:tcPr>
            <w:tcW w:w="771" w:type="dxa"/>
            <w:vAlign w:val="center"/>
          </w:tcPr>
          <w:p w14:paraId="783F40A0">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013" w:type="dxa"/>
            <w:vAlign w:val="center"/>
          </w:tcPr>
          <w:p w14:paraId="2D9F408C">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项目实施方案应具备：</w:t>
            </w:r>
          </w:p>
          <w:p w14:paraId="517C0F9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内容及工作流程；2.监督抽查具体内容及方法要求；3.配备满足项目实施的人员、工具和车辆；4.项目实施计划；5.项目重点、难点问题的应对措施及改进建议；6.实施监督抽查工作的应急预案；7.监督抽查过程中突发事件的处置措施。</w:t>
            </w:r>
          </w:p>
          <w:p w14:paraId="1F6F717F">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1161D3DB">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实施方案包含但不限于1-7项，方案内容详细完整、工作流程科学合理，监督抽查的具体内容和方法要求符合采购人需求，配备的人员、工具、车辆能够满足项目实施需求，总体计划和月度计划任务分布合理，项目重点、难点问题的应对措施及改进建议、应急预案与实际情况结合紧密，对突发情况能迅速组织有效力量响应，得(10-14]分；</w:t>
            </w:r>
          </w:p>
          <w:p w14:paraId="71092D4E">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项目实施方案只包含1-7项，方案内容相对完整，工作流程、监督抽查的具体内容和方法要求、配备的人员、工具、车辆相对满足项目实施需求，总体计划和月度计划任务、项目重点难点问题的应对措施及改进建议、应急预案基本符合项目要求，对突发情况能够响应，得(7-10]分；</w:t>
            </w:r>
          </w:p>
          <w:p w14:paraId="081C04B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项目实施方案仅包含1-7项，方案内容、工作流程、具体内容和方法要求、配备的人员、工具、车辆基本满足项目实施需求，总体计划和月度计划任务、项目重点难点问题的应对措施及改进建议、应急预案与项目要求差距较大，对突发情况未能有效响应，得(4-7]分；</w:t>
            </w:r>
          </w:p>
          <w:p w14:paraId="35EECD2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（4）供应商编制的项目实施方案未能满足本项目的需求，其服务水平未能符合国家、行业和地方标准的，得[1-4]分；</w:t>
            </w:r>
          </w:p>
          <w:p w14:paraId="25415318">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（5）未提供相应内容的不得分。</w:t>
            </w:r>
          </w:p>
        </w:tc>
      </w:tr>
      <w:tr w14:paraId="6BD8A1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486516F3">
            <w:pPr>
              <w:spacing w:line="280" w:lineRule="exact"/>
              <w:jc w:val="center"/>
              <w:rPr>
                <w:rFonts w:hint="eastAsia" w:ascii="宋体" w:hAnsi="宋体" w:eastAsia="宋体" w:cs="宋体"/>
                <w:color w:val="auto"/>
                <w:highlight w:val="none"/>
              </w:rPr>
            </w:pPr>
          </w:p>
        </w:tc>
        <w:tc>
          <w:tcPr>
            <w:tcW w:w="654" w:type="dxa"/>
            <w:vMerge w:val="continue"/>
            <w:vAlign w:val="center"/>
          </w:tcPr>
          <w:p w14:paraId="692E3F1E">
            <w:pPr>
              <w:spacing w:line="280" w:lineRule="exact"/>
              <w:jc w:val="center"/>
              <w:rPr>
                <w:rFonts w:hint="eastAsia" w:ascii="宋体" w:hAnsi="宋体" w:eastAsia="宋体" w:cs="宋体"/>
                <w:color w:val="auto"/>
                <w:highlight w:val="none"/>
              </w:rPr>
            </w:pPr>
          </w:p>
        </w:tc>
        <w:tc>
          <w:tcPr>
            <w:tcW w:w="771" w:type="dxa"/>
            <w:vAlign w:val="center"/>
          </w:tcPr>
          <w:p w14:paraId="2E384FBF">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013" w:type="dxa"/>
            <w:vAlign w:val="center"/>
          </w:tcPr>
          <w:p w14:paraId="415810CD">
            <w:pPr>
              <w:pStyle w:val="109"/>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项目组织架构及管理制度：</w:t>
            </w:r>
          </w:p>
          <w:p w14:paraId="6A896E1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1.项目管理机构及其职责；2.管理制度；</w:t>
            </w:r>
          </w:p>
          <w:p w14:paraId="3550B46E">
            <w:pPr>
              <w:pStyle w:val="109"/>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p w14:paraId="7426BE8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（1）监督抽查项目的组织架构完善，各项管理制度健全，结合项目实际紧密，得(2-4]分；</w:t>
            </w:r>
          </w:p>
          <w:p w14:paraId="0D67D700">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（2）监督抽查项目的组织架构和各项管理制度，能基本满足本项目实施的，得[1-2]分；</w:t>
            </w:r>
          </w:p>
          <w:p w14:paraId="63AFD704">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（3）未提供相应内容的不得分。</w:t>
            </w:r>
          </w:p>
        </w:tc>
      </w:tr>
      <w:tr w14:paraId="65EDE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70AEE432">
            <w:pPr>
              <w:spacing w:line="280" w:lineRule="exact"/>
              <w:jc w:val="center"/>
              <w:rPr>
                <w:rFonts w:hint="eastAsia" w:ascii="宋体" w:hAnsi="宋体" w:eastAsia="宋体" w:cs="宋体"/>
                <w:color w:val="auto"/>
                <w:highlight w:val="none"/>
              </w:rPr>
            </w:pPr>
          </w:p>
        </w:tc>
        <w:tc>
          <w:tcPr>
            <w:tcW w:w="654" w:type="dxa"/>
            <w:vMerge w:val="continue"/>
            <w:vAlign w:val="center"/>
          </w:tcPr>
          <w:p w14:paraId="00754B2D">
            <w:pPr>
              <w:spacing w:line="280" w:lineRule="exact"/>
              <w:jc w:val="center"/>
              <w:rPr>
                <w:rFonts w:hint="eastAsia" w:ascii="宋体" w:hAnsi="宋体" w:eastAsia="宋体" w:cs="宋体"/>
                <w:color w:val="auto"/>
                <w:highlight w:val="none"/>
              </w:rPr>
            </w:pPr>
          </w:p>
        </w:tc>
        <w:tc>
          <w:tcPr>
            <w:tcW w:w="771" w:type="dxa"/>
            <w:vAlign w:val="center"/>
          </w:tcPr>
          <w:p w14:paraId="2ED1BE50">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013" w:type="dxa"/>
            <w:vAlign w:val="center"/>
          </w:tcPr>
          <w:p w14:paraId="3F7EC90C">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出具报告的格式及内容：</w:t>
            </w:r>
          </w:p>
          <w:p w14:paraId="7DF3A95C">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按文件中的要求制定监督抽查所需报告的格式及内容。</w:t>
            </w:r>
          </w:p>
          <w:p w14:paraId="07B5286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4BDBEC8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（1）抽查报告格式科学合理、内容完整的，得(4-5]分；</w:t>
            </w:r>
          </w:p>
          <w:p w14:paraId="4F0DF39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（2）抽查报告格式基本合理、内容基本完整的，得(3-4]分；</w:t>
            </w:r>
          </w:p>
          <w:p w14:paraId="654623E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（3）抽查报告格式混乱、内容不完整的，得[1-3]分；</w:t>
            </w:r>
          </w:p>
          <w:p w14:paraId="4EDBEBB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716BED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9" w:hRule="atLeast"/>
          <w:jc w:val="center"/>
        </w:trPr>
        <w:tc>
          <w:tcPr>
            <w:tcW w:w="712" w:type="dxa"/>
            <w:vMerge w:val="restart"/>
            <w:vAlign w:val="center"/>
          </w:tcPr>
          <w:p w14:paraId="73CC490C">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w:t>
            </w:r>
          </w:p>
          <w:p w14:paraId="7F1B4FE9">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保证</w:t>
            </w:r>
          </w:p>
        </w:tc>
        <w:tc>
          <w:tcPr>
            <w:tcW w:w="654" w:type="dxa"/>
            <w:vMerge w:val="restart"/>
            <w:vAlign w:val="center"/>
          </w:tcPr>
          <w:p w14:paraId="55D595E7">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771" w:type="dxa"/>
            <w:vAlign w:val="center"/>
          </w:tcPr>
          <w:p w14:paraId="7DE4AD49">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013" w:type="dxa"/>
            <w:vAlign w:val="center"/>
          </w:tcPr>
          <w:p w14:paraId="48D8B8B7">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信息化能力：</w:t>
            </w:r>
          </w:p>
          <w:p w14:paraId="3D330D3D">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1.具有功能完备的特种设备监督抽查的信息化系统，可按照采购人需求进行监督抽查任务分类，并实现随机抽样、接收下发抽查数据任务、抽查进展状况查询、抽查结果传递、扫码回传整改资料等功能；</w:t>
            </w:r>
          </w:p>
          <w:p w14:paraId="6A8F9EF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2.具有监督抽查全流程无纸化功能：支持任务申请、下达、录入、校核、审核、批准、发送等全流程无纸化操作，并涵盖可单独验证的符合《电子签名法》的电子签名/签章；</w:t>
            </w:r>
          </w:p>
          <w:p w14:paraId="22D1963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3.具有较强的交互和协同处理功能，开放客户端，可实现现场开具“两书一单”，涵盖客户签名，现场拍照，电子签名/签章等；</w:t>
            </w:r>
          </w:p>
          <w:p w14:paraId="5D7B74F8">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4.具有较强的管理功能，可实现多维度统计分析，基础数据配置、记录表卡管理等；</w:t>
            </w:r>
          </w:p>
          <w:p w14:paraId="64433D83">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5.具有较强的运维团队，对采购人在监督抽查过程中的需求能快速响应。</w:t>
            </w:r>
          </w:p>
          <w:p w14:paraId="029BA84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28927B0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（1）投标人提供的信息化系统能完全满足但不限于1-5项要求功能的，得(7-10]分；</w:t>
            </w:r>
          </w:p>
          <w:p w14:paraId="1686F5AC">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（2）投标人提供的信息化系统能基本满足1-5项要求的功能的，得(4-7]分；</w:t>
            </w:r>
          </w:p>
          <w:p w14:paraId="528B731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（3）投标人提供的信息化系统能基本满足1-5项要求单个功能的，得[1-4]分；</w:t>
            </w:r>
          </w:p>
          <w:p w14:paraId="4ACB2E9E">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p w14:paraId="6FC8478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（提供与软件开发公司关于开发信息系统平台的合同复印件或内部立项及验收材料。）</w:t>
            </w:r>
          </w:p>
        </w:tc>
      </w:tr>
      <w:tr w14:paraId="53E78E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547455DD">
            <w:pPr>
              <w:spacing w:line="280" w:lineRule="exact"/>
              <w:jc w:val="center"/>
              <w:rPr>
                <w:rFonts w:hint="eastAsia" w:ascii="宋体" w:hAnsi="宋体" w:eastAsia="宋体" w:cs="宋体"/>
                <w:color w:val="auto"/>
                <w:highlight w:val="none"/>
              </w:rPr>
            </w:pPr>
          </w:p>
        </w:tc>
        <w:tc>
          <w:tcPr>
            <w:tcW w:w="654" w:type="dxa"/>
            <w:vMerge w:val="continue"/>
            <w:vAlign w:val="center"/>
          </w:tcPr>
          <w:p w14:paraId="0E0EE185">
            <w:pPr>
              <w:pStyle w:val="109"/>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6BEE63CF">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3377FAC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质量保证措施：</w:t>
            </w:r>
          </w:p>
          <w:p w14:paraId="1CDB900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1.质量目标；2.奖惩措施；3.服务质量检查；4.验收方法和标准;5.投诉处理；6.整改方案。</w:t>
            </w:r>
          </w:p>
          <w:p w14:paraId="2E308B06">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1752270B">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（1）质量保证措施内容满足1—6要求的，得3分；</w:t>
            </w:r>
          </w:p>
          <w:p w14:paraId="45B09DD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（2）质量保证措施基本满足上述1—6要求的，得2分；</w:t>
            </w:r>
          </w:p>
          <w:p w14:paraId="23A55BC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（3）质量保证措施与上述1—6要求相比有缺失的，得1分；</w:t>
            </w:r>
          </w:p>
          <w:p w14:paraId="19BF1DD1">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（4）未提供相应质量保证措施的不得分。</w:t>
            </w:r>
          </w:p>
        </w:tc>
      </w:tr>
      <w:tr w14:paraId="094D50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755A5692">
            <w:pPr>
              <w:spacing w:line="280" w:lineRule="exact"/>
              <w:jc w:val="center"/>
              <w:rPr>
                <w:rFonts w:hint="eastAsia" w:ascii="宋体" w:hAnsi="宋体" w:eastAsia="宋体" w:cs="宋体"/>
                <w:color w:val="auto"/>
                <w:highlight w:val="none"/>
              </w:rPr>
            </w:pPr>
          </w:p>
        </w:tc>
        <w:tc>
          <w:tcPr>
            <w:tcW w:w="654" w:type="dxa"/>
            <w:vMerge w:val="continue"/>
            <w:vAlign w:val="center"/>
          </w:tcPr>
          <w:p w14:paraId="25B80E4F">
            <w:pPr>
              <w:pStyle w:val="109"/>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2109BC80">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0D913F23">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服务承诺：</w:t>
            </w:r>
          </w:p>
          <w:p w14:paraId="182FE3E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1.售后服务承诺；2.服务响应及时；3.违约承诺。</w:t>
            </w:r>
          </w:p>
          <w:p w14:paraId="0045F12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16402FEB">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（1）售后服务承诺操作性强、响应迅速且责任明晰的，得3分；</w:t>
            </w:r>
          </w:p>
          <w:p w14:paraId="377B154D">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（2）售后服务承诺操作性一般，有服务响应及责任区分的，得2分；</w:t>
            </w:r>
          </w:p>
          <w:p w14:paraId="07ED056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（3）售后服务承诺、响应及责任区分有缺项的，得1分；</w:t>
            </w:r>
          </w:p>
          <w:p w14:paraId="2AF4B841">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1DECF1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1" w:hRule="atLeast"/>
          <w:jc w:val="center"/>
        </w:trPr>
        <w:tc>
          <w:tcPr>
            <w:tcW w:w="712" w:type="dxa"/>
            <w:vMerge w:val="restart"/>
            <w:vAlign w:val="center"/>
          </w:tcPr>
          <w:p w14:paraId="7621DBB4">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w:t>
            </w:r>
          </w:p>
          <w:p w14:paraId="0BF685AD">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配备</w:t>
            </w:r>
          </w:p>
        </w:tc>
        <w:tc>
          <w:tcPr>
            <w:tcW w:w="654" w:type="dxa"/>
            <w:vMerge w:val="restart"/>
            <w:vAlign w:val="center"/>
          </w:tcPr>
          <w:p w14:paraId="0B72E5F0">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771" w:type="dxa"/>
            <w:vAlign w:val="center"/>
          </w:tcPr>
          <w:p w14:paraId="51EBE27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013" w:type="dxa"/>
            <w:vAlign w:val="center"/>
          </w:tcPr>
          <w:p w14:paraId="615C6EA9">
            <w:pPr>
              <w:pStyle w:val="109"/>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拟安排的项目负责人情况:</w:t>
            </w:r>
          </w:p>
          <w:p w14:paraId="320E2B67">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1.项目负责人具有正高（教授）级职称，得2分；项目负责人具有高级职称，得1分。</w:t>
            </w:r>
          </w:p>
          <w:p w14:paraId="64A3D85F">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2.项目负责人参与或主持过国家级特种设备技术规范、标准起草工作的，得2分；项目负责人参与或主持过省级及以下特种设备技术规范、地方标准起草工作的，得1分；</w:t>
            </w:r>
          </w:p>
          <w:p w14:paraId="7CB0991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职称证书及工作经历证明材料扫描件作为得分依据；2.评分中出现无证明资料或专家无法凭所提供资料判断是否得分的情况，一律作不得分处理；3.要求拟安排的项目负责人（1人）必须在投标单位缴纳至少六个月社保，否则本项直接计0分。要求提供人员社保记录，社保记录与投标人单位应保持一致。）</w:t>
            </w:r>
          </w:p>
        </w:tc>
      </w:tr>
      <w:tr w14:paraId="42159E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5" w:hRule="atLeast"/>
          <w:jc w:val="center"/>
        </w:trPr>
        <w:tc>
          <w:tcPr>
            <w:tcW w:w="712" w:type="dxa"/>
            <w:vMerge w:val="continue"/>
          </w:tcPr>
          <w:p w14:paraId="2607E9FB">
            <w:pPr>
              <w:spacing w:line="280" w:lineRule="exact"/>
              <w:rPr>
                <w:rFonts w:hint="eastAsia" w:ascii="宋体" w:hAnsi="宋体" w:eastAsia="宋体" w:cs="宋体"/>
                <w:color w:val="auto"/>
                <w:highlight w:val="none"/>
              </w:rPr>
            </w:pPr>
          </w:p>
        </w:tc>
        <w:tc>
          <w:tcPr>
            <w:tcW w:w="654" w:type="dxa"/>
            <w:vMerge w:val="continue"/>
          </w:tcPr>
          <w:p w14:paraId="18A8003A">
            <w:pPr>
              <w:spacing w:line="280" w:lineRule="exact"/>
              <w:rPr>
                <w:rFonts w:hint="eastAsia" w:ascii="宋体" w:hAnsi="宋体" w:eastAsia="宋体" w:cs="宋体"/>
                <w:color w:val="auto"/>
                <w:highlight w:val="none"/>
              </w:rPr>
            </w:pPr>
          </w:p>
        </w:tc>
        <w:tc>
          <w:tcPr>
            <w:tcW w:w="771" w:type="dxa"/>
            <w:vAlign w:val="center"/>
          </w:tcPr>
          <w:p w14:paraId="001D73D6">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013" w:type="dxa"/>
            <w:vAlign w:val="center"/>
          </w:tcPr>
          <w:p w14:paraId="04F18627">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拟投入本项目的人员资质及数量：</w:t>
            </w:r>
          </w:p>
          <w:p w14:paraId="40B43C7E">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1.具有电梯检验师资质和电梯检验员资质总人数达到60人及以上，其中电梯检验师资质人数达到40人以上的，得5分（需要同时满足）；</w:t>
            </w:r>
          </w:p>
          <w:p w14:paraId="5D818A1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 具有电梯检验师资质和电梯检验员资质总人数达到50人及以上，其中电梯检验师资质人数达到30人以上的，得4分（需要同时满足）；</w:t>
            </w:r>
          </w:p>
          <w:p w14:paraId="4D9AB57F">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3.具有电梯检验师资质和电梯检验员资质总人数达到40人及以上，其中电梯检验师资质人数达到20人以上的，得3分（需要同时满足）；</w:t>
            </w:r>
          </w:p>
          <w:p w14:paraId="4331A4A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4.具有电梯检验师资质和电梯检验员资质总人数达到30人及以上，其中电梯检验师资质人数达到10人以上的，得2分（需要同时满足）；</w:t>
            </w:r>
          </w:p>
          <w:p w14:paraId="62855FA5">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 具有电梯检验师资质和电梯检验员资质总人数达到20人及以上，其中电梯检验师资质人数达到5人以上的，得1分（需要同时满足）。</w:t>
            </w:r>
          </w:p>
          <w:p w14:paraId="31B32EC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（提供相关人员资格证书和本项目开标日前连续三个月供应商为相关人员缴纳的社保证明文件复印件。）</w:t>
            </w:r>
          </w:p>
        </w:tc>
      </w:tr>
      <w:tr w14:paraId="5EBBDB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91" w:hRule="atLeast"/>
          <w:jc w:val="center"/>
        </w:trPr>
        <w:tc>
          <w:tcPr>
            <w:tcW w:w="712" w:type="dxa"/>
            <w:vMerge w:val="restart"/>
            <w:vAlign w:val="center"/>
          </w:tcPr>
          <w:p w14:paraId="527F74E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654" w:type="dxa"/>
            <w:vMerge w:val="restart"/>
            <w:vAlign w:val="center"/>
          </w:tcPr>
          <w:p w14:paraId="7EB52E6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771" w:type="dxa"/>
            <w:vAlign w:val="center"/>
          </w:tcPr>
          <w:p w14:paraId="07C1961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28A68E4C">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监督抽查业绩：</w:t>
            </w:r>
          </w:p>
          <w:p w14:paraId="18ADD314">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1.在各地政府项目中承担电梯维护保养质量监督抽查工作的业绩证明，每出具一份得1分；最高得1分；</w:t>
            </w:r>
          </w:p>
          <w:p w14:paraId="5F875518">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2.在各地政府项目中承担电梯检验检测质量监督抽查工作的业绩证明，每出具一份得1分；最高得1分；</w:t>
            </w:r>
          </w:p>
          <w:p w14:paraId="65D867B6">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各类监督抽查工作包含但不限于特种设备监管部门开展的电梯安全评估、保障性检验、隐患排查等工作。</w:t>
            </w:r>
          </w:p>
          <w:p w14:paraId="3A0FA3D5">
            <w:pPr>
              <w:pStyle w:val="109"/>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评分标准：</w:t>
            </w:r>
          </w:p>
          <w:p w14:paraId="050CFFBE">
            <w:pPr>
              <w:pStyle w:val="109"/>
              <w:spacing w:line="280" w:lineRule="exact"/>
              <w:rPr>
                <w:rFonts w:hint="eastAsia" w:ascii="宋体" w:hAnsi="宋体" w:eastAsia="宋体" w:cs="宋体"/>
                <w:b/>
                <w:color w:val="auto"/>
                <w:highlight w:val="none"/>
              </w:rPr>
            </w:pPr>
            <w:r>
              <w:rPr>
                <w:rFonts w:hint="eastAsia" w:ascii="宋体" w:hAnsi="宋体" w:eastAsia="宋体" w:cs="宋体"/>
                <w:color w:val="auto"/>
                <w:highlight w:val="none"/>
              </w:rPr>
              <w:t>以上业绩需提供2022年至今已开始实施的采购合同（或任务书、工作文件）和相应的验收文件复印件加盖公章。</w:t>
            </w:r>
          </w:p>
        </w:tc>
      </w:tr>
      <w:tr w14:paraId="21B6E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2" w:type="dxa"/>
            <w:vMerge w:val="continue"/>
            <w:vAlign w:val="center"/>
          </w:tcPr>
          <w:p w14:paraId="67F15DB4">
            <w:pPr>
              <w:spacing w:line="280" w:lineRule="exact"/>
              <w:jc w:val="center"/>
              <w:rPr>
                <w:rFonts w:hint="eastAsia" w:ascii="宋体" w:hAnsi="宋体" w:eastAsia="宋体" w:cs="宋体"/>
                <w:color w:val="auto"/>
                <w:highlight w:val="none"/>
              </w:rPr>
            </w:pPr>
          </w:p>
        </w:tc>
        <w:tc>
          <w:tcPr>
            <w:tcW w:w="654" w:type="dxa"/>
            <w:vMerge w:val="continue"/>
            <w:vAlign w:val="center"/>
          </w:tcPr>
          <w:p w14:paraId="31A4A23A">
            <w:pPr>
              <w:spacing w:line="280" w:lineRule="exact"/>
              <w:jc w:val="center"/>
              <w:rPr>
                <w:rFonts w:hint="eastAsia" w:ascii="宋体" w:hAnsi="宋体" w:eastAsia="宋体" w:cs="宋体"/>
                <w:color w:val="auto"/>
                <w:highlight w:val="none"/>
              </w:rPr>
            </w:pPr>
          </w:p>
        </w:tc>
        <w:tc>
          <w:tcPr>
            <w:tcW w:w="771" w:type="dxa"/>
            <w:vAlign w:val="center"/>
          </w:tcPr>
          <w:p w14:paraId="13F04AC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0470DD74">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服务质量评价：</w:t>
            </w:r>
          </w:p>
          <w:p w14:paraId="78EC70F8">
            <w:pPr>
              <w:pStyle w:val="109"/>
              <w:spacing w:line="280" w:lineRule="exact"/>
              <w:rPr>
                <w:rFonts w:hint="eastAsia" w:ascii="宋体" w:hAnsi="宋体" w:eastAsia="宋体" w:cs="宋体"/>
                <w:b/>
                <w:color w:val="auto"/>
                <w:highlight w:val="none"/>
              </w:rPr>
            </w:pPr>
            <w:r>
              <w:rPr>
                <w:rFonts w:hint="eastAsia" w:ascii="宋体" w:hAnsi="宋体" w:eastAsia="宋体" w:cs="宋体"/>
                <w:color w:val="auto"/>
                <w:highlight w:val="none"/>
              </w:rPr>
              <w:t>获得采购单位出具的服务质量评价，每出具一份评价为优的，得1分；评价为良的，得0.5分；其他情况得0分。最高得2分。</w:t>
            </w:r>
          </w:p>
        </w:tc>
      </w:tr>
      <w:tr w14:paraId="598E4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008AD438">
            <w:pPr>
              <w:spacing w:line="280" w:lineRule="exact"/>
              <w:jc w:val="center"/>
              <w:rPr>
                <w:rFonts w:hint="eastAsia" w:ascii="宋体" w:hAnsi="宋体" w:eastAsia="宋体" w:cs="宋体"/>
                <w:color w:val="auto"/>
                <w:highlight w:val="none"/>
              </w:rPr>
            </w:pPr>
          </w:p>
        </w:tc>
        <w:tc>
          <w:tcPr>
            <w:tcW w:w="654" w:type="dxa"/>
            <w:vMerge w:val="continue"/>
            <w:vAlign w:val="center"/>
          </w:tcPr>
          <w:p w14:paraId="68FC263B">
            <w:pPr>
              <w:spacing w:line="280" w:lineRule="exact"/>
              <w:jc w:val="center"/>
              <w:rPr>
                <w:rFonts w:hint="eastAsia" w:ascii="宋体" w:hAnsi="宋体" w:eastAsia="宋体" w:cs="宋体"/>
                <w:color w:val="auto"/>
                <w:highlight w:val="none"/>
              </w:rPr>
            </w:pPr>
          </w:p>
        </w:tc>
        <w:tc>
          <w:tcPr>
            <w:tcW w:w="771" w:type="dxa"/>
            <w:vAlign w:val="center"/>
          </w:tcPr>
          <w:p w14:paraId="2C53A6FD">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2039F906">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检验检测业绩（近五年机电类特种设备检验检测数量）：</w:t>
            </w:r>
          </w:p>
          <w:p w14:paraId="6B132F1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近五年机电类特种设备检验检测数量。合计60万台以上的，得6分；合计50万台以上的，得5分；合计40万台以上的，得4分；合计20万台以上的，得3分；合计10万台以上的，得2分；合计10万台以下的，得1分。</w:t>
            </w:r>
          </w:p>
          <w:p w14:paraId="5A02BCB4">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360E3183">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统计周期截止时间为2024年12月31日，检验检测数量需提供相应的政府监管部门证明。</w:t>
            </w:r>
          </w:p>
        </w:tc>
      </w:tr>
      <w:tr w14:paraId="0F04C7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712" w:type="dxa"/>
            <w:vMerge w:val="restart"/>
            <w:vAlign w:val="center"/>
          </w:tcPr>
          <w:p w14:paraId="431B8E8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综合</w:t>
            </w:r>
          </w:p>
          <w:p w14:paraId="1337613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实力</w:t>
            </w:r>
          </w:p>
        </w:tc>
        <w:tc>
          <w:tcPr>
            <w:tcW w:w="654" w:type="dxa"/>
            <w:vMerge w:val="restart"/>
            <w:vAlign w:val="center"/>
          </w:tcPr>
          <w:p w14:paraId="4E99D0E6">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771" w:type="dxa"/>
            <w:vAlign w:val="center"/>
          </w:tcPr>
          <w:p w14:paraId="7DEFF7CB">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7A022AB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认证体系：</w:t>
            </w:r>
          </w:p>
          <w:p w14:paraId="402CC38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1.实验室CNAS认可或检验机构CNAS认可；2.CMA资质认定；3.质量管理体系认证。</w:t>
            </w:r>
          </w:p>
          <w:p w14:paraId="10571726">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781FCA3E">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769EAAA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p w14:paraId="4004B0F0">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3.每提供一个上述认证得1分，此项最多得3分。</w:t>
            </w:r>
          </w:p>
        </w:tc>
      </w:tr>
      <w:tr w14:paraId="62846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45766F51">
            <w:pPr>
              <w:spacing w:line="280" w:lineRule="exact"/>
              <w:jc w:val="center"/>
              <w:rPr>
                <w:rFonts w:hint="eastAsia" w:ascii="宋体" w:hAnsi="宋体" w:eastAsia="宋体" w:cs="宋体"/>
                <w:color w:val="auto"/>
                <w:highlight w:val="none"/>
              </w:rPr>
            </w:pPr>
          </w:p>
        </w:tc>
        <w:tc>
          <w:tcPr>
            <w:tcW w:w="654" w:type="dxa"/>
            <w:vMerge w:val="continue"/>
            <w:vAlign w:val="center"/>
          </w:tcPr>
          <w:p w14:paraId="6B99544F">
            <w:pPr>
              <w:spacing w:line="280" w:lineRule="exact"/>
              <w:jc w:val="center"/>
              <w:rPr>
                <w:rFonts w:hint="eastAsia" w:ascii="宋体" w:hAnsi="宋体" w:eastAsia="宋体" w:cs="宋体"/>
                <w:color w:val="auto"/>
                <w:highlight w:val="none"/>
              </w:rPr>
            </w:pPr>
          </w:p>
        </w:tc>
        <w:tc>
          <w:tcPr>
            <w:tcW w:w="771" w:type="dxa"/>
            <w:vAlign w:val="center"/>
          </w:tcPr>
          <w:p w14:paraId="74444B6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013" w:type="dxa"/>
            <w:vAlign w:val="center"/>
          </w:tcPr>
          <w:p w14:paraId="7B0D1C5B">
            <w:pPr>
              <w:spacing w:line="2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技术力量：</w:t>
            </w:r>
          </w:p>
          <w:p w14:paraId="4105D7F4">
            <w:pPr>
              <w:spacing w:line="280" w:lineRule="exact"/>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1.投标单位具有机电类特种设备高级检验师，每1人得2分，最高得6分；</w:t>
            </w:r>
          </w:p>
          <w:p w14:paraId="183A8016">
            <w:pPr>
              <w:spacing w:line="280" w:lineRule="exact"/>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2.投标单位具有机电类特种设备检验资质持证人员100人(含)以上，得3分；100人(不含)-60人(含)以下，得2分；60人(不含)以下，得1分。</w:t>
            </w:r>
          </w:p>
          <w:p w14:paraId="17509AAB">
            <w:pPr>
              <w:spacing w:line="2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p w14:paraId="0A4A6153">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bCs/>
                <w:color w:val="auto"/>
                <w:highlight w:val="none"/>
              </w:rPr>
              <w:t>机电类特种设备高级检验师、机电类特种设备持证人员需提供执业注册信息（中国特种设备检验协会注册人员网站查询截图）和</w:t>
            </w:r>
            <w:r>
              <w:rPr>
                <w:rFonts w:hint="eastAsia" w:ascii="宋体" w:hAnsi="宋体" w:eastAsia="宋体" w:cs="宋体"/>
                <w:color w:val="auto"/>
                <w:highlight w:val="none"/>
              </w:rPr>
              <w:t>本项目开标日前连续六个月社保证明文件复印件</w:t>
            </w:r>
            <w:r>
              <w:rPr>
                <w:rFonts w:hint="eastAsia" w:ascii="宋体" w:hAnsi="宋体" w:eastAsia="宋体" w:cs="宋体"/>
                <w:bCs/>
                <w:color w:val="auto"/>
                <w:highlight w:val="none"/>
              </w:rPr>
              <w:t>，执业单位和社保缴纳单位为投标单位。</w:t>
            </w:r>
          </w:p>
        </w:tc>
      </w:tr>
      <w:tr w14:paraId="4BC589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4" w:hRule="atLeast"/>
          <w:jc w:val="center"/>
        </w:trPr>
        <w:tc>
          <w:tcPr>
            <w:tcW w:w="712" w:type="dxa"/>
            <w:vMerge w:val="continue"/>
            <w:vAlign w:val="center"/>
          </w:tcPr>
          <w:p w14:paraId="0B73328D">
            <w:pPr>
              <w:spacing w:line="280" w:lineRule="exact"/>
              <w:jc w:val="center"/>
              <w:rPr>
                <w:rFonts w:hint="eastAsia" w:ascii="宋体" w:hAnsi="宋体" w:eastAsia="宋体" w:cs="宋体"/>
                <w:color w:val="auto"/>
                <w:highlight w:val="none"/>
              </w:rPr>
            </w:pPr>
          </w:p>
        </w:tc>
        <w:tc>
          <w:tcPr>
            <w:tcW w:w="654" w:type="dxa"/>
            <w:vMerge w:val="continue"/>
            <w:vAlign w:val="center"/>
          </w:tcPr>
          <w:p w14:paraId="5D670A9C">
            <w:pPr>
              <w:spacing w:line="280" w:lineRule="exact"/>
              <w:jc w:val="center"/>
              <w:rPr>
                <w:rFonts w:hint="eastAsia" w:ascii="宋体" w:hAnsi="宋体" w:eastAsia="宋体" w:cs="宋体"/>
                <w:color w:val="auto"/>
                <w:highlight w:val="none"/>
              </w:rPr>
            </w:pPr>
          </w:p>
        </w:tc>
        <w:tc>
          <w:tcPr>
            <w:tcW w:w="771" w:type="dxa"/>
            <w:vAlign w:val="center"/>
          </w:tcPr>
          <w:p w14:paraId="550EF62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A057308">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投标人资格情况及通过相关认证情况: </w:t>
            </w:r>
          </w:p>
          <w:p w14:paraId="7E1ADD55">
            <w:pPr>
              <w:spacing w:line="280" w:lineRule="exact"/>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投标人通过省级或以上重点实验室、质检站（中心）的，得2分，没有不得分。</w:t>
            </w:r>
          </w:p>
          <w:p w14:paraId="67AA0781">
            <w:pPr>
              <w:pStyle w:val="109"/>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00EEC2F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62BB7006">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5D6A2F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64" w:hRule="atLeast"/>
          <w:jc w:val="center"/>
        </w:trPr>
        <w:tc>
          <w:tcPr>
            <w:tcW w:w="712" w:type="dxa"/>
            <w:vMerge w:val="continue"/>
          </w:tcPr>
          <w:p w14:paraId="743E60B8">
            <w:pPr>
              <w:spacing w:line="280" w:lineRule="exact"/>
              <w:rPr>
                <w:rFonts w:hint="eastAsia" w:ascii="宋体" w:hAnsi="宋体" w:eastAsia="宋体" w:cs="宋体"/>
                <w:color w:val="auto"/>
                <w:highlight w:val="none"/>
              </w:rPr>
            </w:pPr>
          </w:p>
        </w:tc>
        <w:tc>
          <w:tcPr>
            <w:tcW w:w="654" w:type="dxa"/>
            <w:vMerge w:val="continue"/>
          </w:tcPr>
          <w:p w14:paraId="1811749F">
            <w:pPr>
              <w:spacing w:line="280" w:lineRule="exact"/>
              <w:rPr>
                <w:rFonts w:hint="eastAsia" w:ascii="宋体" w:hAnsi="宋体" w:eastAsia="宋体" w:cs="宋体"/>
                <w:color w:val="auto"/>
                <w:highlight w:val="none"/>
              </w:rPr>
            </w:pPr>
          </w:p>
        </w:tc>
        <w:tc>
          <w:tcPr>
            <w:tcW w:w="771" w:type="dxa"/>
            <w:vAlign w:val="center"/>
          </w:tcPr>
          <w:p w14:paraId="70B3C25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B326D00">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科研能力：</w:t>
            </w:r>
          </w:p>
          <w:p w14:paraId="188C6F3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2016年1月1日起承担过国家级机电类特种设备科研项目的，每项1分，省级及以下机电类特种设备科研项目的，每项0.5分，最多得2分。</w:t>
            </w:r>
          </w:p>
          <w:p w14:paraId="5E9479FC">
            <w:pPr>
              <w:pStyle w:val="109"/>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011897EF">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27896812">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1C117D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3" w:hRule="atLeast"/>
          <w:jc w:val="center"/>
        </w:trPr>
        <w:tc>
          <w:tcPr>
            <w:tcW w:w="712" w:type="dxa"/>
            <w:vMerge w:val="continue"/>
          </w:tcPr>
          <w:p w14:paraId="4DADAA0A">
            <w:pPr>
              <w:spacing w:line="280" w:lineRule="exact"/>
              <w:rPr>
                <w:rFonts w:hint="eastAsia" w:ascii="宋体" w:hAnsi="宋体" w:eastAsia="宋体" w:cs="宋体"/>
                <w:color w:val="auto"/>
                <w:highlight w:val="none"/>
              </w:rPr>
            </w:pPr>
          </w:p>
        </w:tc>
        <w:tc>
          <w:tcPr>
            <w:tcW w:w="654" w:type="dxa"/>
            <w:vMerge w:val="continue"/>
          </w:tcPr>
          <w:p w14:paraId="78AFFBA8">
            <w:pPr>
              <w:spacing w:line="280" w:lineRule="exact"/>
              <w:rPr>
                <w:rFonts w:hint="eastAsia" w:ascii="宋体" w:hAnsi="宋体" w:eastAsia="宋体" w:cs="宋体"/>
                <w:color w:val="auto"/>
                <w:highlight w:val="none"/>
              </w:rPr>
            </w:pPr>
          </w:p>
        </w:tc>
        <w:tc>
          <w:tcPr>
            <w:tcW w:w="771" w:type="dxa"/>
            <w:vAlign w:val="center"/>
          </w:tcPr>
          <w:p w14:paraId="573509F4">
            <w:pPr>
              <w:pStyle w:val="109"/>
              <w:pBdr>
                <w:between w:val="single" w:color="auto" w:sz="4" w:space="1"/>
              </w:pBdr>
              <w:spacing w:line="2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8013" w:type="dxa"/>
            <w:vAlign w:val="center"/>
          </w:tcPr>
          <w:p w14:paraId="22EDB17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自主知识产权产品（创新、设计）: </w:t>
            </w:r>
          </w:p>
          <w:p w14:paraId="6FD77BB0">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2016年1月1日起投标人在机电类特种设备领域获得的国家发明专利授权，每项1分，最多2分。</w:t>
            </w:r>
          </w:p>
          <w:p w14:paraId="3086FD2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623BF714">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4847BEA5">
            <w:pPr>
              <w:pStyle w:val="109"/>
              <w:pBdr>
                <w:between w:val="single" w:color="auto" w:sz="4" w:space="1"/>
              </w:pBdr>
              <w:spacing w:line="2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225DAC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3" w:hRule="atLeast"/>
          <w:jc w:val="center"/>
        </w:trPr>
        <w:tc>
          <w:tcPr>
            <w:tcW w:w="712" w:type="dxa"/>
            <w:vMerge w:val="continue"/>
          </w:tcPr>
          <w:p w14:paraId="4B16BBA6">
            <w:pPr>
              <w:spacing w:line="280" w:lineRule="exact"/>
              <w:rPr>
                <w:rFonts w:hint="eastAsia" w:ascii="宋体" w:hAnsi="宋体" w:eastAsia="宋体" w:cs="宋体"/>
                <w:color w:val="auto"/>
                <w:highlight w:val="none"/>
              </w:rPr>
            </w:pPr>
          </w:p>
        </w:tc>
        <w:tc>
          <w:tcPr>
            <w:tcW w:w="654" w:type="dxa"/>
            <w:vMerge w:val="continue"/>
          </w:tcPr>
          <w:p w14:paraId="1A6123F1">
            <w:pPr>
              <w:spacing w:line="280" w:lineRule="exact"/>
              <w:rPr>
                <w:rFonts w:hint="eastAsia" w:ascii="宋体" w:hAnsi="宋体" w:eastAsia="宋体" w:cs="宋体"/>
                <w:color w:val="auto"/>
                <w:highlight w:val="none"/>
              </w:rPr>
            </w:pPr>
          </w:p>
        </w:tc>
        <w:tc>
          <w:tcPr>
            <w:tcW w:w="771" w:type="dxa"/>
            <w:vAlign w:val="center"/>
          </w:tcPr>
          <w:p w14:paraId="1BAC9405">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46B73186">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应急保障经验：</w:t>
            </w:r>
          </w:p>
          <w:p w14:paraId="7CF3B3DF">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1.参与国际型会议、重大活动等主会场电梯安全保障工作的，得6分；</w:t>
            </w:r>
          </w:p>
          <w:p w14:paraId="2C487C2E">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2.参与全国性会议、重大活动等主会场电梯安全保障工作的，得4分；</w:t>
            </w:r>
          </w:p>
          <w:p w14:paraId="73D0C873">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3.参与全省性会议、重大活动等主会场电梯安全保障工作的，得2分。</w:t>
            </w:r>
          </w:p>
          <w:p w14:paraId="2BA6D884">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3ACD19CB">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1.提供会议、重大活动举办方或举办地政府部门相关证明文件；</w:t>
            </w:r>
          </w:p>
          <w:p w14:paraId="6963526A">
            <w:pPr>
              <w:pStyle w:val="109"/>
              <w:pBdr>
                <w:between w:val="single" w:color="auto" w:sz="4" w:space="1"/>
              </w:pBdr>
              <w:spacing w:line="2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06B05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5" w:hRule="atLeast"/>
          <w:jc w:val="center"/>
        </w:trPr>
        <w:tc>
          <w:tcPr>
            <w:tcW w:w="712" w:type="dxa"/>
            <w:vAlign w:val="center"/>
          </w:tcPr>
          <w:p w14:paraId="7EA65490">
            <w:pPr>
              <w:pStyle w:val="109"/>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c>
          <w:tcPr>
            <w:tcW w:w="9438" w:type="dxa"/>
            <w:gridSpan w:val="3"/>
            <w:vAlign w:val="center"/>
          </w:tcPr>
          <w:p w14:paraId="4E070A6E">
            <w:pPr>
              <w:pStyle w:val="109"/>
              <w:spacing w:line="3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1.评标委员会各成员独立打分；</w:t>
            </w:r>
          </w:p>
          <w:p w14:paraId="7F27EA02">
            <w:pPr>
              <w:pStyle w:val="109"/>
              <w:spacing w:line="3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2.评委打分超过得分界限或未按本表规定赋分时，该评委的打分作废，不计入汇总分；3.若出现综合得分并列时，比较价格得分，此分项得分高者排序在前； 若价格得分仍相同，比较技术得分，此分项得分高者排序在前；若技术得分仍相同，则由全体评标委员会成员无记名投票，得票高者排序在前；</w:t>
            </w:r>
          </w:p>
          <w:p w14:paraId="39495CF1">
            <w:pPr>
              <w:spacing w:line="3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4.各种计算数字均保留两位小数，第二位“ 四舍五入”；</w:t>
            </w:r>
          </w:p>
          <w:p w14:paraId="4E7F5A19">
            <w:pPr>
              <w:spacing w:line="380" w:lineRule="exact"/>
              <w:ind w:firstLine="496" w:firstLineChars="200"/>
              <w:rPr>
                <w:rFonts w:hint="eastAsia" w:ascii="宋体" w:hAnsi="宋体" w:eastAsia="宋体" w:cs="宋体"/>
                <w:b/>
                <w:color w:val="auto"/>
                <w:highlight w:val="none"/>
              </w:rPr>
            </w:pPr>
            <w:r>
              <w:rPr>
                <w:rFonts w:hint="eastAsia" w:ascii="宋体" w:hAnsi="宋体" w:eastAsia="宋体" w:cs="宋体"/>
                <w:color w:val="auto"/>
                <w:highlight w:val="none"/>
              </w:rPr>
              <w:t>5.评标过程中，若出现特殊情况时，由评标委员会决定暂停评标，并提出具体处理意见。</w:t>
            </w:r>
          </w:p>
        </w:tc>
      </w:tr>
    </w:tbl>
    <w:p w14:paraId="35BB1FF3">
      <w:pPr>
        <w:rPr>
          <w:rFonts w:hint="eastAsia" w:ascii="宋体" w:hAnsi="宋体" w:eastAsia="宋体" w:cs="宋体"/>
          <w:color w:val="auto"/>
          <w:sz w:val="28"/>
          <w:szCs w:val="28"/>
          <w:highlight w:val="none"/>
        </w:rPr>
      </w:pPr>
      <w:r>
        <w:rPr>
          <w:rFonts w:ascii="宋体" w:hAnsi="宋体" w:eastAsia="宋体" w:cs="宋体"/>
          <w:color w:val="auto"/>
          <w:sz w:val="28"/>
          <w:szCs w:val="28"/>
          <w:highlight w:val="none"/>
        </w:rPr>
        <w:br w:type="page"/>
      </w:r>
      <w:bookmarkStart w:id="280" w:name="_GoBack"/>
    </w:p>
    <w:bookmarkEnd w:id="280"/>
    <w:p w14:paraId="66C57368">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第二包打分标准</w:t>
      </w:r>
    </w:p>
    <w:tbl>
      <w:tblPr>
        <w:tblStyle w:val="34"/>
        <w:tblW w:w="101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2"/>
        <w:gridCol w:w="654"/>
        <w:gridCol w:w="771"/>
        <w:gridCol w:w="8013"/>
      </w:tblGrid>
      <w:tr w14:paraId="24CC37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tblHeader/>
          <w:jc w:val="center"/>
        </w:trPr>
        <w:tc>
          <w:tcPr>
            <w:tcW w:w="712" w:type="dxa"/>
            <w:vAlign w:val="center"/>
          </w:tcPr>
          <w:p w14:paraId="3FE95D95">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项别</w:t>
            </w:r>
          </w:p>
        </w:tc>
        <w:tc>
          <w:tcPr>
            <w:tcW w:w="654" w:type="dxa"/>
            <w:vAlign w:val="center"/>
          </w:tcPr>
          <w:p w14:paraId="76B8002E">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总分值</w:t>
            </w:r>
          </w:p>
        </w:tc>
        <w:tc>
          <w:tcPr>
            <w:tcW w:w="771" w:type="dxa"/>
            <w:vAlign w:val="center"/>
          </w:tcPr>
          <w:p w14:paraId="0BEBE9DD">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分项最高分值</w:t>
            </w:r>
          </w:p>
        </w:tc>
        <w:tc>
          <w:tcPr>
            <w:tcW w:w="8013" w:type="dxa"/>
            <w:vAlign w:val="center"/>
          </w:tcPr>
          <w:p w14:paraId="74776E37">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评审要素</w:t>
            </w:r>
          </w:p>
        </w:tc>
      </w:tr>
      <w:tr w14:paraId="31A474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0" w:hRule="atLeast"/>
          <w:jc w:val="center"/>
        </w:trPr>
        <w:tc>
          <w:tcPr>
            <w:tcW w:w="712" w:type="dxa"/>
            <w:vAlign w:val="center"/>
          </w:tcPr>
          <w:p w14:paraId="49709B72">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价格</w:t>
            </w:r>
          </w:p>
        </w:tc>
        <w:tc>
          <w:tcPr>
            <w:tcW w:w="654" w:type="dxa"/>
            <w:vAlign w:val="center"/>
          </w:tcPr>
          <w:p w14:paraId="00082E4C">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771" w:type="dxa"/>
            <w:vAlign w:val="center"/>
          </w:tcPr>
          <w:p w14:paraId="54E4D0D5">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8013" w:type="dxa"/>
            <w:vAlign w:val="center"/>
          </w:tcPr>
          <w:p w14:paraId="692C5032">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1.经初审合格的投标文件，其投标报价为有效投标报价，并对有效投标报价进行政策性扣减，依据扣减后的价格（评审价格）进行价格评审。</w:t>
            </w:r>
          </w:p>
          <w:p w14:paraId="640D8D5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2.满足招标文件实质性要求且最终报价最低的投标人的价格为投标基准价，其价格分为满分20分。</w:t>
            </w:r>
          </w:p>
          <w:p w14:paraId="76F33FA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3.投标报价得分=（投标基准价/投标报价）×20的公式计算得分。</w:t>
            </w:r>
          </w:p>
          <w:p w14:paraId="6CDCF03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4.投标报价不完整的，不进入评标标准价的计算，本项得0分。</w:t>
            </w:r>
          </w:p>
          <w:p w14:paraId="72F810AB">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5.经评委一致认定，投标人的投标最终总报价低于公认市场成本，或超过采购预算,其投标将被拒绝。</w:t>
            </w:r>
          </w:p>
        </w:tc>
      </w:tr>
      <w:tr w14:paraId="0AD66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90" w:hRule="atLeast"/>
          <w:jc w:val="center"/>
        </w:trPr>
        <w:tc>
          <w:tcPr>
            <w:tcW w:w="712" w:type="dxa"/>
            <w:vMerge w:val="restart"/>
            <w:vAlign w:val="center"/>
          </w:tcPr>
          <w:p w14:paraId="0D0B6B2D">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w:t>
            </w:r>
          </w:p>
          <w:p w14:paraId="0A1B673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方案</w:t>
            </w:r>
          </w:p>
        </w:tc>
        <w:tc>
          <w:tcPr>
            <w:tcW w:w="654" w:type="dxa"/>
            <w:vMerge w:val="restart"/>
            <w:vAlign w:val="center"/>
          </w:tcPr>
          <w:p w14:paraId="5853F9A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771" w:type="dxa"/>
            <w:vAlign w:val="center"/>
          </w:tcPr>
          <w:p w14:paraId="289D76DA">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013" w:type="dxa"/>
            <w:vAlign w:val="center"/>
          </w:tcPr>
          <w:p w14:paraId="3BE5545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需求理解：</w:t>
            </w:r>
          </w:p>
          <w:p w14:paraId="67E1BB4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 对采购需求的理解；2.对项目现状的了解情况；3.对本项目重点、难点的分析；4. 合理化建议。</w:t>
            </w:r>
          </w:p>
          <w:p w14:paraId="59DAE15E">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3D04CB0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（1）对采购项目需求的理解准确到位，对项目现状调研论证充分，对采购项目的特点、重点、难点能提出针对性切实可行的解决方法，且措施科学全面的，得（7-8]分；</w:t>
            </w:r>
          </w:p>
          <w:p w14:paraId="7BEDE3B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（2）对采购项目需求的理解基本准确，对项目现状的调研论证一般，对采购项目的特点、重点、难点有基本的解决办法和措施，得(4-7]分；</w:t>
            </w:r>
          </w:p>
          <w:p w14:paraId="704606AC">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（3）对采购项目需求理解不到位，未进行项目现状调研论证，对采购项目的特点、重点、难点未提出针对性解决方法和措施的，得[1-4]分;</w:t>
            </w:r>
          </w:p>
          <w:p w14:paraId="497AE600">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333D25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712" w:type="dxa"/>
            <w:vMerge w:val="continue"/>
            <w:vAlign w:val="center"/>
          </w:tcPr>
          <w:p w14:paraId="5F6E685C">
            <w:pPr>
              <w:spacing w:line="280" w:lineRule="exact"/>
              <w:jc w:val="center"/>
              <w:rPr>
                <w:rFonts w:hint="eastAsia" w:ascii="宋体" w:hAnsi="宋体" w:eastAsia="宋体" w:cs="宋体"/>
                <w:color w:val="auto"/>
                <w:highlight w:val="none"/>
              </w:rPr>
            </w:pPr>
          </w:p>
        </w:tc>
        <w:tc>
          <w:tcPr>
            <w:tcW w:w="654" w:type="dxa"/>
            <w:vMerge w:val="continue"/>
            <w:vAlign w:val="center"/>
          </w:tcPr>
          <w:p w14:paraId="29A68530">
            <w:pPr>
              <w:spacing w:line="280" w:lineRule="exact"/>
              <w:jc w:val="center"/>
              <w:rPr>
                <w:rFonts w:hint="eastAsia" w:ascii="宋体" w:hAnsi="宋体" w:eastAsia="宋体" w:cs="宋体"/>
                <w:color w:val="auto"/>
                <w:highlight w:val="none"/>
              </w:rPr>
            </w:pPr>
          </w:p>
        </w:tc>
        <w:tc>
          <w:tcPr>
            <w:tcW w:w="771" w:type="dxa"/>
            <w:vAlign w:val="center"/>
          </w:tcPr>
          <w:p w14:paraId="74504E43">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013" w:type="dxa"/>
            <w:vAlign w:val="center"/>
          </w:tcPr>
          <w:p w14:paraId="47D759A6">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项目实施方案应具备：</w:t>
            </w:r>
          </w:p>
          <w:p w14:paraId="2B971224">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内容及工作流程；2.监督抽查具体内容及方法要求；3.配备满足项目实施的人员、工具和车辆；4.项目实施计划；5.项目重点、难点问题的应对措施及改进建议；6.实施监督抽查工作的应急预案；7.监督抽查过程中突发事件的处置措施。</w:t>
            </w:r>
          </w:p>
          <w:p w14:paraId="5D9FCAF0">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56394D8D">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实施方案包含但不限于1-7项，方案内容详细完整、工作流程科学合理，监督抽查的具体内容和方法要求符合采购人需求，配备的人员、工具、车辆能够满足项目实施需求，总体计划和月度计划任务分布合理，项目重点、难点问题的应对措施及改进建议、应急预案与实际情况结合紧密，对突发情况能迅速组织有效力量响应，得（10-14]分；</w:t>
            </w:r>
          </w:p>
          <w:p w14:paraId="6F60F76E">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项目实施方案只包含1-7项，方案内容相对完整，工作流程、监督抽查的具体内容和方法要求、配备的人员、工具、车辆相对满足项目实施需求，总体计划和月度计划任务、项目重点难点问题的应对措施及改进建议、应急预案基本符合项目要求，对突发情况能够响应，得(7-10]分；</w:t>
            </w:r>
          </w:p>
          <w:p w14:paraId="760135A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项目实施方案仅包含1-7项，方案内容、工作流程、具体内容和方法要求、配备的人员、工具、车辆基本满足项目实施需求，总体计划和月度计划任务、项目重点难点问题的应对措施及改进建议、应急预案与项目要求差距较大，对突发情况未能有效响应，得(4-7]分；</w:t>
            </w:r>
          </w:p>
          <w:p w14:paraId="27749A9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（4）供应商编制的项目实施方案未能满足本项目的需求，其服务水平未能符合国家、行业和地方标准的，得[1-4]分；</w:t>
            </w:r>
          </w:p>
          <w:p w14:paraId="3F5B78FC">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（5）未提供相应内容的不得分。</w:t>
            </w:r>
          </w:p>
        </w:tc>
      </w:tr>
      <w:tr w14:paraId="5DFA38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4BC624B3">
            <w:pPr>
              <w:spacing w:line="280" w:lineRule="exact"/>
              <w:jc w:val="center"/>
              <w:rPr>
                <w:rFonts w:hint="eastAsia" w:ascii="宋体" w:hAnsi="宋体" w:eastAsia="宋体" w:cs="宋体"/>
                <w:color w:val="auto"/>
                <w:highlight w:val="none"/>
              </w:rPr>
            </w:pPr>
          </w:p>
        </w:tc>
        <w:tc>
          <w:tcPr>
            <w:tcW w:w="654" w:type="dxa"/>
            <w:vMerge w:val="continue"/>
            <w:vAlign w:val="center"/>
          </w:tcPr>
          <w:p w14:paraId="0B7ACC55">
            <w:pPr>
              <w:spacing w:line="280" w:lineRule="exact"/>
              <w:jc w:val="center"/>
              <w:rPr>
                <w:rFonts w:hint="eastAsia" w:ascii="宋体" w:hAnsi="宋体" w:eastAsia="宋体" w:cs="宋体"/>
                <w:color w:val="auto"/>
                <w:highlight w:val="none"/>
              </w:rPr>
            </w:pPr>
          </w:p>
        </w:tc>
        <w:tc>
          <w:tcPr>
            <w:tcW w:w="771" w:type="dxa"/>
            <w:vAlign w:val="center"/>
          </w:tcPr>
          <w:p w14:paraId="00FDA28A">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013" w:type="dxa"/>
            <w:vAlign w:val="center"/>
          </w:tcPr>
          <w:p w14:paraId="1D512A74">
            <w:pPr>
              <w:pStyle w:val="109"/>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项目组织架构及管理制度：</w:t>
            </w:r>
          </w:p>
          <w:p w14:paraId="4DD65EF6">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1.项目管理机构及其职责；2.管理制度；</w:t>
            </w:r>
          </w:p>
          <w:p w14:paraId="3405D8E6">
            <w:pPr>
              <w:pStyle w:val="109"/>
              <w:spacing w:line="280" w:lineRule="exact"/>
              <w:ind w:firstLine="499"/>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p w14:paraId="5F5EC35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（1）监督抽查项目的组织架构完善，各项管理制度健全，结合项目实际紧密，得(3-5]分；</w:t>
            </w:r>
          </w:p>
          <w:p w14:paraId="517823D7">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（2）监督抽查项目的组织架构和各项管理制度，能基本满足本项目实施的，得（1-3]分；</w:t>
            </w:r>
          </w:p>
          <w:p w14:paraId="0903BD0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（3）存在缺项、内容不完整的得1分；</w:t>
            </w:r>
          </w:p>
          <w:p w14:paraId="6F77B22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5DB82D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634D683C">
            <w:pPr>
              <w:spacing w:line="280" w:lineRule="exact"/>
              <w:jc w:val="center"/>
              <w:rPr>
                <w:rFonts w:hint="eastAsia" w:ascii="宋体" w:hAnsi="宋体" w:eastAsia="宋体" w:cs="宋体"/>
                <w:color w:val="auto"/>
                <w:highlight w:val="none"/>
              </w:rPr>
            </w:pPr>
          </w:p>
        </w:tc>
        <w:tc>
          <w:tcPr>
            <w:tcW w:w="654" w:type="dxa"/>
            <w:vMerge w:val="continue"/>
            <w:vAlign w:val="center"/>
          </w:tcPr>
          <w:p w14:paraId="2BA4B657">
            <w:pPr>
              <w:spacing w:line="280" w:lineRule="exact"/>
              <w:jc w:val="center"/>
              <w:rPr>
                <w:rFonts w:hint="eastAsia" w:ascii="宋体" w:hAnsi="宋体" w:eastAsia="宋体" w:cs="宋体"/>
                <w:color w:val="auto"/>
                <w:highlight w:val="none"/>
              </w:rPr>
            </w:pPr>
          </w:p>
        </w:tc>
        <w:tc>
          <w:tcPr>
            <w:tcW w:w="771" w:type="dxa"/>
            <w:vAlign w:val="center"/>
          </w:tcPr>
          <w:p w14:paraId="68F3FAB3">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72E58FB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出具报告的格式及内容：</w:t>
            </w:r>
          </w:p>
          <w:p w14:paraId="6BC79F3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按文件中的要求制定监督抽查所需报告的格式及内容。</w:t>
            </w:r>
          </w:p>
          <w:p w14:paraId="643420A7">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3ED5838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（1）抽查报告格式科学合理、内容完整的，得(4-6]分；</w:t>
            </w:r>
          </w:p>
          <w:p w14:paraId="2022C7BA">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（2）抽查报告格式基本合理、内容基本完整的，得(2-4]分；</w:t>
            </w:r>
          </w:p>
          <w:p w14:paraId="7154F89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（3）抽查报告格式混乱、内容不完整的，得[1-2]分；</w:t>
            </w:r>
          </w:p>
          <w:p w14:paraId="63D0D63F">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4C20A8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9" w:hRule="atLeast"/>
          <w:jc w:val="center"/>
        </w:trPr>
        <w:tc>
          <w:tcPr>
            <w:tcW w:w="712" w:type="dxa"/>
            <w:vMerge w:val="restart"/>
            <w:vAlign w:val="center"/>
          </w:tcPr>
          <w:p w14:paraId="7DB9D99C">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w:t>
            </w:r>
          </w:p>
          <w:p w14:paraId="5DDE3B1E">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保证</w:t>
            </w:r>
          </w:p>
        </w:tc>
        <w:tc>
          <w:tcPr>
            <w:tcW w:w="654" w:type="dxa"/>
            <w:vMerge w:val="restart"/>
            <w:vAlign w:val="center"/>
          </w:tcPr>
          <w:p w14:paraId="318EDB12">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771" w:type="dxa"/>
            <w:vAlign w:val="center"/>
          </w:tcPr>
          <w:p w14:paraId="50770DF7">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013" w:type="dxa"/>
            <w:vAlign w:val="center"/>
          </w:tcPr>
          <w:p w14:paraId="025FA110">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信息化能力：</w:t>
            </w:r>
          </w:p>
          <w:p w14:paraId="29B29E9B">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1.具有功能完备的特种设备监督抽查的信息化系统，可按照采购人需求进行监督抽查任务分类，并实现随机抽样、接收下发抽查数据任务、抽查进展状况查询、抽查结果传递、扫码回传整改资料等功能；</w:t>
            </w:r>
          </w:p>
          <w:p w14:paraId="447B7834">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2.具有监督抽查全流程无纸化功能：支持任务申请、下达、录入、校核、审核、批准、发送等全流程无纸化操作，并涵盖可单独验证的符合《电子签名法》的电子签名/签章；</w:t>
            </w:r>
          </w:p>
          <w:p w14:paraId="4FBF2FD7">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3.具有较强的交互和协同处理功能，开放客户端，可实现现场开具“两书一单”，涵盖客户签名，现场拍照，电子签名/签章等；</w:t>
            </w:r>
          </w:p>
          <w:p w14:paraId="749B39D9">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4.具有较强的管理功能，可实现多维度统计分析，基础数据配置、记录表卡管理等；</w:t>
            </w:r>
          </w:p>
          <w:p w14:paraId="0207258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5.具有较强的运维团队，对采购人在监督抽查过程中的需求能快速响应。</w:t>
            </w:r>
          </w:p>
          <w:p w14:paraId="6736A073">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35B64CC6">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（1）投标人提供的信息化系统能完全满足但不限于1-5项要求功能的，得(7-10]分；</w:t>
            </w:r>
          </w:p>
          <w:p w14:paraId="2DAC0F1D">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（2）投标人提供的信息化系统能基本满足1-5项要求的功能的，得(4-7]分；</w:t>
            </w:r>
          </w:p>
          <w:p w14:paraId="3CCC947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（3）投标人提供的信息化系统能基本满足1-5项要求单个功能的，得[1-4]分；</w:t>
            </w:r>
          </w:p>
          <w:p w14:paraId="0F6782C7">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p w14:paraId="1110C9F6">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（提供与软件开发公司关于开发信息系统平台的合同复印件或内部立项及验收材料。）</w:t>
            </w:r>
          </w:p>
        </w:tc>
      </w:tr>
      <w:tr w14:paraId="2F625E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1BF2D0AF">
            <w:pPr>
              <w:spacing w:line="280" w:lineRule="exact"/>
              <w:jc w:val="center"/>
              <w:rPr>
                <w:rFonts w:hint="eastAsia" w:ascii="宋体" w:hAnsi="宋体" w:eastAsia="宋体" w:cs="宋体"/>
                <w:color w:val="auto"/>
                <w:highlight w:val="none"/>
              </w:rPr>
            </w:pPr>
          </w:p>
        </w:tc>
        <w:tc>
          <w:tcPr>
            <w:tcW w:w="654" w:type="dxa"/>
            <w:vMerge w:val="continue"/>
            <w:vAlign w:val="center"/>
          </w:tcPr>
          <w:p w14:paraId="4D3C7E06">
            <w:pPr>
              <w:pStyle w:val="109"/>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24BB8BB7">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9EBB5A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质量保证措施：</w:t>
            </w:r>
          </w:p>
          <w:p w14:paraId="72A4E77D">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1.质量目标；2.奖惩措施；3.服务质量检查；4.验收方法和标准;5.投诉处理；6.整改方案。</w:t>
            </w:r>
          </w:p>
          <w:p w14:paraId="3B51911C">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4338ABD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（1）质量保证措施内容满足1—6要求的，得3分；</w:t>
            </w:r>
          </w:p>
          <w:p w14:paraId="70249085">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（2）质量保证措施基本满足上述1—6要求的，得2分；</w:t>
            </w:r>
          </w:p>
          <w:p w14:paraId="45C93A7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（3）质量保证措施与上述1—6要求相比有缺失的，得1分；</w:t>
            </w:r>
          </w:p>
          <w:p w14:paraId="53D50D0C">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（4）未提供相应质量保证措施的不得分。</w:t>
            </w:r>
          </w:p>
        </w:tc>
      </w:tr>
      <w:tr w14:paraId="430476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12" w:type="dxa"/>
            <w:vMerge w:val="continue"/>
            <w:vAlign w:val="center"/>
          </w:tcPr>
          <w:p w14:paraId="6BBFDB23">
            <w:pPr>
              <w:spacing w:line="280" w:lineRule="exact"/>
              <w:jc w:val="center"/>
              <w:rPr>
                <w:rFonts w:hint="eastAsia" w:ascii="宋体" w:hAnsi="宋体" w:eastAsia="宋体" w:cs="宋体"/>
                <w:color w:val="auto"/>
                <w:highlight w:val="none"/>
              </w:rPr>
            </w:pPr>
          </w:p>
        </w:tc>
        <w:tc>
          <w:tcPr>
            <w:tcW w:w="654" w:type="dxa"/>
            <w:vMerge w:val="continue"/>
            <w:vAlign w:val="center"/>
          </w:tcPr>
          <w:p w14:paraId="3A46BE8F">
            <w:pPr>
              <w:pStyle w:val="109"/>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47093CB4">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86AAD8A">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服务承诺：</w:t>
            </w:r>
          </w:p>
          <w:p w14:paraId="3F90736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1.售后服务承诺；2.服务响应及时；3.违约承诺。</w:t>
            </w:r>
          </w:p>
          <w:p w14:paraId="23A8225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0439467C">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（1）售后服务承诺操作性强、响应迅速且责任明晰的，得3分；</w:t>
            </w:r>
          </w:p>
          <w:p w14:paraId="2451BA5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（2）售后服务承诺操作性一般，有服务响应及责任区分的，得2分；</w:t>
            </w:r>
          </w:p>
          <w:p w14:paraId="6E669DC1">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（3）售后服务承诺、响应及责任区分有缺项的，得1分；</w:t>
            </w:r>
          </w:p>
          <w:p w14:paraId="71BEE28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（4）未提供相应内容的不得分。</w:t>
            </w:r>
          </w:p>
        </w:tc>
      </w:tr>
      <w:tr w14:paraId="3A0898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712" w:type="dxa"/>
            <w:vMerge w:val="restart"/>
            <w:vAlign w:val="center"/>
          </w:tcPr>
          <w:p w14:paraId="1D4523FE">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w:t>
            </w:r>
          </w:p>
          <w:p w14:paraId="00828B2A">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配备</w:t>
            </w:r>
          </w:p>
        </w:tc>
        <w:tc>
          <w:tcPr>
            <w:tcW w:w="654" w:type="dxa"/>
            <w:vMerge w:val="restart"/>
            <w:vAlign w:val="center"/>
          </w:tcPr>
          <w:p w14:paraId="2B216D1A">
            <w:pPr>
              <w:pStyle w:val="109"/>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771" w:type="dxa"/>
            <w:vAlign w:val="center"/>
          </w:tcPr>
          <w:p w14:paraId="3C6343AE">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013" w:type="dxa"/>
            <w:vAlign w:val="center"/>
          </w:tcPr>
          <w:p w14:paraId="47284942">
            <w:pPr>
              <w:pStyle w:val="109"/>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拟安排的项目负责人情况:</w:t>
            </w:r>
          </w:p>
          <w:p w14:paraId="6F8F3F71">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1.项目负责人具有正高（教授）级职称，得2分；项目负责人具有高级职称，得1分。</w:t>
            </w:r>
          </w:p>
          <w:p w14:paraId="6581C36A">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2.项目负责人参与、主持过国家级特种设备技术规范或标准起草工作的，得2分；项目负责人参与、主持过省级及以下特种设备或技术规范、地方标准起草工作的，得1分；</w:t>
            </w:r>
          </w:p>
          <w:p w14:paraId="3E32B2F8">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职称证书及工作经历证明材料扫描件作为得分依据；2.评分中出现无证明资料或专家无法凭所提供资料判断是否得分的情况，一律作不得分处理；3.要求拟安排的项目负责人（1人）必须在投标单位缴纳至少六个月社保，否则本项直接计0分。要求提供人员社保记录，社保记录与投标人单位应保持一致。）</w:t>
            </w:r>
          </w:p>
        </w:tc>
      </w:tr>
      <w:tr w14:paraId="29C8CF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85" w:hRule="atLeast"/>
          <w:jc w:val="center"/>
        </w:trPr>
        <w:tc>
          <w:tcPr>
            <w:tcW w:w="712" w:type="dxa"/>
            <w:vMerge w:val="continue"/>
          </w:tcPr>
          <w:p w14:paraId="76CC809C">
            <w:pPr>
              <w:spacing w:line="280" w:lineRule="exact"/>
              <w:rPr>
                <w:rFonts w:hint="eastAsia" w:ascii="宋体" w:hAnsi="宋体" w:eastAsia="宋体" w:cs="宋体"/>
                <w:color w:val="auto"/>
                <w:highlight w:val="none"/>
              </w:rPr>
            </w:pPr>
          </w:p>
        </w:tc>
        <w:tc>
          <w:tcPr>
            <w:tcW w:w="654" w:type="dxa"/>
            <w:vMerge w:val="continue"/>
          </w:tcPr>
          <w:p w14:paraId="1E6ED9E9">
            <w:pPr>
              <w:spacing w:line="280" w:lineRule="exact"/>
              <w:rPr>
                <w:rFonts w:hint="eastAsia" w:ascii="宋体" w:hAnsi="宋体" w:eastAsia="宋体" w:cs="宋体"/>
                <w:color w:val="auto"/>
                <w:highlight w:val="none"/>
              </w:rPr>
            </w:pPr>
          </w:p>
        </w:tc>
        <w:tc>
          <w:tcPr>
            <w:tcW w:w="771" w:type="dxa"/>
            <w:vAlign w:val="center"/>
          </w:tcPr>
          <w:p w14:paraId="1DAA6F3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013" w:type="dxa"/>
            <w:vAlign w:val="center"/>
          </w:tcPr>
          <w:p w14:paraId="2E79C4A9">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拟投入本项目的人员资质及数量：</w:t>
            </w:r>
          </w:p>
          <w:p w14:paraId="107A50E7">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1.具有机电类特种设备检验师资质和机电类检验员资质总数达到100人及以上，其中机电类检验师资质总数达到80以上的，得8分（需要同时满足）；</w:t>
            </w:r>
          </w:p>
          <w:p w14:paraId="3F7E68AA">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2.具有机电类特种设备检验师资质和机电类检验员资质总数达到80人及以上，其中机电类检验师资质人数达到60人以上的，得6分（需要同时满足）；</w:t>
            </w:r>
          </w:p>
          <w:p w14:paraId="6F8204D1">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3.具有机电类特种设备检验师资质和机电类检验员资质总数达到60人及以上，其中机电类检验师资质人数达到40人以上的，得4分（需要同时满足）；</w:t>
            </w:r>
          </w:p>
          <w:p w14:paraId="69FFB591">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 具有机电类特种设备检验师资质和机电类检验员资质总数达到40人及以上，其中机电类检验师资质人数达到20人以上的，得2分（需要同时满足）。</w:t>
            </w:r>
          </w:p>
          <w:p w14:paraId="11E56E65">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（提供相关人员资格证书和本项目开标日前连续六个月供应商为相关人员缴纳的社保证明文件复印件。）</w:t>
            </w:r>
          </w:p>
        </w:tc>
      </w:tr>
      <w:tr w14:paraId="46A59A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91" w:hRule="atLeast"/>
          <w:jc w:val="center"/>
        </w:trPr>
        <w:tc>
          <w:tcPr>
            <w:tcW w:w="712" w:type="dxa"/>
            <w:vMerge w:val="restart"/>
            <w:vAlign w:val="center"/>
          </w:tcPr>
          <w:p w14:paraId="17D4793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654" w:type="dxa"/>
            <w:vMerge w:val="restart"/>
            <w:vAlign w:val="center"/>
          </w:tcPr>
          <w:p w14:paraId="4D3B0A7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771" w:type="dxa"/>
            <w:vAlign w:val="center"/>
          </w:tcPr>
          <w:p w14:paraId="6D0E89F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61CFD525">
            <w:pPr>
              <w:pStyle w:val="109"/>
              <w:spacing w:line="280" w:lineRule="exact"/>
              <w:ind w:firstLine="499"/>
              <w:rPr>
                <w:rFonts w:hint="eastAsia" w:ascii="宋体" w:hAnsi="宋体" w:eastAsia="宋体" w:cs="宋体"/>
                <w:b/>
                <w:color w:val="auto"/>
                <w:highlight w:val="none"/>
              </w:rPr>
            </w:pPr>
            <w:r>
              <w:rPr>
                <w:rFonts w:hint="eastAsia" w:ascii="宋体" w:hAnsi="宋体" w:eastAsia="宋体" w:cs="宋体"/>
                <w:b/>
                <w:color w:val="auto"/>
                <w:highlight w:val="none"/>
              </w:rPr>
              <w:t>监督抽查业绩：</w:t>
            </w:r>
          </w:p>
          <w:p w14:paraId="7D30D590">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1.在各地政府项目中承担机电类特种设备生产单位监督抽查工作的业绩证明，每出具一份得1分，最高得1分；</w:t>
            </w:r>
          </w:p>
          <w:p w14:paraId="557DEF72">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2.在各地政府项目中承担机电类特种设备使用单位监督抽查工作的业绩证明，每出具一份得1分，最高得1分；</w:t>
            </w:r>
          </w:p>
          <w:p w14:paraId="59CFB1A0">
            <w:pPr>
              <w:pStyle w:val="109"/>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各类监督抽查工作包含但不限于特种设备监管部门开展的电梯安全评估、保障性检验、隐患排查等工作。</w:t>
            </w:r>
          </w:p>
          <w:p w14:paraId="5B57C540">
            <w:pPr>
              <w:pStyle w:val="109"/>
              <w:spacing w:line="280" w:lineRule="exact"/>
              <w:ind w:firstLine="499"/>
              <w:rPr>
                <w:rFonts w:hint="eastAsia" w:ascii="宋体" w:hAnsi="宋体" w:eastAsia="宋体" w:cs="宋体"/>
                <w:color w:val="auto"/>
                <w:highlight w:val="none"/>
              </w:rPr>
            </w:pPr>
            <w:r>
              <w:rPr>
                <w:rFonts w:hint="eastAsia" w:ascii="宋体" w:hAnsi="宋体" w:eastAsia="宋体" w:cs="宋体"/>
                <w:b/>
                <w:color w:val="auto"/>
                <w:highlight w:val="none"/>
              </w:rPr>
              <w:t>评分标准：</w:t>
            </w:r>
          </w:p>
          <w:p w14:paraId="5137041D">
            <w:pPr>
              <w:pStyle w:val="109"/>
              <w:spacing w:line="280" w:lineRule="exact"/>
              <w:rPr>
                <w:rFonts w:hint="eastAsia" w:ascii="宋体" w:hAnsi="宋体" w:eastAsia="宋体" w:cs="宋体"/>
                <w:b/>
                <w:color w:val="auto"/>
                <w:highlight w:val="none"/>
              </w:rPr>
            </w:pPr>
            <w:r>
              <w:rPr>
                <w:rFonts w:hint="eastAsia" w:ascii="宋体" w:hAnsi="宋体" w:eastAsia="宋体" w:cs="宋体"/>
                <w:color w:val="auto"/>
                <w:highlight w:val="none"/>
              </w:rPr>
              <w:t>以上业绩需提供2022年至今已开始实施的采购合同（或任务书、工作文件以及相关评估、检验报告）和相应的验收文件复印件加盖公章。</w:t>
            </w:r>
          </w:p>
        </w:tc>
      </w:tr>
      <w:tr w14:paraId="223FAF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2" w:type="dxa"/>
            <w:vMerge w:val="continue"/>
            <w:vAlign w:val="center"/>
          </w:tcPr>
          <w:p w14:paraId="5A2656FB">
            <w:pPr>
              <w:spacing w:line="280" w:lineRule="exact"/>
              <w:jc w:val="center"/>
              <w:rPr>
                <w:rFonts w:hint="eastAsia" w:ascii="宋体" w:hAnsi="宋体" w:eastAsia="宋体" w:cs="宋体"/>
                <w:color w:val="auto"/>
                <w:highlight w:val="none"/>
              </w:rPr>
            </w:pPr>
          </w:p>
        </w:tc>
        <w:tc>
          <w:tcPr>
            <w:tcW w:w="654" w:type="dxa"/>
            <w:vMerge w:val="continue"/>
            <w:vAlign w:val="center"/>
          </w:tcPr>
          <w:p w14:paraId="0BE3B387">
            <w:pPr>
              <w:spacing w:line="280" w:lineRule="exact"/>
              <w:jc w:val="center"/>
              <w:rPr>
                <w:rFonts w:hint="eastAsia" w:ascii="宋体" w:hAnsi="宋体" w:eastAsia="宋体" w:cs="宋体"/>
                <w:color w:val="auto"/>
                <w:highlight w:val="none"/>
              </w:rPr>
            </w:pPr>
          </w:p>
        </w:tc>
        <w:tc>
          <w:tcPr>
            <w:tcW w:w="771" w:type="dxa"/>
            <w:vAlign w:val="center"/>
          </w:tcPr>
          <w:p w14:paraId="396AFB7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583CD6C5">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服务质量评价：</w:t>
            </w:r>
          </w:p>
          <w:p w14:paraId="310830AA">
            <w:pPr>
              <w:pStyle w:val="109"/>
              <w:spacing w:line="280" w:lineRule="exact"/>
              <w:ind w:firstLine="496" w:firstLineChars="200"/>
              <w:rPr>
                <w:rFonts w:hint="eastAsia" w:ascii="宋体" w:hAnsi="宋体" w:eastAsia="宋体" w:cs="宋体"/>
                <w:b/>
                <w:color w:val="auto"/>
                <w:highlight w:val="none"/>
              </w:rPr>
            </w:pPr>
            <w:r>
              <w:rPr>
                <w:rFonts w:hint="eastAsia" w:ascii="宋体" w:hAnsi="宋体" w:eastAsia="宋体" w:cs="宋体"/>
                <w:color w:val="auto"/>
                <w:highlight w:val="none"/>
              </w:rPr>
              <w:t>获得采购单位或被委托单位出具的服务质量评价，每出具一份评价为优的，得1分；评价为良的，得0.5分；其他情况得0分。最高得2分。</w:t>
            </w:r>
          </w:p>
        </w:tc>
      </w:tr>
      <w:tr w14:paraId="74B77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712" w:type="dxa"/>
            <w:vMerge w:val="restart"/>
            <w:vAlign w:val="center"/>
          </w:tcPr>
          <w:p w14:paraId="0031B96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综合</w:t>
            </w:r>
          </w:p>
          <w:p w14:paraId="0EA392B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实力</w:t>
            </w:r>
          </w:p>
        </w:tc>
        <w:tc>
          <w:tcPr>
            <w:tcW w:w="654" w:type="dxa"/>
            <w:vMerge w:val="restart"/>
            <w:vAlign w:val="center"/>
          </w:tcPr>
          <w:p w14:paraId="34415E7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771" w:type="dxa"/>
            <w:vAlign w:val="center"/>
          </w:tcPr>
          <w:p w14:paraId="4AD0C79C">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3" w:type="dxa"/>
            <w:vAlign w:val="center"/>
          </w:tcPr>
          <w:p w14:paraId="46867E5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认证体系：</w:t>
            </w:r>
          </w:p>
          <w:p w14:paraId="30A8D0AE">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1.实验室CNAS认可或检验机构CNAS认可；2.CMA资质认定；3.质量管理体系认证。</w:t>
            </w:r>
          </w:p>
          <w:p w14:paraId="575A6239">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评分标准:</w:t>
            </w:r>
          </w:p>
          <w:p w14:paraId="41771BB2">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116E403A">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p w14:paraId="4DA2AC43">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3.每提供一个上述认证得1分，此项最多得3分。</w:t>
            </w:r>
          </w:p>
        </w:tc>
      </w:tr>
      <w:tr w14:paraId="22656B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8" w:hRule="atLeast"/>
          <w:jc w:val="center"/>
        </w:trPr>
        <w:tc>
          <w:tcPr>
            <w:tcW w:w="712" w:type="dxa"/>
            <w:vMerge w:val="continue"/>
            <w:vAlign w:val="center"/>
          </w:tcPr>
          <w:p w14:paraId="3CCBB589">
            <w:pPr>
              <w:spacing w:line="280" w:lineRule="exact"/>
              <w:jc w:val="center"/>
              <w:rPr>
                <w:rFonts w:hint="eastAsia" w:ascii="宋体" w:hAnsi="宋体" w:eastAsia="宋体" w:cs="宋体"/>
                <w:color w:val="auto"/>
                <w:highlight w:val="none"/>
              </w:rPr>
            </w:pPr>
          </w:p>
        </w:tc>
        <w:tc>
          <w:tcPr>
            <w:tcW w:w="654" w:type="dxa"/>
            <w:vMerge w:val="continue"/>
            <w:vAlign w:val="center"/>
          </w:tcPr>
          <w:p w14:paraId="6E001738">
            <w:pPr>
              <w:spacing w:line="280" w:lineRule="exact"/>
              <w:jc w:val="center"/>
              <w:rPr>
                <w:rFonts w:hint="eastAsia" w:ascii="宋体" w:hAnsi="宋体" w:eastAsia="宋体" w:cs="宋体"/>
                <w:color w:val="auto"/>
                <w:highlight w:val="none"/>
              </w:rPr>
            </w:pPr>
          </w:p>
        </w:tc>
        <w:tc>
          <w:tcPr>
            <w:tcW w:w="771" w:type="dxa"/>
            <w:vAlign w:val="center"/>
          </w:tcPr>
          <w:p w14:paraId="1487A00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2120621">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投标人资格情况及通过相关认证情况: </w:t>
            </w:r>
          </w:p>
          <w:p w14:paraId="7881E991">
            <w:pPr>
              <w:spacing w:line="280" w:lineRule="exact"/>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投标人通过省级或以上重点实验室、质检站（中心）的，得2分，没有不得分。</w:t>
            </w:r>
          </w:p>
          <w:p w14:paraId="2AEA47C1">
            <w:pPr>
              <w:pStyle w:val="109"/>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78CF7620">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1.提供有效的资格（认证）证书复印件；</w:t>
            </w:r>
          </w:p>
          <w:p w14:paraId="49F3A09C">
            <w:pPr>
              <w:pStyle w:val="109"/>
              <w:spacing w:line="280" w:lineRule="exact"/>
              <w:ind w:firstLine="496"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07FC6B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jc w:val="center"/>
        </w:trPr>
        <w:tc>
          <w:tcPr>
            <w:tcW w:w="712" w:type="dxa"/>
            <w:vMerge w:val="continue"/>
          </w:tcPr>
          <w:p w14:paraId="27DD87C7">
            <w:pPr>
              <w:spacing w:line="280" w:lineRule="exact"/>
              <w:rPr>
                <w:rFonts w:hint="eastAsia" w:ascii="宋体" w:hAnsi="宋体" w:eastAsia="宋体" w:cs="宋体"/>
                <w:color w:val="auto"/>
                <w:highlight w:val="none"/>
              </w:rPr>
            </w:pPr>
          </w:p>
        </w:tc>
        <w:tc>
          <w:tcPr>
            <w:tcW w:w="654" w:type="dxa"/>
            <w:vMerge w:val="continue"/>
          </w:tcPr>
          <w:p w14:paraId="78AEA3CC">
            <w:pPr>
              <w:spacing w:line="280" w:lineRule="exact"/>
              <w:rPr>
                <w:rFonts w:hint="eastAsia" w:ascii="宋体" w:hAnsi="宋体" w:eastAsia="宋体" w:cs="宋体"/>
                <w:color w:val="auto"/>
                <w:highlight w:val="none"/>
              </w:rPr>
            </w:pPr>
          </w:p>
        </w:tc>
        <w:tc>
          <w:tcPr>
            <w:tcW w:w="771" w:type="dxa"/>
            <w:vAlign w:val="center"/>
          </w:tcPr>
          <w:p w14:paraId="5ECEC66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3D9DB8C7">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科研能力：</w:t>
            </w:r>
          </w:p>
          <w:p w14:paraId="66C68AF3">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2016年1月1日起承担过国家级机电类特种设备科研项目的，每项1分，省级及以下机电类特种设备科研项目的，每项0.5分，最多得2分。</w:t>
            </w:r>
          </w:p>
          <w:p w14:paraId="69CD7241">
            <w:pPr>
              <w:pStyle w:val="109"/>
              <w:spacing w:line="280" w:lineRule="exact"/>
              <w:ind w:firstLine="49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评分标准: </w:t>
            </w:r>
          </w:p>
          <w:p w14:paraId="09A509A0">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1B6EE2B8">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60BD87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jc w:val="center"/>
        </w:trPr>
        <w:tc>
          <w:tcPr>
            <w:tcW w:w="712" w:type="dxa"/>
            <w:vMerge w:val="continue"/>
          </w:tcPr>
          <w:p w14:paraId="79A308F7">
            <w:pPr>
              <w:spacing w:line="280" w:lineRule="exact"/>
              <w:rPr>
                <w:rFonts w:hint="eastAsia" w:ascii="宋体" w:hAnsi="宋体" w:eastAsia="宋体" w:cs="宋体"/>
                <w:color w:val="auto"/>
                <w:highlight w:val="none"/>
              </w:rPr>
            </w:pPr>
          </w:p>
        </w:tc>
        <w:tc>
          <w:tcPr>
            <w:tcW w:w="654" w:type="dxa"/>
            <w:vMerge w:val="continue"/>
          </w:tcPr>
          <w:p w14:paraId="7E9BDD9E">
            <w:pPr>
              <w:spacing w:line="280" w:lineRule="exact"/>
              <w:rPr>
                <w:rFonts w:hint="eastAsia" w:ascii="宋体" w:hAnsi="宋体" w:eastAsia="宋体" w:cs="宋体"/>
                <w:color w:val="auto"/>
                <w:highlight w:val="none"/>
              </w:rPr>
            </w:pPr>
          </w:p>
        </w:tc>
        <w:tc>
          <w:tcPr>
            <w:tcW w:w="771" w:type="dxa"/>
            <w:vAlign w:val="center"/>
          </w:tcPr>
          <w:p w14:paraId="3C91FA3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3" w:type="dxa"/>
            <w:vAlign w:val="center"/>
          </w:tcPr>
          <w:p w14:paraId="47383D7C">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自主知识产权产品（创新、设计）: </w:t>
            </w:r>
          </w:p>
          <w:p w14:paraId="539B9869">
            <w:pPr>
              <w:pStyle w:val="109"/>
              <w:spacing w:line="2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2016年1月1日起投标人在机电类特种设备领域获得的国家发明专利授权，每项1分，最多2分。</w:t>
            </w:r>
          </w:p>
          <w:p w14:paraId="1332D03C">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1F6B4A57">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1.提供相关证明复印件；</w:t>
            </w:r>
          </w:p>
          <w:p w14:paraId="720FBC73">
            <w:pPr>
              <w:spacing w:line="2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0634BF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712" w:type="dxa"/>
            <w:vMerge w:val="continue"/>
            <w:vAlign w:val="center"/>
          </w:tcPr>
          <w:p w14:paraId="62081AA6">
            <w:pPr>
              <w:pStyle w:val="109"/>
              <w:pBdr>
                <w:between w:val="single" w:color="auto" w:sz="4" w:space="1"/>
              </w:pBdr>
              <w:spacing w:line="280" w:lineRule="exact"/>
              <w:jc w:val="center"/>
              <w:rPr>
                <w:rFonts w:hint="eastAsia" w:ascii="宋体" w:hAnsi="宋体" w:eastAsia="宋体" w:cs="宋体"/>
                <w:color w:val="auto"/>
                <w:highlight w:val="none"/>
              </w:rPr>
            </w:pPr>
          </w:p>
        </w:tc>
        <w:tc>
          <w:tcPr>
            <w:tcW w:w="654" w:type="dxa"/>
            <w:vMerge w:val="continue"/>
            <w:vAlign w:val="center"/>
          </w:tcPr>
          <w:p w14:paraId="6BF34E3C">
            <w:pPr>
              <w:pStyle w:val="109"/>
              <w:pBdr>
                <w:between w:val="single" w:color="auto" w:sz="4" w:space="1"/>
              </w:pBdr>
              <w:spacing w:line="280" w:lineRule="exact"/>
              <w:jc w:val="center"/>
              <w:rPr>
                <w:rFonts w:hint="eastAsia" w:ascii="宋体" w:hAnsi="宋体" w:eastAsia="宋体" w:cs="宋体"/>
                <w:color w:val="auto"/>
                <w:highlight w:val="none"/>
              </w:rPr>
            </w:pPr>
          </w:p>
        </w:tc>
        <w:tc>
          <w:tcPr>
            <w:tcW w:w="771" w:type="dxa"/>
            <w:vAlign w:val="center"/>
          </w:tcPr>
          <w:p w14:paraId="700D3E44">
            <w:pPr>
              <w:pStyle w:val="109"/>
              <w:pBdr>
                <w:between w:val="single" w:color="auto" w:sz="4" w:space="1"/>
              </w:pBd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013" w:type="dxa"/>
            <w:vAlign w:val="center"/>
          </w:tcPr>
          <w:p w14:paraId="471ABB40">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应急保障经验：</w:t>
            </w:r>
          </w:p>
          <w:p w14:paraId="678E6C86">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1.参与国际型会议、重大活动等主会场电梯安全保障工作的，得6分；</w:t>
            </w:r>
          </w:p>
          <w:p w14:paraId="5DE64E8F">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2.参与全国性会议、重大活动等主会场电梯安全保障工作的，得4分；</w:t>
            </w:r>
          </w:p>
          <w:p w14:paraId="6760A3C8">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3.参与全省性会议、重大活动等主会场电梯安全保障工作的，得2分。</w:t>
            </w:r>
          </w:p>
          <w:p w14:paraId="017815B6">
            <w:pPr>
              <w:pStyle w:val="109"/>
              <w:spacing w:line="280" w:lineRule="exact"/>
              <w:ind w:firstLine="499"/>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评分标准: </w:t>
            </w:r>
          </w:p>
          <w:p w14:paraId="76E5A9BA">
            <w:pPr>
              <w:pStyle w:val="109"/>
              <w:spacing w:line="280" w:lineRule="exact"/>
              <w:ind w:firstLine="485"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1.提供会议、重大活动举办方或举办地政府部门相关证明文件；</w:t>
            </w:r>
          </w:p>
          <w:p w14:paraId="63AD30C4">
            <w:pPr>
              <w:pStyle w:val="109"/>
              <w:pBdr>
                <w:between w:val="single" w:color="auto" w:sz="4" w:space="1"/>
              </w:pBdr>
              <w:spacing w:line="2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2.评分中出现无证明资料或专家无法凭所提供资料判断是否得分的情况，一律作不得分处理。</w:t>
            </w:r>
          </w:p>
        </w:tc>
      </w:tr>
      <w:tr w14:paraId="2FDB6B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5" w:hRule="atLeast"/>
          <w:jc w:val="center"/>
        </w:trPr>
        <w:tc>
          <w:tcPr>
            <w:tcW w:w="712" w:type="dxa"/>
            <w:vAlign w:val="center"/>
          </w:tcPr>
          <w:p w14:paraId="30A9F59D">
            <w:pPr>
              <w:pStyle w:val="109"/>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c>
          <w:tcPr>
            <w:tcW w:w="9438" w:type="dxa"/>
            <w:gridSpan w:val="3"/>
            <w:vAlign w:val="center"/>
          </w:tcPr>
          <w:p w14:paraId="0340507F">
            <w:pPr>
              <w:pStyle w:val="109"/>
              <w:spacing w:line="3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1.评标委员会各成员独立打分；</w:t>
            </w:r>
          </w:p>
          <w:p w14:paraId="555CBE0D">
            <w:pPr>
              <w:pStyle w:val="109"/>
              <w:spacing w:line="3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2.评委打分超过得分界限或未按本表规定赋分时，该评委的打分作废，不计入汇总分；</w:t>
            </w:r>
          </w:p>
          <w:p w14:paraId="61F3CF1E">
            <w:pPr>
              <w:pStyle w:val="109"/>
              <w:spacing w:line="380" w:lineRule="exact"/>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3.若出现综合得分并列时，比较价格得分，此分项得分高者排序在前； 若价格得分仍相同，比较技术得分，此分项得分高者排序在前；若技术得分仍相同，则由全体评标委员会成员无记名投票，得票高者排序在前；</w:t>
            </w:r>
          </w:p>
          <w:p w14:paraId="615D8CEF">
            <w:pPr>
              <w:spacing w:line="38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4.各种计算采用插入法，数字均保留两位小数，第二位“ 四舍五入”；</w:t>
            </w:r>
          </w:p>
          <w:p w14:paraId="5CF4A143">
            <w:pPr>
              <w:spacing w:line="380" w:lineRule="exact"/>
              <w:ind w:firstLine="496" w:firstLineChars="200"/>
              <w:rPr>
                <w:rFonts w:hint="eastAsia" w:ascii="宋体" w:hAnsi="宋体" w:eastAsia="宋体" w:cs="宋体"/>
                <w:b/>
                <w:color w:val="auto"/>
                <w:highlight w:val="none"/>
              </w:rPr>
            </w:pPr>
            <w:r>
              <w:rPr>
                <w:rFonts w:hint="eastAsia" w:ascii="宋体" w:hAnsi="宋体" w:eastAsia="宋体" w:cs="宋体"/>
                <w:color w:val="auto"/>
                <w:highlight w:val="none"/>
              </w:rPr>
              <w:t>5.评标过程中，若出现特殊情况时，由评标委员会决定暂停评标，并提出具体处理意见。</w:t>
            </w:r>
          </w:p>
        </w:tc>
      </w:tr>
    </w:tbl>
    <w:p w14:paraId="0FB8A18A">
      <w:pPr>
        <w:rPr>
          <w:rFonts w:hint="eastAsia" w:ascii="宋体" w:hAnsi="宋体" w:eastAsia="宋体" w:cs="宋体"/>
          <w:color w:val="auto"/>
          <w:sz w:val="28"/>
          <w:szCs w:val="28"/>
          <w:highlight w:val="none"/>
        </w:rPr>
      </w:pPr>
    </w:p>
    <w:p w14:paraId="3919E4E7">
      <w:pPr>
        <w:pStyle w:val="100"/>
        <w:outlineLvl w:val="9"/>
        <w:rPr>
          <w:rFonts w:hint="eastAsia" w:ascii="宋体" w:hAnsi="宋体" w:eastAsia="宋体" w:cs="宋体"/>
          <w:color w:val="auto"/>
          <w:sz w:val="28"/>
          <w:szCs w:val="28"/>
          <w:highlight w:val="none"/>
        </w:rPr>
      </w:pPr>
      <w:bookmarkStart w:id="148" w:name="_Toc16015"/>
      <w:bookmarkStart w:id="149" w:name="_Toc3521"/>
      <w:bookmarkStart w:id="150" w:name="_Toc14692"/>
      <w:r>
        <w:rPr>
          <w:rFonts w:hint="eastAsia" w:ascii="宋体" w:hAnsi="宋体" w:eastAsia="宋体" w:cs="宋体"/>
          <w:color w:val="auto"/>
          <w:sz w:val="28"/>
          <w:szCs w:val="28"/>
          <w:highlight w:val="none"/>
        </w:rPr>
        <w:t>4．推荐中标候选人</w:t>
      </w:r>
      <w:bookmarkEnd w:id="148"/>
      <w:bookmarkEnd w:id="149"/>
      <w:bookmarkEnd w:id="150"/>
    </w:p>
    <w:p w14:paraId="316F4D7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5FC402D">
      <w:pPr>
        <w:pStyle w:val="100"/>
        <w:outlineLvl w:val="9"/>
        <w:rPr>
          <w:rFonts w:hint="eastAsia" w:ascii="宋体" w:hAnsi="宋体" w:eastAsia="宋体" w:cs="宋体"/>
          <w:color w:val="auto"/>
          <w:sz w:val="28"/>
          <w:szCs w:val="28"/>
          <w:highlight w:val="none"/>
        </w:rPr>
      </w:pPr>
      <w:bookmarkStart w:id="151" w:name="_Toc9776"/>
      <w:bookmarkStart w:id="152" w:name="_Toc8436"/>
      <w:bookmarkStart w:id="153" w:name="_Toc10501"/>
      <w:r>
        <w:rPr>
          <w:rFonts w:hint="eastAsia" w:ascii="宋体" w:hAnsi="宋体" w:eastAsia="宋体" w:cs="宋体"/>
          <w:color w:val="auto"/>
          <w:sz w:val="28"/>
          <w:szCs w:val="28"/>
          <w:highlight w:val="none"/>
        </w:rPr>
        <w:t>5．编写评审报告</w:t>
      </w:r>
      <w:bookmarkEnd w:id="151"/>
      <w:bookmarkEnd w:id="152"/>
      <w:bookmarkEnd w:id="153"/>
    </w:p>
    <w:p w14:paraId="0936C5A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评审报告是评标委员会根据全体评标成员签字的原始评标记录和评标结果编写的报告，其主要内容包括：</w:t>
      </w:r>
    </w:p>
    <w:p w14:paraId="154A7B0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（1）招标公告刊登的媒体名称、开标日期和地点；</w:t>
      </w:r>
    </w:p>
    <w:p w14:paraId="655F8F9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（2）投标供应商名单和评标委员会成员名单；</w:t>
      </w:r>
    </w:p>
    <w:p w14:paraId="1E13927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（3）评标方法；</w:t>
      </w:r>
    </w:p>
    <w:p w14:paraId="6FE651B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（4）开标记录和评标情况及说明，包括投标无效供应商名单及原因；</w:t>
      </w:r>
    </w:p>
    <w:p w14:paraId="71DACB8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（5）评标结果，确定的中标候选人名单或者经采购人委托直接确定的中标供应商；</w:t>
      </w:r>
    </w:p>
    <w:p w14:paraId="71BFBED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（6）其他需要说明的情况，包括评标过程中投标供应商根据评标委员会要求进行的澄清、说明或者补正，评标委员会成员的更换等。</w:t>
      </w:r>
    </w:p>
    <w:p w14:paraId="6409C14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548CC62">
      <w:pPr>
        <w:pStyle w:val="101"/>
        <w:spacing w:before="197" w:after="197"/>
        <w:ind w:firstLine="579"/>
        <w:outlineLvl w:val="3"/>
        <w:rPr>
          <w:rFonts w:hint="eastAsia" w:ascii="宋体" w:hAnsi="宋体" w:eastAsia="宋体" w:cs="宋体"/>
          <w:color w:val="auto"/>
          <w:sz w:val="28"/>
          <w:szCs w:val="28"/>
          <w:highlight w:val="none"/>
        </w:rPr>
      </w:pPr>
      <w:bookmarkStart w:id="154" w:name="_Toc26208"/>
      <w:bookmarkStart w:id="155" w:name="_Toc17734"/>
      <w:bookmarkStart w:id="156" w:name="_Toc14951"/>
      <w:r>
        <w:rPr>
          <w:rFonts w:hint="eastAsia" w:ascii="宋体" w:hAnsi="宋体" w:eastAsia="宋体" w:cs="宋体"/>
          <w:color w:val="auto"/>
          <w:sz w:val="28"/>
          <w:szCs w:val="28"/>
          <w:highlight w:val="none"/>
        </w:rPr>
        <w:t>（三）评标争议处理规则</w:t>
      </w:r>
      <w:bookmarkEnd w:id="154"/>
      <w:bookmarkEnd w:id="155"/>
      <w:bookmarkEnd w:id="156"/>
    </w:p>
    <w:p w14:paraId="34D5B4A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05803779">
      <w:pPr>
        <w:pStyle w:val="101"/>
        <w:spacing w:before="197" w:after="197"/>
        <w:ind w:firstLine="579"/>
        <w:outlineLvl w:val="3"/>
        <w:rPr>
          <w:rFonts w:hint="eastAsia" w:ascii="宋体" w:hAnsi="宋体" w:eastAsia="宋体" w:cs="宋体"/>
          <w:color w:val="auto"/>
          <w:sz w:val="28"/>
          <w:szCs w:val="28"/>
          <w:highlight w:val="none"/>
        </w:rPr>
      </w:pPr>
      <w:bookmarkStart w:id="157" w:name="_Toc14406"/>
      <w:bookmarkStart w:id="158" w:name="_Toc2631"/>
      <w:bookmarkStart w:id="159" w:name="_Toc27541"/>
      <w:r>
        <w:rPr>
          <w:rFonts w:hint="eastAsia" w:ascii="宋体" w:hAnsi="宋体" w:eastAsia="宋体" w:cs="宋体"/>
          <w:color w:val="auto"/>
          <w:sz w:val="28"/>
          <w:szCs w:val="28"/>
          <w:highlight w:val="none"/>
        </w:rPr>
        <w:t>（四）评审现场人员的保密责任</w:t>
      </w:r>
      <w:bookmarkEnd w:id="157"/>
      <w:bookmarkEnd w:id="158"/>
      <w:bookmarkEnd w:id="159"/>
    </w:p>
    <w:p w14:paraId="22DCD76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D4057F9">
      <w:pPr>
        <w:pStyle w:val="101"/>
        <w:spacing w:before="197" w:after="197"/>
        <w:ind w:firstLine="579"/>
        <w:outlineLvl w:val="3"/>
        <w:rPr>
          <w:rFonts w:hint="eastAsia" w:ascii="宋体" w:hAnsi="宋体" w:eastAsia="宋体" w:cs="宋体"/>
          <w:color w:val="auto"/>
          <w:sz w:val="28"/>
          <w:szCs w:val="28"/>
          <w:highlight w:val="none"/>
        </w:rPr>
      </w:pPr>
      <w:bookmarkStart w:id="160" w:name="_Toc22694"/>
      <w:bookmarkStart w:id="161" w:name="_Toc10213"/>
      <w:bookmarkStart w:id="162" w:name="_Toc15209"/>
      <w:r>
        <w:rPr>
          <w:rFonts w:hint="eastAsia" w:ascii="宋体" w:hAnsi="宋体" w:eastAsia="宋体" w:cs="宋体"/>
          <w:color w:val="auto"/>
          <w:sz w:val="28"/>
          <w:szCs w:val="28"/>
          <w:highlight w:val="none"/>
        </w:rPr>
        <w:t>（五）视同供应商串通投标的情形，其投标无效：</w:t>
      </w:r>
      <w:bookmarkEnd w:id="160"/>
      <w:bookmarkEnd w:id="161"/>
      <w:bookmarkEnd w:id="162"/>
    </w:p>
    <w:p w14:paraId="787B9ED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1．不同供应商的投标文件由同一单位或者个人编制；</w:t>
      </w:r>
    </w:p>
    <w:p w14:paraId="398A28A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2．不同供应商委托同一单位或者个人办理投标事宜；</w:t>
      </w:r>
    </w:p>
    <w:p w14:paraId="04455FB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3．不同供应商的投标文件载明的项目管理成员或者联系人员为同一人；</w:t>
      </w:r>
    </w:p>
    <w:p w14:paraId="74759DE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4．不同供应商的投标文件异常一致或者投标报价呈规律性差异。</w:t>
      </w:r>
    </w:p>
    <w:p w14:paraId="5F38CB57">
      <w:pPr>
        <w:pStyle w:val="4"/>
        <w:rPr>
          <w:rFonts w:hint="eastAsia" w:ascii="宋体" w:hAnsi="宋体" w:eastAsia="宋体" w:cs="宋体"/>
          <w:color w:val="auto"/>
          <w:sz w:val="28"/>
          <w:szCs w:val="28"/>
          <w:highlight w:val="none"/>
        </w:rPr>
      </w:pPr>
      <w:bookmarkStart w:id="163" w:name="_Toc19973"/>
      <w:r>
        <w:rPr>
          <w:rFonts w:hint="eastAsia" w:ascii="宋体" w:hAnsi="宋体" w:eastAsia="宋体" w:cs="宋体"/>
          <w:color w:val="auto"/>
          <w:sz w:val="28"/>
          <w:szCs w:val="28"/>
          <w:highlight w:val="none"/>
        </w:rPr>
        <w:t>八、中标</w:t>
      </w:r>
      <w:bookmarkEnd w:id="163"/>
    </w:p>
    <w:p w14:paraId="20DDA9A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1．代理机构在评标结束后1个工作日内将评标报告送达采购单位，采购单位在收到评标报告后4个工作日内，按照评标报告中推荐的中标候选人顺序确认第一中标候选人为中标单位，同时书面复函代理机构。</w:t>
      </w:r>
    </w:p>
    <w:p w14:paraId="72C1B4A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2．采购代理机构将在中标供应商确定之日起1个工作日内，在【</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0"/>
          <w:rFonts w:hint="eastAsia" w:ascii="宋体" w:hAnsi="宋体" w:eastAsia="宋体" w:cs="宋体"/>
          <w:color w:val="auto"/>
          <w:sz w:val="28"/>
          <w:szCs w:val="28"/>
          <w:highlight w:val="none"/>
          <w:u w:val="none"/>
        </w:rPr>
        <w:t>陕西省政府采购网</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0"/>
          <w:rFonts w:hint="eastAsia" w:ascii="宋体" w:hAnsi="宋体" w:eastAsia="宋体" w:cs="宋体"/>
          <w:color w:val="auto"/>
          <w:sz w:val="28"/>
          <w:szCs w:val="28"/>
          <w:highlight w:val="none"/>
          <w:u w:val="none"/>
        </w:rPr>
        <w:t>http://www.ccgp-shaanxi.gov.cn/</w:t>
      </w:r>
      <w:r>
        <w:rPr>
          <w:rStyle w:val="40"/>
          <w:rFonts w:hint="eastAsia" w:ascii="宋体" w:hAnsi="宋体" w:eastAsia="宋体" w:cs="宋体"/>
          <w:color w:val="auto"/>
          <w:sz w:val="28"/>
          <w:szCs w:val="28"/>
          <w:highlight w:val="none"/>
          <w:u w:val="none"/>
        </w:rPr>
        <w:fldChar w:fldCharType="end"/>
      </w:r>
      <w:r>
        <w:rPr>
          <w:rFonts w:hint="eastAsia" w:ascii="宋体" w:hAnsi="宋体" w:eastAsia="宋体" w:cs="宋体"/>
          <w:color w:val="auto"/>
          <w:sz w:val="28"/>
          <w:szCs w:val="28"/>
          <w:highlight w:val="none"/>
        </w:rPr>
        <w:t>）上公布中标结果。中标公告期限为1个工作日</w:t>
      </w:r>
    </w:p>
    <w:p w14:paraId="0C3CF7E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19FE8B5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4．采购代理机构按照相关规定将评审报告送监管机构备案。</w:t>
      </w:r>
    </w:p>
    <w:p w14:paraId="55356F10">
      <w:pPr>
        <w:pStyle w:val="4"/>
        <w:rPr>
          <w:rFonts w:hint="eastAsia" w:ascii="宋体" w:hAnsi="宋体" w:eastAsia="宋体" w:cs="宋体"/>
          <w:color w:val="auto"/>
          <w:sz w:val="28"/>
          <w:szCs w:val="28"/>
          <w:highlight w:val="none"/>
        </w:rPr>
      </w:pPr>
      <w:bookmarkStart w:id="164" w:name="_Toc19289"/>
      <w:r>
        <w:rPr>
          <w:rFonts w:hint="eastAsia" w:ascii="宋体" w:hAnsi="宋体" w:eastAsia="宋体" w:cs="宋体"/>
          <w:color w:val="auto"/>
          <w:sz w:val="28"/>
          <w:szCs w:val="28"/>
          <w:highlight w:val="none"/>
        </w:rPr>
        <w:t>九、合同签订、履行及验收</w:t>
      </w:r>
      <w:bookmarkEnd w:id="164"/>
    </w:p>
    <w:p w14:paraId="7DF2917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招标文件、投标文件、澄清、补充合同等为政府采购合同的组成部分，具有同等法律效力。</w:t>
      </w:r>
    </w:p>
    <w:p w14:paraId="5DC2E468">
      <w:pPr>
        <w:pStyle w:val="101"/>
        <w:spacing w:before="197" w:after="197"/>
        <w:ind w:firstLine="579"/>
        <w:outlineLvl w:val="3"/>
        <w:rPr>
          <w:rFonts w:hint="eastAsia" w:ascii="宋体" w:hAnsi="宋体" w:eastAsia="宋体" w:cs="宋体"/>
          <w:color w:val="auto"/>
          <w:sz w:val="28"/>
          <w:szCs w:val="28"/>
          <w:highlight w:val="none"/>
        </w:rPr>
      </w:pPr>
      <w:bookmarkStart w:id="165" w:name="_Toc444"/>
      <w:bookmarkStart w:id="166" w:name="_Toc16790"/>
      <w:bookmarkStart w:id="167" w:name="_Toc15766"/>
      <w:r>
        <w:rPr>
          <w:rFonts w:hint="eastAsia" w:ascii="宋体" w:hAnsi="宋体" w:eastAsia="宋体" w:cs="宋体"/>
          <w:color w:val="auto"/>
          <w:sz w:val="28"/>
          <w:szCs w:val="28"/>
          <w:highlight w:val="none"/>
        </w:rPr>
        <w:t>（一）签订政府采购合同</w:t>
      </w:r>
      <w:bookmarkEnd w:id="165"/>
      <w:bookmarkEnd w:id="166"/>
      <w:bookmarkEnd w:id="167"/>
    </w:p>
    <w:p w14:paraId="18C15EE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1．自中标通知书发出之日起25日内，采购人与中标供应商应按招标文件和中标供应商投标文件的约定，签订书面合同。</w:t>
      </w:r>
    </w:p>
    <w:p w14:paraId="4D624D5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2．中标供应商拒绝与采购人签订合同的，采购人可以按照《中华人民共和国政府采购法实施条例》第四十九条规定，确定下一候选人为中标供应商，也可以重新开展政府采购活动。</w:t>
      </w:r>
    </w:p>
    <w:p w14:paraId="4F3E97EA">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2F56CF8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4．质疑或者投诉事项可能影响中标、成交结果的，采购人应当暂停签订合同，已经签订合同的，应当中止履行合同。</w:t>
      </w:r>
    </w:p>
    <w:p w14:paraId="3063B6D2">
      <w:pPr>
        <w:pStyle w:val="101"/>
        <w:spacing w:before="197" w:after="197"/>
        <w:ind w:firstLine="579"/>
        <w:outlineLvl w:val="3"/>
        <w:rPr>
          <w:rFonts w:hint="eastAsia" w:ascii="宋体" w:hAnsi="宋体" w:eastAsia="宋体" w:cs="宋体"/>
          <w:color w:val="auto"/>
          <w:sz w:val="28"/>
          <w:szCs w:val="28"/>
          <w:highlight w:val="none"/>
        </w:rPr>
      </w:pPr>
      <w:bookmarkStart w:id="168" w:name="_Toc11043"/>
      <w:bookmarkStart w:id="169" w:name="_Toc13157"/>
      <w:bookmarkStart w:id="170" w:name="_Toc26383"/>
      <w:r>
        <w:rPr>
          <w:rFonts w:hint="eastAsia" w:ascii="宋体" w:hAnsi="宋体" w:eastAsia="宋体" w:cs="宋体"/>
          <w:color w:val="auto"/>
          <w:sz w:val="28"/>
          <w:szCs w:val="28"/>
          <w:highlight w:val="none"/>
        </w:rPr>
        <w:t>（二）合同公告及备案</w:t>
      </w:r>
      <w:bookmarkEnd w:id="168"/>
      <w:bookmarkEnd w:id="169"/>
      <w:bookmarkEnd w:id="170"/>
    </w:p>
    <w:p w14:paraId="7C69752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1．采购人应当自政府采购合同签订之日起2个工作日内，在陕西省政府采购网对合同进行公示，但政府采购合同中涉及国家秘密、商业秘密的内容除外。</w:t>
      </w:r>
    </w:p>
    <w:p w14:paraId="74C00AF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2．采购人应自合同签订之日起7个工作日内将政府采购合同报送监管机构备案。</w:t>
      </w:r>
    </w:p>
    <w:p w14:paraId="0672AA8A">
      <w:pPr>
        <w:pStyle w:val="101"/>
        <w:spacing w:before="197" w:after="197"/>
        <w:ind w:firstLine="579"/>
        <w:outlineLvl w:val="3"/>
        <w:rPr>
          <w:rFonts w:hint="eastAsia" w:ascii="宋体" w:hAnsi="宋体" w:eastAsia="宋体" w:cs="宋体"/>
          <w:color w:val="auto"/>
          <w:sz w:val="28"/>
          <w:szCs w:val="28"/>
          <w:highlight w:val="none"/>
        </w:rPr>
      </w:pPr>
      <w:bookmarkStart w:id="171" w:name="_Toc25755"/>
      <w:bookmarkStart w:id="172" w:name="_Toc5592"/>
      <w:bookmarkStart w:id="173" w:name="_Toc1245"/>
      <w:r>
        <w:rPr>
          <w:rFonts w:hint="eastAsia" w:ascii="宋体" w:hAnsi="宋体" w:eastAsia="宋体" w:cs="宋体"/>
          <w:color w:val="auto"/>
          <w:sz w:val="28"/>
          <w:szCs w:val="28"/>
          <w:highlight w:val="none"/>
        </w:rPr>
        <w:t>（三）履行合同</w:t>
      </w:r>
      <w:bookmarkEnd w:id="171"/>
      <w:bookmarkEnd w:id="172"/>
      <w:bookmarkEnd w:id="173"/>
    </w:p>
    <w:p w14:paraId="780511C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1．合同一经签订，双方应严格履行合同规定的义务。</w:t>
      </w:r>
    </w:p>
    <w:p w14:paraId="7587C81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2．在合同履行过程中，如发生合同纠纷，合同双方应按照《中华人民共和国民法典》及合同条款的有关规定进行处理。</w:t>
      </w:r>
    </w:p>
    <w:p w14:paraId="75153C61">
      <w:pPr>
        <w:pStyle w:val="101"/>
        <w:spacing w:before="197" w:after="197"/>
        <w:ind w:firstLine="579"/>
        <w:outlineLvl w:val="3"/>
        <w:rPr>
          <w:rFonts w:hint="eastAsia" w:ascii="宋体" w:hAnsi="宋体" w:eastAsia="宋体" w:cs="宋体"/>
          <w:color w:val="auto"/>
          <w:sz w:val="28"/>
          <w:szCs w:val="28"/>
          <w:highlight w:val="none"/>
        </w:rPr>
      </w:pPr>
      <w:bookmarkStart w:id="174" w:name="_Toc602"/>
      <w:bookmarkStart w:id="175" w:name="_Toc765"/>
      <w:bookmarkStart w:id="176" w:name="_Toc1104"/>
      <w:r>
        <w:rPr>
          <w:rFonts w:hint="eastAsia" w:ascii="宋体" w:hAnsi="宋体" w:eastAsia="宋体" w:cs="宋体"/>
          <w:color w:val="auto"/>
          <w:sz w:val="28"/>
          <w:szCs w:val="28"/>
          <w:highlight w:val="none"/>
        </w:rPr>
        <w:t>（四）验收或考核</w:t>
      </w:r>
      <w:bookmarkEnd w:id="174"/>
      <w:bookmarkEnd w:id="175"/>
      <w:bookmarkEnd w:id="176"/>
    </w:p>
    <w:p w14:paraId="4ABA3D7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1．采购人严格按照国家相关法律法规的要求及招标文件的要求组织验收或考核。</w:t>
      </w:r>
    </w:p>
    <w:p w14:paraId="65D4CB2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2．采购人按《关于促进政府采购公平竞争优化营商环境的通知》（财库〔2019〕38号）、《保障中小企业款项支付条例》（国务院令第728号）等规定及采购合同的约定进行支付合同款项。</w:t>
      </w:r>
    </w:p>
    <w:p w14:paraId="2F839275">
      <w:pPr>
        <w:pStyle w:val="4"/>
        <w:rPr>
          <w:rFonts w:hint="eastAsia" w:ascii="宋体" w:hAnsi="宋体" w:eastAsia="宋体" w:cs="宋体"/>
          <w:color w:val="auto"/>
          <w:sz w:val="28"/>
          <w:szCs w:val="28"/>
          <w:highlight w:val="none"/>
        </w:rPr>
      </w:pPr>
      <w:bookmarkStart w:id="177" w:name="_Toc15204"/>
      <w:r>
        <w:rPr>
          <w:rFonts w:hint="eastAsia" w:ascii="宋体" w:hAnsi="宋体" w:eastAsia="宋体" w:cs="宋体"/>
          <w:color w:val="auto"/>
          <w:sz w:val="28"/>
          <w:szCs w:val="28"/>
          <w:highlight w:val="none"/>
        </w:rPr>
        <w:t>十、废标及重新招标</w:t>
      </w:r>
      <w:bookmarkEnd w:id="177"/>
    </w:p>
    <w:p w14:paraId="659657D0">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B3A11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2．根据《中华人民共和国政府采购法》第三十六条规定，在招标采购中，出现下列情形之一的，本项目按废标处理：</w:t>
      </w:r>
    </w:p>
    <w:p w14:paraId="2D373FE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（1）出现影响采购公正的违法、违规行为的；</w:t>
      </w:r>
    </w:p>
    <w:p w14:paraId="3B9C41C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（2）供应商的报价均超过了采购预算，采购人不能支付的；</w:t>
      </w:r>
    </w:p>
    <w:p w14:paraId="7493A76F">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（3）因重大变故，采购任务取消的。</w:t>
      </w:r>
    </w:p>
    <w:p w14:paraId="5F8B461B">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废标后，除采购任务取消外，本项目将重新组织招标。</w:t>
      </w:r>
    </w:p>
    <w:p w14:paraId="7D0D728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07EF23B3">
      <w:pPr>
        <w:spacing w:line="560" w:lineRule="exact"/>
        <w:ind w:firstLine="576"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4．招标文件未明确的其他事项，按《中华人民共和国政府采购法》及其相关法律法规执行。</w:t>
      </w:r>
    </w:p>
    <w:p w14:paraId="7C39334F">
      <w:pPr>
        <w:rPr>
          <w:rFonts w:hint="eastAsia" w:ascii="宋体" w:hAnsi="宋体" w:eastAsia="宋体" w:cs="宋体"/>
          <w:color w:val="auto"/>
          <w:sz w:val="32"/>
          <w:szCs w:val="32"/>
          <w:highlight w:val="none"/>
        </w:rPr>
      </w:pPr>
      <w:bookmarkStart w:id="178" w:name="_Toc100219614"/>
      <w:r>
        <w:rPr>
          <w:rFonts w:hint="eastAsia" w:ascii="宋体" w:hAnsi="宋体" w:eastAsia="宋体" w:cs="宋体"/>
          <w:color w:val="auto"/>
          <w:sz w:val="32"/>
          <w:szCs w:val="32"/>
          <w:highlight w:val="none"/>
        </w:rPr>
        <w:br w:type="page"/>
      </w:r>
    </w:p>
    <w:p w14:paraId="39726120">
      <w:pPr>
        <w:rPr>
          <w:rFonts w:hint="eastAsia" w:ascii="宋体" w:hAnsi="宋体" w:eastAsia="宋体" w:cs="宋体"/>
          <w:b/>
          <w:bCs/>
          <w:color w:val="auto"/>
          <w:highlight w:val="none"/>
        </w:rPr>
      </w:pPr>
    </w:p>
    <w:p w14:paraId="7404D32D">
      <w:pPr>
        <w:pStyle w:val="2"/>
        <w:rPr>
          <w:rFonts w:hint="eastAsia" w:ascii="宋体" w:hAnsi="宋体" w:eastAsia="宋体" w:cs="宋体"/>
          <w:b/>
          <w:bCs/>
          <w:color w:val="auto"/>
          <w:highlight w:val="none"/>
        </w:rPr>
      </w:pPr>
      <w:bookmarkStart w:id="179" w:name="_Toc15304"/>
      <w:r>
        <w:rPr>
          <w:rFonts w:hint="eastAsia" w:ascii="宋体" w:hAnsi="宋体" w:eastAsia="宋体" w:cs="宋体"/>
          <w:b/>
          <w:bCs/>
          <w:color w:val="auto"/>
          <w:highlight w:val="none"/>
        </w:rPr>
        <w:t>第三章  招标内容及要求</w:t>
      </w:r>
      <w:bookmarkEnd w:id="178"/>
      <w:bookmarkEnd w:id="179"/>
    </w:p>
    <w:p w14:paraId="78265B48">
      <w:pPr>
        <w:widowControl w:val="0"/>
        <w:spacing w:line="360" w:lineRule="auto"/>
        <w:jc w:val="both"/>
        <w:outlineLvl w:val="2"/>
        <w:rPr>
          <w:rFonts w:hint="eastAsia" w:ascii="宋体" w:hAnsi="宋体" w:eastAsia="宋体" w:cs="宋体"/>
          <w:b/>
          <w:bCs/>
          <w:color w:val="auto"/>
          <w:kern w:val="2"/>
          <w:highlight w:val="none"/>
        </w:rPr>
      </w:pPr>
      <w:bookmarkStart w:id="180" w:name="_Toc14339"/>
      <w:r>
        <w:rPr>
          <w:rFonts w:hint="eastAsia" w:ascii="宋体" w:hAnsi="宋体" w:eastAsia="宋体" w:cs="宋体"/>
          <w:b/>
          <w:bCs/>
          <w:color w:val="auto"/>
          <w:kern w:val="2"/>
          <w:highlight w:val="none"/>
        </w:rPr>
        <w:t>第一包</w:t>
      </w:r>
    </w:p>
    <w:p w14:paraId="7288D5C2">
      <w:pPr>
        <w:widowControl w:val="0"/>
        <w:spacing w:line="360" w:lineRule="auto"/>
        <w:jc w:val="both"/>
        <w:outlineLvl w:val="2"/>
        <w:rPr>
          <w:rFonts w:hint="eastAsia" w:ascii="宋体" w:hAnsi="宋体" w:eastAsia="宋体" w:cs="宋体"/>
          <w:color w:val="auto"/>
          <w:kern w:val="2"/>
          <w:highlight w:val="none"/>
        </w:rPr>
      </w:pPr>
      <w:r>
        <w:rPr>
          <w:rFonts w:ascii="宋体" w:hAnsi="宋体" w:eastAsia="宋体" w:cs="宋体"/>
          <w:b/>
          <w:bCs/>
          <w:color w:val="auto"/>
          <w:kern w:val="2"/>
          <w:highlight w:val="none"/>
        </w:rPr>
        <w:t>一、商务条款</w:t>
      </w:r>
      <w:bookmarkEnd w:id="180"/>
    </w:p>
    <w:p w14:paraId="067D7661">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第一包：</w:t>
      </w:r>
    </w:p>
    <w:p w14:paraId="1633274E">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（一）服务期限</w:t>
      </w:r>
    </w:p>
    <w:p w14:paraId="43779A6D">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自合同签订后5个工作日内开始实施监督抽查工作，并于2025年12月10日完成现场抽查任务。</w:t>
      </w:r>
    </w:p>
    <w:p w14:paraId="5E6C1F30">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（二）质保期：为项目验收完成后5个月，主要内容为项目现场复核、报告复核、技术咨询回应等。</w:t>
      </w:r>
    </w:p>
    <w:p w14:paraId="74F55B3C">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（三）服务终止</w:t>
      </w:r>
    </w:p>
    <w:p w14:paraId="03BA1518">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在有效服务期内，如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14C7FCC8">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（四）完成服务成果</w:t>
      </w:r>
    </w:p>
    <w:p w14:paraId="57394DEF">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1.中标供应商于2025年12月10日前完成监督抽查电梯不少于6800台，其中，电梯维护保养质量抽查不少于6000台，电梯检验、检测质量抽查不少于800台。</w:t>
      </w:r>
    </w:p>
    <w:p w14:paraId="4C6FBC64">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中标供应商于2025年12月15日前，向采购人提交监督抽查汇总表、分析报告、总结报告；同时提交不少于6000台电梯维保量监督抽查报告、不少于800台电梯检验质量监督抽查报告的电子版材料。提交报告及电子版材料符合采购人要求后视为合同履约完成。</w:t>
      </w:r>
    </w:p>
    <w:p w14:paraId="759B17C0">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3.根据采购人需求，承办监督抽查工作动员部署会议、阶段小结、监督抽查完成后的总结会议以及项目验收会。</w:t>
      </w:r>
    </w:p>
    <w:p w14:paraId="59EB0F45">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4.根据采购人需求，完成相关特种设备专项应急预案范本的修订、应急预案演练、特种设备安全宣传、特种设备安全监察人员能力提升培训等工作。</w:t>
      </w:r>
    </w:p>
    <w:p w14:paraId="29B5A0E9">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5.本项目设定质量保证期，质保期为项目验收完成后5个月，主要内容为项目现场复核、报告复核、技术咨询回应等。</w:t>
      </w:r>
    </w:p>
    <w:p w14:paraId="37EAD220">
      <w:pPr>
        <w:widowControl w:val="0"/>
        <w:spacing w:line="360" w:lineRule="auto"/>
        <w:ind w:firstLine="496" w:firstLineChars="200"/>
        <w:jc w:val="both"/>
        <w:rPr>
          <w:rFonts w:hint="eastAsia" w:ascii="宋体" w:hAnsi="宋体" w:eastAsia="宋体" w:cs="宋体"/>
          <w:color w:val="auto"/>
          <w:kern w:val="2"/>
          <w:highlight w:val="none"/>
        </w:rPr>
      </w:pPr>
      <w:r>
        <w:rPr>
          <w:rFonts w:ascii="宋体" w:hAnsi="宋体" w:eastAsia="宋体" w:cs="宋体"/>
          <w:color w:val="auto"/>
          <w:kern w:val="2"/>
          <w:highlight w:val="none"/>
        </w:rPr>
        <w:t>（</w:t>
      </w:r>
      <w:r>
        <w:rPr>
          <w:rFonts w:hint="eastAsia" w:ascii="宋体" w:hAnsi="宋体" w:eastAsia="宋体" w:cs="宋体"/>
          <w:color w:val="auto"/>
          <w:kern w:val="2"/>
          <w:highlight w:val="none"/>
        </w:rPr>
        <w:t>五</w:t>
      </w:r>
      <w:r>
        <w:rPr>
          <w:rFonts w:ascii="宋体" w:hAnsi="宋体" w:eastAsia="宋体" w:cs="宋体"/>
          <w:color w:val="auto"/>
          <w:kern w:val="2"/>
          <w:highlight w:val="none"/>
        </w:rPr>
        <w:t>）</w:t>
      </w:r>
      <w:r>
        <w:rPr>
          <w:rFonts w:hint="eastAsia" w:ascii="宋体" w:hAnsi="宋体" w:eastAsia="宋体" w:cs="宋体"/>
          <w:color w:val="auto"/>
          <w:kern w:val="2"/>
          <w:highlight w:val="none"/>
        </w:rPr>
        <w:t>付款方式</w:t>
      </w:r>
    </w:p>
    <w:p w14:paraId="468BFA67">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r>
        <w:rPr>
          <w:rFonts w:ascii="宋体" w:hAnsi="宋体" w:eastAsia="宋体" w:cs="宋体"/>
          <w:color w:val="auto"/>
          <w:kern w:val="2"/>
          <w:highlight w:val="none"/>
        </w:rPr>
        <w:t>款项支付：银行转账，分期付款。</w:t>
      </w:r>
    </w:p>
    <w:p w14:paraId="03122706">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r>
        <w:rPr>
          <w:rFonts w:ascii="宋体" w:hAnsi="宋体" w:eastAsia="宋体" w:cs="宋体"/>
          <w:color w:val="auto"/>
          <w:kern w:val="2"/>
          <w:highlight w:val="none"/>
        </w:rPr>
        <w:t>付款条件：</w:t>
      </w:r>
      <w:r>
        <w:rPr>
          <w:rFonts w:hint="eastAsia" w:ascii="宋体" w:hAnsi="宋体" w:eastAsia="宋体" w:cs="宋体"/>
          <w:color w:val="auto"/>
          <w:kern w:val="2"/>
          <w:highlight w:val="none"/>
        </w:rPr>
        <w:t>签订合同后支付合同总价款的50%，验收合格后支付合同总价款的25%（</w:t>
      </w:r>
      <w:r>
        <w:rPr>
          <w:rFonts w:hint="eastAsia" w:ascii="宋体" w:hAnsi="宋体" w:eastAsia="宋体" w:cs="宋体"/>
          <w:b/>
          <w:bCs/>
          <w:color w:val="auto"/>
          <w:kern w:val="2"/>
          <w:highlight w:val="none"/>
        </w:rPr>
        <w:t>最多支付至2850000.00元</w:t>
      </w:r>
      <w:r>
        <w:rPr>
          <w:rFonts w:hint="eastAsia" w:ascii="宋体" w:hAnsi="宋体" w:eastAsia="宋体" w:cs="宋体"/>
          <w:color w:val="auto"/>
          <w:kern w:val="2"/>
          <w:highlight w:val="none"/>
        </w:rPr>
        <w:t>），项目完成</w:t>
      </w:r>
      <w:r>
        <w:rPr>
          <w:rFonts w:hint="eastAsia" w:ascii="宋体" w:hAnsi="宋体" w:eastAsia="宋体" w:cs="宋体"/>
          <w:b/>
          <w:bCs/>
          <w:color w:val="auto"/>
          <w:kern w:val="2"/>
          <w:highlight w:val="none"/>
        </w:rPr>
        <w:t>质保期满后</w:t>
      </w:r>
      <w:r>
        <w:rPr>
          <w:rFonts w:hint="eastAsia" w:ascii="宋体" w:hAnsi="宋体" w:eastAsia="宋体" w:cs="宋体"/>
          <w:color w:val="auto"/>
          <w:kern w:val="2"/>
          <w:highlight w:val="none"/>
        </w:rPr>
        <w:t>支付剩余合同价款。</w:t>
      </w:r>
    </w:p>
    <w:p w14:paraId="6A6FD058">
      <w:pPr>
        <w:widowControl w:val="0"/>
        <w:spacing w:line="360" w:lineRule="auto"/>
        <w:ind w:firstLine="496" w:firstLineChars="200"/>
        <w:jc w:val="both"/>
        <w:rPr>
          <w:rFonts w:hint="eastAsia" w:ascii="宋体" w:hAnsi="宋体" w:eastAsia="宋体" w:cs="宋体"/>
          <w:color w:val="auto"/>
          <w:kern w:val="2"/>
          <w:highlight w:val="none"/>
        </w:rPr>
      </w:pPr>
    </w:p>
    <w:p w14:paraId="5E989E87">
      <w:pPr>
        <w:widowControl w:val="0"/>
        <w:spacing w:line="360" w:lineRule="auto"/>
        <w:ind w:firstLine="496" w:firstLineChars="200"/>
        <w:jc w:val="both"/>
        <w:rPr>
          <w:rFonts w:hint="eastAsia" w:ascii="宋体" w:hAnsi="宋体" w:eastAsia="宋体" w:cs="宋体"/>
          <w:color w:val="auto"/>
          <w:kern w:val="2"/>
          <w:highlight w:val="none"/>
        </w:rPr>
      </w:pPr>
    </w:p>
    <w:p w14:paraId="20069ABB">
      <w:pPr>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br w:type="page"/>
      </w:r>
    </w:p>
    <w:p w14:paraId="386AAAD0">
      <w:pPr>
        <w:widowControl w:val="0"/>
        <w:spacing w:line="360" w:lineRule="auto"/>
        <w:jc w:val="both"/>
        <w:outlineLvl w:val="2"/>
        <w:rPr>
          <w:rFonts w:hint="eastAsia" w:ascii="宋体" w:hAnsi="宋体" w:eastAsia="宋体" w:cs="宋体"/>
          <w:b/>
          <w:bCs/>
          <w:color w:val="auto"/>
          <w:kern w:val="2"/>
          <w:highlight w:val="none"/>
        </w:rPr>
      </w:pPr>
      <w:bookmarkStart w:id="181" w:name="_Toc7313"/>
      <w:r>
        <w:rPr>
          <w:rFonts w:hint="eastAsia" w:ascii="宋体" w:hAnsi="宋体" w:eastAsia="宋体" w:cs="宋体"/>
          <w:b/>
          <w:bCs/>
          <w:color w:val="auto"/>
          <w:kern w:val="2"/>
          <w:highlight w:val="none"/>
        </w:rPr>
        <w:t>二、项目概况</w:t>
      </w:r>
      <w:bookmarkEnd w:id="181"/>
    </w:p>
    <w:p w14:paraId="6F27ADD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为全面排查整治电梯安全隐患，规范我市电梯维护保养和检验、检测行为，预防和减少安全事故，保障全市电梯安全稳定。根据《中华人民共和国特种设备安全法》等法律法规规章和安全技术规范，结合实际，按照随机抽查、分布合理、重点突出的原则，委托第三方专业机构，对全市电梯维护保养、检验、检测质量进行监督抽查，重点查找和解决电梯维护保养、检验、检测等环节中存在的问题和风险，整治安全隐患，查处违法行为，夯实安全责任，持续提升电梯安全质量水平，促进全市特种设备安全形势平稳向好发展。</w:t>
      </w:r>
    </w:p>
    <w:p w14:paraId="60455830">
      <w:pPr>
        <w:pStyle w:val="4"/>
        <w:jc w:val="left"/>
        <w:rPr>
          <w:rStyle w:val="68"/>
          <w:rFonts w:hint="eastAsia" w:ascii="宋体" w:hAnsi="宋体" w:eastAsia="宋体" w:cs="宋体"/>
          <w:color w:val="auto"/>
          <w:sz w:val="24"/>
          <w:szCs w:val="24"/>
          <w:highlight w:val="none"/>
        </w:rPr>
      </w:pPr>
      <w:bookmarkStart w:id="182" w:name="_Toc100219615"/>
      <w:r>
        <w:rPr>
          <w:rStyle w:val="68"/>
          <w:rFonts w:hint="eastAsia" w:ascii="宋体" w:hAnsi="宋体" w:eastAsia="宋体" w:cs="宋体"/>
          <w:color w:val="auto"/>
          <w:sz w:val="24"/>
          <w:szCs w:val="24"/>
          <w:highlight w:val="none"/>
        </w:rPr>
        <w:t>三、项目数量及内容</w:t>
      </w:r>
    </w:p>
    <w:p w14:paraId="5F551B1A">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2025年电梯维护保养、检验、检测质量监督抽查计划抽查在用电梯不少于6800台，其中，电梯维护保养质量抽查不少于6000台，电梯检验、检测质量抽查不少于800台。</w:t>
      </w:r>
    </w:p>
    <w:p w14:paraId="5EFDA356">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电梯维护保养质量监督抽查。抽取在用电梯不少于6000台，依据相关法律法规规章和安全技术规范，检查电梯关键部位、主要部件、安全保护装置等电梯安全性能指标，核查确认电梯安全状况，监督验证电梯维护保养项目落实情况和电梯维护保养质量。 </w:t>
      </w:r>
    </w:p>
    <w:p w14:paraId="437013DA">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（二）电梯检验、检测质量监督抽查。抽取电梯检验检测机构检验、检测完成的电梯不少于800台，依据相关法律法规规章和安全技术规范，核查确认电梯检验、检测项目落实情况，监督验证电梯检验、检测质量。</w:t>
      </w:r>
    </w:p>
    <w:p w14:paraId="3DB66478">
      <w:pPr>
        <w:pStyle w:val="4"/>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四、项目实施要求</w:t>
      </w:r>
    </w:p>
    <w:p w14:paraId="19391402">
      <w:pPr>
        <w:pStyle w:val="5"/>
        <w:numPr>
          <w:ilvl w:val="3"/>
          <w:numId w:val="0"/>
        </w:numPr>
        <w:ind w:left="864" w:hanging="864"/>
        <w:rPr>
          <w:rFonts w:hint="eastAsia" w:ascii="宋体" w:hAnsi="宋体" w:eastAsia="宋体" w:cs="宋体"/>
          <w:color w:val="auto"/>
          <w:szCs w:val="24"/>
          <w:highlight w:val="none"/>
        </w:rPr>
      </w:pPr>
      <w:r>
        <w:rPr>
          <w:rFonts w:hint="eastAsia"/>
          <w:color w:val="auto"/>
          <w:highlight w:val="none"/>
        </w:rPr>
        <w:t>（一）技术服务要求</w:t>
      </w:r>
    </w:p>
    <w:p w14:paraId="3DC13DF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1.未经采购人同意，中标供应商不得以任何方式转包、分包或挂靠本项目。</w:t>
      </w:r>
    </w:p>
    <w:p w14:paraId="3973BB4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2.中标供应商应明确被抽检单位报送相关资料的联系地址、联系人及联系方式。</w:t>
      </w:r>
    </w:p>
    <w:p w14:paraId="27E528C7">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中标供应商应当成立监督抽查工作机构，根据有关法律、法规、安全技术规范编制监督抽查工作实施方案。方案应当科学、高效、准确、便捷，符合实际。方案应当包含监督抽查需求的技术人员、检测工具、车辆配置、突发事件处置等要素。</w:t>
      </w:r>
    </w:p>
    <w:p w14:paraId="1D5A2FCA">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4.中标供应商应当制定监督抽查工作实施总计划、月度计划，且计划任务分布合理；对监督抽查过程中出现的突发情况能迅速组织力量响应。</w:t>
      </w:r>
    </w:p>
    <w:p w14:paraId="27E81587">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5.中标供应商应当严格按照监督抽查工作实施方案规定的项目、要求和方法组织实施监督抽查工作。监督抽查工作开展过程中做好有关安全防护措施，对监督抽查工作中的安全负全责。</w:t>
      </w:r>
    </w:p>
    <w:p w14:paraId="0D8E97EA">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6.中标供应商开展现场监督抽查工作，应避开设备使用高峰期，减少对被抽查单位正常工作影响。</w:t>
      </w:r>
    </w:p>
    <w:p w14:paraId="3266A481">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7.中标供应商提供监督抽查任务使用的信息化系统，至少可以实现数据随机抽样、接收下发监督抽查任务、进展状况查询、数据统计分析，系统能够满足出具、查询监督抽查过程中开具的通知书、报告单，且运行可靠、稳定，并能配备专人配合采购人做好监督抽查全过程数据处理工作。</w:t>
      </w:r>
    </w:p>
    <w:p w14:paraId="26C1C10E">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8.中标供应商拟投入监督抽查工作的人员应当熟悉监督抽查项目内容、判定依据，并对相关行政监管法规要求、工作流程有一定认知；现场监督抽查时，持证电梯检验员不得少于2人，其中电梯检验、检测质量监督抽查时，现场至少有1名持证电梯检验师。</w:t>
      </w:r>
    </w:p>
    <w:p w14:paraId="721807E8">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9.中标供应商不得提前向被抽查单位透露有关监督抽查工作的计划、内容等信息；未经同意，不得对外发布、泄漏监督抽查工作的相关信息；不得泄露被抽查单位的商业信息。</w:t>
      </w:r>
    </w:p>
    <w:p w14:paraId="1EF4369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10.中标供应商对监督抽查过程中未发现问题的，应及时出具报告，并分类、逐台建立监督抽查电子档案，定期向采购人提交汇总信息。</w:t>
      </w:r>
    </w:p>
    <w:p w14:paraId="19DFC4B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11.中标供应商对监督抽查过程中发现的严重事故隐患（重大违法行为）每周汇总一次，对发现的不符合项每月汇总一次，并将《严重事故隐患（重大违法行为）汇总表》《监督抽查汇总表》提交采购人。</w:t>
      </w:r>
    </w:p>
    <w:p w14:paraId="388B0D68">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12.中标供应商应严格遵守有关纪律规定，在监督抽查过程中不得向被抽查对象收取任何费用，不得向被抽查对象提出与监督抽查无关的服务和要求。</w:t>
      </w:r>
    </w:p>
    <w:p w14:paraId="498E0F98">
      <w:pPr>
        <w:pStyle w:val="5"/>
        <w:numPr>
          <w:ilvl w:val="3"/>
          <w:numId w:val="0"/>
        </w:numPr>
        <w:ind w:left="864" w:hanging="864"/>
        <w:rPr>
          <w:rFonts w:hint="eastAsia" w:ascii="宋体" w:hAnsi="宋体" w:eastAsia="宋体" w:cs="宋体"/>
          <w:color w:val="auto"/>
          <w:szCs w:val="24"/>
          <w:highlight w:val="none"/>
        </w:rPr>
      </w:pPr>
      <w:r>
        <w:rPr>
          <w:rFonts w:hint="eastAsia"/>
          <w:color w:val="auto"/>
          <w:highlight w:val="none"/>
        </w:rPr>
        <w:t>（二）出具报告相关要求</w:t>
      </w:r>
    </w:p>
    <w:p w14:paraId="69F918A0">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1.按照《西安市市场监督管理局2025年特种设备安全质量监督抽查工作实施方案》和采购单位要求，对所抽查到的设备和相关单位，要逐台设备、逐个单位实施监督抽查并逐份出具监督抽查报告。</w:t>
      </w:r>
    </w:p>
    <w:p w14:paraId="1432AD3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监督抽查过程中发现不符合项的，监督抽查机构应向被抽查单位出具《监督抽查不符合项目通知书》，发现严重事故隐患（重大违法行为）的，同时出具《严重事故隐患（重大违法行为）报告单》。电梯维护保养质量监督抽查出具的《通知书》《报告单》须经电梯使用、维护保养单位现场配合人员签字确认，对于拒绝签字的现场配合抽查人员应注明原因并留存相关证据链。</w:t>
      </w:r>
    </w:p>
    <w:p w14:paraId="772C9AFB">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3.监督抽查出具的《监督抽查不符合项目通知书》《严重事故隐患（重大违法行为）报告单》，现场以短信的形式推送至被抽查单位和辖区监管部门。</w:t>
      </w:r>
    </w:p>
    <w:p w14:paraId="05427444">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4.被抽查单位在规定时间内完成监督抽查不符合项整改后，向监督抽查机构提出复查申请。监督抽查机构应及时安排复查并出具相关复查结论。</w:t>
      </w:r>
    </w:p>
    <w:p w14:paraId="61730987">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监督抽查机构对复查不合格的，向被抽查单位出具《复查不合格设备报送单》，对逾期未申请复查的单位，应填写《逾期未申请复查设备报送单》，同时将《复查不合格设备报送单》《逾期未申请复查设备报送单》报送辖区监管部门。</w:t>
      </w:r>
    </w:p>
    <w:p w14:paraId="15415C0F">
      <w:pPr>
        <w:spacing w:line="560" w:lineRule="exact"/>
        <w:ind w:firstLine="496" w:firstLineChars="200"/>
        <w:rPr>
          <w:color w:val="auto"/>
          <w:highlight w:val="none"/>
        </w:rPr>
      </w:pPr>
      <w:r>
        <w:rPr>
          <w:rFonts w:hint="eastAsia" w:ascii="宋体" w:hAnsi="宋体" w:eastAsia="宋体" w:cs="宋体"/>
          <w:color w:val="auto"/>
          <w:highlight w:val="none"/>
        </w:rPr>
        <w:t>6.被抽查单位对抽查结果有异议的，监督抽查机构应当配合各级监管部门做好相关处理工作。</w:t>
      </w:r>
    </w:p>
    <w:p w14:paraId="07756107">
      <w:pPr>
        <w:spacing w:line="560" w:lineRule="exact"/>
        <w:ind w:firstLine="496" w:firstLineChars="200"/>
        <w:rPr>
          <w:color w:val="auto"/>
          <w:highlight w:val="none"/>
        </w:rPr>
      </w:pPr>
      <w:r>
        <w:rPr>
          <w:rFonts w:hint="eastAsia" w:ascii="宋体" w:hAnsi="宋体" w:eastAsia="宋体" w:cs="宋体"/>
          <w:color w:val="auto"/>
          <w:highlight w:val="none"/>
        </w:rPr>
        <w:t>7.《通知书》《报告单》中不符合项目、严重事故隐患（重大违法行为）的文字表述必须严谨，且符合相关法律、法规、安全技术规范要求，与《监督抽查报告》及监督抽查原始记录一致。</w:t>
      </w:r>
    </w:p>
    <w:p w14:paraId="3D17F826">
      <w:pPr>
        <w:pStyle w:val="5"/>
        <w:numPr>
          <w:ilvl w:val="3"/>
          <w:numId w:val="0"/>
        </w:numPr>
        <w:ind w:left="864" w:hanging="864"/>
        <w:rPr>
          <w:color w:val="auto"/>
          <w:highlight w:val="none"/>
        </w:rPr>
      </w:pPr>
      <w:r>
        <w:rPr>
          <w:rFonts w:hint="eastAsia"/>
          <w:color w:val="auto"/>
          <w:highlight w:val="none"/>
        </w:rPr>
        <w:t>（三）完成服务成果</w:t>
      </w:r>
    </w:p>
    <w:p w14:paraId="5B97A2E5">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1.中标供应商于2025年12月10日前完成监督抽查电梯不少于6800台，其中，电梯维护保养质量抽查不少于6000台，电梯检验、检测质量抽查不少于800台。</w:t>
      </w:r>
    </w:p>
    <w:p w14:paraId="635103E8">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6000台电梯维保量监督抽查报告、不少于800台电梯检验质量监督抽查报告的电子版材料。提交报告及电子版材料符合采购人要求后视为合同履约完成。</w:t>
      </w:r>
    </w:p>
    <w:p w14:paraId="360FB785">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140033C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4.根据采购人需求，完成相关特种设备专项应急预案范本的修订、应急预案演练、特种设备安全宣传、特种设备安全监察人员能力提升培训等工作。</w:t>
      </w:r>
    </w:p>
    <w:p w14:paraId="66CFE1B6">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501303B2">
      <w:pPr>
        <w:pStyle w:val="4"/>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五、具体内容及方法要求（包含但不限于以下内容）</w:t>
      </w:r>
    </w:p>
    <w:p w14:paraId="048191D1">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（一）电梯维护保养质量监督抽查项目内容及方法要求</w:t>
      </w:r>
    </w:p>
    <w:p w14:paraId="79C3C3B5">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1.曳引与强制驱动电梯</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7"/>
        <w:gridCol w:w="1701"/>
        <w:gridCol w:w="5102"/>
        <w:gridCol w:w="1701"/>
      </w:tblGrid>
      <w:tr w14:paraId="0F207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67" w:type="dxa"/>
            <w:vAlign w:val="center"/>
          </w:tcPr>
          <w:p w14:paraId="6637ED3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vAlign w:val="center"/>
          </w:tcPr>
          <w:p w14:paraId="0A94379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102" w:type="dxa"/>
            <w:vAlign w:val="center"/>
          </w:tcPr>
          <w:p w14:paraId="73246E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监督抽查内容与要求</w:t>
            </w:r>
          </w:p>
        </w:tc>
        <w:tc>
          <w:tcPr>
            <w:tcW w:w="1701" w:type="dxa"/>
            <w:vAlign w:val="center"/>
          </w:tcPr>
          <w:p w14:paraId="57A925E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监督抽查方法</w:t>
            </w:r>
          </w:p>
        </w:tc>
      </w:tr>
      <w:tr w14:paraId="1FBE5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trPr>
        <w:tc>
          <w:tcPr>
            <w:tcW w:w="567" w:type="dxa"/>
            <w:vAlign w:val="center"/>
          </w:tcPr>
          <w:p w14:paraId="6AC33F3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1" w:type="dxa"/>
            <w:vAlign w:val="center"/>
          </w:tcPr>
          <w:p w14:paraId="5F5D4EE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使用管理</w:t>
            </w:r>
          </w:p>
        </w:tc>
        <w:tc>
          <w:tcPr>
            <w:tcW w:w="5102" w:type="dxa"/>
            <w:vAlign w:val="center"/>
          </w:tcPr>
          <w:p w14:paraId="19A84ADC">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（1）电梯使用单位安全管理制度及相关档案：①安全管理制度；②安全技术档案；③日常巡查、检查，运行故障和事故记录；④应急救援预案及演练记录；</w:t>
            </w:r>
          </w:p>
          <w:p w14:paraId="684C9F14">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梯使用单位安全主体责任落实情况：①书面任命安全总监、安全员；②开展安全总监和安全员培训及考核的存档资料；③制定单位《特种设备安全风险管控清单》《特种设备安全总监职责》《特种设备安全员守则》等文件；④建立并落实日管控、周排查、月调度工作机制；⑤查阅《每日安全检查记录》《每周安全排查治理报告》《每月安全调度会议纪要》记录；⑥协助现场监察人员对安全总监、安全员开展监督抽查考核。</w:t>
            </w:r>
          </w:p>
          <w:p w14:paraId="5E7FB534">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（3）应在电梯显著位置张贴下列标识：①特种设备使用标志；②电梯使用安全注意事项；③96333标识；④警示标志；</w:t>
            </w:r>
          </w:p>
          <w:p w14:paraId="64577E28">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（4）检查轿厢及电梯使用单位值班室紧急报警装置。</w:t>
            </w:r>
          </w:p>
        </w:tc>
        <w:tc>
          <w:tcPr>
            <w:tcW w:w="1701" w:type="dxa"/>
            <w:vAlign w:val="center"/>
          </w:tcPr>
          <w:p w14:paraId="0B8F9E73">
            <w:pPr>
              <w:pStyle w:val="17"/>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查看资料、测试紧急报警装置</w:t>
            </w:r>
          </w:p>
        </w:tc>
      </w:tr>
      <w:tr w14:paraId="09616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1" w:hRule="atLeast"/>
        </w:trPr>
        <w:tc>
          <w:tcPr>
            <w:tcW w:w="567" w:type="dxa"/>
            <w:vAlign w:val="center"/>
          </w:tcPr>
          <w:p w14:paraId="63AB72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1" w:type="dxa"/>
            <w:vAlign w:val="center"/>
          </w:tcPr>
          <w:p w14:paraId="434EDBA9">
            <w:pPr>
              <w:spacing w:line="320" w:lineRule="exact"/>
              <w:jc w:val="center"/>
              <w:outlineLvl w:val="2"/>
              <w:rPr>
                <w:rFonts w:hint="eastAsia" w:ascii="宋体" w:hAnsi="宋体" w:eastAsia="宋体" w:cs="宋体"/>
                <w:bCs/>
                <w:color w:val="auto"/>
                <w:highlight w:val="none"/>
              </w:rPr>
            </w:pPr>
            <w:r>
              <w:rPr>
                <w:rFonts w:hint="eastAsia" w:ascii="宋体" w:hAnsi="宋体" w:eastAsia="宋体" w:cs="宋体"/>
                <w:bCs/>
                <w:color w:val="auto"/>
                <w:highlight w:val="none"/>
              </w:rPr>
              <w:t>维护保养</w:t>
            </w:r>
          </w:p>
        </w:tc>
        <w:tc>
          <w:tcPr>
            <w:tcW w:w="5102" w:type="dxa"/>
            <w:vAlign w:val="center"/>
          </w:tcPr>
          <w:p w14:paraId="434DAAA0">
            <w:pPr>
              <w:spacing w:line="320" w:lineRule="exact"/>
              <w:rPr>
                <w:rFonts w:hint="eastAsia" w:ascii="宋体" w:hAnsi="宋体" w:eastAsia="宋体" w:cs="宋体"/>
                <w:bCs/>
                <w:color w:val="auto"/>
                <w:highlight w:val="none"/>
              </w:rPr>
            </w:pPr>
            <w:r>
              <w:rPr>
                <w:rFonts w:hint="eastAsia" w:ascii="宋体" w:hAnsi="宋体" w:eastAsia="宋体" w:cs="宋体"/>
                <w:bCs/>
                <w:color w:val="auto"/>
                <w:highlight w:val="none"/>
              </w:rPr>
              <w:t>（1）按照TSG T5002-2017电梯维护保养规则中曳引与强制驱动电梯维护保养项目要求进行维护保养；</w:t>
            </w:r>
          </w:p>
          <w:p w14:paraId="159799DD">
            <w:pPr>
              <w:spacing w:line="320" w:lineRule="exact"/>
              <w:rPr>
                <w:rFonts w:hint="eastAsia" w:ascii="宋体" w:hAnsi="宋体" w:eastAsia="宋体" w:cs="宋体"/>
                <w:bCs/>
                <w:color w:val="auto"/>
                <w:highlight w:val="none"/>
              </w:rPr>
            </w:pPr>
            <w:r>
              <w:rPr>
                <w:rFonts w:hint="eastAsia" w:ascii="宋体" w:hAnsi="宋体" w:eastAsia="宋体" w:cs="宋体"/>
                <w:bCs/>
                <w:color w:val="auto"/>
                <w:highlight w:val="none"/>
              </w:rPr>
              <w:t>（2）与电梯使用单位签订维护保养合同；</w:t>
            </w:r>
          </w:p>
          <w:p w14:paraId="73F66FAD">
            <w:pPr>
              <w:spacing w:line="320" w:lineRule="exact"/>
              <w:rPr>
                <w:rFonts w:hint="eastAsia" w:ascii="宋体" w:hAnsi="宋体" w:eastAsia="宋体" w:cs="宋体"/>
                <w:bCs/>
                <w:color w:val="auto"/>
                <w:highlight w:val="none"/>
              </w:rPr>
            </w:pPr>
            <w:r>
              <w:rPr>
                <w:rFonts w:hint="eastAsia" w:ascii="宋体" w:hAnsi="宋体" w:eastAsia="宋体" w:cs="宋体"/>
                <w:bCs/>
                <w:color w:val="auto"/>
                <w:highlight w:val="none"/>
              </w:rPr>
              <w:t>（3）按照TSG T5002-2017电梯维护保养规则、有关技术规范以及电梯产品安装维护使用说明书的要求制定施工计划</w:t>
            </w:r>
          </w:p>
        </w:tc>
        <w:tc>
          <w:tcPr>
            <w:tcW w:w="1701" w:type="dxa"/>
            <w:vAlign w:val="center"/>
          </w:tcPr>
          <w:p w14:paraId="502729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查看维保记录、维保合同、维保计划</w:t>
            </w:r>
          </w:p>
        </w:tc>
      </w:tr>
      <w:tr w14:paraId="59573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797ABD6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1" w:type="dxa"/>
            <w:vAlign w:val="center"/>
          </w:tcPr>
          <w:p w14:paraId="74C12FB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机房、滑轮间</w:t>
            </w:r>
          </w:p>
          <w:p w14:paraId="324FB5A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tc>
        <w:tc>
          <w:tcPr>
            <w:tcW w:w="5102" w:type="dxa"/>
            <w:vAlign w:val="center"/>
          </w:tcPr>
          <w:p w14:paraId="36F98AF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清洁，门窗完好，照明正常。</w:t>
            </w:r>
          </w:p>
        </w:tc>
        <w:tc>
          <w:tcPr>
            <w:tcW w:w="1701" w:type="dxa"/>
            <w:vAlign w:val="center"/>
          </w:tcPr>
          <w:p w14:paraId="1E55B6E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60E1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23C2AF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01" w:type="dxa"/>
            <w:vAlign w:val="center"/>
          </w:tcPr>
          <w:p w14:paraId="5948E99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手动紧急操作</w:t>
            </w:r>
          </w:p>
          <w:p w14:paraId="5D3752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102" w:type="dxa"/>
            <w:vAlign w:val="center"/>
          </w:tcPr>
          <w:p w14:paraId="2E71663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操作验证手动紧急操作装置的匹配性。</w:t>
            </w:r>
          </w:p>
        </w:tc>
        <w:tc>
          <w:tcPr>
            <w:tcW w:w="1701" w:type="dxa"/>
            <w:vAlign w:val="center"/>
          </w:tcPr>
          <w:p w14:paraId="4F6BCFC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941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156168C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701" w:type="dxa"/>
            <w:vAlign w:val="center"/>
          </w:tcPr>
          <w:p w14:paraId="54FD94A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驱动主机</w:t>
            </w:r>
          </w:p>
        </w:tc>
        <w:tc>
          <w:tcPr>
            <w:tcW w:w="5102" w:type="dxa"/>
            <w:vAlign w:val="center"/>
          </w:tcPr>
          <w:p w14:paraId="1F3C95E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电梯正常运行时无异常振动和异常声响</w:t>
            </w:r>
          </w:p>
        </w:tc>
        <w:tc>
          <w:tcPr>
            <w:tcW w:w="1701" w:type="dxa"/>
            <w:vAlign w:val="center"/>
          </w:tcPr>
          <w:p w14:paraId="724F5A1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4166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7EE6EA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701" w:type="dxa"/>
            <w:vAlign w:val="center"/>
          </w:tcPr>
          <w:p w14:paraId="7BC89D9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制动器各销轴</w:t>
            </w:r>
          </w:p>
          <w:p w14:paraId="5A53968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部位</w:t>
            </w:r>
          </w:p>
        </w:tc>
        <w:tc>
          <w:tcPr>
            <w:tcW w:w="5102" w:type="dxa"/>
            <w:vAlign w:val="center"/>
          </w:tcPr>
          <w:p w14:paraId="53C2BB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动作灵活</w:t>
            </w:r>
          </w:p>
        </w:tc>
        <w:tc>
          <w:tcPr>
            <w:tcW w:w="1701" w:type="dxa"/>
            <w:vAlign w:val="center"/>
          </w:tcPr>
          <w:p w14:paraId="708E747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6AC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BC896C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701" w:type="dxa"/>
            <w:vAlign w:val="center"/>
          </w:tcPr>
          <w:p w14:paraId="294CF4D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制动器间隙</w:t>
            </w:r>
          </w:p>
        </w:tc>
        <w:tc>
          <w:tcPr>
            <w:tcW w:w="5102" w:type="dxa"/>
            <w:vAlign w:val="center"/>
          </w:tcPr>
          <w:p w14:paraId="085A67F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打开时制动衬与制动轮不应发生摩擦，间隙值符合制造单位要求。</w:t>
            </w:r>
          </w:p>
        </w:tc>
        <w:tc>
          <w:tcPr>
            <w:tcW w:w="1701" w:type="dxa"/>
            <w:vAlign w:val="center"/>
          </w:tcPr>
          <w:p w14:paraId="0F53A35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EA96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567" w:type="dxa"/>
            <w:vAlign w:val="center"/>
          </w:tcPr>
          <w:p w14:paraId="00D13B1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701" w:type="dxa"/>
            <w:vAlign w:val="center"/>
          </w:tcPr>
          <w:p w14:paraId="75D51C0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制动器作为轿厢意外移动保护装置制停子系统时的自监测</w:t>
            </w:r>
          </w:p>
        </w:tc>
        <w:tc>
          <w:tcPr>
            <w:tcW w:w="5102" w:type="dxa"/>
            <w:vAlign w:val="center"/>
          </w:tcPr>
          <w:p w14:paraId="0BA017C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制动力人工方式检测符合使用维护说明书要求；制动力自监测系统有记录。</w:t>
            </w:r>
          </w:p>
        </w:tc>
        <w:tc>
          <w:tcPr>
            <w:tcW w:w="1701" w:type="dxa"/>
            <w:vAlign w:val="center"/>
          </w:tcPr>
          <w:p w14:paraId="17BBE76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现场观察确认并查看相关记录</w:t>
            </w:r>
          </w:p>
        </w:tc>
      </w:tr>
      <w:tr w14:paraId="287EE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63ACE46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701" w:type="dxa"/>
            <w:vAlign w:val="center"/>
          </w:tcPr>
          <w:p w14:paraId="7AC3E4A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编码器</w:t>
            </w:r>
          </w:p>
        </w:tc>
        <w:tc>
          <w:tcPr>
            <w:tcW w:w="5102" w:type="dxa"/>
            <w:vAlign w:val="center"/>
          </w:tcPr>
          <w:p w14:paraId="482746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清洁，安装牢固。</w:t>
            </w:r>
          </w:p>
        </w:tc>
        <w:tc>
          <w:tcPr>
            <w:tcW w:w="1701" w:type="dxa"/>
            <w:vAlign w:val="center"/>
          </w:tcPr>
          <w:p w14:paraId="25C8EED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4DCE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27C9D25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701" w:type="dxa"/>
            <w:vAlign w:val="center"/>
          </w:tcPr>
          <w:p w14:paraId="049849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限速器各销轴</w:t>
            </w:r>
          </w:p>
          <w:p w14:paraId="6142B61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部位</w:t>
            </w:r>
          </w:p>
        </w:tc>
        <w:tc>
          <w:tcPr>
            <w:tcW w:w="5102" w:type="dxa"/>
            <w:vAlign w:val="center"/>
          </w:tcPr>
          <w:p w14:paraId="574FA91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人为动作限速器，目测限速器各销轴部位是否转动灵活；轿厢空载以检修速度运行，人为使限速器电气安全装置动作，观察轿厢是否停止运行。</w:t>
            </w:r>
          </w:p>
        </w:tc>
        <w:tc>
          <w:tcPr>
            <w:tcW w:w="1701" w:type="dxa"/>
            <w:vAlign w:val="center"/>
          </w:tcPr>
          <w:p w14:paraId="26173F1C">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6829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9B9040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701" w:type="dxa"/>
            <w:vAlign w:val="center"/>
          </w:tcPr>
          <w:p w14:paraId="19DD219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层门和轿门旁路装置</w:t>
            </w:r>
          </w:p>
        </w:tc>
        <w:tc>
          <w:tcPr>
            <w:tcW w:w="5102" w:type="dxa"/>
            <w:vAlign w:val="center"/>
          </w:tcPr>
          <w:p w14:paraId="535F7B6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检查旁路装置设置及标识；模拟操作检查旁路装置功能是否正常</w:t>
            </w:r>
          </w:p>
        </w:tc>
        <w:tc>
          <w:tcPr>
            <w:tcW w:w="1701" w:type="dxa"/>
            <w:vAlign w:val="center"/>
          </w:tcPr>
          <w:p w14:paraId="110DB918">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3246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6B7480D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701" w:type="dxa"/>
            <w:vAlign w:val="center"/>
          </w:tcPr>
          <w:p w14:paraId="6F8089F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紧急电动运行</w:t>
            </w:r>
          </w:p>
        </w:tc>
        <w:tc>
          <w:tcPr>
            <w:tcW w:w="5102" w:type="dxa"/>
            <w:vAlign w:val="center"/>
          </w:tcPr>
          <w:p w14:paraId="3139569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通过模拟操作检查紧急电动运行装置功能是否正常</w:t>
            </w:r>
          </w:p>
        </w:tc>
        <w:tc>
          <w:tcPr>
            <w:tcW w:w="1701" w:type="dxa"/>
            <w:vAlign w:val="center"/>
          </w:tcPr>
          <w:p w14:paraId="7FBBCFEB">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2D36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07A634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701" w:type="dxa"/>
            <w:vAlign w:val="center"/>
          </w:tcPr>
          <w:p w14:paraId="0E4205F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 顶</w:t>
            </w:r>
          </w:p>
        </w:tc>
        <w:tc>
          <w:tcPr>
            <w:tcW w:w="5102" w:type="dxa"/>
            <w:vAlign w:val="center"/>
          </w:tcPr>
          <w:p w14:paraId="15EA826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清洁，防护栏安全可靠。</w:t>
            </w:r>
          </w:p>
        </w:tc>
        <w:tc>
          <w:tcPr>
            <w:tcW w:w="1701" w:type="dxa"/>
            <w:vAlign w:val="center"/>
          </w:tcPr>
          <w:p w14:paraId="6099AECA">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2C677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250A82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701" w:type="dxa"/>
            <w:vAlign w:val="center"/>
          </w:tcPr>
          <w:p w14:paraId="6B5061B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轿顶检修开关、停止装置</w:t>
            </w:r>
          </w:p>
        </w:tc>
        <w:tc>
          <w:tcPr>
            <w:tcW w:w="5102" w:type="dxa"/>
            <w:vAlign w:val="center"/>
          </w:tcPr>
          <w:p w14:paraId="05C0E5F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操作验证检修运行控制装置、停止装置的功能是否正常</w:t>
            </w:r>
          </w:p>
        </w:tc>
        <w:tc>
          <w:tcPr>
            <w:tcW w:w="1701" w:type="dxa"/>
            <w:vAlign w:val="center"/>
          </w:tcPr>
          <w:p w14:paraId="5443141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600F9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198563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01" w:type="dxa"/>
            <w:vAlign w:val="center"/>
          </w:tcPr>
          <w:p w14:paraId="2D43C37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导靴上油杯</w:t>
            </w:r>
          </w:p>
        </w:tc>
        <w:tc>
          <w:tcPr>
            <w:tcW w:w="5102" w:type="dxa"/>
            <w:vAlign w:val="center"/>
          </w:tcPr>
          <w:p w14:paraId="1BAE33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吸油毛毡齐全，油量适宜，油杯无泄漏。</w:t>
            </w:r>
          </w:p>
        </w:tc>
        <w:tc>
          <w:tcPr>
            <w:tcW w:w="1701" w:type="dxa"/>
            <w:vAlign w:val="center"/>
          </w:tcPr>
          <w:p w14:paraId="04EF0140">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BE7A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27769B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701" w:type="dxa"/>
            <w:vAlign w:val="center"/>
          </w:tcPr>
          <w:p w14:paraId="4A1E8B4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对重/平衡重块及其压板</w:t>
            </w:r>
          </w:p>
        </w:tc>
        <w:tc>
          <w:tcPr>
            <w:tcW w:w="5102" w:type="dxa"/>
            <w:vAlign w:val="center"/>
          </w:tcPr>
          <w:p w14:paraId="10D23D2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对重/平衡重块无松动，压板紧固,标识明显。</w:t>
            </w:r>
          </w:p>
        </w:tc>
        <w:tc>
          <w:tcPr>
            <w:tcW w:w="1701" w:type="dxa"/>
            <w:vAlign w:val="center"/>
          </w:tcPr>
          <w:p w14:paraId="6C80952C">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C1A2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20D5798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701" w:type="dxa"/>
            <w:vAlign w:val="center"/>
          </w:tcPr>
          <w:p w14:paraId="38A2D5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井道照明</w:t>
            </w:r>
          </w:p>
        </w:tc>
        <w:tc>
          <w:tcPr>
            <w:tcW w:w="5102" w:type="dxa"/>
            <w:vAlign w:val="center"/>
          </w:tcPr>
          <w:p w14:paraId="59E1A9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齐全，正常。</w:t>
            </w:r>
          </w:p>
        </w:tc>
        <w:tc>
          <w:tcPr>
            <w:tcW w:w="1701" w:type="dxa"/>
            <w:vAlign w:val="center"/>
          </w:tcPr>
          <w:p w14:paraId="41253976">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5220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22D2BC0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701" w:type="dxa"/>
            <w:vAlign w:val="center"/>
          </w:tcPr>
          <w:p w14:paraId="098515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轿厢照明、风扇、应急照明</w:t>
            </w:r>
          </w:p>
        </w:tc>
        <w:tc>
          <w:tcPr>
            <w:tcW w:w="5102" w:type="dxa"/>
            <w:vAlign w:val="center"/>
          </w:tcPr>
          <w:p w14:paraId="5193636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断开正常照明供电电源,验证紧急照明功能是否正常</w:t>
            </w:r>
          </w:p>
        </w:tc>
        <w:tc>
          <w:tcPr>
            <w:tcW w:w="1701" w:type="dxa"/>
            <w:vAlign w:val="center"/>
          </w:tcPr>
          <w:p w14:paraId="1E59C688">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35975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67" w:type="dxa"/>
            <w:vAlign w:val="center"/>
          </w:tcPr>
          <w:p w14:paraId="367BF6C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701" w:type="dxa"/>
            <w:vAlign w:val="center"/>
          </w:tcPr>
          <w:p w14:paraId="4CB678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轿厢检修开关、停止装置</w:t>
            </w:r>
          </w:p>
        </w:tc>
        <w:tc>
          <w:tcPr>
            <w:tcW w:w="5102" w:type="dxa"/>
            <w:vAlign w:val="center"/>
          </w:tcPr>
          <w:p w14:paraId="0F32C7B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操作验证检修运行控制装置、停止装置的功能。是否正常</w:t>
            </w:r>
          </w:p>
        </w:tc>
        <w:tc>
          <w:tcPr>
            <w:tcW w:w="1701" w:type="dxa"/>
            <w:vAlign w:val="center"/>
          </w:tcPr>
          <w:p w14:paraId="2A23AC5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0F5EE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67" w:type="dxa"/>
            <w:vAlign w:val="center"/>
          </w:tcPr>
          <w:p w14:paraId="09721E6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701" w:type="dxa"/>
            <w:vAlign w:val="center"/>
          </w:tcPr>
          <w:p w14:paraId="7A04B6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轿内报警装置、对讲系统</w:t>
            </w:r>
          </w:p>
        </w:tc>
        <w:tc>
          <w:tcPr>
            <w:tcW w:w="5102" w:type="dxa"/>
            <w:vAlign w:val="center"/>
          </w:tcPr>
          <w:p w14:paraId="21DBF8F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接通和断开紧急报警装置的正常供电电源，分别验证紧急报警装置的功能是否正常。</w:t>
            </w:r>
          </w:p>
        </w:tc>
        <w:tc>
          <w:tcPr>
            <w:tcW w:w="1701" w:type="dxa"/>
            <w:vAlign w:val="center"/>
          </w:tcPr>
          <w:p w14:paraId="0EEC03E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19CB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5EE8C0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701" w:type="dxa"/>
            <w:vAlign w:val="center"/>
          </w:tcPr>
          <w:p w14:paraId="6B7E73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轿内显示、指令按钮、IC 卡系统</w:t>
            </w:r>
          </w:p>
        </w:tc>
        <w:tc>
          <w:tcPr>
            <w:tcW w:w="5102" w:type="dxa"/>
            <w:vAlign w:val="center"/>
          </w:tcPr>
          <w:p w14:paraId="6D0FE43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将电梯置于检修状态以及紧急电动运行、火灾召回、地震运行状态（如果有），验证IC卡功能是否退出。</w:t>
            </w:r>
          </w:p>
        </w:tc>
        <w:tc>
          <w:tcPr>
            <w:tcW w:w="1701" w:type="dxa"/>
            <w:vAlign w:val="center"/>
          </w:tcPr>
          <w:p w14:paraId="15B37BA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A08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567" w:type="dxa"/>
            <w:vAlign w:val="center"/>
          </w:tcPr>
          <w:p w14:paraId="1334CCB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701" w:type="dxa"/>
            <w:vAlign w:val="center"/>
          </w:tcPr>
          <w:p w14:paraId="6B9DD5E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轿门防撞击保护装置(安全触板，光幕、光电等)</w:t>
            </w:r>
          </w:p>
        </w:tc>
        <w:tc>
          <w:tcPr>
            <w:tcW w:w="5102" w:type="dxa"/>
            <w:vAlign w:val="center"/>
          </w:tcPr>
          <w:p w14:paraId="2123E7D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功能有效</w:t>
            </w:r>
          </w:p>
        </w:tc>
        <w:tc>
          <w:tcPr>
            <w:tcW w:w="1701" w:type="dxa"/>
            <w:vAlign w:val="center"/>
          </w:tcPr>
          <w:p w14:paraId="7981222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11582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67" w:type="dxa"/>
            <w:vAlign w:val="center"/>
          </w:tcPr>
          <w:p w14:paraId="5409004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701" w:type="dxa"/>
            <w:vAlign w:val="center"/>
          </w:tcPr>
          <w:p w14:paraId="785D2B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轿门、层门门锁电气触点</w:t>
            </w:r>
          </w:p>
        </w:tc>
        <w:tc>
          <w:tcPr>
            <w:tcW w:w="5102" w:type="dxa"/>
            <w:vAlign w:val="center"/>
          </w:tcPr>
          <w:p w14:paraId="296D749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清洁，触点接触良好，接线可靠。</w:t>
            </w:r>
          </w:p>
        </w:tc>
        <w:tc>
          <w:tcPr>
            <w:tcW w:w="1701" w:type="dxa"/>
            <w:vAlign w:val="center"/>
          </w:tcPr>
          <w:p w14:paraId="671E52B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196D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7DEF237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701" w:type="dxa"/>
            <w:vAlign w:val="center"/>
          </w:tcPr>
          <w:p w14:paraId="5A31B77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轿门运行</w:t>
            </w:r>
          </w:p>
        </w:tc>
        <w:tc>
          <w:tcPr>
            <w:tcW w:w="5102" w:type="dxa"/>
            <w:vAlign w:val="center"/>
          </w:tcPr>
          <w:p w14:paraId="40586C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开启和关闭工作正常</w:t>
            </w:r>
          </w:p>
        </w:tc>
        <w:tc>
          <w:tcPr>
            <w:tcW w:w="1701" w:type="dxa"/>
            <w:vAlign w:val="center"/>
          </w:tcPr>
          <w:p w14:paraId="1B34546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47099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567" w:type="dxa"/>
            <w:vAlign w:val="center"/>
          </w:tcPr>
          <w:p w14:paraId="53EDD06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701" w:type="dxa"/>
            <w:vAlign w:val="center"/>
          </w:tcPr>
          <w:p w14:paraId="65603A1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轿厢平层准确度</w:t>
            </w:r>
          </w:p>
        </w:tc>
        <w:tc>
          <w:tcPr>
            <w:tcW w:w="5102" w:type="dxa"/>
            <w:vAlign w:val="center"/>
          </w:tcPr>
          <w:p w14:paraId="37A21D5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轿厢轻载，单层、多层、全程上下各运行一次，在开门宽度的中部测量层门地坎上表面和轿门地坎上表面间的垂直高度差。轿厢平层准确度应在±10mm范围内。</w:t>
            </w:r>
          </w:p>
        </w:tc>
        <w:tc>
          <w:tcPr>
            <w:tcW w:w="1701" w:type="dxa"/>
            <w:vAlign w:val="center"/>
          </w:tcPr>
          <w:p w14:paraId="614C4BE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4A727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69457D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701" w:type="dxa"/>
            <w:vAlign w:val="center"/>
          </w:tcPr>
          <w:p w14:paraId="13FA71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层站召唤、层楼显示</w:t>
            </w:r>
          </w:p>
        </w:tc>
        <w:tc>
          <w:tcPr>
            <w:tcW w:w="5102" w:type="dxa"/>
            <w:vAlign w:val="center"/>
          </w:tcPr>
          <w:p w14:paraId="09ED97A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抽取基站、端站以及至少20%其他层站的层站，目测并验证功能有效性。</w:t>
            </w:r>
          </w:p>
        </w:tc>
        <w:tc>
          <w:tcPr>
            <w:tcW w:w="1701" w:type="dxa"/>
            <w:vAlign w:val="center"/>
          </w:tcPr>
          <w:p w14:paraId="7ADEA52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F105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251918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701" w:type="dxa"/>
            <w:vAlign w:val="center"/>
          </w:tcPr>
          <w:p w14:paraId="4EC273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层门地坎</w:t>
            </w:r>
          </w:p>
        </w:tc>
        <w:tc>
          <w:tcPr>
            <w:tcW w:w="5102" w:type="dxa"/>
            <w:vAlign w:val="center"/>
          </w:tcPr>
          <w:p w14:paraId="14DEBBE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抽取基站、端站以及至少20%其他层站的层门地坎的清洁</w:t>
            </w:r>
          </w:p>
        </w:tc>
        <w:tc>
          <w:tcPr>
            <w:tcW w:w="1701" w:type="dxa"/>
            <w:vAlign w:val="center"/>
          </w:tcPr>
          <w:p w14:paraId="3FDB6722">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35F3D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567" w:type="dxa"/>
            <w:vAlign w:val="center"/>
          </w:tcPr>
          <w:p w14:paraId="101386A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701" w:type="dxa"/>
            <w:vAlign w:val="center"/>
          </w:tcPr>
          <w:p w14:paraId="58215E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层门自动关门</w:t>
            </w:r>
          </w:p>
          <w:p w14:paraId="132F75E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102" w:type="dxa"/>
            <w:vAlign w:val="center"/>
          </w:tcPr>
          <w:p w14:paraId="1ECBDD2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抽取基站、端站以及至少20%其他层站的层门，将轿厢运行至开锁区域外，打开层门，观察层门关闭情况及防止重块坠落措施的有效性。</w:t>
            </w:r>
          </w:p>
        </w:tc>
        <w:tc>
          <w:tcPr>
            <w:tcW w:w="1701" w:type="dxa"/>
            <w:vAlign w:val="center"/>
          </w:tcPr>
          <w:p w14:paraId="0DEF71F7">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E2E8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567" w:type="dxa"/>
            <w:vAlign w:val="center"/>
          </w:tcPr>
          <w:p w14:paraId="66FC91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701" w:type="dxa"/>
            <w:vAlign w:val="center"/>
          </w:tcPr>
          <w:p w14:paraId="0263AFC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层门门锁自动</w:t>
            </w:r>
          </w:p>
          <w:p w14:paraId="455B537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复位</w:t>
            </w:r>
          </w:p>
        </w:tc>
        <w:tc>
          <w:tcPr>
            <w:tcW w:w="5102" w:type="dxa"/>
            <w:vAlign w:val="center"/>
          </w:tcPr>
          <w:p w14:paraId="5B9CC9F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（1）抽取基站、端站以及至少20%其他层站的层门，用钥匙操作紧急开锁装置，验证其功能；</w:t>
            </w:r>
          </w:p>
          <w:p w14:paraId="28FD67F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（2）用层门钥匙打开手动开锁装置释放后，层门门锁能自动复位。</w:t>
            </w:r>
          </w:p>
        </w:tc>
        <w:tc>
          <w:tcPr>
            <w:tcW w:w="1701" w:type="dxa"/>
            <w:vAlign w:val="center"/>
          </w:tcPr>
          <w:p w14:paraId="1C896683">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4982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567" w:type="dxa"/>
            <w:vAlign w:val="center"/>
          </w:tcPr>
          <w:p w14:paraId="391361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701" w:type="dxa"/>
            <w:vAlign w:val="center"/>
          </w:tcPr>
          <w:p w14:paraId="378B82B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层门锁紧元件啮合长度</w:t>
            </w:r>
          </w:p>
        </w:tc>
        <w:tc>
          <w:tcPr>
            <w:tcW w:w="5102" w:type="dxa"/>
            <w:vAlign w:val="center"/>
          </w:tcPr>
          <w:p w14:paraId="7E2223A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目测锁紧元件的啮合情况，认为啮合长度可能不足时测量电气触点刚闭合时锁紧元件的啮合长度应不小于7mm</w:t>
            </w:r>
          </w:p>
        </w:tc>
        <w:tc>
          <w:tcPr>
            <w:tcW w:w="1701" w:type="dxa"/>
            <w:vAlign w:val="center"/>
          </w:tcPr>
          <w:p w14:paraId="7EBDDB6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31D4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67" w:type="dxa"/>
            <w:vAlign w:val="center"/>
          </w:tcPr>
          <w:p w14:paraId="6CF322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1" w:type="dxa"/>
            <w:vAlign w:val="center"/>
          </w:tcPr>
          <w:p w14:paraId="4678AD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底坑环境及停止装置</w:t>
            </w:r>
          </w:p>
        </w:tc>
        <w:tc>
          <w:tcPr>
            <w:tcW w:w="5102" w:type="dxa"/>
            <w:vAlign w:val="center"/>
          </w:tcPr>
          <w:p w14:paraId="1EB667B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（1）底坑环境清洁，无渗水、积水，照明正常；</w:t>
            </w:r>
          </w:p>
          <w:p w14:paraId="56B6D8C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（2）操作验证停止装置功能是否正常</w:t>
            </w:r>
          </w:p>
        </w:tc>
        <w:tc>
          <w:tcPr>
            <w:tcW w:w="1701" w:type="dxa"/>
            <w:vAlign w:val="center"/>
          </w:tcPr>
          <w:p w14:paraId="3FA68A8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AF54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567" w:type="dxa"/>
            <w:vAlign w:val="center"/>
          </w:tcPr>
          <w:p w14:paraId="453F11B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701" w:type="dxa"/>
            <w:vAlign w:val="center"/>
          </w:tcPr>
          <w:p w14:paraId="1F9740A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曳引轮槽、悬挂装置</w:t>
            </w:r>
          </w:p>
        </w:tc>
        <w:tc>
          <w:tcPr>
            <w:tcW w:w="5102" w:type="dxa"/>
            <w:vAlign w:val="center"/>
          </w:tcPr>
          <w:p w14:paraId="0898B9E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（1）曳引轮槽缺损、磨损，磨损量不超过制造单位要求；</w:t>
            </w:r>
          </w:p>
          <w:p w14:paraId="6620042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（2）钢丝绳清洁、无严重油腻；</w:t>
            </w:r>
          </w:p>
          <w:p w14:paraId="754CC32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（3）张力均匀，符合制造单位要求</w:t>
            </w:r>
          </w:p>
        </w:tc>
        <w:tc>
          <w:tcPr>
            <w:tcW w:w="1701" w:type="dxa"/>
            <w:vAlign w:val="center"/>
          </w:tcPr>
          <w:p w14:paraId="1CE6BD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6FB7A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67" w:type="dxa"/>
            <w:vAlign w:val="center"/>
          </w:tcPr>
          <w:p w14:paraId="0E2162B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1701" w:type="dxa"/>
            <w:vAlign w:val="center"/>
          </w:tcPr>
          <w:p w14:paraId="31D4BB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限速器轮槽、限速器钢丝绳</w:t>
            </w:r>
          </w:p>
        </w:tc>
        <w:tc>
          <w:tcPr>
            <w:tcW w:w="5102" w:type="dxa"/>
            <w:vAlign w:val="center"/>
          </w:tcPr>
          <w:p w14:paraId="4916FBD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清洁，无严重油腻</w:t>
            </w:r>
          </w:p>
        </w:tc>
        <w:tc>
          <w:tcPr>
            <w:tcW w:w="1701" w:type="dxa"/>
            <w:vAlign w:val="center"/>
          </w:tcPr>
          <w:p w14:paraId="11C939B6">
            <w:pPr>
              <w:spacing w:line="320" w:lineRule="exact"/>
              <w:ind w:firstLine="124" w:firstLineChars="50"/>
              <w:rPr>
                <w:rFonts w:hint="eastAsia" w:ascii="宋体" w:hAnsi="宋体" w:eastAsia="宋体" w:cs="宋体"/>
                <w:color w:val="auto"/>
                <w:highlight w:val="none"/>
              </w:rPr>
            </w:pPr>
            <w:r>
              <w:rPr>
                <w:rFonts w:hint="eastAsia" w:ascii="宋体" w:hAnsi="宋体" w:eastAsia="宋体" w:cs="宋体"/>
                <w:color w:val="auto"/>
                <w:highlight w:val="none"/>
              </w:rPr>
              <w:t xml:space="preserve">现场观察确认  </w:t>
            </w:r>
          </w:p>
        </w:tc>
      </w:tr>
      <w:tr w14:paraId="598EB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73BD79E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701" w:type="dxa"/>
            <w:vAlign w:val="center"/>
          </w:tcPr>
          <w:p w14:paraId="46F9B19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限速器张紧轮装置和电气安全装置</w:t>
            </w:r>
          </w:p>
        </w:tc>
        <w:tc>
          <w:tcPr>
            <w:tcW w:w="5102" w:type="dxa"/>
            <w:vAlign w:val="center"/>
          </w:tcPr>
          <w:p w14:paraId="741EA34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验证张紧轮装置和电气安全装置性能工作正常</w:t>
            </w:r>
          </w:p>
        </w:tc>
        <w:tc>
          <w:tcPr>
            <w:tcW w:w="1701" w:type="dxa"/>
            <w:vAlign w:val="center"/>
          </w:tcPr>
          <w:p w14:paraId="566AC83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现场观察确认并试验验证   </w:t>
            </w:r>
          </w:p>
        </w:tc>
      </w:tr>
      <w:tr w14:paraId="3B543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39FEF8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701" w:type="dxa"/>
            <w:vAlign w:val="center"/>
          </w:tcPr>
          <w:p w14:paraId="39B517B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驱动轮、导向轮轴承部</w:t>
            </w:r>
          </w:p>
        </w:tc>
        <w:tc>
          <w:tcPr>
            <w:tcW w:w="5102" w:type="dxa"/>
            <w:vAlign w:val="center"/>
          </w:tcPr>
          <w:p w14:paraId="735A884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无异常声响，无振动，润滑良好</w:t>
            </w:r>
          </w:p>
        </w:tc>
        <w:tc>
          <w:tcPr>
            <w:tcW w:w="1701" w:type="dxa"/>
            <w:vAlign w:val="center"/>
          </w:tcPr>
          <w:p w14:paraId="732A5D8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6E0C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286D299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701" w:type="dxa"/>
            <w:vAlign w:val="center"/>
          </w:tcPr>
          <w:p w14:paraId="7EE0A14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井道、对重、轿顶各反绳轮轴</w:t>
            </w:r>
          </w:p>
          <w:p w14:paraId="0A98E9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承部</w:t>
            </w:r>
          </w:p>
        </w:tc>
        <w:tc>
          <w:tcPr>
            <w:tcW w:w="5102" w:type="dxa"/>
            <w:vAlign w:val="center"/>
          </w:tcPr>
          <w:p w14:paraId="27540D8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无异常声响，无振动，润滑良好</w:t>
            </w:r>
          </w:p>
        </w:tc>
        <w:tc>
          <w:tcPr>
            <w:tcW w:w="1701" w:type="dxa"/>
            <w:vAlign w:val="center"/>
          </w:tcPr>
          <w:p w14:paraId="5E97F6B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7984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778A7BB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1701" w:type="dxa"/>
            <w:vAlign w:val="center"/>
          </w:tcPr>
          <w:p w14:paraId="16B98F86">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悬挂装置、补</w:t>
            </w:r>
          </w:p>
          <w:p w14:paraId="67C3D262">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偿绳</w:t>
            </w:r>
          </w:p>
        </w:tc>
        <w:tc>
          <w:tcPr>
            <w:tcW w:w="5102" w:type="dxa"/>
            <w:vAlign w:val="center"/>
          </w:tcPr>
          <w:p w14:paraId="5E6AD71C">
            <w:pPr>
              <w:pStyle w:val="114"/>
              <w:widowControl w:val="0"/>
              <w:autoSpaceDE w:val="0"/>
              <w:autoSpaceDN w:val="0"/>
              <w:spacing w:before="0" w:after="0" w:line="32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测量并判断钢丝绳</w:t>
            </w:r>
            <w:r>
              <w:rPr>
                <w:rFonts w:hint="eastAsia" w:ascii="宋体" w:hAnsi="宋体" w:eastAsia="宋体" w:cs="宋体"/>
                <w:color w:val="auto"/>
                <w:kern w:val="2"/>
                <w:sz w:val="24"/>
                <w:szCs w:val="24"/>
                <w:highlight w:val="none"/>
                <w:lang w:val="en-US" w:eastAsia="zh-CN"/>
              </w:rPr>
              <w:t>磨损量、断丝数不超过要求</w:t>
            </w:r>
          </w:p>
        </w:tc>
        <w:tc>
          <w:tcPr>
            <w:tcW w:w="1701" w:type="dxa"/>
            <w:vAlign w:val="center"/>
          </w:tcPr>
          <w:p w14:paraId="43CB416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F737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5731FE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1701" w:type="dxa"/>
            <w:vAlign w:val="center"/>
          </w:tcPr>
          <w:p w14:paraId="34069E09">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绳头组合</w:t>
            </w:r>
          </w:p>
        </w:tc>
        <w:tc>
          <w:tcPr>
            <w:tcW w:w="5102" w:type="dxa"/>
            <w:vAlign w:val="center"/>
          </w:tcPr>
          <w:p w14:paraId="7CE97F08">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螺母无松动</w:t>
            </w:r>
          </w:p>
        </w:tc>
        <w:tc>
          <w:tcPr>
            <w:tcW w:w="1701" w:type="dxa"/>
            <w:vAlign w:val="center"/>
          </w:tcPr>
          <w:p w14:paraId="24BB45D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0D6D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CB7D2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1701" w:type="dxa"/>
            <w:vAlign w:val="center"/>
          </w:tcPr>
          <w:p w14:paraId="430CA1E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层门、轿门门扇</w:t>
            </w:r>
          </w:p>
        </w:tc>
        <w:tc>
          <w:tcPr>
            <w:tcW w:w="5102" w:type="dxa"/>
            <w:vAlign w:val="center"/>
          </w:tcPr>
          <w:p w14:paraId="56ACF0E4">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门扇各相关间隙符合标准值</w:t>
            </w:r>
          </w:p>
        </w:tc>
        <w:tc>
          <w:tcPr>
            <w:tcW w:w="1701" w:type="dxa"/>
            <w:vAlign w:val="center"/>
          </w:tcPr>
          <w:p w14:paraId="43A234F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93DF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CC0CDB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701" w:type="dxa"/>
            <w:vAlign w:val="center"/>
          </w:tcPr>
          <w:p w14:paraId="5BA01BC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轿门开门限制</w:t>
            </w:r>
          </w:p>
          <w:p w14:paraId="285578C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102" w:type="dxa"/>
            <w:vAlign w:val="center"/>
          </w:tcPr>
          <w:p w14:paraId="720756F0">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验证限制装置性能</w:t>
            </w:r>
            <w:r>
              <w:rPr>
                <w:rFonts w:hint="eastAsia" w:ascii="宋体" w:hAnsi="宋体" w:eastAsia="宋体" w:cs="宋体"/>
                <w:color w:val="auto"/>
                <w:kern w:val="2"/>
                <w:sz w:val="24"/>
                <w:szCs w:val="24"/>
                <w:highlight w:val="none"/>
                <w:lang w:val="en-US" w:eastAsia="zh-CN"/>
              </w:rPr>
              <w:t>工作正常</w:t>
            </w:r>
          </w:p>
        </w:tc>
        <w:tc>
          <w:tcPr>
            <w:tcW w:w="1701" w:type="dxa"/>
            <w:vAlign w:val="center"/>
          </w:tcPr>
          <w:p w14:paraId="1E9F1D9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72155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3967A3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1" w:type="dxa"/>
            <w:vAlign w:val="center"/>
          </w:tcPr>
          <w:p w14:paraId="57E62FF7">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对重缓冲距离</w:t>
            </w:r>
          </w:p>
        </w:tc>
        <w:tc>
          <w:tcPr>
            <w:tcW w:w="5102" w:type="dxa"/>
            <w:vAlign w:val="center"/>
          </w:tcPr>
          <w:p w14:paraId="34CAEA34">
            <w:pPr>
              <w:pStyle w:val="114"/>
              <w:widowControl w:val="0"/>
              <w:autoSpaceDE w:val="0"/>
              <w:autoSpaceDN w:val="0"/>
              <w:spacing w:before="0" w:after="0"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（1）目测对重越程距离标识；</w:t>
            </w:r>
          </w:p>
          <w:p w14:paraId="67878DB4">
            <w:pPr>
              <w:pStyle w:val="114"/>
              <w:widowControl w:val="0"/>
              <w:autoSpaceDE w:val="0"/>
              <w:autoSpaceDN w:val="0"/>
              <w:spacing w:before="0" w:after="0" w:line="32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（2）查验当轿厢位于顶层端站平层位置时，对重装置板与其缓冲器顶面间的垂直距离</w:t>
            </w:r>
            <w:r>
              <w:rPr>
                <w:rFonts w:hint="eastAsia" w:ascii="宋体" w:hAnsi="宋体" w:eastAsia="宋体" w:cs="宋体"/>
                <w:color w:val="auto"/>
                <w:kern w:val="2"/>
                <w:sz w:val="24"/>
                <w:szCs w:val="24"/>
                <w:highlight w:val="none"/>
                <w:lang w:val="en-US" w:eastAsia="zh-CN"/>
              </w:rPr>
              <w:t>符合标准值.</w:t>
            </w:r>
          </w:p>
        </w:tc>
        <w:tc>
          <w:tcPr>
            <w:tcW w:w="1701" w:type="dxa"/>
            <w:vAlign w:val="center"/>
          </w:tcPr>
          <w:p w14:paraId="565410C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1D299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8A5F18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1701" w:type="dxa"/>
            <w:vAlign w:val="center"/>
          </w:tcPr>
          <w:p w14:paraId="512FAD4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上、下极限开关</w:t>
            </w:r>
          </w:p>
        </w:tc>
        <w:tc>
          <w:tcPr>
            <w:tcW w:w="5102" w:type="dxa"/>
            <w:vAlign w:val="center"/>
          </w:tcPr>
          <w:p w14:paraId="2D17191E">
            <w:pPr>
              <w:pStyle w:val="114"/>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验证极限开关性能</w:t>
            </w:r>
            <w:r>
              <w:rPr>
                <w:rFonts w:hint="eastAsia" w:ascii="宋体" w:hAnsi="宋体" w:eastAsia="宋体" w:cs="宋体"/>
                <w:color w:val="auto"/>
                <w:kern w:val="2"/>
                <w:sz w:val="24"/>
                <w:szCs w:val="24"/>
                <w:highlight w:val="none"/>
                <w:lang w:val="en-US" w:eastAsia="zh-CN"/>
              </w:rPr>
              <w:t>工作正常</w:t>
            </w:r>
          </w:p>
        </w:tc>
        <w:tc>
          <w:tcPr>
            <w:tcW w:w="1701" w:type="dxa"/>
            <w:vAlign w:val="center"/>
          </w:tcPr>
          <w:p w14:paraId="6A2B60B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1535F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5" w:hRule="atLeast"/>
        </w:trPr>
        <w:tc>
          <w:tcPr>
            <w:tcW w:w="567" w:type="dxa"/>
            <w:vAlign w:val="center"/>
          </w:tcPr>
          <w:p w14:paraId="5F19464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1701" w:type="dxa"/>
            <w:vAlign w:val="center"/>
          </w:tcPr>
          <w:p w14:paraId="67AA85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限速器安全钳联动试验</w:t>
            </w:r>
          </w:p>
        </w:tc>
        <w:tc>
          <w:tcPr>
            <w:tcW w:w="5102" w:type="dxa"/>
            <w:vAlign w:val="center"/>
          </w:tcPr>
          <w:p w14:paraId="13BD8EC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（1）对于使用年限不超过 15 年的限速器，每2 年进行一次限速器动作速度校验；对于使用年限超过15 年的限速器，每年进行一次限速器动作速度校验；</w:t>
            </w:r>
          </w:p>
          <w:p w14:paraId="6A1BDF4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轿厢空载以检修速度运行，人为分别使限速器和安全钳的电气安全装置动作，观察轿厢是否停止运行；然后短接限速器和安全钳的电气安全装置，轿厢空载以检修速度向下运行，人为动作限速器，观察轿厢制停情况。</w:t>
            </w:r>
          </w:p>
        </w:tc>
        <w:tc>
          <w:tcPr>
            <w:tcW w:w="1701" w:type="dxa"/>
            <w:vAlign w:val="center"/>
          </w:tcPr>
          <w:p w14:paraId="4A50B4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现场查阅校验记录并试验验证</w:t>
            </w:r>
          </w:p>
        </w:tc>
      </w:tr>
      <w:tr w14:paraId="55FC9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52830F7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44</w:t>
            </w:r>
          </w:p>
        </w:tc>
        <w:tc>
          <w:tcPr>
            <w:tcW w:w="1701" w:type="dxa"/>
            <w:vAlign w:val="center"/>
          </w:tcPr>
          <w:p w14:paraId="08F5273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安全钳钳座</w:t>
            </w:r>
          </w:p>
        </w:tc>
        <w:tc>
          <w:tcPr>
            <w:tcW w:w="5102" w:type="dxa"/>
            <w:vAlign w:val="center"/>
          </w:tcPr>
          <w:p w14:paraId="3FEF354A">
            <w:pPr>
              <w:pStyle w:val="115"/>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固定，无松动</w:t>
            </w:r>
          </w:p>
        </w:tc>
        <w:tc>
          <w:tcPr>
            <w:tcW w:w="1701" w:type="dxa"/>
            <w:vAlign w:val="center"/>
          </w:tcPr>
          <w:p w14:paraId="56DC217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C461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55C469D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1" w:type="dxa"/>
            <w:vAlign w:val="center"/>
          </w:tcPr>
          <w:p w14:paraId="6B1DC036">
            <w:pPr>
              <w:pStyle w:val="115"/>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上行超速保护装置动作试验</w:t>
            </w:r>
          </w:p>
        </w:tc>
        <w:tc>
          <w:tcPr>
            <w:tcW w:w="5102" w:type="dxa"/>
            <w:vAlign w:val="center"/>
          </w:tcPr>
          <w:p w14:paraId="6F63C6A9">
            <w:pPr>
              <w:pStyle w:val="115"/>
              <w:widowControl w:val="0"/>
              <w:autoSpaceDE w:val="0"/>
              <w:autoSpaceDN w:val="0"/>
              <w:spacing w:before="0" w:after="0" w:line="32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由施工单位或者维护保养单位按照制造单位规定的方法进行实验，保护装置动作工作正常</w:t>
            </w:r>
          </w:p>
        </w:tc>
        <w:tc>
          <w:tcPr>
            <w:tcW w:w="1701" w:type="dxa"/>
            <w:vAlign w:val="center"/>
          </w:tcPr>
          <w:p w14:paraId="61C922B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7DD6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271E77E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46</w:t>
            </w:r>
          </w:p>
        </w:tc>
        <w:tc>
          <w:tcPr>
            <w:tcW w:w="1701" w:type="dxa"/>
            <w:vAlign w:val="center"/>
          </w:tcPr>
          <w:p w14:paraId="56EB621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轿厢意外移动保护装置动作试验</w:t>
            </w:r>
          </w:p>
        </w:tc>
        <w:tc>
          <w:tcPr>
            <w:tcW w:w="5102" w:type="dxa"/>
            <w:vAlign w:val="center"/>
          </w:tcPr>
          <w:p w14:paraId="1F1EDF87">
            <w:pPr>
              <w:pStyle w:val="115"/>
              <w:widowControl w:val="0"/>
              <w:autoSpaceDE w:val="0"/>
              <w:autoSpaceDN w:val="0"/>
              <w:spacing w:before="0" w:after="0" w:line="32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由施工单位或者维护保养单位按照制造单位规定的方法进行实验，保护装置动作工作正常</w:t>
            </w:r>
          </w:p>
        </w:tc>
        <w:tc>
          <w:tcPr>
            <w:tcW w:w="1701" w:type="dxa"/>
            <w:vAlign w:val="center"/>
          </w:tcPr>
          <w:p w14:paraId="7E72095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9CE2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034CE88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47</w:t>
            </w:r>
          </w:p>
        </w:tc>
        <w:tc>
          <w:tcPr>
            <w:tcW w:w="1701" w:type="dxa"/>
            <w:vAlign w:val="center"/>
          </w:tcPr>
          <w:p w14:paraId="38817BC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轿厢称重装置</w:t>
            </w:r>
          </w:p>
        </w:tc>
        <w:tc>
          <w:tcPr>
            <w:tcW w:w="5102" w:type="dxa"/>
            <w:vAlign w:val="center"/>
          </w:tcPr>
          <w:p w14:paraId="5A75667E">
            <w:pPr>
              <w:pStyle w:val="115"/>
              <w:widowControl w:val="0"/>
              <w:autoSpaceDE w:val="0"/>
              <w:autoSpaceDN w:val="0"/>
              <w:spacing w:before="0" w:after="0" w:line="32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准确有效</w:t>
            </w:r>
          </w:p>
        </w:tc>
        <w:tc>
          <w:tcPr>
            <w:tcW w:w="1701" w:type="dxa"/>
            <w:vAlign w:val="center"/>
          </w:tcPr>
          <w:p w14:paraId="64E9D6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E851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567" w:type="dxa"/>
            <w:vAlign w:val="center"/>
          </w:tcPr>
          <w:p w14:paraId="74DBA9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48</w:t>
            </w:r>
          </w:p>
        </w:tc>
        <w:tc>
          <w:tcPr>
            <w:tcW w:w="1701" w:type="dxa"/>
            <w:vAlign w:val="center"/>
          </w:tcPr>
          <w:p w14:paraId="2A08C61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缓冲器</w:t>
            </w:r>
          </w:p>
        </w:tc>
        <w:tc>
          <w:tcPr>
            <w:tcW w:w="5102" w:type="dxa"/>
            <w:vAlign w:val="center"/>
          </w:tcPr>
          <w:p w14:paraId="2DA4000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（1）缓冲器固定，无松动；</w:t>
            </w:r>
          </w:p>
          <w:p w14:paraId="07A2C63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（2）耗能缓冲器，电气安全装置功能有效，油量适宜，柱塞无锈蚀；</w:t>
            </w:r>
          </w:p>
          <w:p w14:paraId="0A9A2CF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（3）必要时将限位开关、极限开关短接，以检修速度运行空载轿厢，将缓冲器充分压缩后，观察缓冲器是否有断裂、塑性变形、剥落、破损等现象。</w:t>
            </w:r>
          </w:p>
        </w:tc>
        <w:tc>
          <w:tcPr>
            <w:tcW w:w="1701" w:type="dxa"/>
            <w:vAlign w:val="center"/>
          </w:tcPr>
          <w:p w14:paraId="57BC513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观察确认并试验验证</w:t>
            </w:r>
          </w:p>
        </w:tc>
      </w:tr>
      <w:tr w14:paraId="19495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567" w:type="dxa"/>
            <w:vAlign w:val="center"/>
          </w:tcPr>
          <w:p w14:paraId="0323BDE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49</w:t>
            </w:r>
          </w:p>
        </w:tc>
        <w:tc>
          <w:tcPr>
            <w:tcW w:w="1701" w:type="dxa"/>
            <w:vAlign w:val="center"/>
          </w:tcPr>
          <w:p w14:paraId="0D38DF6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落实国市监特设发〔2023〕94 号文件精神</w:t>
            </w:r>
          </w:p>
        </w:tc>
        <w:tc>
          <w:tcPr>
            <w:tcW w:w="5102" w:type="dxa"/>
            <w:vAlign w:val="center"/>
          </w:tcPr>
          <w:p w14:paraId="59DFF4EC">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结合维护保养计划和方案，认真做好原有维护保养项目，同时增加一次电梯反绳轮（含防脱槽装置、轴承、固定零部件等）、导轨、限速器、安全钳的维护保养以及限速器—安全钳联动试验；对于额定载重量在1600kg 及以上的曳引驱动乘客电梯和额定载重量在3000kg 及以上的曳引驱动载货电梯，应在轿厢内装载额定载荷，以检修速度进行限速器—安全钳联动试验。并留存上述增加维保项目的相应照片或视频等见证材料</w:t>
            </w:r>
          </w:p>
        </w:tc>
        <w:tc>
          <w:tcPr>
            <w:tcW w:w="1701" w:type="dxa"/>
            <w:vAlign w:val="center"/>
          </w:tcPr>
          <w:p w14:paraId="7FC3E58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现场查看</w:t>
            </w:r>
            <w:r>
              <w:rPr>
                <w:rFonts w:hint="eastAsia" w:ascii="宋体" w:hAnsi="宋体" w:eastAsia="宋体" w:cs="宋体"/>
                <w:color w:val="auto"/>
                <w:highlight w:val="none"/>
                <w:lang w:val="zh-CN"/>
              </w:rPr>
              <w:t>相应照片或视频等见证材料，验证</w:t>
            </w:r>
            <w:r>
              <w:rPr>
                <w:rFonts w:hint="eastAsia" w:ascii="宋体" w:hAnsi="宋体" w:eastAsia="宋体" w:cs="宋体"/>
                <w:color w:val="auto"/>
                <w:highlight w:val="none"/>
              </w:rPr>
              <w:t>国市监特设发〔2023〕94 号文件精神落实情况</w:t>
            </w:r>
          </w:p>
        </w:tc>
      </w:tr>
    </w:tbl>
    <w:p w14:paraId="2E2F9CA3">
      <w:pPr>
        <w:spacing w:line="3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注：曳引与强制驱动电梯维护保养质量监督抽查项目包含但不限于以上1-49项内容。项目1为电梯使用单位管理资料检查，项目2-31项为半月维护保养项目、31-33项为季度维护保养项目、34-41项为半年维护保养项目、42-47项为年度维护保养项目、48项（缓冲器）中包含季度和年度维护保养项目,49项为查验落实国市监特设发〔2023〕94 号文件精神情况。维护保养质量监督抽查，其中半月维护保养项目为必抽项目，现场抽查根据被抽查电梯实际情况，依据《电梯维护保养规则》（TSG T5002-2017）规定的季度、半年、年度维护保养项目进行监督抽查。</w:t>
      </w:r>
    </w:p>
    <w:p w14:paraId="7398F693">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2.自动扶梯与自动人行道</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7"/>
        <w:gridCol w:w="1701"/>
        <w:gridCol w:w="5102"/>
        <w:gridCol w:w="1701"/>
      </w:tblGrid>
      <w:tr w14:paraId="48F44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E384BAE">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vAlign w:val="center"/>
          </w:tcPr>
          <w:p w14:paraId="60BC29CD">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102" w:type="dxa"/>
            <w:vAlign w:val="center"/>
          </w:tcPr>
          <w:p w14:paraId="2D9C8447">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监督抽查内容与要求</w:t>
            </w:r>
          </w:p>
        </w:tc>
        <w:tc>
          <w:tcPr>
            <w:tcW w:w="1701" w:type="dxa"/>
            <w:vAlign w:val="center"/>
          </w:tcPr>
          <w:p w14:paraId="688B535C">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w:t>
            </w:r>
          </w:p>
          <w:p w14:paraId="4409D9C5">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方法</w:t>
            </w:r>
          </w:p>
        </w:tc>
      </w:tr>
      <w:tr w14:paraId="6174D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trPr>
        <w:tc>
          <w:tcPr>
            <w:tcW w:w="567" w:type="dxa"/>
            <w:vAlign w:val="center"/>
          </w:tcPr>
          <w:p w14:paraId="5DC471D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1" w:type="dxa"/>
            <w:vAlign w:val="center"/>
          </w:tcPr>
          <w:p w14:paraId="545060E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使用管理</w:t>
            </w:r>
          </w:p>
        </w:tc>
        <w:tc>
          <w:tcPr>
            <w:tcW w:w="5102" w:type="dxa"/>
            <w:vAlign w:val="center"/>
          </w:tcPr>
          <w:p w14:paraId="2AA189C8">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（1）电梯使用单位管理制度及相关档案：</w:t>
            </w:r>
          </w:p>
          <w:p w14:paraId="122F82AB">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①安全管理制度；②安全技术档案；③日常巡查、检查，运行故障和事故记录。</w:t>
            </w:r>
          </w:p>
          <w:p w14:paraId="43B498C3">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梯使用单位安全主体责任落实情况：①书面任命安全总监、安全员；②开展安全总监和安全员培训及考核的存档资料；③制定单位《特种设备安全风险管控清单》《特种设备安全总监职责》《特种设备安全员守则》等文件；④建立并落实日管控、周排查、月调度工作机制；⑤查阅《每日安全检查记录》《每周安全排查治理报告》《每月安全调度会议纪要》记录；⑥协助现场监察人员对安全总监、安全员的开展监督抽查考核。</w:t>
            </w:r>
          </w:p>
          <w:p w14:paraId="025544FD">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（3）应在电梯显著位置进行下列标识：①特种设备使用标志；②电梯使用安全注意事项；③96333标识；④警示标志。</w:t>
            </w:r>
          </w:p>
          <w:p w14:paraId="1C4450B7">
            <w:pPr>
              <w:pStyle w:val="17"/>
              <w:spacing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（4）应急救援预案及演练记录</w:t>
            </w:r>
          </w:p>
        </w:tc>
        <w:tc>
          <w:tcPr>
            <w:tcW w:w="1701" w:type="dxa"/>
            <w:vAlign w:val="center"/>
          </w:tcPr>
          <w:p w14:paraId="03D935CF">
            <w:pPr>
              <w:pStyle w:val="17"/>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现场查看</w:t>
            </w:r>
          </w:p>
          <w:p w14:paraId="3EF1E897">
            <w:pPr>
              <w:pStyle w:val="17"/>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w:t>
            </w:r>
          </w:p>
        </w:tc>
      </w:tr>
      <w:tr w14:paraId="612AF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567" w:type="dxa"/>
            <w:vAlign w:val="center"/>
          </w:tcPr>
          <w:p w14:paraId="5982FFA2">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1" w:type="dxa"/>
            <w:vAlign w:val="center"/>
          </w:tcPr>
          <w:p w14:paraId="1195D5C0">
            <w:pPr>
              <w:spacing w:line="280" w:lineRule="exact"/>
              <w:jc w:val="center"/>
              <w:outlineLvl w:val="2"/>
              <w:rPr>
                <w:rFonts w:hint="eastAsia" w:ascii="宋体" w:hAnsi="宋体" w:eastAsia="宋体" w:cs="宋体"/>
                <w:bCs/>
                <w:color w:val="auto"/>
                <w:highlight w:val="none"/>
              </w:rPr>
            </w:pPr>
            <w:r>
              <w:rPr>
                <w:rFonts w:hint="eastAsia" w:ascii="宋体" w:hAnsi="宋体" w:eastAsia="宋体" w:cs="宋体"/>
                <w:bCs/>
                <w:color w:val="auto"/>
                <w:highlight w:val="none"/>
              </w:rPr>
              <w:t>维护保养</w:t>
            </w:r>
          </w:p>
        </w:tc>
        <w:tc>
          <w:tcPr>
            <w:tcW w:w="5102" w:type="dxa"/>
            <w:vAlign w:val="center"/>
          </w:tcPr>
          <w:p w14:paraId="3C35EFCE">
            <w:pPr>
              <w:spacing w:line="280" w:lineRule="exact"/>
              <w:rPr>
                <w:rFonts w:hint="eastAsia" w:ascii="宋体" w:hAnsi="宋体" w:eastAsia="宋体" w:cs="宋体"/>
                <w:bCs/>
                <w:color w:val="auto"/>
                <w:highlight w:val="none"/>
              </w:rPr>
            </w:pPr>
            <w:r>
              <w:rPr>
                <w:rFonts w:hint="eastAsia" w:ascii="宋体" w:hAnsi="宋体" w:eastAsia="宋体" w:cs="宋体"/>
                <w:bCs/>
                <w:color w:val="auto"/>
                <w:highlight w:val="none"/>
              </w:rPr>
              <w:t>（1）按照电梯维护保养规则（TSG T5002-2017）中曳引与强制驱动电梯维护保养项目要求进行维护保养；</w:t>
            </w:r>
          </w:p>
          <w:p w14:paraId="7C3D8F7E">
            <w:pPr>
              <w:spacing w:line="280" w:lineRule="exact"/>
              <w:rPr>
                <w:rFonts w:hint="eastAsia" w:ascii="宋体" w:hAnsi="宋体" w:eastAsia="宋体" w:cs="宋体"/>
                <w:bCs/>
                <w:color w:val="auto"/>
                <w:highlight w:val="none"/>
              </w:rPr>
            </w:pPr>
            <w:r>
              <w:rPr>
                <w:rFonts w:hint="eastAsia" w:ascii="宋体" w:hAnsi="宋体" w:eastAsia="宋体" w:cs="宋体"/>
                <w:bCs/>
                <w:color w:val="auto"/>
                <w:highlight w:val="none"/>
              </w:rPr>
              <w:t>（2）与电梯使用单位签订维护保养合同；</w:t>
            </w:r>
          </w:p>
          <w:p w14:paraId="60B6D6EC">
            <w:pPr>
              <w:spacing w:line="280" w:lineRule="exact"/>
              <w:rPr>
                <w:rFonts w:hint="eastAsia" w:ascii="宋体" w:hAnsi="宋体" w:eastAsia="宋体" w:cs="宋体"/>
                <w:bCs/>
                <w:color w:val="auto"/>
                <w:highlight w:val="none"/>
              </w:rPr>
            </w:pPr>
            <w:r>
              <w:rPr>
                <w:rFonts w:hint="eastAsia" w:ascii="宋体" w:hAnsi="宋体" w:eastAsia="宋体" w:cs="宋体"/>
                <w:bCs/>
                <w:color w:val="auto"/>
                <w:highlight w:val="none"/>
              </w:rPr>
              <w:t>（3）按照电梯维护保养规则（TSG T5002-2017）、有关技术规范以及电梯产品安装维护使用说明书的要求制定施工计划</w:t>
            </w:r>
          </w:p>
        </w:tc>
        <w:tc>
          <w:tcPr>
            <w:tcW w:w="1701" w:type="dxa"/>
            <w:vAlign w:val="center"/>
          </w:tcPr>
          <w:p w14:paraId="616009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查看维保记录</w:t>
            </w:r>
          </w:p>
          <w:p w14:paraId="3C4DF83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维保合同</w:t>
            </w:r>
          </w:p>
          <w:p w14:paraId="163743A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维保计划</w:t>
            </w:r>
          </w:p>
        </w:tc>
      </w:tr>
      <w:tr w14:paraId="3EC66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47F65B6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1" w:type="dxa"/>
            <w:vAlign w:val="center"/>
          </w:tcPr>
          <w:p w14:paraId="511CBB9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电气部件</w:t>
            </w:r>
          </w:p>
        </w:tc>
        <w:tc>
          <w:tcPr>
            <w:tcW w:w="5102" w:type="dxa"/>
            <w:vAlign w:val="center"/>
          </w:tcPr>
          <w:p w14:paraId="56551C1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清洁，接线紧固。</w:t>
            </w:r>
          </w:p>
        </w:tc>
        <w:tc>
          <w:tcPr>
            <w:tcW w:w="1701" w:type="dxa"/>
            <w:vAlign w:val="center"/>
          </w:tcPr>
          <w:p w14:paraId="1A22A9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21FF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5D4CCA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01" w:type="dxa"/>
            <w:vAlign w:val="center"/>
          </w:tcPr>
          <w:p w14:paraId="65EEA4B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故障显示板</w:t>
            </w:r>
          </w:p>
        </w:tc>
        <w:tc>
          <w:tcPr>
            <w:tcW w:w="5102" w:type="dxa"/>
            <w:vAlign w:val="center"/>
          </w:tcPr>
          <w:p w14:paraId="0F32C3B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模拟部分故障，观察信号功能是否正常。</w:t>
            </w:r>
          </w:p>
        </w:tc>
        <w:tc>
          <w:tcPr>
            <w:tcW w:w="1701" w:type="dxa"/>
            <w:vAlign w:val="center"/>
          </w:tcPr>
          <w:p w14:paraId="298B5A9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7AB05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7FE076D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701" w:type="dxa"/>
            <w:vAlign w:val="center"/>
          </w:tcPr>
          <w:p w14:paraId="613B241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设备运行状况</w:t>
            </w:r>
          </w:p>
        </w:tc>
        <w:tc>
          <w:tcPr>
            <w:tcW w:w="5102" w:type="dxa"/>
            <w:vAlign w:val="center"/>
          </w:tcPr>
          <w:p w14:paraId="34E368A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梯级运行平稳，无异常抖动，无异常声响</w:t>
            </w:r>
          </w:p>
        </w:tc>
        <w:tc>
          <w:tcPr>
            <w:tcW w:w="1701" w:type="dxa"/>
            <w:vAlign w:val="center"/>
          </w:tcPr>
          <w:p w14:paraId="1331DB2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3117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A150EA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701" w:type="dxa"/>
            <w:vAlign w:val="center"/>
          </w:tcPr>
          <w:p w14:paraId="74DF5A5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主驱动链</w:t>
            </w:r>
          </w:p>
        </w:tc>
        <w:tc>
          <w:tcPr>
            <w:tcW w:w="5102" w:type="dxa"/>
            <w:vAlign w:val="center"/>
          </w:tcPr>
          <w:p w14:paraId="379A386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运转正常，电气安全保护装置动作有效。</w:t>
            </w:r>
          </w:p>
        </w:tc>
        <w:tc>
          <w:tcPr>
            <w:tcW w:w="1701" w:type="dxa"/>
            <w:vAlign w:val="center"/>
          </w:tcPr>
          <w:p w14:paraId="32730EF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38704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4FCE73A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701" w:type="dxa"/>
            <w:vAlign w:val="center"/>
          </w:tcPr>
          <w:p w14:paraId="3E369A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制动器机械装置</w:t>
            </w:r>
          </w:p>
        </w:tc>
        <w:tc>
          <w:tcPr>
            <w:tcW w:w="5102" w:type="dxa"/>
            <w:vAlign w:val="center"/>
          </w:tcPr>
          <w:p w14:paraId="4FDB3EC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清洁，动作正常。</w:t>
            </w:r>
          </w:p>
        </w:tc>
        <w:tc>
          <w:tcPr>
            <w:tcW w:w="1701" w:type="dxa"/>
            <w:vAlign w:val="center"/>
          </w:tcPr>
          <w:p w14:paraId="2904CE6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24B74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643DB7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701" w:type="dxa"/>
            <w:vAlign w:val="center"/>
          </w:tcPr>
          <w:p w14:paraId="34484D3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制动器状态监测开关</w:t>
            </w:r>
          </w:p>
        </w:tc>
        <w:tc>
          <w:tcPr>
            <w:tcW w:w="5102" w:type="dxa"/>
            <w:vAlign w:val="center"/>
          </w:tcPr>
          <w:p w14:paraId="54C7D62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模拟制动器松闸故障，观察确认监测开关有效性。</w:t>
            </w:r>
          </w:p>
        </w:tc>
        <w:tc>
          <w:tcPr>
            <w:tcW w:w="1701" w:type="dxa"/>
            <w:vAlign w:val="center"/>
          </w:tcPr>
          <w:p w14:paraId="117085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6BE9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277BD5C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701" w:type="dxa"/>
            <w:vAlign w:val="center"/>
          </w:tcPr>
          <w:p w14:paraId="54C57A1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减速机润滑油</w:t>
            </w:r>
          </w:p>
        </w:tc>
        <w:tc>
          <w:tcPr>
            <w:tcW w:w="5102" w:type="dxa"/>
            <w:vAlign w:val="center"/>
          </w:tcPr>
          <w:p w14:paraId="36E926F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油量适宜，无渗油。</w:t>
            </w:r>
          </w:p>
        </w:tc>
        <w:tc>
          <w:tcPr>
            <w:tcW w:w="1701" w:type="dxa"/>
            <w:vAlign w:val="center"/>
          </w:tcPr>
          <w:p w14:paraId="2989639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F7FE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2843EFF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701" w:type="dxa"/>
            <w:vAlign w:val="center"/>
          </w:tcPr>
          <w:p w14:paraId="515A177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电机通风口</w:t>
            </w:r>
          </w:p>
        </w:tc>
        <w:tc>
          <w:tcPr>
            <w:tcW w:w="5102" w:type="dxa"/>
            <w:vAlign w:val="center"/>
          </w:tcPr>
          <w:p w14:paraId="0842512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w:t>
            </w:r>
          </w:p>
        </w:tc>
        <w:tc>
          <w:tcPr>
            <w:tcW w:w="1701" w:type="dxa"/>
            <w:vAlign w:val="center"/>
          </w:tcPr>
          <w:p w14:paraId="732FE56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610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87B49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701" w:type="dxa"/>
            <w:vAlign w:val="center"/>
          </w:tcPr>
          <w:p w14:paraId="6CC35A9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检修控制装置</w:t>
            </w:r>
          </w:p>
        </w:tc>
        <w:tc>
          <w:tcPr>
            <w:tcW w:w="5102" w:type="dxa"/>
            <w:vAlign w:val="center"/>
          </w:tcPr>
          <w:p w14:paraId="1D76E47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手动试验检验控制装置功能</w:t>
            </w:r>
          </w:p>
        </w:tc>
        <w:tc>
          <w:tcPr>
            <w:tcW w:w="1701" w:type="dxa"/>
            <w:vAlign w:val="center"/>
          </w:tcPr>
          <w:p w14:paraId="7527771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39A0E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60A91A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701" w:type="dxa"/>
            <w:vAlign w:val="center"/>
          </w:tcPr>
          <w:p w14:paraId="4E827A4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自动润滑油罐</w:t>
            </w:r>
          </w:p>
          <w:p w14:paraId="7E98C72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油位</w:t>
            </w:r>
          </w:p>
        </w:tc>
        <w:tc>
          <w:tcPr>
            <w:tcW w:w="5102" w:type="dxa"/>
            <w:vAlign w:val="center"/>
          </w:tcPr>
          <w:p w14:paraId="461C54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油位正常，润滑系统工作正常</w:t>
            </w:r>
          </w:p>
        </w:tc>
        <w:tc>
          <w:tcPr>
            <w:tcW w:w="1701" w:type="dxa"/>
            <w:vAlign w:val="center"/>
          </w:tcPr>
          <w:p w14:paraId="47D10B0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30533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6DD7436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701" w:type="dxa"/>
            <w:vAlign w:val="center"/>
          </w:tcPr>
          <w:p w14:paraId="7641923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梳齿板开关</w:t>
            </w:r>
          </w:p>
        </w:tc>
        <w:tc>
          <w:tcPr>
            <w:tcW w:w="5102" w:type="dxa"/>
            <w:vAlign w:val="center"/>
          </w:tcPr>
          <w:p w14:paraId="4C944DD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拆下中间部位的梳齿板，用工具使梳齿板向后或者向上移动（或者前后、上下），检查安全装置是否动作，自动扶梯或者自动人行道能否启动。</w:t>
            </w:r>
          </w:p>
        </w:tc>
        <w:tc>
          <w:tcPr>
            <w:tcW w:w="1701" w:type="dxa"/>
            <w:vAlign w:val="center"/>
          </w:tcPr>
          <w:p w14:paraId="707AC13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1DF4D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036BCA9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701" w:type="dxa"/>
            <w:vAlign w:val="center"/>
          </w:tcPr>
          <w:p w14:paraId="5948FA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梳齿板照明</w:t>
            </w:r>
          </w:p>
        </w:tc>
        <w:tc>
          <w:tcPr>
            <w:tcW w:w="5102" w:type="dxa"/>
            <w:vAlign w:val="center"/>
          </w:tcPr>
          <w:p w14:paraId="5FC09C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照明正常</w:t>
            </w:r>
          </w:p>
        </w:tc>
        <w:tc>
          <w:tcPr>
            <w:tcW w:w="1701" w:type="dxa"/>
            <w:vAlign w:val="center"/>
          </w:tcPr>
          <w:p w14:paraId="7B52438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55A1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53F49AD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01" w:type="dxa"/>
            <w:vAlign w:val="center"/>
          </w:tcPr>
          <w:p w14:paraId="69E3EDB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梳齿板梳齿与踏板面齿槽、导向胶带</w:t>
            </w:r>
          </w:p>
        </w:tc>
        <w:tc>
          <w:tcPr>
            <w:tcW w:w="5102" w:type="dxa"/>
            <w:vAlign w:val="center"/>
          </w:tcPr>
          <w:p w14:paraId="68242CC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梳齿板完好无损，梳齿板梳齿与踏板面齿槽、导向胶带啮合正常。</w:t>
            </w:r>
          </w:p>
        </w:tc>
        <w:tc>
          <w:tcPr>
            <w:tcW w:w="1701" w:type="dxa"/>
            <w:vAlign w:val="center"/>
          </w:tcPr>
          <w:p w14:paraId="4ED67BD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4277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D4F343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701" w:type="dxa"/>
            <w:vAlign w:val="center"/>
          </w:tcPr>
          <w:p w14:paraId="2291EC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梯级或者踏板下陷开关</w:t>
            </w:r>
          </w:p>
        </w:tc>
        <w:tc>
          <w:tcPr>
            <w:tcW w:w="5102" w:type="dxa"/>
            <w:vAlign w:val="center"/>
          </w:tcPr>
          <w:p w14:paraId="53280D6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开关工作正常</w:t>
            </w:r>
          </w:p>
        </w:tc>
        <w:tc>
          <w:tcPr>
            <w:tcW w:w="1701" w:type="dxa"/>
            <w:vAlign w:val="center"/>
          </w:tcPr>
          <w:p w14:paraId="42961EC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89DE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93E40A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701" w:type="dxa"/>
            <w:vAlign w:val="center"/>
          </w:tcPr>
          <w:p w14:paraId="7442AF4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梯级或者踏板缺失监测装置</w:t>
            </w:r>
          </w:p>
        </w:tc>
        <w:tc>
          <w:tcPr>
            <w:tcW w:w="5102" w:type="dxa"/>
            <w:vAlign w:val="center"/>
          </w:tcPr>
          <w:p w14:paraId="3D4B904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监测装置工作正常</w:t>
            </w:r>
          </w:p>
        </w:tc>
        <w:tc>
          <w:tcPr>
            <w:tcW w:w="1701" w:type="dxa"/>
            <w:vAlign w:val="center"/>
          </w:tcPr>
          <w:p w14:paraId="16EC0C3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CF29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D65622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701" w:type="dxa"/>
            <w:vAlign w:val="center"/>
          </w:tcPr>
          <w:p w14:paraId="1573EE0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超速或者非操作逆转监测装置</w:t>
            </w:r>
          </w:p>
        </w:tc>
        <w:tc>
          <w:tcPr>
            <w:tcW w:w="5102" w:type="dxa"/>
            <w:vAlign w:val="center"/>
          </w:tcPr>
          <w:p w14:paraId="1B7E62C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监测装置工作正常</w:t>
            </w:r>
          </w:p>
        </w:tc>
        <w:tc>
          <w:tcPr>
            <w:tcW w:w="1701" w:type="dxa"/>
            <w:vAlign w:val="center"/>
          </w:tcPr>
          <w:p w14:paraId="5AA0FC0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310A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2A5061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701" w:type="dxa"/>
            <w:vAlign w:val="center"/>
          </w:tcPr>
          <w:p w14:paraId="7FE7D6A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检修盖板和楼</w:t>
            </w:r>
          </w:p>
          <w:p w14:paraId="7C22C23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层板</w:t>
            </w:r>
          </w:p>
        </w:tc>
        <w:tc>
          <w:tcPr>
            <w:tcW w:w="5102" w:type="dxa"/>
            <w:vAlign w:val="center"/>
          </w:tcPr>
          <w:p w14:paraId="5C82D5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防倾覆或者翻转措施和监控装置有效、可靠。</w:t>
            </w:r>
          </w:p>
        </w:tc>
        <w:tc>
          <w:tcPr>
            <w:tcW w:w="1701" w:type="dxa"/>
            <w:vAlign w:val="center"/>
          </w:tcPr>
          <w:p w14:paraId="223A48D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EED1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6F95B9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701" w:type="dxa"/>
            <w:vAlign w:val="center"/>
          </w:tcPr>
          <w:p w14:paraId="5E0325E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梯级链张紧开关</w:t>
            </w:r>
          </w:p>
        </w:tc>
        <w:tc>
          <w:tcPr>
            <w:tcW w:w="5102" w:type="dxa"/>
            <w:vAlign w:val="center"/>
          </w:tcPr>
          <w:p w14:paraId="39D303F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模拟驱动元件断裂或者过分伸长的状况，检查动作装置能否使安全装置动作，并且使设备停止运行。</w:t>
            </w:r>
          </w:p>
        </w:tc>
        <w:tc>
          <w:tcPr>
            <w:tcW w:w="1701" w:type="dxa"/>
            <w:vAlign w:val="center"/>
          </w:tcPr>
          <w:p w14:paraId="6F4CC34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F5E9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17D495E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701" w:type="dxa"/>
            <w:vAlign w:val="center"/>
          </w:tcPr>
          <w:p w14:paraId="518851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防护挡板</w:t>
            </w:r>
          </w:p>
        </w:tc>
        <w:tc>
          <w:tcPr>
            <w:tcW w:w="5102" w:type="dxa"/>
            <w:vAlign w:val="center"/>
          </w:tcPr>
          <w:p w14:paraId="75B81CB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有效，无破损。</w:t>
            </w:r>
          </w:p>
        </w:tc>
        <w:tc>
          <w:tcPr>
            <w:tcW w:w="1701" w:type="dxa"/>
            <w:vAlign w:val="center"/>
          </w:tcPr>
          <w:p w14:paraId="33326522">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F5EF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B9EEC5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701" w:type="dxa"/>
            <w:vAlign w:val="center"/>
          </w:tcPr>
          <w:p w14:paraId="7ADECD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梯级滚轮和梯级导轨</w:t>
            </w:r>
          </w:p>
        </w:tc>
        <w:tc>
          <w:tcPr>
            <w:tcW w:w="5102" w:type="dxa"/>
            <w:vAlign w:val="center"/>
          </w:tcPr>
          <w:p w14:paraId="507AE0E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观察梯级滚轮及上下运行情况是否正常</w:t>
            </w:r>
          </w:p>
        </w:tc>
        <w:tc>
          <w:tcPr>
            <w:tcW w:w="1701" w:type="dxa"/>
            <w:vAlign w:val="center"/>
          </w:tcPr>
          <w:p w14:paraId="1512DAC2">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4FFC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9A8B9D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701" w:type="dxa"/>
            <w:vAlign w:val="center"/>
          </w:tcPr>
          <w:p w14:paraId="68ED8A7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梯级、踏板与围裙板之间的间隙</w:t>
            </w:r>
          </w:p>
        </w:tc>
        <w:tc>
          <w:tcPr>
            <w:tcW w:w="5102" w:type="dxa"/>
            <w:vAlign w:val="center"/>
          </w:tcPr>
          <w:p w14:paraId="7BE728D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任何一侧的水平间隙及两侧间隙之和符合标准值。</w:t>
            </w:r>
          </w:p>
        </w:tc>
        <w:tc>
          <w:tcPr>
            <w:tcW w:w="1701" w:type="dxa"/>
            <w:vAlign w:val="center"/>
          </w:tcPr>
          <w:p w14:paraId="6E169FD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1F7A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1289831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701" w:type="dxa"/>
            <w:vAlign w:val="center"/>
          </w:tcPr>
          <w:p w14:paraId="4075C11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运行方向显示</w:t>
            </w:r>
          </w:p>
        </w:tc>
        <w:tc>
          <w:tcPr>
            <w:tcW w:w="5102" w:type="dxa"/>
            <w:vAlign w:val="center"/>
          </w:tcPr>
          <w:p w14:paraId="007CBB9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工作正常</w:t>
            </w:r>
          </w:p>
        </w:tc>
        <w:tc>
          <w:tcPr>
            <w:tcW w:w="1701" w:type="dxa"/>
            <w:vAlign w:val="center"/>
          </w:tcPr>
          <w:p w14:paraId="4C35407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BF69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5537F3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701" w:type="dxa"/>
            <w:vAlign w:val="center"/>
          </w:tcPr>
          <w:p w14:paraId="6F44D8C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扶手带入口处保护开关</w:t>
            </w:r>
          </w:p>
        </w:tc>
        <w:tc>
          <w:tcPr>
            <w:tcW w:w="5102" w:type="dxa"/>
            <w:vAlign w:val="center"/>
          </w:tcPr>
          <w:p w14:paraId="3F3CCB5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动作灵活可靠，清除入口处垃圾。</w:t>
            </w:r>
          </w:p>
        </w:tc>
        <w:tc>
          <w:tcPr>
            <w:tcW w:w="1701" w:type="dxa"/>
            <w:vAlign w:val="center"/>
          </w:tcPr>
          <w:p w14:paraId="1A51B7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6DB79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4EED13C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701" w:type="dxa"/>
            <w:vAlign w:val="center"/>
          </w:tcPr>
          <w:p w14:paraId="781C309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w:t>
            </w:r>
          </w:p>
        </w:tc>
        <w:tc>
          <w:tcPr>
            <w:tcW w:w="5102" w:type="dxa"/>
            <w:vAlign w:val="center"/>
          </w:tcPr>
          <w:p w14:paraId="6C815B1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表面无毛刺，无机械损伤，运行无摩擦。</w:t>
            </w:r>
          </w:p>
        </w:tc>
        <w:tc>
          <w:tcPr>
            <w:tcW w:w="1701" w:type="dxa"/>
            <w:vAlign w:val="center"/>
          </w:tcPr>
          <w:p w14:paraId="39903E6C">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DDD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6321A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701" w:type="dxa"/>
            <w:vAlign w:val="center"/>
          </w:tcPr>
          <w:p w14:paraId="3B422FC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扶手带运行</w:t>
            </w:r>
          </w:p>
        </w:tc>
        <w:tc>
          <w:tcPr>
            <w:tcW w:w="5102" w:type="dxa"/>
            <w:vAlign w:val="center"/>
          </w:tcPr>
          <w:p w14:paraId="752EE2C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用同步率测试仪等仪器分别测量左右扶手带和梯级、踏板或者胶带速度，检查是否符合要求。</w:t>
            </w:r>
          </w:p>
        </w:tc>
        <w:tc>
          <w:tcPr>
            <w:tcW w:w="1701" w:type="dxa"/>
            <w:vAlign w:val="center"/>
          </w:tcPr>
          <w:p w14:paraId="22BE695F">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2B2CC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2AC202C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701" w:type="dxa"/>
            <w:vAlign w:val="center"/>
          </w:tcPr>
          <w:p w14:paraId="6FF2392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扶手护壁板</w:t>
            </w:r>
          </w:p>
        </w:tc>
        <w:tc>
          <w:tcPr>
            <w:tcW w:w="5102" w:type="dxa"/>
            <w:vAlign w:val="center"/>
          </w:tcPr>
          <w:p w14:paraId="3A868BD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牢固可靠</w:t>
            </w:r>
          </w:p>
        </w:tc>
        <w:tc>
          <w:tcPr>
            <w:tcW w:w="1701" w:type="dxa"/>
            <w:vAlign w:val="center"/>
          </w:tcPr>
          <w:p w14:paraId="56AFA3D3">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27FF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6F8E415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701" w:type="dxa"/>
            <w:vAlign w:val="center"/>
          </w:tcPr>
          <w:p w14:paraId="3F6D13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上下出入口处</w:t>
            </w:r>
          </w:p>
          <w:p w14:paraId="568F03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照明</w:t>
            </w:r>
          </w:p>
        </w:tc>
        <w:tc>
          <w:tcPr>
            <w:tcW w:w="5102" w:type="dxa"/>
            <w:vAlign w:val="center"/>
          </w:tcPr>
          <w:p w14:paraId="477CB97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工作正常</w:t>
            </w:r>
          </w:p>
        </w:tc>
        <w:tc>
          <w:tcPr>
            <w:tcW w:w="1701" w:type="dxa"/>
            <w:vAlign w:val="center"/>
          </w:tcPr>
          <w:p w14:paraId="16E3F6CE">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9009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25551A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701" w:type="dxa"/>
            <w:vAlign w:val="center"/>
          </w:tcPr>
          <w:p w14:paraId="5E2B12A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上下出入口和扶梯之间保护栏杆</w:t>
            </w:r>
          </w:p>
        </w:tc>
        <w:tc>
          <w:tcPr>
            <w:tcW w:w="5102" w:type="dxa"/>
            <w:vAlign w:val="center"/>
          </w:tcPr>
          <w:p w14:paraId="357711A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牢固可靠</w:t>
            </w:r>
          </w:p>
        </w:tc>
        <w:tc>
          <w:tcPr>
            <w:tcW w:w="1701" w:type="dxa"/>
            <w:vAlign w:val="center"/>
          </w:tcPr>
          <w:p w14:paraId="33ECA848">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AFAE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6524FA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1" w:type="dxa"/>
            <w:vAlign w:val="center"/>
          </w:tcPr>
          <w:p w14:paraId="5EC6CD3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出入口安全警示标志</w:t>
            </w:r>
          </w:p>
        </w:tc>
        <w:tc>
          <w:tcPr>
            <w:tcW w:w="5102" w:type="dxa"/>
            <w:vAlign w:val="center"/>
          </w:tcPr>
          <w:p w14:paraId="0BBB10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齐全，醒目。</w:t>
            </w:r>
          </w:p>
        </w:tc>
        <w:tc>
          <w:tcPr>
            <w:tcW w:w="1701" w:type="dxa"/>
            <w:vAlign w:val="center"/>
          </w:tcPr>
          <w:p w14:paraId="226DD7C2">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64CB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6D3D3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701" w:type="dxa"/>
            <w:vAlign w:val="center"/>
          </w:tcPr>
          <w:p w14:paraId="77773A6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分离机房、各驱动和转向站</w:t>
            </w:r>
          </w:p>
        </w:tc>
        <w:tc>
          <w:tcPr>
            <w:tcW w:w="5102" w:type="dxa"/>
            <w:vAlign w:val="center"/>
          </w:tcPr>
          <w:p w14:paraId="3407E6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清洁，无杂物。</w:t>
            </w:r>
          </w:p>
        </w:tc>
        <w:tc>
          <w:tcPr>
            <w:tcW w:w="1701" w:type="dxa"/>
            <w:vAlign w:val="center"/>
          </w:tcPr>
          <w:p w14:paraId="2E2BEDC0">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75948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287D689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33 </w:t>
            </w:r>
          </w:p>
        </w:tc>
        <w:tc>
          <w:tcPr>
            <w:tcW w:w="1701" w:type="dxa"/>
            <w:vAlign w:val="center"/>
          </w:tcPr>
          <w:p w14:paraId="6E222AC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自动运行功能</w:t>
            </w:r>
          </w:p>
        </w:tc>
        <w:tc>
          <w:tcPr>
            <w:tcW w:w="5102" w:type="dxa"/>
            <w:vAlign w:val="center"/>
          </w:tcPr>
          <w:p w14:paraId="2FD0819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工作正常</w:t>
            </w:r>
          </w:p>
        </w:tc>
        <w:tc>
          <w:tcPr>
            <w:tcW w:w="1701" w:type="dxa"/>
            <w:vAlign w:val="center"/>
          </w:tcPr>
          <w:p w14:paraId="6D086195">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079F4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E3C6B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701" w:type="dxa"/>
            <w:vAlign w:val="center"/>
          </w:tcPr>
          <w:p w14:paraId="4EEF1CA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紧急停止开关</w:t>
            </w:r>
          </w:p>
        </w:tc>
        <w:tc>
          <w:tcPr>
            <w:tcW w:w="5102" w:type="dxa"/>
            <w:vAlign w:val="center"/>
          </w:tcPr>
          <w:p w14:paraId="462B456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操作试验紧急停止开关功能是否正常</w:t>
            </w:r>
          </w:p>
        </w:tc>
        <w:tc>
          <w:tcPr>
            <w:tcW w:w="1701" w:type="dxa"/>
            <w:vAlign w:val="center"/>
          </w:tcPr>
          <w:p w14:paraId="051166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02CE0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0531D4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701" w:type="dxa"/>
            <w:vAlign w:val="center"/>
          </w:tcPr>
          <w:p w14:paraId="63A05BE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驱动主机的固定</w:t>
            </w:r>
          </w:p>
        </w:tc>
        <w:tc>
          <w:tcPr>
            <w:tcW w:w="5102" w:type="dxa"/>
            <w:vAlign w:val="center"/>
          </w:tcPr>
          <w:p w14:paraId="19F25F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牢固可靠</w:t>
            </w:r>
          </w:p>
        </w:tc>
        <w:tc>
          <w:tcPr>
            <w:tcW w:w="1701" w:type="dxa"/>
            <w:vAlign w:val="center"/>
          </w:tcPr>
          <w:p w14:paraId="0240962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33B0F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44AA2B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701" w:type="dxa"/>
            <w:vAlign w:val="center"/>
          </w:tcPr>
          <w:p w14:paraId="2E51F3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扶手带的运行</w:t>
            </w:r>
          </w:p>
          <w:p w14:paraId="190A001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速度</w:t>
            </w:r>
          </w:p>
        </w:tc>
        <w:tc>
          <w:tcPr>
            <w:tcW w:w="5102" w:type="dxa"/>
            <w:vAlign w:val="center"/>
          </w:tcPr>
          <w:p w14:paraId="2FB30BC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相对于梯级、踏板或者胶带的速度允差为 0～＋2％</w:t>
            </w:r>
          </w:p>
        </w:tc>
        <w:tc>
          <w:tcPr>
            <w:tcW w:w="1701" w:type="dxa"/>
            <w:vAlign w:val="center"/>
          </w:tcPr>
          <w:p w14:paraId="02D8012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142A3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26A2DF0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1701" w:type="dxa"/>
            <w:vAlign w:val="center"/>
          </w:tcPr>
          <w:p w14:paraId="5153E3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梯级链张紧装置</w:t>
            </w:r>
          </w:p>
        </w:tc>
        <w:tc>
          <w:tcPr>
            <w:tcW w:w="5102" w:type="dxa"/>
            <w:vAlign w:val="center"/>
          </w:tcPr>
          <w:p w14:paraId="1A39F75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验证张紧装置有效性</w:t>
            </w:r>
          </w:p>
        </w:tc>
        <w:tc>
          <w:tcPr>
            <w:tcW w:w="1701" w:type="dxa"/>
            <w:vAlign w:val="center"/>
          </w:tcPr>
          <w:p w14:paraId="3CD36082">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224B3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339E6F3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1701" w:type="dxa"/>
            <w:vAlign w:val="center"/>
          </w:tcPr>
          <w:p w14:paraId="601CD0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梯级链润滑</w:t>
            </w:r>
          </w:p>
        </w:tc>
        <w:tc>
          <w:tcPr>
            <w:tcW w:w="5102" w:type="dxa"/>
            <w:vAlign w:val="center"/>
          </w:tcPr>
          <w:p w14:paraId="4C8A7577">
            <w:pPr>
              <w:spacing w:line="320" w:lineRule="exact"/>
              <w:jc w:val="center"/>
              <w:rPr>
                <w:rFonts w:hint="eastAsia" w:ascii="宋体" w:hAnsi="宋体" w:eastAsia="宋体" w:cs="宋体"/>
                <w:b/>
                <w:color w:val="auto"/>
                <w:highlight w:val="none"/>
              </w:rPr>
            </w:pPr>
            <w:r>
              <w:rPr>
                <w:rFonts w:hint="eastAsia" w:ascii="宋体" w:hAnsi="宋体" w:eastAsia="宋体" w:cs="宋体"/>
                <w:color w:val="auto"/>
                <w:highlight w:val="none"/>
              </w:rPr>
              <w:t>运行工况正常</w:t>
            </w:r>
          </w:p>
        </w:tc>
        <w:tc>
          <w:tcPr>
            <w:tcW w:w="1701" w:type="dxa"/>
            <w:vAlign w:val="center"/>
          </w:tcPr>
          <w:p w14:paraId="76C94439">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9501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39B3D9A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1701" w:type="dxa"/>
            <w:vAlign w:val="center"/>
          </w:tcPr>
          <w:p w14:paraId="43B2625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制动衬厚度</w:t>
            </w:r>
          </w:p>
        </w:tc>
        <w:tc>
          <w:tcPr>
            <w:tcW w:w="5102" w:type="dxa"/>
            <w:vAlign w:val="center"/>
          </w:tcPr>
          <w:p w14:paraId="2D74838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不小于制造单位要求</w:t>
            </w:r>
          </w:p>
        </w:tc>
        <w:tc>
          <w:tcPr>
            <w:tcW w:w="1701" w:type="dxa"/>
            <w:vAlign w:val="center"/>
          </w:tcPr>
          <w:p w14:paraId="69E74BB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7507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4125A41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701" w:type="dxa"/>
            <w:vAlign w:val="center"/>
          </w:tcPr>
          <w:p w14:paraId="5C1567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主驱动链</w:t>
            </w:r>
          </w:p>
        </w:tc>
        <w:tc>
          <w:tcPr>
            <w:tcW w:w="5102" w:type="dxa"/>
            <w:vAlign w:val="center"/>
          </w:tcPr>
          <w:p w14:paraId="3C3106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清理表面油污，润滑</w:t>
            </w:r>
          </w:p>
        </w:tc>
        <w:tc>
          <w:tcPr>
            <w:tcW w:w="1701" w:type="dxa"/>
            <w:vAlign w:val="center"/>
          </w:tcPr>
          <w:p w14:paraId="3FCA84AB">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6BAF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582D1E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1" w:type="dxa"/>
            <w:vAlign w:val="center"/>
          </w:tcPr>
          <w:p w14:paraId="46BC3C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电动机与减速机联轴器</w:t>
            </w:r>
          </w:p>
        </w:tc>
        <w:tc>
          <w:tcPr>
            <w:tcW w:w="5102" w:type="dxa"/>
            <w:vAlign w:val="center"/>
          </w:tcPr>
          <w:p w14:paraId="3E63241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连接无松动，弹性元件外观良好，无老化</w:t>
            </w:r>
          </w:p>
          <w:p w14:paraId="7C6BEAA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等现象</w:t>
            </w:r>
          </w:p>
        </w:tc>
        <w:tc>
          <w:tcPr>
            <w:tcW w:w="1701" w:type="dxa"/>
            <w:vAlign w:val="center"/>
          </w:tcPr>
          <w:p w14:paraId="53151ABF">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58DCA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59F37E4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1701" w:type="dxa"/>
            <w:vAlign w:val="center"/>
          </w:tcPr>
          <w:p w14:paraId="6D41657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空载向下运行制动距离</w:t>
            </w:r>
          </w:p>
        </w:tc>
        <w:tc>
          <w:tcPr>
            <w:tcW w:w="5102" w:type="dxa"/>
            <w:vAlign w:val="center"/>
          </w:tcPr>
          <w:p w14:paraId="00DDFB4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符合标准值</w:t>
            </w:r>
          </w:p>
        </w:tc>
        <w:tc>
          <w:tcPr>
            <w:tcW w:w="1701" w:type="dxa"/>
            <w:vAlign w:val="center"/>
          </w:tcPr>
          <w:p w14:paraId="5EFE324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5C24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2504AA7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1701" w:type="dxa"/>
            <w:vAlign w:val="center"/>
          </w:tcPr>
          <w:p w14:paraId="3F0CE0B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制动器机械装置</w:t>
            </w:r>
          </w:p>
        </w:tc>
        <w:tc>
          <w:tcPr>
            <w:tcW w:w="5102" w:type="dxa"/>
            <w:vAlign w:val="center"/>
          </w:tcPr>
          <w:p w14:paraId="6C1590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润滑，功能效性</w:t>
            </w:r>
          </w:p>
        </w:tc>
        <w:tc>
          <w:tcPr>
            <w:tcW w:w="1701" w:type="dxa"/>
            <w:vAlign w:val="center"/>
          </w:tcPr>
          <w:p w14:paraId="1255EF19">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69ED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A63401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44</w:t>
            </w:r>
          </w:p>
        </w:tc>
        <w:tc>
          <w:tcPr>
            <w:tcW w:w="1701" w:type="dxa"/>
            <w:vAlign w:val="center"/>
          </w:tcPr>
          <w:p w14:paraId="1C9DAF2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附加制动器</w:t>
            </w:r>
          </w:p>
        </w:tc>
        <w:tc>
          <w:tcPr>
            <w:tcW w:w="5102" w:type="dxa"/>
            <w:vAlign w:val="center"/>
          </w:tcPr>
          <w:p w14:paraId="6855695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清洁和润滑，功能效性</w:t>
            </w:r>
          </w:p>
        </w:tc>
        <w:tc>
          <w:tcPr>
            <w:tcW w:w="1701" w:type="dxa"/>
            <w:vAlign w:val="center"/>
          </w:tcPr>
          <w:p w14:paraId="2FB750AD">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40EFF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7" w:type="dxa"/>
            <w:vAlign w:val="center"/>
          </w:tcPr>
          <w:p w14:paraId="35FB16F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1" w:type="dxa"/>
            <w:vAlign w:val="center"/>
          </w:tcPr>
          <w:p w14:paraId="7CAD794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调整梳齿板梳齿与踏板面齿槽啮合深度和间隙</w:t>
            </w:r>
          </w:p>
        </w:tc>
        <w:tc>
          <w:tcPr>
            <w:tcW w:w="5102" w:type="dxa"/>
            <w:vAlign w:val="center"/>
          </w:tcPr>
          <w:p w14:paraId="2613117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符合标准值</w:t>
            </w:r>
          </w:p>
        </w:tc>
        <w:tc>
          <w:tcPr>
            <w:tcW w:w="1701" w:type="dxa"/>
            <w:vAlign w:val="center"/>
          </w:tcPr>
          <w:p w14:paraId="449270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2B85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4FDCA0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46</w:t>
            </w:r>
          </w:p>
        </w:tc>
        <w:tc>
          <w:tcPr>
            <w:tcW w:w="1701" w:type="dxa"/>
            <w:vAlign w:val="center"/>
          </w:tcPr>
          <w:p w14:paraId="5E06E9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扶手带速度监控系统</w:t>
            </w:r>
          </w:p>
        </w:tc>
        <w:tc>
          <w:tcPr>
            <w:tcW w:w="5102" w:type="dxa"/>
            <w:vAlign w:val="center"/>
          </w:tcPr>
          <w:p w14:paraId="4A35F60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工作正常</w:t>
            </w:r>
          </w:p>
        </w:tc>
        <w:tc>
          <w:tcPr>
            <w:tcW w:w="1701" w:type="dxa"/>
            <w:vAlign w:val="center"/>
          </w:tcPr>
          <w:p w14:paraId="132B646D">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4EC8C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67" w:type="dxa"/>
            <w:vAlign w:val="center"/>
          </w:tcPr>
          <w:p w14:paraId="750E3CA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47</w:t>
            </w:r>
          </w:p>
        </w:tc>
        <w:tc>
          <w:tcPr>
            <w:tcW w:w="1701" w:type="dxa"/>
            <w:vAlign w:val="center"/>
          </w:tcPr>
          <w:p w14:paraId="3E38B37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主接触器</w:t>
            </w:r>
          </w:p>
        </w:tc>
        <w:tc>
          <w:tcPr>
            <w:tcW w:w="5102" w:type="dxa"/>
            <w:vAlign w:val="center"/>
          </w:tcPr>
          <w:p w14:paraId="20490DC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工作可靠</w:t>
            </w:r>
          </w:p>
        </w:tc>
        <w:tc>
          <w:tcPr>
            <w:tcW w:w="1701" w:type="dxa"/>
            <w:vAlign w:val="center"/>
          </w:tcPr>
          <w:p w14:paraId="2DA284AE">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r w14:paraId="1EA48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7" w:type="dxa"/>
            <w:vAlign w:val="center"/>
          </w:tcPr>
          <w:p w14:paraId="072A32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48</w:t>
            </w:r>
          </w:p>
        </w:tc>
        <w:tc>
          <w:tcPr>
            <w:tcW w:w="1701" w:type="dxa"/>
            <w:vAlign w:val="center"/>
          </w:tcPr>
          <w:p w14:paraId="78E1AAA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围裙板对接处及安全开关</w:t>
            </w:r>
          </w:p>
        </w:tc>
        <w:tc>
          <w:tcPr>
            <w:tcW w:w="5102" w:type="dxa"/>
            <w:vAlign w:val="center"/>
          </w:tcPr>
          <w:p w14:paraId="045BBBC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围裙板对接处紧密平滑、安全开关测试有效</w:t>
            </w:r>
          </w:p>
        </w:tc>
        <w:tc>
          <w:tcPr>
            <w:tcW w:w="1701" w:type="dxa"/>
            <w:vAlign w:val="center"/>
          </w:tcPr>
          <w:p w14:paraId="4E409518">
            <w:pPr>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w:t>
            </w:r>
          </w:p>
        </w:tc>
      </w:tr>
    </w:tbl>
    <w:p w14:paraId="293F57D3">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注：自动扶梯与自动人行道维护保养质量监督抽查项目包含但不限于以上1-48项内容。项目1为电梯使用单位管理资料检查，中项目2-35项为半月维护保养项目、36-38项为季度维护保养项目、39-46项为半年维护保养项目、47、48项为年度维护保养项目。维护保养质量监督抽查，其中半月维护保养项目为必抽项目，现场抽查根据被抽查电梯实际情况，依据《电梯维护保养规则》（TSG T5002-2017）规定的季度、半年、年度维护保养项目进行监督抽查。</w:t>
      </w:r>
    </w:p>
    <w:p w14:paraId="7E18F7B1">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（二）电梯检验质量监督抽查项目内容及方法要求</w:t>
      </w:r>
    </w:p>
    <w:p w14:paraId="1EE32A6D">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1.各类乘客与载货电梯</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6"/>
        <w:gridCol w:w="1176"/>
        <w:gridCol w:w="5914"/>
        <w:gridCol w:w="1415"/>
      </w:tblGrid>
      <w:tr w14:paraId="5CB15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6" w:type="dxa"/>
            <w:vAlign w:val="center"/>
          </w:tcPr>
          <w:p w14:paraId="0BDF6B72">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76" w:type="dxa"/>
            <w:vAlign w:val="center"/>
          </w:tcPr>
          <w:p w14:paraId="1529B1B5">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914" w:type="dxa"/>
            <w:vAlign w:val="center"/>
          </w:tcPr>
          <w:p w14:paraId="7B93368E">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监督抽查内容与要求</w:t>
            </w:r>
          </w:p>
        </w:tc>
        <w:tc>
          <w:tcPr>
            <w:tcW w:w="1415" w:type="dxa"/>
            <w:vAlign w:val="center"/>
          </w:tcPr>
          <w:p w14:paraId="59A0E291">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w:t>
            </w:r>
          </w:p>
          <w:p w14:paraId="0C20AD9F">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方法</w:t>
            </w:r>
          </w:p>
        </w:tc>
      </w:tr>
      <w:tr w14:paraId="3605D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566" w:type="dxa"/>
            <w:vAlign w:val="center"/>
          </w:tcPr>
          <w:p w14:paraId="19840F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76" w:type="dxa"/>
            <w:vAlign w:val="center"/>
          </w:tcPr>
          <w:p w14:paraId="7A6001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技术资料</w:t>
            </w:r>
          </w:p>
        </w:tc>
        <w:tc>
          <w:tcPr>
            <w:tcW w:w="5914" w:type="dxa"/>
            <w:vAlign w:val="center"/>
          </w:tcPr>
          <w:p w14:paraId="502FCC0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（1）制造资料，审查制造单位是否提供适用于受检电梯的资料；</w:t>
            </w:r>
          </w:p>
          <w:p w14:paraId="54B3526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（2）安装资料，审查安装单位是否提供适用于受检电梯的资料；</w:t>
            </w:r>
          </w:p>
          <w:p w14:paraId="7E6D312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（3）改造或者重大修理资料，审查改造或者修理单位是否提供适用于受检电梯的资料；</w:t>
            </w:r>
          </w:p>
          <w:p w14:paraId="3E03890C">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（4）使用资料，审查电梯使用单位是否提供适用于受检电梯的资料；</w:t>
            </w:r>
          </w:p>
          <w:p w14:paraId="28AD7025">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（5）审查技术资料与铭牌可识别标志的一致性；</w:t>
            </w:r>
          </w:p>
        </w:tc>
        <w:tc>
          <w:tcPr>
            <w:tcW w:w="1415" w:type="dxa"/>
            <w:vAlign w:val="center"/>
          </w:tcPr>
          <w:p w14:paraId="20B40C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现场审查</w:t>
            </w:r>
          </w:p>
          <w:p w14:paraId="3656ABB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5F0A9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566" w:type="dxa"/>
            <w:vAlign w:val="center"/>
          </w:tcPr>
          <w:p w14:paraId="1961DEB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76" w:type="dxa"/>
            <w:vAlign w:val="center"/>
          </w:tcPr>
          <w:p w14:paraId="5AA8E7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通道及</w:t>
            </w:r>
          </w:p>
          <w:p w14:paraId="1CB47A6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照明</w:t>
            </w:r>
          </w:p>
        </w:tc>
        <w:tc>
          <w:tcPr>
            <w:tcW w:w="5914" w:type="dxa"/>
            <w:vAlign w:val="center"/>
          </w:tcPr>
          <w:p w14:paraId="52C94A8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(1)通往机器空间的通道保持通畅，相关人员能够安全、方便、无阻碍地使用；如果通往机器空间的通道高出楼梯所到平面不超过4.0m，可以采用固定的梯子作为通道；</w:t>
            </w:r>
          </w:p>
          <w:p w14:paraId="0F3C762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(2)进入机器空间的门附近的通道设有永久性电气照明。</w:t>
            </w:r>
          </w:p>
        </w:tc>
        <w:tc>
          <w:tcPr>
            <w:tcW w:w="1415" w:type="dxa"/>
            <w:vAlign w:val="center"/>
          </w:tcPr>
          <w:p w14:paraId="1D8DAB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现场观察确认并测量相关数据 </w:t>
            </w:r>
          </w:p>
        </w:tc>
      </w:tr>
      <w:tr w14:paraId="26D48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66" w:type="dxa"/>
            <w:vAlign w:val="center"/>
          </w:tcPr>
          <w:p w14:paraId="356261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76" w:type="dxa"/>
            <w:vAlign w:val="center"/>
          </w:tcPr>
          <w:p w14:paraId="1A4977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井道照明</w:t>
            </w:r>
          </w:p>
        </w:tc>
        <w:tc>
          <w:tcPr>
            <w:tcW w:w="5914" w:type="dxa"/>
            <w:vAlign w:val="center"/>
          </w:tcPr>
          <w:p w14:paraId="0F717AF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井道内设有永久性电气照明；当部分封闭的井道附近有足够的电气照明时，井道内可以不设照明。</w:t>
            </w:r>
          </w:p>
        </w:tc>
        <w:tc>
          <w:tcPr>
            <w:tcW w:w="1415" w:type="dxa"/>
            <w:vAlign w:val="center"/>
          </w:tcPr>
          <w:p w14:paraId="0F873AF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1EDB20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06A3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trPr>
        <w:tc>
          <w:tcPr>
            <w:tcW w:w="566" w:type="dxa"/>
            <w:vAlign w:val="center"/>
          </w:tcPr>
          <w:p w14:paraId="43A0D8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76" w:type="dxa"/>
            <w:vAlign w:val="center"/>
          </w:tcPr>
          <w:p w14:paraId="0C95C2F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缓冲器</w:t>
            </w:r>
          </w:p>
        </w:tc>
        <w:tc>
          <w:tcPr>
            <w:tcW w:w="5914" w:type="dxa"/>
            <w:vAlign w:val="center"/>
          </w:tcPr>
          <w:p w14:paraId="6865F0F2">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(1)缓冲器无松动、明显倾斜、断裂、塑性变形、剥落、破损、严重锈蚀等现象；</w:t>
            </w:r>
          </w:p>
          <w:p w14:paraId="29D964FC">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(2)耗能型缓冲器液位正确，验证柱塞复位的电气安全装置功能有效；</w:t>
            </w:r>
          </w:p>
          <w:p w14:paraId="1403CEB2">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(3)对重缓冲器附近设有清晰的对重越程距离标识；</w:t>
            </w:r>
          </w:p>
          <w:p w14:paraId="711D508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(4)当轿厢位于顶层端站平层位置时，对重装置撞板与其缓冲器顶面间的距离不超过对重越程距离标识上标注的最大允许值。</w:t>
            </w:r>
          </w:p>
        </w:tc>
        <w:tc>
          <w:tcPr>
            <w:tcW w:w="1415" w:type="dxa"/>
            <w:vAlign w:val="center"/>
          </w:tcPr>
          <w:p w14:paraId="0CA6A73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现场观察确认、测量相关数据并试验验证</w:t>
            </w:r>
          </w:p>
        </w:tc>
      </w:tr>
      <w:tr w14:paraId="47FDA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566" w:type="dxa"/>
            <w:vAlign w:val="center"/>
          </w:tcPr>
          <w:p w14:paraId="36AB71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76" w:type="dxa"/>
            <w:vAlign w:val="center"/>
          </w:tcPr>
          <w:p w14:paraId="6A2AF3E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接地故障保护措施</w:t>
            </w:r>
          </w:p>
        </w:tc>
        <w:tc>
          <w:tcPr>
            <w:tcW w:w="5914" w:type="dxa"/>
            <w:vAlign w:val="center"/>
          </w:tcPr>
          <w:p w14:paraId="0CDBE38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含有电气安全装置的电路发生接地故障时，驱动主机立即停止运转，或者在第一次正常停止运转后，能够防止驱动主机再启动，恢复电梯运行只能通过手动复位</w:t>
            </w:r>
          </w:p>
        </w:tc>
        <w:tc>
          <w:tcPr>
            <w:tcW w:w="1415" w:type="dxa"/>
            <w:vAlign w:val="center"/>
          </w:tcPr>
          <w:p w14:paraId="6AB54AA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76D02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68C358F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76" w:type="dxa"/>
            <w:vAlign w:val="center"/>
          </w:tcPr>
          <w:p w14:paraId="29382B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制动器状态监测功能</w:t>
            </w:r>
          </w:p>
        </w:tc>
        <w:tc>
          <w:tcPr>
            <w:tcW w:w="5914" w:type="dxa"/>
            <w:vAlign w:val="center"/>
          </w:tcPr>
          <w:p w14:paraId="6AE059A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检查其是否能够监测制动器的每组制动力或者每次动作时每组机械部件的正确动作(松开或者制动)，当监测到失效时，是否能够防止电梯的正常运行。</w:t>
            </w:r>
          </w:p>
        </w:tc>
        <w:tc>
          <w:tcPr>
            <w:tcW w:w="1415" w:type="dxa"/>
            <w:vAlign w:val="center"/>
          </w:tcPr>
          <w:p w14:paraId="3BDCD5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1E55A9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C16E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2B14D6D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76" w:type="dxa"/>
            <w:vAlign w:val="center"/>
          </w:tcPr>
          <w:p w14:paraId="5982647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紧急电动运行控制</w:t>
            </w:r>
          </w:p>
        </w:tc>
        <w:tc>
          <w:tcPr>
            <w:tcW w:w="5914" w:type="dxa"/>
            <w:vAlign w:val="center"/>
          </w:tcPr>
          <w:p w14:paraId="7A56420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(1)紧急电动运行控制功能有效。</w:t>
            </w:r>
          </w:p>
          <w:p w14:paraId="5A3054A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(2)操作紧急电动运行开关后，依靠持续按压的按钮来控制轿厢运行，按钮上或者其附近清晰地标明运行方向；进行紧急电动运行操作时，易于观察轿厢是否在开锁区域。</w:t>
            </w:r>
          </w:p>
        </w:tc>
        <w:tc>
          <w:tcPr>
            <w:tcW w:w="1415" w:type="dxa"/>
            <w:vAlign w:val="center"/>
          </w:tcPr>
          <w:p w14:paraId="0B2D18A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58EFF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61BD21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76" w:type="dxa"/>
            <w:vAlign w:val="center"/>
          </w:tcPr>
          <w:p w14:paraId="2457E99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门旁路</w:t>
            </w:r>
          </w:p>
          <w:p w14:paraId="5BA91DE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914" w:type="dxa"/>
            <w:vAlign w:val="center"/>
          </w:tcPr>
          <w:p w14:paraId="01ECC472">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(1)层门和轿门旁路装置上或者附近标明“旁路”字样。</w:t>
            </w:r>
          </w:p>
          <w:p w14:paraId="7338EC4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(2)处于旁路状态时，能够旁路层门关闭触点、层门门锁触点、轿门关闭触点、轿门门锁触点，但不能同时旁路层门和轿门的触点；对于手动层门，不能同时旁路层门关闭触点和层门门锁触点。</w:t>
            </w:r>
          </w:p>
          <w:p w14:paraId="69CC653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(3)处于旁路状态时，取消正常运行(包括自动门的任何运行)，并且只有在检修运行控制或者紧急电动运行控制下电梯能够运行，轿厢上的听觉信号和轿底的闪烁灯在运行期间起作用。</w:t>
            </w:r>
          </w:p>
          <w:p w14:paraId="6153B33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(4)提供独立的监控信号证实轿门处于关闭位置。</w:t>
            </w:r>
          </w:p>
        </w:tc>
        <w:tc>
          <w:tcPr>
            <w:tcW w:w="1415" w:type="dxa"/>
            <w:vAlign w:val="center"/>
          </w:tcPr>
          <w:p w14:paraId="631017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B57233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BACB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66" w:type="dxa"/>
            <w:vAlign w:val="center"/>
          </w:tcPr>
          <w:p w14:paraId="09D575E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76" w:type="dxa"/>
            <w:vAlign w:val="center"/>
          </w:tcPr>
          <w:p w14:paraId="5D17D25D">
            <w:pPr>
              <w:spacing w:line="320" w:lineRule="exact"/>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紧急操作和动态测试功能</w:t>
            </w:r>
          </w:p>
        </w:tc>
        <w:tc>
          <w:tcPr>
            <w:tcW w:w="5914" w:type="dxa"/>
            <w:vAlign w:val="center"/>
          </w:tcPr>
          <w:p w14:paraId="75EE1844">
            <w:pPr>
              <w:pStyle w:val="13"/>
              <w:spacing w:line="320" w:lineRule="exact"/>
              <w:ind w:left="497" w:firstLine="472"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检查紧急操作和动态测试功能是否有效。</w:t>
            </w:r>
          </w:p>
        </w:tc>
        <w:tc>
          <w:tcPr>
            <w:tcW w:w="1415" w:type="dxa"/>
            <w:vAlign w:val="center"/>
          </w:tcPr>
          <w:p w14:paraId="4A25EAC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1C520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1C840A4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76" w:type="dxa"/>
            <w:vAlign w:val="center"/>
          </w:tcPr>
          <w:p w14:paraId="108BDD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紧急报警装置(对讲系统)</w:t>
            </w:r>
          </w:p>
        </w:tc>
        <w:tc>
          <w:tcPr>
            <w:tcW w:w="5914" w:type="dxa"/>
            <w:vAlign w:val="center"/>
          </w:tcPr>
          <w:p w14:paraId="60B1D45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检查其是否符合以下要求：</w:t>
            </w:r>
            <w:r>
              <w:rPr>
                <w:rFonts w:hint="eastAsia" w:ascii="宋体" w:hAnsi="宋体" w:eastAsia="宋体" w:cs="宋体"/>
                <w:color w:val="auto"/>
                <w:spacing w:val="-6"/>
                <w:highlight w:val="none"/>
              </w:rPr>
              <w:t>轿厢内的紧急报警装置采用由应急电源供电的双向对讲系统与救援服务持续联系；如果电梯行程大于30m或者轿厢内与进行紧急操作处之间无法直接对话，则在轿厢内和进行紧急操作处还设置由应急电源供电的双向对讲系统或类似装置。</w:t>
            </w:r>
          </w:p>
        </w:tc>
        <w:tc>
          <w:tcPr>
            <w:tcW w:w="1415" w:type="dxa"/>
            <w:vAlign w:val="center"/>
          </w:tcPr>
          <w:p w14:paraId="212B7C7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54CC2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1273C3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76" w:type="dxa"/>
            <w:vAlign w:val="center"/>
          </w:tcPr>
          <w:p w14:paraId="7E206F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驱动主机停止装置</w:t>
            </w:r>
          </w:p>
        </w:tc>
        <w:tc>
          <w:tcPr>
            <w:tcW w:w="5914" w:type="dxa"/>
            <w:vAlign w:val="center"/>
          </w:tcPr>
          <w:p w14:paraId="3D59C5D8">
            <w:pPr>
              <w:spacing w:line="320" w:lineRule="exact"/>
              <w:rPr>
                <w:rFonts w:hint="eastAsia" w:ascii="宋体" w:hAnsi="宋体" w:eastAsia="宋体" w:cs="宋体"/>
                <w:color w:val="auto"/>
                <w:highlight w:val="none"/>
              </w:rPr>
            </w:pPr>
            <w:r>
              <w:rPr>
                <w:rFonts w:hint="eastAsia" w:ascii="宋体" w:hAnsi="宋体" w:eastAsia="宋体" w:cs="宋体"/>
                <w:color w:val="auto"/>
                <w:spacing w:val="-6"/>
                <w:highlight w:val="none"/>
              </w:rPr>
              <w:t>检查在驱动主机附近1m之内是否设有可以直接接近的主开关或者其他停止装置，并且功能有效。</w:t>
            </w:r>
          </w:p>
        </w:tc>
        <w:tc>
          <w:tcPr>
            <w:tcW w:w="1415" w:type="dxa"/>
            <w:vAlign w:val="center"/>
          </w:tcPr>
          <w:p w14:paraId="3807BB3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BA645B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CAD5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37ABFC0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76" w:type="dxa"/>
            <w:vAlign w:val="center"/>
          </w:tcPr>
          <w:p w14:paraId="5BF047D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w:t>
            </w:r>
          </w:p>
        </w:tc>
        <w:tc>
          <w:tcPr>
            <w:tcW w:w="5914" w:type="dxa"/>
            <w:vAlign w:val="center"/>
          </w:tcPr>
          <w:p w14:paraId="2C0034BB">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(1)能够从井道外独立地测试每个制动组；</w:t>
            </w:r>
          </w:p>
          <w:p w14:paraId="1EF3C3E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(2)制动器动作灵活，制动时制动闸瓦(制动钳)紧密、均匀地贴合在制动轮(制动盘)上，电梯运行时制动闸瓦(制动钳)与制动轮(制动盘)不发生摩擦，制动闸瓦(制动钳)以及制动轮(制动盘)工作面上无油污。</w:t>
            </w:r>
          </w:p>
        </w:tc>
        <w:tc>
          <w:tcPr>
            <w:tcW w:w="1415" w:type="dxa"/>
            <w:vAlign w:val="center"/>
          </w:tcPr>
          <w:p w14:paraId="08B014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609451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D1A9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21D7C1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76" w:type="dxa"/>
            <w:vAlign w:val="center"/>
          </w:tcPr>
          <w:p w14:paraId="702E21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钢丝绳</w:t>
            </w:r>
          </w:p>
        </w:tc>
        <w:tc>
          <w:tcPr>
            <w:tcW w:w="5914" w:type="dxa"/>
            <w:vAlign w:val="center"/>
          </w:tcPr>
          <w:p w14:paraId="34B986E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悬挂钢丝绳、补偿钢丝绳应当无笼状畸变、绳股挤出、扭结、部分压扁、弯折、严重锈蚀、铁锈填满绳股间隙、直径小于其公称直径的90%等达到报废条件的现象</w:t>
            </w:r>
          </w:p>
        </w:tc>
        <w:tc>
          <w:tcPr>
            <w:tcW w:w="1415" w:type="dxa"/>
            <w:vAlign w:val="center"/>
          </w:tcPr>
          <w:p w14:paraId="4C78B09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3B1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11627F3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76" w:type="dxa"/>
            <w:vAlign w:val="center"/>
          </w:tcPr>
          <w:p w14:paraId="0AB68B4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包覆带</w:t>
            </w:r>
          </w:p>
        </w:tc>
        <w:tc>
          <w:tcPr>
            <w:tcW w:w="5914" w:type="dxa"/>
            <w:vAlign w:val="center"/>
          </w:tcPr>
          <w:p w14:paraId="18096AF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(1)无包覆层变形(如鼓包、压痕、折痕、凹陷等)、包覆带承载体外露或者刺出、承载体断裂等达到报废条件的现象；</w:t>
            </w:r>
          </w:p>
          <w:p w14:paraId="3C599FE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(2)设有监测每根包覆带承载体强度的装置，当检测到任一根承载体破断时，能够防止电梯的下一次正常启动；</w:t>
            </w:r>
          </w:p>
          <w:p w14:paraId="5559669E">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(3)用于查看包覆带使用时间或者电梯启动次数的装置完好。</w:t>
            </w:r>
          </w:p>
        </w:tc>
        <w:tc>
          <w:tcPr>
            <w:tcW w:w="1415" w:type="dxa"/>
            <w:vAlign w:val="center"/>
          </w:tcPr>
          <w:p w14:paraId="61C2B09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4FD47A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2CFB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54A727C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76" w:type="dxa"/>
            <w:vAlign w:val="center"/>
          </w:tcPr>
          <w:p w14:paraId="2BAEC22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悬挂或装置端部</w:t>
            </w:r>
          </w:p>
          <w:p w14:paraId="6A5C4F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固定</w:t>
            </w:r>
          </w:p>
        </w:tc>
        <w:tc>
          <w:tcPr>
            <w:tcW w:w="5914" w:type="dxa"/>
            <w:vAlign w:val="center"/>
          </w:tcPr>
          <w:p w14:paraId="725C239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(1)悬挂装置的端部固定部件无裂纹、松动等现象，端接装置的弹簧、螺母、开口销等连接部件无缺损：</w:t>
            </w:r>
          </w:p>
          <w:p w14:paraId="53CDCB5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(2)对于强制驱动电梯，采用带楔块的压紧装置或者至少用两个绳夹将悬挂装置固定在卷筒上。</w:t>
            </w:r>
          </w:p>
        </w:tc>
        <w:tc>
          <w:tcPr>
            <w:tcW w:w="1415" w:type="dxa"/>
            <w:vAlign w:val="center"/>
          </w:tcPr>
          <w:p w14:paraId="18FEBC1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F81D4D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1B627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65F89D3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176" w:type="dxa"/>
            <w:vAlign w:val="center"/>
          </w:tcPr>
          <w:p w14:paraId="0DB563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异常伸长保护措施</w:t>
            </w:r>
          </w:p>
        </w:tc>
        <w:tc>
          <w:tcPr>
            <w:tcW w:w="5914" w:type="dxa"/>
            <w:vAlign w:val="center"/>
          </w:tcPr>
          <w:p w14:paraId="02C3DC7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如果轿厢(运载装置)悬挂在包覆带或者两根钢丝绳上，检查当任意一根悬挂装置发生异常相对伸长时，能够通过电气安全装置防止电梯的正常运行。</w:t>
            </w:r>
          </w:p>
        </w:tc>
        <w:tc>
          <w:tcPr>
            <w:tcW w:w="1415" w:type="dxa"/>
            <w:vAlign w:val="center"/>
          </w:tcPr>
          <w:p w14:paraId="2EEC8A6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38689D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E416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2B77B96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176" w:type="dxa"/>
            <w:vAlign w:val="center"/>
          </w:tcPr>
          <w:p w14:paraId="2B0FB30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手动紧急操作装置</w:t>
            </w:r>
          </w:p>
        </w:tc>
        <w:tc>
          <w:tcPr>
            <w:tcW w:w="5914" w:type="dxa"/>
            <w:vAlign w:val="center"/>
          </w:tcPr>
          <w:p w14:paraId="1454DA62">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(1)对于曳引与强制驱动电梯，能够通过持续手动操作的机械装置或者由自动充电的紧急电源供电的电气装置打开驱动主机制动器，并且该装置的失效不会导致制动功能的失效；</w:t>
            </w:r>
          </w:p>
          <w:p w14:paraId="164AA138">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(2)手动松开制动器后仅在重力作用下轿厢(运载装置)不能移动时，能够通过手动机械装置、独立于主电源供电的手动操作电动装置或者其他措施将轿厢(运载装置)移动到附近层站；</w:t>
            </w:r>
          </w:p>
          <w:p w14:paraId="48179CFD">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(3)如果电梯的移动可能带动手动机械装置，该装置是平滑和无辐条的轮子；</w:t>
            </w:r>
          </w:p>
          <w:p w14:paraId="4CEE5FDD">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(4)如果手动机械装置可以从驱动主机上拆卸或者脱出，设有最迟在其连接到驱动主机时起作用的电气安全装置；</w:t>
            </w:r>
          </w:p>
          <w:p w14:paraId="6FE085D6">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(5)液压驱动电梯设有手动操作的紧急下降阀，以在失电时操纵该阀使轿厢向下移动至层站；</w:t>
            </w:r>
          </w:p>
          <w:p w14:paraId="137B59CE">
            <w:pPr>
              <w:pStyle w:val="13"/>
              <w:spacing w:line="320" w:lineRule="exact"/>
              <w:ind w:left="0" w:leftChars="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(6)对于轿厢上装有安全钳或者夹紧装置的液压驱动电梯，永久性地安装手动泵，以通过操纵该泵使轿厢向上移动；</w:t>
            </w:r>
          </w:p>
          <w:p w14:paraId="7E30FF6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(7)在紧急操作处，易于检查轿厢是否在开锁区域。</w:t>
            </w:r>
          </w:p>
        </w:tc>
        <w:tc>
          <w:tcPr>
            <w:tcW w:w="1415" w:type="dxa"/>
            <w:vAlign w:val="center"/>
          </w:tcPr>
          <w:p w14:paraId="38C4501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55D22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0EC5217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176" w:type="dxa"/>
            <w:vAlign w:val="center"/>
          </w:tcPr>
          <w:p w14:paraId="3BA13BD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非金属材质反绳轮</w:t>
            </w:r>
          </w:p>
        </w:tc>
        <w:tc>
          <w:tcPr>
            <w:tcW w:w="5914" w:type="dxa"/>
            <w:vAlign w:val="center"/>
          </w:tcPr>
          <w:p w14:paraId="338101F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(1)电梯的额定速度不大于1.75m/s；</w:t>
            </w:r>
          </w:p>
          <w:p w14:paraId="773450C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(2)反绳轮上或者附近设有永久固定和清晰的标识，标明反绳轮制造单位名称或者商标、制造日期、维护保养要求(如润滑方法与周期)及报废条件；</w:t>
            </w:r>
          </w:p>
          <w:p w14:paraId="2D0C583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(3)维护保养单位按照要求进行了维护保养，并且提供了维护保养过程的视频或者照片等见证材料；</w:t>
            </w:r>
          </w:p>
          <w:p w14:paraId="4DA0C8C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(4)在进行各项试验前、后，均未出现悬挂装置脱离轮槽(带槽)、轮及轮轴偏转、固定结构变形等现象。</w:t>
            </w:r>
          </w:p>
          <w:p w14:paraId="2C43B79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对于未按照前款第(1)和第(2)项对非金属材质反绳轮进行过监督检验的电梯，应当至少符合前款第(3)和第(4)项的要求</w:t>
            </w:r>
          </w:p>
        </w:tc>
        <w:tc>
          <w:tcPr>
            <w:tcW w:w="1415" w:type="dxa"/>
            <w:vAlign w:val="center"/>
          </w:tcPr>
          <w:p w14:paraId="3CE5E26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A2B9A7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18DD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B220F1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176" w:type="dxa"/>
            <w:vAlign w:val="center"/>
          </w:tcPr>
          <w:p w14:paraId="64AAA1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轿厢安全窗电气安全装置</w:t>
            </w:r>
          </w:p>
        </w:tc>
        <w:tc>
          <w:tcPr>
            <w:tcW w:w="5914" w:type="dxa"/>
            <w:vAlign w:val="center"/>
          </w:tcPr>
          <w:p w14:paraId="00FBEC9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安全窗的锁紧由电气安全装置验证，该装置动作后能够使电梯停止运行。</w:t>
            </w:r>
          </w:p>
        </w:tc>
        <w:tc>
          <w:tcPr>
            <w:tcW w:w="1415" w:type="dxa"/>
            <w:vAlign w:val="center"/>
          </w:tcPr>
          <w:p w14:paraId="5BB0CF0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902F5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19CD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6AD015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176" w:type="dxa"/>
            <w:vAlign w:val="center"/>
          </w:tcPr>
          <w:p w14:paraId="4BD6329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轿厢安全门电气安全装置</w:t>
            </w:r>
          </w:p>
        </w:tc>
        <w:tc>
          <w:tcPr>
            <w:tcW w:w="5914" w:type="dxa"/>
            <w:vAlign w:val="center"/>
          </w:tcPr>
          <w:p w14:paraId="736053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安全门的锁紧由电气安全装置予以验证</w:t>
            </w:r>
          </w:p>
        </w:tc>
        <w:tc>
          <w:tcPr>
            <w:tcW w:w="1415" w:type="dxa"/>
            <w:vAlign w:val="center"/>
          </w:tcPr>
          <w:p w14:paraId="516D64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CBEDFC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6EB2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29A4167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76" w:type="dxa"/>
            <w:vAlign w:val="center"/>
          </w:tcPr>
          <w:p w14:paraId="16FDFF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轿厢照明及通风</w:t>
            </w:r>
          </w:p>
        </w:tc>
        <w:tc>
          <w:tcPr>
            <w:tcW w:w="5914" w:type="dxa"/>
            <w:vAlign w:val="center"/>
          </w:tcPr>
          <w:p w14:paraId="294C883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(1)轿厢正常照明和通风有效；</w:t>
            </w:r>
          </w:p>
          <w:p w14:paraId="781266C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(2)在正常照明电源发生故障的情况下，由紧急电源供电的应急照明能够自动投入工作。</w:t>
            </w:r>
          </w:p>
        </w:tc>
        <w:tc>
          <w:tcPr>
            <w:tcW w:w="1415" w:type="dxa"/>
            <w:vAlign w:val="center"/>
          </w:tcPr>
          <w:p w14:paraId="74FE582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C88CB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CF41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064609C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176" w:type="dxa"/>
            <w:vAlign w:val="center"/>
          </w:tcPr>
          <w:p w14:paraId="47F1A18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对重(平衡重)块</w:t>
            </w:r>
          </w:p>
        </w:tc>
        <w:tc>
          <w:tcPr>
            <w:tcW w:w="5914" w:type="dxa"/>
            <w:vAlign w:val="center"/>
          </w:tcPr>
          <w:p w14:paraId="1BCFC05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(1)对重(平衡重)块无松动、移位等现象；</w:t>
            </w:r>
          </w:p>
          <w:p w14:paraId="0C13B2B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(2)具有能够快速识别对重(平衡重)块数量的措施(例如标明数量或者总高度)，并且该措施不会被混淆；</w:t>
            </w:r>
          </w:p>
          <w:p w14:paraId="6ABAC9E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(3)非金属材质对重(平衡重)块（架）上、轿顶上或者底坑内有清晰的标识，标明对重(平衡重)块制造单位名称或者商标和报废条件；</w:t>
            </w:r>
          </w:p>
        </w:tc>
        <w:tc>
          <w:tcPr>
            <w:tcW w:w="1415" w:type="dxa"/>
            <w:vAlign w:val="center"/>
          </w:tcPr>
          <w:p w14:paraId="1AE1679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44F9A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D370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0A2B16D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176" w:type="dxa"/>
            <w:vAlign w:val="center"/>
          </w:tcPr>
          <w:p w14:paraId="3218CD8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轿厢语音播报系统</w:t>
            </w:r>
          </w:p>
        </w:tc>
        <w:tc>
          <w:tcPr>
            <w:tcW w:w="5914" w:type="dxa"/>
            <w:vAlign w:val="center"/>
          </w:tcPr>
          <w:p w14:paraId="7C91016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轿厢内设有语音播报系统，在停电、故障停梯、轿厢位置校正(再平层除外)、自动救援操作装置启动以及接收火灾信号退出正常服务时进行语音播报，提示、安抚轿厢内乘客。</w:t>
            </w:r>
            <w:r>
              <w:rPr>
                <w:rFonts w:hint="eastAsia" w:ascii="宋体" w:hAnsi="宋体" w:eastAsia="宋体" w:cs="宋体"/>
                <w:color w:val="auto"/>
                <w:spacing w:val="-6"/>
                <w:sz w:val="24"/>
                <w:highlight w:val="none"/>
              </w:rPr>
              <w:t>（未按照 TSG T7001-2023对轿厢语音播报系统进行监督检验的电梯，此项可以不检验。）</w:t>
            </w:r>
          </w:p>
        </w:tc>
        <w:tc>
          <w:tcPr>
            <w:tcW w:w="1415" w:type="dxa"/>
            <w:vAlign w:val="center"/>
          </w:tcPr>
          <w:p w14:paraId="61EF3B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1C13C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9DF9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22BC133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176" w:type="dxa"/>
            <w:vAlign w:val="center"/>
          </w:tcPr>
          <w:p w14:paraId="243A8DD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门间隙</w:t>
            </w:r>
          </w:p>
        </w:tc>
        <w:tc>
          <w:tcPr>
            <w:tcW w:w="5914" w:type="dxa"/>
            <w:vAlign w:val="center"/>
          </w:tcPr>
          <w:p w14:paraId="7560F913">
            <w:pPr>
              <w:pStyle w:val="13"/>
              <w:spacing w:line="320" w:lineRule="exact"/>
              <w:ind w:left="0" w:leftChars="0"/>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(1)门扇之间及门扇与立柱、门楣和地坎之间的间隙，对于乘客电梯不大于6mm；对于载货电梯不大于10mm。</w:t>
            </w:r>
          </w:p>
          <w:p w14:paraId="24404B09">
            <w:pPr>
              <w:spacing w:line="320" w:lineRule="exact"/>
              <w:rPr>
                <w:rFonts w:hint="eastAsia" w:ascii="宋体" w:hAnsi="宋体" w:eastAsia="宋体" w:cs="宋体"/>
                <w:color w:val="auto"/>
                <w:highlight w:val="none"/>
              </w:rPr>
            </w:pPr>
            <w:r>
              <w:rPr>
                <w:rFonts w:hint="eastAsia" w:ascii="宋体" w:hAnsi="宋体" w:eastAsia="宋体" w:cs="宋体"/>
                <w:snapToGrid w:val="0"/>
                <w:color w:val="auto"/>
                <w:highlight w:val="none"/>
                <w:lang w:val="zh-CN"/>
              </w:rPr>
              <w:t>(2)在水平移动层门和折叠层门最快门扇的开启方向，以150N的力施加在一个最不利的点，本条第(1)项所述的间隙对于旁开门不大于30mm，对于中分门其总和不大于45mm。</w:t>
            </w:r>
          </w:p>
        </w:tc>
        <w:tc>
          <w:tcPr>
            <w:tcW w:w="1415" w:type="dxa"/>
            <w:vAlign w:val="center"/>
          </w:tcPr>
          <w:p w14:paraId="518B58E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4D38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4208D59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176" w:type="dxa"/>
            <w:vAlign w:val="center"/>
          </w:tcPr>
          <w:p w14:paraId="67F7120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门再开启保护装置</w:t>
            </w:r>
          </w:p>
        </w:tc>
        <w:tc>
          <w:tcPr>
            <w:tcW w:w="5914" w:type="dxa"/>
            <w:vAlign w:val="center"/>
          </w:tcPr>
          <w:p w14:paraId="0C7B0F9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（1）检查自动水平滑动门关闭过程中人员通过入口时，保护装置是否能够自动使门重新开启。</w:t>
            </w:r>
          </w:p>
          <w:p w14:paraId="6811585C">
            <w:pPr>
              <w:pStyle w:val="13"/>
              <w:spacing w:line="320" w:lineRule="exact"/>
              <w:ind w:left="0" w:leftChars="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（2）对于未按照前款要求对门再开启保护装置进行过监督检验的电梯，检查当人员通过入口被正在关闭的门扇撞击或者将被撞击时，保护装置是否能够自动使门重新开启。</w:t>
            </w:r>
          </w:p>
        </w:tc>
        <w:tc>
          <w:tcPr>
            <w:tcW w:w="1415" w:type="dxa"/>
            <w:vAlign w:val="center"/>
          </w:tcPr>
          <w:p w14:paraId="7C77B91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80437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DE26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2AD4C9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176" w:type="dxa"/>
            <w:vAlign w:val="center"/>
          </w:tcPr>
          <w:p w14:paraId="7D60DA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门的运行与导向</w:t>
            </w:r>
          </w:p>
        </w:tc>
        <w:tc>
          <w:tcPr>
            <w:tcW w:w="5914" w:type="dxa"/>
            <w:vAlign w:val="center"/>
          </w:tcPr>
          <w:p w14:paraId="07A7AA9E">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(1)层门和轿门正常运行时无脱轨、机械卡阻或者错位现象；</w:t>
            </w:r>
          </w:p>
          <w:p w14:paraId="464912F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(2)层门导向装置失效时，层门保持装置能够使层门保持在原有位置；</w:t>
            </w:r>
          </w:p>
          <w:p w14:paraId="7C6A587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(3)在层门底部的保持装置上或者其附近设有识别保持装置最小啮合深度的标记，并且层门底部保持装置的啮合深度不小于标记所示的最小啮合深度。</w:t>
            </w:r>
          </w:p>
        </w:tc>
        <w:tc>
          <w:tcPr>
            <w:tcW w:w="1415" w:type="dxa"/>
            <w:vAlign w:val="center"/>
          </w:tcPr>
          <w:p w14:paraId="16D09DE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C477F1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4160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3284C01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176" w:type="dxa"/>
            <w:vAlign w:val="center"/>
          </w:tcPr>
          <w:p w14:paraId="29CA9F9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自动关闭层门装置</w:t>
            </w:r>
          </w:p>
        </w:tc>
        <w:tc>
          <w:tcPr>
            <w:tcW w:w="5914" w:type="dxa"/>
            <w:vAlign w:val="center"/>
          </w:tcPr>
          <w:p w14:paraId="5D58CD7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(1)在轿门驱动层门的情况下，当轿厢在开锁区域之外时，自动关闭层门装置能够使开启的层门关闭；</w:t>
            </w:r>
          </w:p>
          <w:p w14:paraId="32CEA91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(2)自动关闭层门装置采用重块的，其防止重块坠落的措施保持有效；对于防爆电梯，无火花措施保持完好。</w:t>
            </w:r>
          </w:p>
        </w:tc>
        <w:tc>
          <w:tcPr>
            <w:tcW w:w="1415" w:type="dxa"/>
            <w:vAlign w:val="center"/>
          </w:tcPr>
          <w:p w14:paraId="3D38C7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647305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8F21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4CE148F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176" w:type="dxa"/>
            <w:vAlign w:val="center"/>
          </w:tcPr>
          <w:p w14:paraId="79B8474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紧急开锁</w:t>
            </w:r>
          </w:p>
        </w:tc>
        <w:tc>
          <w:tcPr>
            <w:tcW w:w="5914" w:type="dxa"/>
            <w:vAlign w:val="center"/>
          </w:tcPr>
          <w:p w14:paraId="2D924C3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(1)每个层门均能够被专用钥匙从外面开启；紧急开锁后，在层门闭合时门锁装置未保持在开锁位置。</w:t>
            </w:r>
          </w:p>
          <w:p w14:paraId="6082145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如果只能通过层门进入底坑，则从底坑爬梯并且在高度1.80m内和最大水平距离0.80m范围内能够安全地触及门锁，或者能够通过永久设置的装置从底坑中打开层门。</w:t>
            </w:r>
          </w:p>
        </w:tc>
        <w:tc>
          <w:tcPr>
            <w:tcW w:w="1415" w:type="dxa"/>
            <w:vAlign w:val="center"/>
          </w:tcPr>
          <w:p w14:paraId="7954642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5938F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5E28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BA739C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176" w:type="dxa"/>
            <w:vAlign w:val="center"/>
          </w:tcPr>
          <w:p w14:paraId="5960E7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门的锁紧与闭合</w:t>
            </w:r>
          </w:p>
        </w:tc>
        <w:tc>
          <w:tcPr>
            <w:tcW w:w="5914" w:type="dxa"/>
            <w:vAlign w:val="center"/>
          </w:tcPr>
          <w:p w14:paraId="759A3F58">
            <w:pPr>
              <w:spacing w:line="320" w:lineRule="exact"/>
              <w:contextualSpacing/>
              <w:rPr>
                <w:rFonts w:hint="eastAsia" w:ascii="宋体" w:hAnsi="宋体" w:eastAsia="宋体" w:cs="宋体"/>
                <w:snapToGrid w:val="0"/>
                <w:color w:val="auto"/>
                <w:highlight w:val="none"/>
                <w:lang w:val="zh-CN"/>
              </w:rPr>
            </w:pPr>
            <w:r>
              <w:rPr>
                <w:rFonts w:hint="eastAsia" w:ascii="宋体" w:hAnsi="宋体" w:eastAsia="宋体" w:cs="宋体"/>
                <w:snapToGrid w:val="0"/>
                <w:color w:val="auto"/>
                <w:highlight w:val="none"/>
                <w:lang w:val="zh-CN"/>
              </w:rPr>
              <w:t>(1)锁紧动作由重力、永久磁铁或者弹簧来产生和保持，即使永久磁铁或者弹簧失效，重力也不能导致开锁；</w:t>
            </w:r>
          </w:p>
          <w:p w14:paraId="397D0682">
            <w:pPr>
              <w:spacing w:line="320" w:lineRule="exact"/>
              <w:contextualSpacing/>
              <w:rPr>
                <w:rFonts w:hint="eastAsia" w:ascii="宋体" w:hAnsi="宋体" w:eastAsia="宋体" w:cs="宋体"/>
                <w:snapToGrid w:val="0"/>
                <w:color w:val="auto"/>
                <w:highlight w:val="none"/>
                <w:lang w:val="zh-CN"/>
              </w:rPr>
            </w:pPr>
            <w:r>
              <w:rPr>
                <w:rFonts w:hint="eastAsia" w:ascii="宋体" w:hAnsi="宋体" w:eastAsia="宋体" w:cs="宋体"/>
                <w:snapToGrid w:val="0"/>
                <w:color w:val="auto"/>
                <w:highlight w:val="none"/>
                <w:lang w:val="zh-CN"/>
              </w:rPr>
              <w:t>(2)轿厢(运载装置)在锁紧元件啮合不小于7mm时才能启动；</w:t>
            </w:r>
          </w:p>
          <w:p w14:paraId="0C6F86AA">
            <w:pPr>
              <w:spacing w:line="320" w:lineRule="exact"/>
              <w:contextualSpacing/>
              <w:rPr>
                <w:rFonts w:hint="eastAsia" w:ascii="宋体" w:hAnsi="宋体" w:eastAsia="宋体" w:cs="宋体"/>
                <w:snapToGrid w:val="0"/>
                <w:color w:val="auto"/>
                <w:highlight w:val="none"/>
                <w:lang w:val="zh-CN"/>
              </w:rPr>
            </w:pPr>
            <w:r>
              <w:rPr>
                <w:rFonts w:hint="eastAsia" w:ascii="宋体" w:hAnsi="宋体" w:eastAsia="宋体" w:cs="宋体"/>
                <w:snapToGrid w:val="0"/>
                <w:color w:val="auto"/>
                <w:highlight w:val="none"/>
                <w:lang w:val="zh-CN"/>
              </w:rPr>
              <w:t>(3)检查层门、轿门锁紧状态的电气安全装置功能有效；</w:t>
            </w:r>
          </w:p>
          <w:p w14:paraId="2D8DEEA4">
            <w:pPr>
              <w:spacing w:line="320" w:lineRule="exact"/>
              <w:contextualSpacing/>
              <w:rPr>
                <w:rFonts w:hint="eastAsia" w:ascii="宋体" w:hAnsi="宋体" w:eastAsia="宋体" w:cs="宋体"/>
                <w:snapToGrid w:val="0"/>
                <w:color w:val="auto"/>
                <w:highlight w:val="none"/>
                <w:lang w:val="zh-CN"/>
              </w:rPr>
            </w:pPr>
            <w:r>
              <w:rPr>
                <w:rFonts w:hint="eastAsia" w:ascii="宋体" w:hAnsi="宋体" w:eastAsia="宋体" w:cs="宋体"/>
                <w:snapToGrid w:val="0"/>
                <w:color w:val="auto"/>
                <w:highlight w:val="none"/>
                <w:lang w:val="zh-CN"/>
              </w:rPr>
              <w:t>(4)每个层门和轿门的闭合均由电气安全装置来验证；如果滑动门是由数个间接机械连接的门扇组成，则未被锁住的门扇上设有电气安全装置以验证其闭合状态；与门的驱动部件直接机械连接的轿门门扇可以不设置电气安全装置。</w:t>
            </w:r>
          </w:p>
        </w:tc>
        <w:tc>
          <w:tcPr>
            <w:tcW w:w="1415" w:type="dxa"/>
            <w:vAlign w:val="center"/>
          </w:tcPr>
          <w:p w14:paraId="3908DCF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4121CA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A6F3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3E9353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176" w:type="dxa"/>
            <w:vAlign w:val="center"/>
          </w:tcPr>
          <w:p w14:paraId="34EDAC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应急救援试验</w:t>
            </w:r>
          </w:p>
        </w:tc>
        <w:tc>
          <w:tcPr>
            <w:tcW w:w="5914" w:type="dxa"/>
            <w:vAlign w:val="center"/>
          </w:tcPr>
          <w:p w14:paraId="1CF8991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(1)检查机房内或者紧急和测试操作屏上是否设有清晰的应急救援程序；</w:t>
            </w:r>
          </w:p>
          <w:p w14:paraId="0816A06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(2)检查建筑物内的救援通道是否保持通畅，应急救援人员是否能够无阻碍地抵达实施紧急操作的位置，以及各层站处；</w:t>
            </w:r>
          </w:p>
          <w:p w14:paraId="6714C2C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（3）在空载工况下，模拟停电和停梯故障，按照相应的应急救援程序进行操作。观察是否能够安全、及时的解救被困人员。</w:t>
            </w:r>
          </w:p>
        </w:tc>
        <w:tc>
          <w:tcPr>
            <w:tcW w:w="1415" w:type="dxa"/>
            <w:vAlign w:val="center"/>
          </w:tcPr>
          <w:p w14:paraId="2281E01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B7F37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7E2D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686521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176" w:type="dxa"/>
            <w:vAlign w:val="center"/>
          </w:tcPr>
          <w:p w14:paraId="0AC7102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轿厢(运载装置)限速器-安全钳</w:t>
            </w:r>
          </w:p>
          <w:p w14:paraId="11C4522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14" w:type="dxa"/>
            <w:vAlign w:val="center"/>
          </w:tcPr>
          <w:p w14:paraId="3390B122">
            <w:pPr>
              <w:spacing w:line="320" w:lineRule="exact"/>
              <w:outlineLvl w:val="3"/>
              <w:rPr>
                <w:rFonts w:hint="eastAsia" w:ascii="宋体" w:hAnsi="宋体" w:eastAsia="宋体" w:cs="宋体"/>
                <w:color w:val="auto"/>
                <w:highlight w:val="none"/>
              </w:rPr>
            </w:pPr>
            <w:r>
              <w:rPr>
                <w:rFonts w:hint="eastAsia" w:ascii="宋体" w:hAnsi="宋体" w:eastAsia="宋体" w:cs="宋体"/>
                <w:color w:val="auto"/>
                <w:highlight w:val="none"/>
              </w:rPr>
              <w:t>（1）检查限速器各调节部位封记完好，运转时无碰擦、卡阻、转动不灵活等现象，动作正常；动作速度符合要求。抽查现场可以通过查看限速器调试证书、校验记录，结合限速器的状态确认其动作速度是否符合要求；发现调节部位封记缺损等可能影响限速器动作速度的情况，抽查人员应当通过现场见证施工或者维护保养单位测试的方式予以确认。</w:t>
            </w:r>
          </w:p>
          <w:p w14:paraId="50E82EB5">
            <w:pPr>
              <w:spacing w:line="320" w:lineRule="exact"/>
              <w:outlineLvl w:val="3"/>
              <w:rPr>
                <w:rFonts w:hint="eastAsia" w:ascii="宋体" w:hAnsi="宋体" w:eastAsia="宋体" w:cs="宋体"/>
                <w:color w:val="auto"/>
                <w:highlight w:val="none"/>
              </w:rPr>
            </w:pPr>
            <w:r>
              <w:rPr>
                <w:rFonts w:hint="eastAsia" w:ascii="宋体" w:hAnsi="宋体" w:eastAsia="宋体" w:cs="宋体"/>
                <w:color w:val="auto"/>
                <w:highlight w:val="none"/>
              </w:rPr>
              <w:t>（2）检查限速器或者其他装置上设置的在轿厢(运载装置)上行、下行速度达到限速器动作速度之前动作的电气安全装置；对于安全钳释放后限速器不能自动复位的，用于验证限速器复位状态的电气安全装置；用于检查限速器绳断裂或者过分伸长的电气安全装置；轿厢(运载装置)上设置的在轿厢(运载装置)安全钳动作以前或者同时使驱动主机停止运转的电气安全装置。</w:t>
            </w:r>
          </w:p>
          <w:p w14:paraId="7654A8EC">
            <w:pPr>
              <w:spacing w:line="320" w:lineRule="exact"/>
              <w:outlineLvl w:val="3"/>
              <w:rPr>
                <w:rFonts w:hint="eastAsia" w:ascii="宋体" w:hAnsi="宋体" w:eastAsia="宋体" w:cs="宋体"/>
                <w:color w:val="auto"/>
                <w:highlight w:val="none"/>
              </w:rPr>
            </w:pPr>
            <w:r>
              <w:rPr>
                <w:rFonts w:hint="eastAsia" w:ascii="宋体" w:hAnsi="宋体" w:eastAsia="宋体" w:cs="宋体"/>
                <w:color w:val="auto"/>
                <w:highlight w:val="none"/>
              </w:rPr>
              <w:t>（3）轿厢空载，以检修速度下行进行限速器-安全钳联动试验，观察限速器、安全钳动作是否可靠，试验后，未出现对电梯正常使用有不利影响的损坏)。</w:t>
            </w:r>
          </w:p>
        </w:tc>
        <w:tc>
          <w:tcPr>
            <w:tcW w:w="1415" w:type="dxa"/>
            <w:vAlign w:val="center"/>
          </w:tcPr>
          <w:p w14:paraId="28E157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0A32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03C6676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176" w:type="dxa"/>
            <w:vAlign w:val="center"/>
          </w:tcPr>
          <w:p w14:paraId="6D795B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空载工况曳引能力试验</w:t>
            </w:r>
          </w:p>
        </w:tc>
        <w:tc>
          <w:tcPr>
            <w:tcW w:w="5914" w:type="dxa"/>
            <w:vAlign w:val="center"/>
          </w:tcPr>
          <w:p w14:paraId="63C5324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(1)轿厢空载，当对重压在缓冲器上而驱动主机按电梯上行方向旋转时，观察悬挂装置是否相对曳引轮打滑，或者驱动主机停止运转；</w:t>
            </w:r>
          </w:p>
          <w:p w14:paraId="1F25B7D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(2)轿厢空载，以额定速度上行至行程上部，切断电动机与制动器供电，观察轿厢(运载装置)是否完全停止。</w:t>
            </w:r>
          </w:p>
        </w:tc>
        <w:tc>
          <w:tcPr>
            <w:tcW w:w="1415" w:type="dxa"/>
            <w:vAlign w:val="center"/>
          </w:tcPr>
          <w:p w14:paraId="050B615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54E56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2D8088E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1176" w:type="dxa"/>
            <w:vAlign w:val="center"/>
          </w:tcPr>
          <w:p w14:paraId="37113B2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对重(平衡重)限速器-安全钳联动试验</w:t>
            </w:r>
          </w:p>
        </w:tc>
        <w:tc>
          <w:tcPr>
            <w:tcW w:w="5914" w:type="dxa"/>
            <w:vAlign w:val="center"/>
          </w:tcPr>
          <w:p w14:paraId="2B17C95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以轿厢空载，以检修速度上行进行限速器-安全钳联动试验，观察限速器、安全钳动作是否可靠，试验后，未出现对电梯正常使用有不利影响的损坏</w:t>
            </w:r>
          </w:p>
        </w:tc>
        <w:tc>
          <w:tcPr>
            <w:tcW w:w="1415" w:type="dxa"/>
            <w:vAlign w:val="center"/>
          </w:tcPr>
          <w:p w14:paraId="4A9518C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211FD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EE4684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176" w:type="dxa"/>
            <w:vAlign w:val="center"/>
          </w:tcPr>
          <w:p w14:paraId="1B806D7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缓冲器</w:t>
            </w:r>
          </w:p>
          <w:p w14:paraId="28F43EC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14" w:type="dxa"/>
            <w:vAlign w:val="center"/>
          </w:tcPr>
          <w:p w14:paraId="3D193C3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轿厢空载，以检修速度运行的工况使缓冲器被压缩，轿厢(运载装置)、对重停在其上再离开后，观察缓冲器是否未出现对电梯正常使用有不利影响的损坏(如明显倾斜断裂、塑性变形、剥落、破损等)。</w:t>
            </w:r>
          </w:p>
        </w:tc>
        <w:tc>
          <w:tcPr>
            <w:tcW w:w="1415" w:type="dxa"/>
            <w:vAlign w:val="center"/>
          </w:tcPr>
          <w:p w14:paraId="0C29229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350ED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5E1A11A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76" w:type="dxa"/>
            <w:vAlign w:val="center"/>
          </w:tcPr>
          <w:p w14:paraId="29237D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轿厢上行超速保护装置试验</w:t>
            </w:r>
          </w:p>
        </w:tc>
        <w:tc>
          <w:tcPr>
            <w:tcW w:w="5914" w:type="dxa"/>
            <w:vAlign w:val="center"/>
          </w:tcPr>
          <w:p w14:paraId="51899EDA">
            <w:pPr>
              <w:pStyle w:val="13"/>
              <w:spacing w:line="320" w:lineRule="exact"/>
              <w:ind w:left="0" w:leftChars="0"/>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（1）检查控制柜或者紧急和测试操作屏上是否标有轿厢上行超速保护装置动作试验方法。</w:t>
            </w:r>
          </w:p>
          <w:p w14:paraId="279FE26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（2）检查轿厢上行超速保护装置上的电气安全装置功能是否有效。</w:t>
            </w:r>
          </w:p>
          <w:p w14:paraId="3BBDF8D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6"/>
                <w:sz w:val="24"/>
                <w:highlight w:val="none"/>
              </w:rPr>
              <w:t>采用存在内部冗余的制动器作为轿厢上行超速保护装置减速部件的，检查当制动器机械部件动作(松开或者制动)失效或者制动力不足时，是否能够防止电梯正常运行</w:t>
            </w:r>
          </w:p>
        </w:tc>
        <w:tc>
          <w:tcPr>
            <w:tcW w:w="1415" w:type="dxa"/>
            <w:vAlign w:val="center"/>
          </w:tcPr>
          <w:p w14:paraId="01FF2A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510F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14D3109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176" w:type="dxa"/>
            <w:vAlign w:val="center"/>
          </w:tcPr>
          <w:p w14:paraId="0031311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轿厢意外移动保护装置试验</w:t>
            </w:r>
          </w:p>
        </w:tc>
        <w:tc>
          <w:tcPr>
            <w:tcW w:w="5914" w:type="dxa"/>
            <w:vAlign w:val="center"/>
          </w:tcPr>
          <w:p w14:paraId="7A3572A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（1）检查控制柜或者紧急和测试操作屏上是否标有轿厢意外移动保护装置动作试验方法。</w:t>
            </w:r>
          </w:p>
          <w:p w14:paraId="6F7C8A6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（2）检查轿厢意外移动保护装置上的电气安全装置功能是否有效。</w:t>
            </w:r>
          </w:p>
          <w:p w14:paraId="17D72EF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（3）采用存在内部冗余的制动器作为轿厢意外移动保护装置制停部件的，检查当制动器机械部件动作(松开或者制动)失效或者制动力不足时，是否能够关闭轿门和层门，并且能够防止电梯正常运行。</w:t>
            </w:r>
          </w:p>
        </w:tc>
        <w:tc>
          <w:tcPr>
            <w:tcW w:w="1415" w:type="dxa"/>
            <w:vAlign w:val="center"/>
          </w:tcPr>
          <w:p w14:paraId="3531C2E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03A57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65779F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1176" w:type="dxa"/>
            <w:vAlign w:val="center"/>
          </w:tcPr>
          <w:p w14:paraId="392B2D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运行试验</w:t>
            </w:r>
          </w:p>
        </w:tc>
        <w:tc>
          <w:tcPr>
            <w:tcW w:w="5914" w:type="dxa"/>
            <w:vAlign w:val="center"/>
          </w:tcPr>
          <w:p w14:paraId="4881381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在轿厢空载工况下，以额定速度上、下运行，观察呼梯、楼层显示等信号系统是否功能有效、指示正确、动作无误，轿厢平层良好，无异常现象发生。</w:t>
            </w:r>
          </w:p>
        </w:tc>
        <w:tc>
          <w:tcPr>
            <w:tcW w:w="1415" w:type="dxa"/>
            <w:vAlign w:val="center"/>
          </w:tcPr>
          <w:p w14:paraId="2051F8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3D290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66" w:type="dxa"/>
            <w:vAlign w:val="center"/>
          </w:tcPr>
          <w:p w14:paraId="7D3E3DC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1176" w:type="dxa"/>
            <w:vAlign w:val="center"/>
          </w:tcPr>
          <w:p w14:paraId="57D5137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落实国市监特设发〔2023〕94 号文件精神</w:t>
            </w:r>
          </w:p>
        </w:tc>
        <w:tc>
          <w:tcPr>
            <w:tcW w:w="5914" w:type="dxa"/>
            <w:vAlign w:val="center"/>
          </w:tcPr>
          <w:p w14:paraId="2458DF80">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结合维护保养计划和方案，认真做好原有维护保养项目，同时增加一次电梯反绳轮（含防脱槽装置、轴承、固定零部件等）、导轨、限速器、安全钳的维护保养以及限速器—安全钳联动试验；对于额定载重量在1600kg 及以上的曳引驱动乘客电梯和额定载重量在3000kg 及以上的曳引驱动载货电梯，应在轿厢内装载额定载荷，以检修速度进行限速器—安全钳联动试验；并留存上述增加维保项目的相应照片或视频等见证材料。</w:t>
            </w:r>
          </w:p>
        </w:tc>
        <w:tc>
          <w:tcPr>
            <w:tcW w:w="1415" w:type="dxa"/>
            <w:vAlign w:val="center"/>
          </w:tcPr>
          <w:p w14:paraId="0083037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现场查看</w:t>
            </w:r>
            <w:r>
              <w:rPr>
                <w:rFonts w:hint="eastAsia" w:ascii="宋体" w:hAnsi="宋体" w:eastAsia="宋体" w:cs="宋体"/>
                <w:color w:val="auto"/>
                <w:highlight w:val="none"/>
                <w:lang w:val="zh-CN"/>
              </w:rPr>
              <w:t>相应照片或视频等见证材料，验证</w:t>
            </w:r>
            <w:r>
              <w:rPr>
                <w:rFonts w:hint="eastAsia" w:ascii="宋体" w:hAnsi="宋体" w:eastAsia="宋体" w:cs="宋体"/>
                <w:color w:val="auto"/>
                <w:highlight w:val="none"/>
              </w:rPr>
              <w:t>国市监特设发〔2023〕94 号文件精神落实情况</w:t>
            </w:r>
          </w:p>
        </w:tc>
      </w:tr>
    </w:tbl>
    <w:p w14:paraId="6A1F40A9">
      <w:pPr>
        <w:jc w:val="both"/>
        <w:rPr>
          <w:rFonts w:hint="eastAsia" w:ascii="楷体_GB2312" w:hAnsi="黑体" w:eastAsia="楷体_GB2312"/>
          <w:color w:val="auto"/>
          <w:highlight w:val="none"/>
        </w:rPr>
      </w:pPr>
      <w:r>
        <w:rPr>
          <w:rFonts w:hint="eastAsia" w:ascii="宋体" w:hAnsi="宋体" w:eastAsia="宋体" w:cs="宋体"/>
          <w:color w:val="auto"/>
          <w:highlight w:val="none"/>
        </w:rPr>
        <w:t>注：各类乘客与载货电梯检验质量监督抽查包含但不限于以上内容，项目1-37项为曳引驱动乘客电梯与载货电梯定期检验项目，部分项目适用于强制驱动载货电梯、液压乘客与载货电梯、曳引驱动消防员电梯、曳引驱动防爆电梯、液压驱动防爆电梯曳引驱动斜行乘客与载货电梯、强制驱动斜行乘客与载货电梯。38项为查验落实国市监特设发〔2023〕94 号文件精神情况。检验质量监督抽查现场根据被抽查电梯实际情况，依据《电梯监督检验和定期检验规则》（TSG T 7001-2023）规定的相关项目进行监督抽查。</w:t>
      </w:r>
    </w:p>
    <w:p w14:paraId="4C009279">
      <w:pPr>
        <w:jc w:val="both"/>
        <w:rPr>
          <w:rFonts w:hint="eastAsia" w:ascii="宋体" w:hAnsi="宋体" w:eastAsia="宋体" w:cs="宋体"/>
          <w:color w:val="auto"/>
          <w:highlight w:val="none"/>
        </w:rPr>
      </w:pPr>
      <w:r>
        <w:rPr>
          <w:rFonts w:hint="eastAsia" w:ascii="宋体" w:hAnsi="宋体" w:eastAsia="宋体" w:cs="宋体"/>
          <w:color w:val="auto"/>
          <w:highlight w:val="none"/>
        </w:rPr>
        <w:t>2.自动扶梯与自动人行道</w:t>
      </w:r>
    </w:p>
    <w:tbl>
      <w:tblPr>
        <w:tblStyle w:val="33"/>
        <w:tblW w:w="907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134"/>
        <w:gridCol w:w="5953"/>
        <w:gridCol w:w="1417"/>
      </w:tblGrid>
      <w:tr w14:paraId="74137F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8" w:type="dxa"/>
            <w:vAlign w:val="center"/>
          </w:tcPr>
          <w:p w14:paraId="4D000831">
            <w:pPr>
              <w:spacing w:line="24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34" w:type="dxa"/>
            <w:vAlign w:val="center"/>
          </w:tcPr>
          <w:p w14:paraId="154730A5">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953" w:type="dxa"/>
            <w:vAlign w:val="center"/>
          </w:tcPr>
          <w:p w14:paraId="6721F28B">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抽查内容及要求</w:t>
            </w:r>
          </w:p>
        </w:tc>
        <w:tc>
          <w:tcPr>
            <w:tcW w:w="1417" w:type="dxa"/>
            <w:vAlign w:val="center"/>
          </w:tcPr>
          <w:p w14:paraId="1C62BF13">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监督抽查 </w:t>
            </w:r>
          </w:p>
          <w:p w14:paraId="13490A0E">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方法</w:t>
            </w:r>
          </w:p>
        </w:tc>
      </w:tr>
      <w:tr w14:paraId="77C08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B1D5E1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20B038C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技术资料</w:t>
            </w:r>
          </w:p>
        </w:tc>
        <w:tc>
          <w:tcPr>
            <w:tcW w:w="5953" w:type="dxa"/>
            <w:vAlign w:val="center"/>
          </w:tcPr>
          <w:p w14:paraId="237E232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（1）制造资料，审查制造单位是否提供适用于受检电梯的资料；</w:t>
            </w:r>
          </w:p>
          <w:p w14:paraId="3916426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（2）安装资料，审查安装单位是否提供适用于受检电梯的资料；</w:t>
            </w:r>
          </w:p>
          <w:p w14:paraId="25FDBFE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（3）改造或者重大修理资料，审查改造或者修理单位是否提供适用于受检电梯的资料；</w:t>
            </w:r>
          </w:p>
          <w:p w14:paraId="12B80F5C">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（4）使用资料，审查电梯使用单位是否提供适用于受检电梯的资料；</w:t>
            </w:r>
          </w:p>
          <w:p w14:paraId="3A31FB5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（5）审查技术资料与铭牌可识别标志的一致性；</w:t>
            </w:r>
          </w:p>
        </w:tc>
        <w:tc>
          <w:tcPr>
            <w:tcW w:w="1417" w:type="dxa"/>
            <w:vAlign w:val="center"/>
          </w:tcPr>
          <w:p w14:paraId="2A84E87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现场审查</w:t>
            </w:r>
          </w:p>
          <w:p w14:paraId="47D5FF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1EB03C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07F6AE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2335F19F">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接地故障保护措施</w:t>
            </w:r>
          </w:p>
        </w:tc>
        <w:tc>
          <w:tcPr>
            <w:tcW w:w="5953" w:type="dxa"/>
            <w:vAlign w:val="center"/>
          </w:tcPr>
          <w:p w14:paraId="67832D5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含有电气安全装置的电路发生接地故障时，驱动主机立即停止运转。</w:t>
            </w:r>
          </w:p>
        </w:tc>
        <w:tc>
          <w:tcPr>
            <w:tcW w:w="1417" w:type="dxa"/>
            <w:vAlign w:val="center"/>
          </w:tcPr>
          <w:p w14:paraId="2E6F2E8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A580B2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1CFAE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A16342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70DCEB01">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旋转部件防护措施</w:t>
            </w:r>
          </w:p>
        </w:tc>
        <w:tc>
          <w:tcPr>
            <w:tcW w:w="5953" w:type="dxa"/>
            <w:vAlign w:val="center"/>
          </w:tcPr>
          <w:p w14:paraId="66306FD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检查驱动主机的旋转部件、驱动站和转向站的梯级或者踏板转向部分是否设有防护装置和警示标志，以防止人员受到伤害。</w:t>
            </w:r>
          </w:p>
        </w:tc>
        <w:tc>
          <w:tcPr>
            <w:tcW w:w="1417" w:type="dxa"/>
            <w:vAlign w:val="center"/>
          </w:tcPr>
          <w:p w14:paraId="6B3F42E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4F7644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7DE2B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767085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36B8049E">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工作制动器状态监测功能</w:t>
            </w:r>
          </w:p>
        </w:tc>
        <w:tc>
          <w:tcPr>
            <w:tcW w:w="5953" w:type="dxa"/>
            <w:vAlign w:val="center"/>
          </w:tcPr>
          <w:p w14:paraId="4C95E36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检查受检设备启动后而工作制动器没有松开时，电梯安全装置是否能够使驱动主机立即停止运行；故障锁定功能是否保持有效。</w:t>
            </w:r>
          </w:p>
        </w:tc>
        <w:tc>
          <w:tcPr>
            <w:tcW w:w="1417" w:type="dxa"/>
            <w:vAlign w:val="center"/>
          </w:tcPr>
          <w:p w14:paraId="2D420DF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A1E4F8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1AD9C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1306F2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3A253C3B">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手动盘车装置</w:t>
            </w:r>
          </w:p>
        </w:tc>
        <w:tc>
          <w:tcPr>
            <w:tcW w:w="5953" w:type="dxa"/>
            <w:vAlign w:val="center"/>
          </w:tcPr>
          <w:p w14:paraId="4184701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snapToGrid w:val="0"/>
                <w:color w:val="auto"/>
                <w:sz w:val="24"/>
                <w:highlight w:val="none"/>
              </w:rPr>
              <w:t>盘车手轮是平滑和无辐条的，并且在其上或者附近</w:t>
            </w:r>
            <w:r>
              <w:rPr>
                <w:rFonts w:hint="eastAsia" w:ascii="宋体" w:hAnsi="宋体" w:eastAsia="宋体" w:cs="宋体"/>
                <w:color w:val="auto"/>
                <w:sz w:val="24"/>
                <w:highlight w:val="none"/>
              </w:rPr>
              <w:t>清晰地标出操作说明和运行方向；</w:t>
            </w:r>
          </w:p>
          <w:p w14:paraId="10CCDA55">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(2)对于可拆卸式</w:t>
            </w:r>
            <w:r>
              <w:rPr>
                <w:rFonts w:hint="eastAsia" w:ascii="宋体" w:hAnsi="宋体" w:eastAsia="宋体" w:cs="宋体"/>
                <w:color w:val="auto"/>
                <w:sz w:val="24"/>
                <w:highlight w:val="none"/>
              </w:rPr>
              <w:t>手动</w:t>
            </w:r>
            <w:r>
              <w:rPr>
                <w:rFonts w:hint="eastAsia" w:ascii="宋体" w:hAnsi="宋体" w:eastAsia="宋体" w:cs="宋体"/>
                <w:snapToGrid w:val="0"/>
                <w:color w:val="auto"/>
                <w:sz w:val="24"/>
                <w:highlight w:val="none"/>
              </w:rPr>
              <w:t>盘车</w:t>
            </w:r>
            <w:r>
              <w:rPr>
                <w:rFonts w:hint="eastAsia" w:ascii="宋体" w:hAnsi="宋体" w:eastAsia="宋体" w:cs="宋体"/>
                <w:color w:val="auto"/>
                <w:sz w:val="24"/>
                <w:highlight w:val="none"/>
              </w:rPr>
              <w:t>装置，设有最迟在该装置连接到驱动主机时起作用的电气安全装置</w:t>
            </w:r>
            <w:r>
              <w:rPr>
                <w:rFonts w:hint="eastAsia" w:ascii="宋体" w:hAnsi="宋体" w:eastAsia="宋体" w:cs="宋体"/>
                <w:snapToGrid w:val="0"/>
                <w:color w:val="auto"/>
                <w:sz w:val="24"/>
                <w:highlight w:val="none"/>
              </w:rPr>
              <w:t>。</w:t>
            </w:r>
          </w:p>
        </w:tc>
        <w:tc>
          <w:tcPr>
            <w:tcW w:w="1417" w:type="dxa"/>
            <w:vAlign w:val="center"/>
          </w:tcPr>
          <w:p w14:paraId="1DE0964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BF2838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C1CC2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C6A0EB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3BC40595">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驱动链电气安全装置</w:t>
            </w:r>
          </w:p>
        </w:tc>
        <w:tc>
          <w:tcPr>
            <w:tcW w:w="5953" w:type="dxa"/>
            <w:vAlign w:val="center"/>
          </w:tcPr>
          <w:p w14:paraId="6A170376">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检查当驱动主机驱动链过度松弛和断裂时，电气安全装置是否能够使受检设备自动停止运行，并且能够触发附加制动器动作(设有附加制动器时)</w:t>
            </w:r>
          </w:p>
        </w:tc>
        <w:tc>
          <w:tcPr>
            <w:tcW w:w="1417" w:type="dxa"/>
            <w:vAlign w:val="center"/>
          </w:tcPr>
          <w:p w14:paraId="0FECBA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7A8A7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7C665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662B94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346BCF10">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出入口防护装置</w:t>
            </w:r>
          </w:p>
        </w:tc>
        <w:tc>
          <w:tcPr>
            <w:tcW w:w="5953" w:type="dxa"/>
            <w:vAlign w:val="center"/>
          </w:tcPr>
          <w:p w14:paraId="26F3579B">
            <w:pPr>
              <w:pStyle w:val="13"/>
              <w:spacing w:line="24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对于人员在出入口可能接触到扶手带的外缘并且引起危险的区域，检查是否设置能够阻止乘客进入该区域的永久固定的防护装置，或者符合以下要求的永久固定的防护装置[对于未按照 TSG T7001-2023对出入口防护装置进行过监督检验的，允许只满足下列第(1)项要求]：</w:t>
            </w:r>
          </w:p>
          <w:p w14:paraId="60749106">
            <w:pPr>
              <w:pStyle w:val="13"/>
              <w:spacing w:line="320" w:lineRule="atLeas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(1)至少高出扶手带100mm，位于扶手带外缘80mm～120mm处；</w:t>
            </w:r>
          </w:p>
          <w:p w14:paraId="72EC8A76">
            <w:pPr>
              <w:pStyle w:val="13"/>
              <w:spacing w:line="320" w:lineRule="atLeas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(2)从楼层板起高度不小于1100mm。</w:t>
            </w:r>
          </w:p>
        </w:tc>
        <w:tc>
          <w:tcPr>
            <w:tcW w:w="1417" w:type="dxa"/>
            <w:vAlign w:val="center"/>
          </w:tcPr>
          <w:p w14:paraId="7788D7A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31E0E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140445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498A3C8E">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防护挡板</w:t>
            </w:r>
          </w:p>
        </w:tc>
        <w:tc>
          <w:tcPr>
            <w:tcW w:w="5953" w:type="dxa"/>
            <w:vAlign w:val="center"/>
          </w:tcPr>
          <w:p w14:paraId="5741FF1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建筑障碍物会引起人员伤害的，检查是否采取了预防措施。受检设备与楼板有交叉或者受检设备之间有交叉的、检查交叉处是否设有垂直固定、无锐利边缘的封闭防护挡板，其位于扶手带上方的防护高度不小于0.30m，并且延伸至扶手带下缘以下至少25mm。扶手带外缘与任何障碍物之间的距离不小于400mm的，可以不设置防护挡板。</w:t>
            </w:r>
          </w:p>
        </w:tc>
        <w:tc>
          <w:tcPr>
            <w:tcW w:w="1417" w:type="dxa"/>
            <w:vAlign w:val="center"/>
          </w:tcPr>
          <w:p w14:paraId="19E4A1C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7577B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324F69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1C148AC6">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连续输送保护</w:t>
            </w:r>
          </w:p>
        </w:tc>
        <w:tc>
          <w:tcPr>
            <w:tcW w:w="5953" w:type="dxa"/>
            <w:vAlign w:val="center"/>
          </w:tcPr>
          <w:p w14:paraId="5B1C7CD5">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(1)具有相同的输送能力并且同方向运行；</w:t>
            </w:r>
          </w:p>
          <w:p w14:paraId="6EEDEC5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(2)在梯级、踏板或者胶带到达梳齿与踏面相交线之前2.00m～3.00m处，设有乘客易于触及的附加紧急停止开关；</w:t>
            </w:r>
          </w:p>
          <w:p w14:paraId="3890B43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(3)当其中一台受检设备停止运行时，其他继续运行可能造成人流拥堵的设备也停止运行。</w:t>
            </w:r>
          </w:p>
        </w:tc>
        <w:tc>
          <w:tcPr>
            <w:tcW w:w="1417" w:type="dxa"/>
            <w:vAlign w:val="center"/>
          </w:tcPr>
          <w:p w14:paraId="225DE64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8131B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21A30F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01D661F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检修盖板与楼层板</w:t>
            </w:r>
          </w:p>
        </w:tc>
        <w:tc>
          <w:tcPr>
            <w:tcW w:w="5953" w:type="dxa"/>
            <w:vAlign w:val="center"/>
          </w:tcPr>
          <w:p w14:paraId="1879AEA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(1)检修盖板与楼层板的安装和固定能够防止人员踩踏或者自重作用而导致的倾覆、翻转。</w:t>
            </w:r>
          </w:p>
          <w:p w14:paraId="0F2D252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监测检修盖板和楼层板的电气安全装置能够在移除任何一块检修盖板或者楼层板时动作，对于机械结构能够保证只能先移除某块检修盖板或者楼层板的，至少在移除该块检修盖板或者楼层板后电气安全装置动作。</w:t>
            </w:r>
          </w:p>
        </w:tc>
        <w:tc>
          <w:tcPr>
            <w:tcW w:w="1417" w:type="dxa"/>
            <w:vAlign w:val="center"/>
          </w:tcPr>
          <w:p w14:paraId="51F7A27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42059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89F41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011638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34" w:type="dxa"/>
            <w:vAlign w:val="center"/>
          </w:tcPr>
          <w:p w14:paraId="1624B7FF">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梳齿与梳齿板</w:t>
            </w:r>
          </w:p>
        </w:tc>
        <w:tc>
          <w:tcPr>
            <w:tcW w:w="5953" w:type="dxa"/>
            <w:vAlign w:val="center"/>
          </w:tcPr>
          <w:p w14:paraId="19B365B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(1)梳齿板梳齿完好，无缺损；</w:t>
            </w:r>
          </w:p>
          <w:p w14:paraId="1251DA2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(2)梳齿板梳齿与踏面齿槽的啮合深度至少为4mm，梳齿槽根部与踏面的间隙不超过4mm；</w:t>
            </w:r>
          </w:p>
          <w:p w14:paraId="692BA8C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(3)梯级或者踏板进入梳齿板处有异物卡入，并且梳齿与梯级或者踏板不能正常啮合而导致梳齿板与梯级或者踏板发生碰撞时，受检设备能够自动停止运行。</w:t>
            </w:r>
          </w:p>
        </w:tc>
        <w:tc>
          <w:tcPr>
            <w:tcW w:w="1417" w:type="dxa"/>
            <w:vAlign w:val="center"/>
          </w:tcPr>
          <w:p w14:paraId="4AF65EC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2E0512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099F41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34" w:type="dxa"/>
            <w:vAlign w:val="center"/>
          </w:tcPr>
          <w:p w14:paraId="6D367950">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紧急停止开关</w:t>
            </w:r>
          </w:p>
        </w:tc>
        <w:tc>
          <w:tcPr>
            <w:tcW w:w="5953" w:type="dxa"/>
            <w:vAlign w:val="center"/>
          </w:tcPr>
          <w:p w14:paraId="5DD8D32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6"/>
                <w:sz w:val="24"/>
                <w:highlight w:val="none"/>
              </w:rPr>
              <w:t>受检设备出入口附近设有紧急停止开关，必要时增设附加紧急停止开关，以使紧急停止开关之间的距离不超过30m(适用于自动扶梯)或者40m(适用于自动人行道)</w:t>
            </w:r>
            <w:r>
              <w:rPr>
                <w:rFonts w:hint="eastAsia" w:ascii="宋体" w:hAnsi="宋体" w:eastAsia="宋体" w:cs="宋体"/>
                <w:color w:val="auto"/>
                <w:sz w:val="24"/>
                <w:highlight w:val="none"/>
              </w:rPr>
              <w:t>；</w:t>
            </w:r>
          </w:p>
          <w:p w14:paraId="622A020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(2)各紧急停止开关标识清晰，对于位于扶手装置高度1/2以下的紧急停止开关，在扶手装置高度1/2以上的醒目位置还设有直径至少为80mm的红底白字“急停”指示标记，箭头指向该开关。</w:t>
            </w:r>
          </w:p>
        </w:tc>
        <w:tc>
          <w:tcPr>
            <w:tcW w:w="1417" w:type="dxa"/>
            <w:vAlign w:val="center"/>
          </w:tcPr>
          <w:p w14:paraId="009D4FA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现场观察确认、测量相关数据并试验验证</w:t>
            </w:r>
          </w:p>
        </w:tc>
      </w:tr>
      <w:tr w14:paraId="1A0A79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3AE521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34" w:type="dxa"/>
            <w:vAlign w:val="center"/>
          </w:tcPr>
          <w:p w14:paraId="218FC34A">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防爬装置</w:t>
            </w:r>
          </w:p>
        </w:tc>
        <w:tc>
          <w:tcPr>
            <w:tcW w:w="5953" w:type="dxa"/>
            <w:vAlign w:val="center"/>
          </w:tcPr>
          <w:p w14:paraId="2343ACF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人员能够爬上外盖板并且存在跌落风险的，检查在受检设备的外盖板上是否装设了符合以下要求的防爬装置：</w:t>
            </w:r>
          </w:p>
          <w:p w14:paraId="764E341C">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(1)在位于地平面上方1000mm土50mm处；</w:t>
            </w:r>
          </w:p>
          <w:p w14:paraId="3132123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(2)其高度至少与扶手带表面齐平，下部与外盖板相交，平行于外盖板方向上的延伸长度不小于1000mm，并且在此长度范围内无踩脚处。</w:t>
            </w:r>
          </w:p>
        </w:tc>
        <w:tc>
          <w:tcPr>
            <w:tcW w:w="1417" w:type="dxa"/>
            <w:vAlign w:val="center"/>
          </w:tcPr>
          <w:p w14:paraId="68F1A9C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262FD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EDA7D2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34" w:type="dxa"/>
            <w:vAlign w:val="center"/>
          </w:tcPr>
          <w:p w14:paraId="3F00AA32">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安全标志</w:t>
            </w:r>
          </w:p>
        </w:tc>
        <w:tc>
          <w:tcPr>
            <w:tcW w:w="5953" w:type="dxa"/>
            <w:vAlign w:val="center"/>
          </w:tcPr>
          <w:p w14:paraId="178E164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在受检设备出入口附近设有包括必须拉住小孩、必须抱着宠物、必须握住扶手带和禁止使用非专用手推车等内容的安全乘用图形标志。</w:t>
            </w:r>
          </w:p>
        </w:tc>
        <w:tc>
          <w:tcPr>
            <w:tcW w:w="1417" w:type="dxa"/>
            <w:vAlign w:val="center"/>
          </w:tcPr>
          <w:p w14:paraId="40F8B08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F98062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4CEAF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503E01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34" w:type="dxa"/>
            <w:vAlign w:val="center"/>
          </w:tcPr>
          <w:p w14:paraId="50B7B29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扶手带速度监测装置</w:t>
            </w:r>
          </w:p>
        </w:tc>
        <w:tc>
          <w:tcPr>
            <w:tcW w:w="5953" w:type="dxa"/>
            <w:vAlign w:val="center"/>
          </w:tcPr>
          <w:p w14:paraId="324BDA9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检查当扶手带速度与梯级、踏板或者胶带实际速度偏差最大超过15%，并且持续时间在5s～15s范围内时，扶手带速度监测装置是否能够使受检设备自动停止运行。</w:t>
            </w:r>
          </w:p>
        </w:tc>
        <w:tc>
          <w:tcPr>
            <w:tcW w:w="1417" w:type="dxa"/>
            <w:vAlign w:val="center"/>
          </w:tcPr>
          <w:p w14:paraId="230ED85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B8E152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93DDF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82B85F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134" w:type="dxa"/>
            <w:vAlign w:val="center"/>
          </w:tcPr>
          <w:p w14:paraId="68BE36A1">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扶手装置</w:t>
            </w:r>
          </w:p>
        </w:tc>
        <w:tc>
          <w:tcPr>
            <w:tcW w:w="5953" w:type="dxa"/>
            <w:vAlign w:val="center"/>
          </w:tcPr>
          <w:p w14:paraId="6442B4A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(1)扶手带完好，表面无龟裂、剥离、严重磨损，扶手带单一开裂处最大裂纹宽度不大于3mm；</w:t>
            </w:r>
          </w:p>
          <w:p w14:paraId="6E192F4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(2)扶手转向端入口处的最低点与地板之间的垂直距离不小于0.10m，并且不大于0.25 m。</w:t>
            </w:r>
          </w:p>
          <w:p w14:paraId="5738857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(3)朝向梯级、踏板或者胶带一侧的部分光滑、平齐；装设方向与运行方向不一致的压条或者镶条凸出高度不大于3mm，其边缘呈圆角或者倒角状；沿运行方向的盖板连接处结构能够防止勾绊；</w:t>
            </w:r>
          </w:p>
          <w:p w14:paraId="2E6641F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(4)扶手带入口保护装置功能有效。</w:t>
            </w:r>
          </w:p>
        </w:tc>
        <w:tc>
          <w:tcPr>
            <w:tcW w:w="1417" w:type="dxa"/>
            <w:vAlign w:val="center"/>
          </w:tcPr>
          <w:p w14:paraId="23FD58A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D4C9A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5AC330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134" w:type="dxa"/>
            <w:vAlign w:val="center"/>
          </w:tcPr>
          <w:p w14:paraId="1A2EC49A">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阻挡装置</w:t>
            </w:r>
          </w:p>
        </w:tc>
        <w:tc>
          <w:tcPr>
            <w:tcW w:w="5953" w:type="dxa"/>
            <w:vAlign w:val="center"/>
          </w:tcPr>
          <w:p w14:paraId="0F3903BE">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与墙相邻并且外盖板的宽度大于125mm的受检设备，或者相邻平行布置并且共用外盖板的宽度大于125mm的自动扶梯或者倾斜的自动人行道，检查在上、下端部装设的阻挡装置是否能够防止人员进入外盖板区域，并且延伸到高度距离扶手带下缘25mm～150mm处。</w:t>
            </w:r>
          </w:p>
        </w:tc>
        <w:tc>
          <w:tcPr>
            <w:tcW w:w="1417" w:type="dxa"/>
            <w:vAlign w:val="center"/>
          </w:tcPr>
          <w:p w14:paraId="1951418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21D7B2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568" w:type="dxa"/>
            <w:vAlign w:val="center"/>
          </w:tcPr>
          <w:p w14:paraId="5ED14B3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134" w:type="dxa"/>
            <w:vAlign w:val="center"/>
          </w:tcPr>
          <w:p w14:paraId="1E3F67D5">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防滑行</w:t>
            </w:r>
          </w:p>
          <w:p w14:paraId="017F0A9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装置</w:t>
            </w:r>
          </w:p>
        </w:tc>
        <w:tc>
          <w:tcPr>
            <w:tcW w:w="5953" w:type="dxa"/>
            <w:vAlign w:val="center"/>
          </w:tcPr>
          <w:p w14:paraId="01C6A6F1">
            <w:pPr>
              <w:spacing w:line="32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自动扶梯或者倾斜的自动人行道和相邻的墙之间装有接近扶手带高度的扶手盖板，并且建筑物(墙)和扶手带中心线之间的距离大于300mm时，或者相邻自动扶梯或者倾斜的自动人行道的扶手带中心线之间的距离大于400mm时，检查在扶手盖板上装设的防滑行装置是否无锐角或者锐边，与扶手带的距离不小于100mm，并且防滑行装置之间的间隔距离不大于1800mm，高度不小于20mm。</w:t>
            </w:r>
          </w:p>
        </w:tc>
        <w:tc>
          <w:tcPr>
            <w:tcW w:w="1417" w:type="dxa"/>
            <w:vAlign w:val="center"/>
          </w:tcPr>
          <w:p w14:paraId="3CFF1B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30D9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AE4065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134" w:type="dxa"/>
            <w:vAlign w:val="center"/>
          </w:tcPr>
          <w:p w14:paraId="48D4FBA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围裙板与梯级、踏板间隙</w:t>
            </w:r>
          </w:p>
        </w:tc>
        <w:tc>
          <w:tcPr>
            <w:tcW w:w="5953" w:type="dxa"/>
            <w:vAlign w:val="center"/>
          </w:tcPr>
          <w:p w14:paraId="2DC7BFE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(1)任何一侧的水平间隙不大于4mm，并且两侧对称位置处的间隙总和不大于7mm；</w:t>
            </w:r>
          </w:p>
          <w:p w14:paraId="63194F7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(2)围裙板设置在踏板之上时，踏板表面与围裙板下端的垂直间隙不大于4mm，踏板侧边与围裙板垂直投影间不产生间隙。</w:t>
            </w:r>
          </w:p>
        </w:tc>
        <w:tc>
          <w:tcPr>
            <w:tcW w:w="1417" w:type="dxa"/>
            <w:vAlign w:val="center"/>
          </w:tcPr>
          <w:p w14:paraId="5D0A669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CA775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B51A87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134" w:type="dxa"/>
            <w:vAlign w:val="center"/>
          </w:tcPr>
          <w:p w14:paraId="36B80232">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围裙板防夹装置</w:t>
            </w:r>
          </w:p>
        </w:tc>
        <w:tc>
          <w:tcPr>
            <w:tcW w:w="5953" w:type="dxa"/>
            <w:vAlign w:val="center"/>
          </w:tcPr>
          <w:p w14:paraId="4C38F77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(1)无松动、缺损等现象；</w:t>
            </w:r>
          </w:p>
          <w:p w14:paraId="407AEFD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(2)端点位于梳齿与踏面相交线前(梯级侧)不小于50mm，但不大于150mm的位置。</w:t>
            </w:r>
          </w:p>
        </w:tc>
        <w:tc>
          <w:tcPr>
            <w:tcW w:w="1417" w:type="dxa"/>
            <w:vAlign w:val="center"/>
          </w:tcPr>
          <w:p w14:paraId="474EFF5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6032A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F6097E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34" w:type="dxa"/>
            <w:vAlign w:val="center"/>
          </w:tcPr>
          <w:p w14:paraId="37AFD70D">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围裙板防夹开关</w:t>
            </w:r>
          </w:p>
        </w:tc>
        <w:tc>
          <w:tcPr>
            <w:tcW w:w="5953" w:type="dxa"/>
            <w:vAlign w:val="center"/>
          </w:tcPr>
          <w:p w14:paraId="6FD9E3A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对于设有围裙板防夹开关的自动扶梯，检查夹入梯级和围裙板之间的异物最迟到达围裙板防夹开关处时，该开关是否能够有效动作，使自动扶梯在该梯级到达梳齿板前自动停止运行。</w:t>
            </w:r>
          </w:p>
        </w:tc>
        <w:tc>
          <w:tcPr>
            <w:tcW w:w="1417" w:type="dxa"/>
            <w:vAlign w:val="center"/>
          </w:tcPr>
          <w:p w14:paraId="14FFD7B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检查人员现场观察确认</w:t>
            </w:r>
          </w:p>
        </w:tc>
      </w:tr>
      <w:tr w14:paraId="15D1B8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28CB69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134" w:type="dxa"/>
            <w:vAlign w:val="center"/>
          </w:tcPr>
          <w:p w14:paraId="5B465FDA">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梯级、踏板（胶带）</w:t>
            </w:r>
          </w:p>
        </w:tc>
        <w:tc>
          <w:tcPr>
            <w:tcW w:w="5953" w:type="dxa"/>
            <w:vAlign w:val="center"/>
          </w:tcPr>
          <w:p w14:paraId="35D81E9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(1)梯级、踏板或者胶带完好，无破损；</w:t>
            </w:r>
          </w:p>
          <w:p w14:paraId="3F1A4C0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工作区段内的任何位置，从踏面测得的两个相邻梯级或者踏板之间的间隙不大于6mm；在自动人行道过渡曲线区段、如果踏板的前缘和相邻踏板的后缘啮合，其间隙允许增至8mm（现场检查至少抽取20%的课件梯级或者踏板测量相应的间隙）。</w:t>
            </w:r>
          </w:p>
        </w:tc>
        <w:tc>
          <w:tcPr>
            <w:tcW w:w="1417" w:type="dxa"/>
            <w:vAlign w:val="center"/>
          </w:tcPr>
          <w:p w14:paraId="6EE3020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25385C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9ABB73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134" w:type="dxa"/>
            <w:vAlign w:val="center"/>
          </w:tcPr>
          <w:p w14:paraId="3B9F8C0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梯级、踏板下陷</w:t>
            </w:r>
          </w:p>
          <w:p w14:paraId="72CC7981">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保护</w:t>
            </w:r>
          </w:p>
        </w:tc>
        <w:tc>
          <w:tcPr>
            <w:tcW w:w="5953" w:type="dxa"/>
            <w:vAlign w:val="center"/>
          </w:tcPr>
          <w:p w14:paraId="295E3F3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抽查现场由施工或者维护保养单位卸除1～2个梯级或者踏板，将缺口检修运行至电气安全装置处，检查电气安全装置至梳齿与踏面相交线的距离是否大于工作制动器的最大制停距离：该装置动作后，是否能够使受检设备停止运行；故障锁定功能是否保持有效。</w:t>
            </w:r>
          </w:p>
        </w:tc>
        <w:tc>
          <w:tcPr>
            <w:tcW w:w="1417" w:type="dxa"/>
            <w:vAlign w:val="center"/>
          </w:tcPr>
          <w:p w14:paraId="1FAB72C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F5E06D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624E1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E3A417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134" w:type="dxa"/>
            <w:vAlign w:val="center"/>
          </w:tcPr>
          <w:p w14:paraId="1BEECC0D">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非操纵逆转保护</w:t>
            </w:r>
          </w:p>
        </w:tc>
        <w:tc>
          <w:tcPr>
            <w:tcW w:w="5953" w:type="dxa"/>
            <w:vAlign w:val="center"/>
          </w:tcPr>
          <w:p w14:paraId="3316C366">
            <w:pPr>
              <w:spacing w:line="320" w:lineRule="exact"/>
              <w:rPr>
                <w:rFonts w:hint="eastAsia" w:ascii="宋体" w:hAnsi="宋体" w:eastAsia="宋体" w:cs="宋体"/>
                <w:color w:val="auto"/>
                <w:highlight w:val="none"/>
              </w:rPr>
            </w:pPr>
            <w:r>
              <w:rPr>
                <w:rFonts w:hint="eastAsia" w:ascii="宋体" w:hAnsi="宋体" w:eastAsia="宋体" w:cs="宋体"/>
                <w:color w:val="auto"/>
                <w:spacing w:val="-6"/>
                <w:highlight w:val="none"/>
              </w:rPr>
              <w:t>检查梯级、踏板或者胶带改变规定运行方向时，非操纵逆转保护装置是否能够使自动扶梯或者倾斜角不小于6°的自动人行道自动停止运行；故障锁定功能是否保持有效。</w:t>
            </w:r>
          </w:p>
        </w:tc>
        <w:tc>
          <w:tcPr>
            <w:tcW w:w="1417" w:type="dxa"/>
            <w:vAlign w:val="center"/>
          </w:tcPr>
          <w:p w14:paraId="0B52EE2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7864C2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1CCEB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FF8D53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134" w:type="dxa"/>
            <w:vAlign w:val="center"/>
          </w:tcPr>
          <w:p w14:paraId="581960B9">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梯级、踏板缺失</w:t>
            </w:r>
          </w:p>
          <w:p w14:paraId="60A071B2">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保护</w:t>
            </w:r>
          </w:p>
        </w:tc>
        <w:tc>
          <w:tcPr>
            <w:tcW w:w="5953" w:type="dxa"/>
            <w:vAlign w:val="center"/>
          </w:tcPr>
          <w:p w14:paraId="0636A75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抽查现场由施工或者维护保养单位卸除1个梯级或者踏板，将缺口运行至返回分支内与回转段下部相接的直线段位置，正常启动受检设备上行和下行，检查人员分别确认缺口到达梳齿板位置之前，电气安全装置是否能够使受检设备自动停止运行；故障锁定功能是否保持有效。</w:t>
            </w:r>
          </w:p>
        </w:tc>
        <w:tc>
          <w:tcPr>
            <w:tcW w:w="1417" w:type="dxa"/>
            <w:vAlign w:val="center"/>
          </w:tcPr>
          <w:p w14:paraId="79BF4B4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AB7372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6C695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D60528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134" w:type="dxa"/>
            <w:vAlign w:val="center"/>
          </w:tcPr>
          <w:p w14:paraId="034B556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驱动元件保护</w:t>
            </w:r>
          </w:p>
        </w:tc>
        <w:tc>
          <w:tcPr>
            <w:tcW w:w="5953" w:type="dxa"/>
            <w:vAlign w:val="center"/>
          </w:tcPr>
          <w:p w14:paraId="7C18C92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检查直接驱动梯级、踏板或者胶带的元件断裂或者过分伸长时，受检设备是否能够自动停止运行；故障锁定功能是否保持有效。</w:t>
            </w:r>
          </w:p>
        </w:tc>
        <w:tc>
          <w:tcPr>
            <w:tcW w:w="1417" w:type="dxa"/>
            <w:vAlign w:val="center"/>
          </w:tcPr>
          <w:p w14:paraId="5DEAC5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2A1DDC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5CE43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B58B6A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134" w:type="dxa"/>
            <w:vAlign w:val="center"/>
          </w:tcPr>
          <w:p w14:paraId="45640EEB">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距离缩短保护</w:t>
            </w:r>
          </w:p>
        </w:tc>
        <w:tc>
          <w:tcPr>
            <w:tcW w:w="5953" w:type="dxa"/>
            <w:vAlign w:val="center"/>
          </w:tcPr>
          <w:p w14:paraId="2A9D16BA">
            <w:pPr>
              <w:pStyle w:val="113"/>
              <w:spacing w:line="320" w:lineRule="exact"/>
              <w:ind w:firstLine="0" w:firstLineChars="0"/>
              <w:rPr>
                <w:rFonts w:hint="eastAsia" w:hAnsi="宋体" w:cs="宋体"/>
                <w:color w:val="auto"/>
                <w:sz w:val="24"/>
                <w:szCs w:val="24"/>
                <w:highlight w:val="none"/>
              </w:rPr>
            </w:pPr>
            <w:r>
              <w:rPr>
                <w:rFonts w:hint="eastAsia" w:hAnsi="宋体" w:cs="宋体"/>
                <w:color w:val="auto"/>
                <w:sz w:val="24"/>
                <w:szCs w:val="24"/>
                <w:highlight w:val="none"/>
              </w:rPr>
              <w:t>检查驱动装置与转向装置之间的距离发生过分伸长或者缩短时，受检设备是否能够自动停止运行。</w:t>
            </w:r>
          </w:p>
        </w:tc>
        <w:tc>
          <w:tcPr>
            <w:tcW w:w="1417" w:type="dxa"/>
            <w:vAlign w:val="center"/>
          </w:tcPr>
          <w:p w14:paraId="677DB0B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BF234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DA667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4EEF69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134" w:type="dxa"/>
            <w:vAlign w:val="center"/>
          </w:tcPr>
          <w:p w14:paraId="5E776AA7">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运行试验</w:t>
            </w:r>
          </w:p>
        </w:tc>
        <w:tc>
          <w:tcPr>
            <w:tcW w:w="5953" w:type="dxa"/>
            <w:vAlign w:val="center"/>
          </w:tcPr>
          <w:p w14:paraId="26437A6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(1)对于由使用者的进入而自动启动或者加速的受检设备，观察在使用者到达梳齿与踏面相交线之前，受检设备是否已经启动和加速，其运行方向标识是否正确并且清晰可见；</w:t>
            </w:r>
          </w:p>
          <w:p w14:paraId="05BBDDA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由使用者的进入而自动启动的受检设备，观察、测量当使用者从预定运行方向进入时，是否经过足够的时间(至少为预期输送时间再加上10s)才能自动停止运行：当使用者从预定运行方向相反的方向进入时，是否仍按照预先确定的方向启动，运行时间不少于10s；</w:t>
            </w:r>
          </w:p>
          <w:p w14:paraId="1332D21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(3)受检设备空载，以正常速度进行两个方向的连续运行，观察其是否运行平稳，无异常碰擦、干涉、松动、抖动和声响。</w:t>
            </w:r>
          </w:p>
        </w:tc>
        <w:tc>
          <w:tcPr>
            <w:tcW w:w="1417" w:type="dxa"/>
            <w:vAlign w:val="center"/>
          </w:tcPr>
          <w:p w14:paraId="1FB1A8D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2E128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3DEFE8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134" w:type="dxa"/>
            <w:vAlign w:val="center"/>
          </w:tcPr>
          <w:p w14:paraId="4CD6B84A">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扶手带运行速度偏差试验</w:t>
            </w:r>
          </w:p>
        </w:tc>
        <w:tc>
          <w:tcPr>
            <w:tcW w:w="5953" w:type="dxa"/>
            <w:vAlign w:val="center"/>
          </w:tcPr>
          <w:p w14:paraId="6468BA7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受检设备空载，分别测量、计算两个方向的扶手带运行速度相对于梯级、踏板或者胶带实际速度的偏差，判断其是否在0％～＋2%范围内。</w:t>
            </w:r>
          </w:p>
        </w:tc>
        <w:tc>
          <w:tcPr>
            <w:tcW w:w="1417" w:type="dxa"/>
            <w:vAlign w:val="center"/>
          </w:tcPr>
          <w:p w14:paraId="20C70B7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F0F23E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0206B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2E2C4A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134" w:type="dxa"/>
            <w:vAlign w:val="center"/>
          </w:tcPr>
          <w:p w14:paraId="709DFC0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制停距离试验</w:t>
            </w:r>
          </w:p>
        </w:tc>
        <w:tc>
          <w:tcPr>
            <w:tcW w:w="5953" w:type="dxa"/>
            <w:vAlign w:val="center"/>
          </w:tcPr>
          <w:p w14:paraId="77DB54F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（1）自动扶梯制停距离：</w:t>
            </w:r>
          </w:p>
          <w:p w14:paraId="34576445">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名义速度      制停距离范围</w:t>
            </w:r>
          </w:p>
          <w:p w14:paraId="17AE6B22">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0.50m/s       0.20m～1.00m</w:t>
            </w:r>
          </w:p>
          <w:p w14:paraId="1950B672">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0.65m/s       0.30m～1.30m</w:t>
            </w:r>
          </w:p>
          <w:p w14:paraId="4873E4A4">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0.75m/s       0.40m～1.50m</w:t>
            </w:r>
          </w:p>
          <w:p w14:paraId="21174E6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（2）自动人行道制停距离</w:t>
            </w:r>
          </w:p>
          <w:p w14:paraId="1626C12C">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名义速度      制停距离范围</w:t>
            </w:r>
          </w:p>
          <w:p w14:paraId="67CD77F8">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0.50m/s       0.20m～1.00m</w:t>
            </w:r>
          </w:p>
          <w:p w14:paraId="50804DC5">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0.65m/s       0.30m～1.30m</w:t>
            </w:r>
          </w:p>
          <w:p w14:paraId="65344EE3">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0.75m/s       0.40m～1.50m</w:t>
            </w:r>
          </w:p>
          <w:p w14:paraId="22C34FE1">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0.90m/s       0.55m～1.70m</w:t>
            </w:r>
          </w:p>
        </w:tc>
        <w:tc>
          <w:tcPr>
            <w:tcW w:w="1417" w:type="dxa"/>
            <w:vAlign w:val="center"/>
          </w:tcPr>
          <w:p w14:paraId="39DC366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现场观察确认、测量相关数据并试验验证</w:t>
            </w:r>
          </w:p>
        </w:tc>
      </w:tr>
      <w:tr w14:paraId="724D1D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6D77BB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134" w:type="dxa"/>
            <w:vAlign w:val="center"/>
          </w:tcPr>
          <w:p w14:paraId="13B2FC2C">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附加制动器试验</w:t>
            </w:r>
          </w:p>
        </w:tc>
        <w:tc>
          <w:tcPr>
            <w:tcW w:w="5953" w:type="dxa"/>
            <w:vAlign w:val="center"/>
          </w:tcPr>
          <w:p w14:paraId="5480D6C9">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(1)检查在附加制动器动作开始时是否能够强制切断控制电路；</w:t>
            </w:r>
          </w:p>
          <w:p w14:paraId="6DBCBCB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自动扶梯监督检验时，将总制动载荷均匀分布在上部2/3的可见梯级上进行试验：自动人行道监督检验以及受检设备定期检验时，进行空载试验。在工作制动器松开状态下，受检设备下行时触发附加制动器动作，观察附加制动器是否能够使受检设备可靠制停；</w:t>
            </w:r>
          </w:p>
          <w:p w14:paraId="7CA01D8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(3)如果受检设备设有两个及以上驱动主机，并且采用工作制动器互为附加制动器时，检查每一制动器是否均符合本条第(1)和第(2)项的要求。</w:t>
            </w:r>
          </w:p>
        </w:tc>
        <w:tc>
          <w:tcPr>
            <w:tcW w:w="1417" w:type="dxa"/>
            <w:vAlign w:val="center"/>
          </w:tcPr>
          <w:p w14:paraId="2598CF1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bl>
    <w:p w14:paraId="137C9AF6">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注：自动扶梯与自动人行道检验质量监督抽查项目包含但不限于以上内容，项目1-31项为自动扶梯与自动人行道定期检验项目。检验质量监督抽查现场根据被抽查电梯实际情况，依据《电梯监督检验和定期检验规则》（TSG T 7001-2023）规定的相关项目进行监督抽查。</w:t>
      </w:r>
    </w:p>
    <w:p w14:paraId="2E519B6C">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（三）电梯检测质量监督抽查项目内容及方法要求</w:t>
      </w:r>
    </w:p>
    <w:p w14:paraId="0BC43FBA">
      <w:pPr>
        <w:spacing w:line="576"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1.各类乘客与载货电梯</w:t>
      </w:r>
    </w:p>
    <w:tbl>
      <w:tblPr>
        <w:tblStyle w:val="33"/>
        <w:tblW w:w="907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134"/>
        <w:gridCol w:w="5953"/>
        <w:gridCol w:w="1417"/>
      </w:tblGrid>
      <w:tr w14:paraId="3C871C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8" w:type="dxa"/>
            <w:vAlign w:val="center"/>
          </w:tcPr>
          <w:p w14:paraId="02CD6C9C">
            <w:pPr>
              <w:spacing w:line="24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34" w:type="dxa"/>
            <w:vAlign w:val="center"/>
          </w:tcPr>
          <w:p w14:paraId="1DCC4C54">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953" w:type="dxa"/>
            <w:vAlign w:val="center"/>
          </w:tcPr>
          <w:p w14:paraId="4198FA13">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抽查内容及要求</w:t>
            </w:r>
          </w:p>
        </w:tc>
        <w:tc>
          <w:tcPr>
            <w:tcW w:w="1417" w:type="dxa"/>
            <w:vAlign w:val="center"/>
          </w:tcPr>
          <w:p w14:paraId="24BE874A">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监督抽查</w:t>
            </w:r>
          </w:p>
          <w:p w14:paraId="3C58FA4C">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方法</w:t>
            </w:r>
          </w:p>
        </w:tc>
      </w:tr>
      <w:tr w14:paraId="1E6CC8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656EA3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6F63BA5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技术资料</w:t>
            </w:r>
          </w:p>
        </w:tc>
        <w:tc>
          <w:tcPr>
            <w:tcW w:w="5953" w:type="dxa"/>
            <w:vAlign w:val="center"/>
          </w:tcPr>
          <w:p w14:paraId="5FF143B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审查电梯使用单位是否提供以下适用于受检电梯的资料：</w:t>
            </w:r>
          </w:p>
          <w:p w14:paraId="45BFE40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(1)电气原理图、液压系统原理图、安装使用维护保养说明书、检验和检测报告；</w:t>
            </w:r>
          </w:p>
          <w:p w14:paraId="6D9CAA6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(2)日常使用状况记录、维护保养记录、运行故障和事故记录。</w:t>
            </w:r>
          </w:p>
        </w:tc>
        <w:tc>
          <w:tcPr>
            <w:tcW w:w="1417" w:type="dxa"/>
            <w:vAlign w:val="center"/>
          </w:tcPr>
          <w:p w14:paraId="2E4115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现场审查</w:t>
            </w:r>
          </w:p>
          <w:p w14:paraId="11D11DB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6B6D47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E61F37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1EC6E74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通道及</w:t>
            </w:r>
          </w:p>
          <w:p w14:paraId="4FA2E1E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照明</w:t>
            </w:r>
          </w:p>
        </w:tc>
        <w:tc>
          <w:tcPr>
            <w:tcW w:w="5953" w:type="dxa"/>
            <w:vAlign w:val="center"/>
          </w:tcPr>
          <w:p w14:paraId="36C1890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(1)通往机器空间的通道保持通畅，相关人员能够安全、方便、无阻碍地使用，如果通往机器空间的通道高出楼梯所到平面不超过4.0m，可以采用固定的梯子作为通道；</w:t>
            </w:r>
          </w:p>
          <w:p w14:paraId="39B396A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(2)进入机器空间的门附近的通道设有永久性电气照明。</w:t>
            </w:r>
          </w:p>
        </w:tc>
        <w:tc>
          <w:tcPr>
            <w:tcW w:w="1417" w:type="dxa"/>
            <w:vAlign w:val="center"/>
          </w:tcPr>
          <w:p w14:paraId="39A78A3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E87DA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A5CE13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38384A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机房通道门及警示标志</w:t>
            </w:r>
          </w:p>
        </w:tc>
        <w:tc>
          <w:tcPr>
            <w:tcW w:w="5953" w:type="dxa"/>
            <w:vAlign w:val="center"/>
          </w:tcPr>
          <w:p w14:paraId="62893CF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(1)机房通道门不能向机房内开启，其高度不小于1.80m，宽度不小于0.60m，门上装有用钥匙开启的锁，门开启后不用钥匙能够将其关闭和锁住，门锁住后不用钥匙能够从机房内将门打开；</w:t>
            </w:r>
          </w:p>
          <w:p w14:paraId="45F449D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(2)机房通道门外侧设有包含“电梯机器——危险﹑未经允许禁止入内”文字的警示标志。</w:t>
            </w:r>
          </w:p>
        </w:tc>
        <w:tc>
          <w:tcPr>
            <w:tcW w:w="1417" w:type="dxa"/>
            <w:vAlign w:val="center"/>
          </w:tcPr>
          <w:p w14:paraId="47C07C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1763E0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CCC385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4199535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并道照明</w:t>
            </w:r>
          </w:p>
        </w:tc>
        <w:tc>
          <w:tcPr>
            <w:tcW w:w="5953" w:type="dxa"/>
            <w:vAlign w:val="center"/>
          </w:tcPr>
          <w:p w14:paraId="321E26D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(1)井道内设有永久性电气照明：当部分封闭的井道附近有足够的电气照明时，井道内可以不设照明；</w:t>
            </w:r>
          </w:p>
          <w:p w14:paraId="49C3D1F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(2)斜行电梯的井道内设置永久性人行通道的，沿着人行通道设有应急照明。</w:t>
            </w:r>
          </w:p>
        </w:tc>
        <w:tc>
          <w:tcPr>
            <w:tcW w:w="1417" w:type="dxa"/>
            <w:vAlign w:val="center"/>
          </w:tcPr>
          <w:p w14:paraId="785B4A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147B7D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9B872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DB81A8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4ADE2BE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底坑设施和装置</w:t>
            </w:r>
          </w:p>
        </w:tc>
        <w:tc>
          <w:tcPr>
            <w:tcW w:w="5953" w:type="dxa"/>
            <w:vAlign w:val="center"/>
          </w:tcPr>
          <w:p w14:paraId="4847BAD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(1)底坑内设有在进入底坑时以及在底坑地面上均能够方便操作的停止装置和进入底坑时方便操作的井道照明操作装置，并且功能有效；</w:t>
            </w:r>
          </w:p>
          <w:p w14:paraId="02D806E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(2)底坑地面平整，无渗水、积水。</w:t>
            </w:r>
          </w:p>
        </w:tc>
        <w:tc>
          <w:tcPr>
            <w:tcW w:w="1417" w:type="dxa"/>
            <w:vAlign w:val="center"/>
          </w:tcPr>
          <w:p w14:paraId="348E81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A14597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0BBA1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401540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1200AFE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极限位置限制装置</w:t>
            </w:r>
          </w:p>
        </w:tc>
        <w:tc>
          <w:tcPr>
            <w:tcW w:w="5953" w:type="dxa"/>
            <w:vAlign w:val="center"/>
          </w:tcPr>
          <w:p w14:paraId="3F68652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检查极限位置限制装置是否能够在轿厢(运载装置)、对重接触缓冲器之前或者柱塞接触缓冲停止装置之前起作用，并且在缓冲器被压缩或者柱塞在缓冲停止区的期间能够保持其作用状态。</w:t>
            </w:r>
          </w:p>
        </w:tc>
        <w:tc>
          <w:tcPr>
            <w:tcW w:w="1417" w:type="dxa"/>
            <w:vAlign w:val="center"/>
          </w:tcPr>
          <w:p w14:paraId="22FDE3F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11F16D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4F18D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926E79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448FD6E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主开关</w:t>
            </w:r>
          </w:p>
        </w:tc>
        <w:tc>
          <w:tcPr>
            <w:tcW w:w="5953" w:type="dxa"/>
            <w:vAlign w:val="center"/>
          </w:tcPr>
          <w:p w14:paraId="5D331BF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检查每台电梯是否单独配置主开关，并且其不能切断轿厢照明和通风、机器空间照明、电梯井道照明以及轿顶、滑轮间和底坑电源插座的电源。</w:t>
            </w:r>
          </w:p>
        </w:tc>
        <w:tc>
          <w:tcPr>
            <w:tcW w:w="1417" w:type="dxa"/>
            <w:vAlign w:val="center"/>
          </w:tcPr>
          <w:p w14:paraId="0CC42B8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CC74D6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42C47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1D92D4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23AB3E7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进入底坑的措施</w:t>
            </w:r>
          </w:p>
        </w:tc>
        <w:tc>
          <w:tcPr>
            <w:tcW w:w="5953" w:type="dxa"/>
            <w:vAlign w:val="center"/>
          </w:tcPr>
          <w:p w14:paraId="7B88E34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(1)供人员从层门进入底坑的梯子为永久设置的固定式梯子，并且不凸入电梯的运行空间；</w:t>
            </w:r>
          </w:p>
          <w:p w14:paraId="4D83F88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(2)供人员从层门进入底坑的梯子为永久设置的非固定式梯子，如果该梯子在展开位置可能与运动部件发生碰撞，当其不在存放位置时，能够通过电气安全装置防止电梯运行；</w:t>
            </w:r>
          </w:p>
          <w:p w14:paraId="5AE235D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(3)供人员进入底坑的通道门不向底坑内开启，其高度不小于1.80m，宽度不小于0.60m (对于斜行电梯，可以采用尺寸不小于0.80m×0.80m 的活板门)，门上装有带钥匙的锁，门开启后不用钥匙能够将其关闭和锁住，门锁住后不用钥匙能够从底坑内将门打开，在井道外，通道门附近设有包含“电梯井道——危险未经允许禁止入内”文字的警示标志。</w:t>
            </w:r>
          </w:p>
        </w:tc>
        <w:tc>
          <w:tcPr>
            <w:tcW w:w="1417" w:type="dxa"/>
            <w:vAlign w:val="center"/>
          </w:tcPr>
          <w:p w14:paraId="33399C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1D54D3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1B4445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2BAED57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缓冲器</w:t>
            </w:r>
          </w:p>
        </w:tc>
        <w:tc>
          <w:tcPr>
            <w:tcW w:w="5953" w:type="dxa"/>
            <w:vAlign w:val="center"/>
          </w:tcPr>
          <w:p w14:paraId="6D40D71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(1)缓冲器无松动、明显倾斜、断裂、塑性变形、剥落、破损、严重锈蚀等现象；</w:t>
            </w:r>
          </w:p>
          <w:p w14:paraId="6B87FCB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(2)耗能型缓冲器液位正确，验证柱塞复位的电气安全装置功能有效；</w:t>
            </w:r>
          </w:p>
          <w:p w14:paraId="5AF712C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(3)对重缓冲器附近设有清晰的对重越程距离标识；</w:t>
            </w:r>
          </w:p>
          <w:p w14:paraId="5397765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(4)当轿厢位于顶层端站平层位置时，对重装置撞板与其缓冲器顶面间的距离不超过对重越程距离标识上标注的最大允许值</w:t>
            </w:r>
          </w:p>
        </w:tc>
        <w:tc>
          <w:tcPr>
            <w:tcW w:w="1417" w:type="dxa"/>
            <w:vAlign w:val="center"/>
          </w:tcPr>
          <w:p w14:paraId="74A2D31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5893F7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3A5D2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A395DB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65CC63E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断相、错相保护功能</w:t>
            </w:r>
          </w:p>
        </w:tc>
        <w:tc>
          <w:tcPr>
            <w:tcW w:w="5953" w:type="dxa"/>
            <w:vAlign w:val="center"/>
          </w:tcPr>
          <w:p w14:paraId="6D20B65B">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检查断相、错相保护功能是否有效，电梯运行与相序无关时，可以不设错相保护。</w:t>
            </w:r>
          </w:p>
        </w:tc>
        <w:tc>
          <w:tcPr>
            <w:tcW w:w="1417" w:type="dxa"/>
            <w:vAlign w:val="center"/>
          </w:tcPr>
          <w:p w14:paraId="1B00B86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5AFC8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2C5D3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B7FCBD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34" w:type="dxa"/>
            <w:vAlign w:val="center"/>
          </w:tcPr>
          <w:p w14:paraId="00BD161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接地保护措施</w:t>
            </w:r>
          </w:p>
        </w:tc>
        <w:tc>
          <w:tcPr>
            <w:tcW w:w="5953" w:type="dxa"/>
            <w:vAlign w:val="center"/>
          </w:tcPr>
          <w:p w14:paraId="7104147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(1)机器空间的电气设备及线管、线槽的外露可导电部分与保护导体(PE，地线)可靠连接；</w:t>
            </w:r>
          </w:p>
          <w:p w14:paraId="4491087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(2)含有电气安全装置的电路发生接地故障时，驱动主机立即停止运转，或者在第一次正常停止运转后，能够防止驱动主机再启动，恢复电梯运行只能通过手动复位。</w:t>
            </w:r>
          </w:p>
        </w:tc>
        <w:tc>
          <w:tcPr>
            <w:tcW w:w="1417" w:type="dxa"/>
            <w:vAlign w:val="center"/>
          </w:tcPr>
          <w:p w14:paraId="0AFECBA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BD8446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2055F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A462D5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34" w:type="dxa"/>
            <w:vAlign w:val="center"/>
          </w:tcPr>
          <w:p w14:paraId="5147574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门回路监测功能</w:t>
            </w:r>
          </w:p>
        </w:tc>
        <w:tc>
          <w:tcPr>
            <w:tcW w:w="5953" w:type="dxa"/>
            <w:vAlign w:val="center"/>
          </w:tcPr>
          <w:p w14:paraId="38ECEAE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当轿厢停在开锁区域内、轿门开启并且层门门锁释放时，门回路监测系统是否对检查轿门关闭位置的电气安全装置、检查层门锁紧装置锁紧位置的电气安全装置，或者轿门电气安全装置和层门电气安全装置所构成的电路，以及监控信号的正确动作进行监测，监测到故障时是否能够防止电梯的正常运行。</w:t>
            </w:r>
          </w:p>
        </w:tc>
        <w:tc>
          <w:tcPr>
            <w:tcW w:w="1417" w:type="dxa"/>
            <w:vAlign w:val="center"/>
          </w:tcPr>
          <w:p w14:paraId="73FBA5A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80E274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7B8F5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3391E3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34" w:type="dxa"/>
            <w:vAlign w:val="center"/>
          </w:tcPr>
          <w:p w14:paraId="5149807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w:t>
            </w:r>
          </w:p>
        </w:tc>
        <w:tc>
          <w:tcPr>
            <w:tcW w:w="5953" w:type="dxa"/>
            <w:vAlign w:val="center"/>
          </w:tcPr>
          <w:p w14:paraId="0BD3516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(1)能够从井道外独立地测试每个制动组；</w:t>
            </w:r>
          </w:p>
          <w:p w14:paraId="44E7421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(2)制动器动作灵活，制动时制动闸瓦(制动钳)紧密、均匀地贴合在制动轮(制动盘)上，电梯运行时制动闸瓦(制动钳)与制动轮(制动盘)不发生摩擦，制动闸瓦(制动钳)以及制动轮(制动盘)工作面上无油污。</w:t>
            </w:r>
          </w:p>
        </w:tc>
        <w:tc>
          <w:tcPr>
            <w:tcW w:w="1417" w:type="dxa"/>
            <w:vAlign w:val="center"/>
          </w:tcPr>
          <w:p w14:paraId="76DEA25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60638A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ACB24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DA85F0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34" w:type="dxa"/>
            <w:vAlign w:val="center"/>
          </w:tcPr>
          <w:p w14:paraId="5F51416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制动器状态监测</w:t>
            </w:r>
          </w:p>
          <w:p w14:paraId="4B47651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功能</w:t>
            </w:r>
          </w:p>
        </w:tc>
        <w:tc>
          <w:tcPr>
            <w:tcW w:w="5953" w:type="dxa"/>
            <w:vAlign w:val="center"/>
          </w:tcPr>
          <w:p w14:paraId="0CFEC8B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检查其是否能够监测制动器的每组制动力或者每次动作时每组机械部件的正确动作(松开或者制动)，当监测到失效时，是否能够防止电梯的正常运行。</w:t>
            </w:r>
          </w:p>
        </w:tc>
        <w:tc>
          <w:tcPr>
            <w:tcW w:w="1417" w:type="dxa"/>
            <w:vAlign w:val="center"/>
          </w:tcPr>
          <w:p w14:paraId="2566599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287B22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252B3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E3C10B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34" w:type="dxa"/>
            <w:vAlign w:val="center"/>
          </w:tcPr>
          <w:p w14:paraId="5159EA3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紧急电动运行控制</w:t>
            </w:r>
          </w:p>
        </w:tc>
        <w:tc>
          <w:tcPr>
            <w:tcW w:w="5953" w:type="dxa"/>
            <w:vAlign w:val="center"/>
          </w:tcPr>
          <w:p w14:paraId="017A05A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(1)紧急电动运行控制功能有效；</w:t>
            </w:r>
          </w:p>
          <w:p w14:paraId="4136FBA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(2)操作紧急电动运行开关后，依靠持续按压按钮来控制轿厢运行，按钮上或者其附近清晰地标明运行方向，进行紧急电动运行操作时，易于观察轿厢是否在开锁区域。</w:t>
            </w:r>
          </w:p>
        </w:tc>
        <w:tc>
          <w:tcPr>
            <w:tcW w:w="1417" w:type="dxa"/>
            <w:vAlign w:val="center"/>
          </w:tcPr>
          <w:p w14:paraId="756133C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D0C0CC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D9C13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9B5E46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134" w:type="dxa"/>
            <w:vAlign w:val="center"/>
          </w:tcPr>
          <w:p w14:paraId="5208CD5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门旁路装置</w:t>
            </w:r>
          </w:p>
        </w:tc>
        <w:tc>
          <w:tcPr>
            <w:tcW w:w="5953" w:type="dxa"/>
            <w:vAlign w:val="center"/>
          </w:tcPr>
          <w:p w14:paraId="36BA4EC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(1)层门和轿门旁路装置上或者附近标明“旁路”字样；</w:t>
            </w:r>
          </w:p>
          <w:p w14:paraId="246E2AA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(2)处于旁路状态时，能够旁路层门关闭触点、层门门锁触点、轿门关闭触点、轿门门锁触点，但不能同时旁路层门和轿门的触点，对于手动层门，不能同时旁路层门关闭触点和层门门锁触点；</w:t>
            </w:r>
          </w:p>
          <w:p w14:paraId="3166044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(3)处于旁路状态时，取消正常运行(包括自动门的任何运行)，并且只有在检修运行控制或者紧急电动运行控制下电梯才能运行，轿厢上的听觉信号和轿底的闪烁灯在运行期间起作用；</w:t>
            </w:r>
          </w:p>
          <w:p w14:paraId="31BF14E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(4)提供独立的监控信号证实轿门处于关闭位置。</w:t>
            </w:r>
          </w:p>
        </w:tc>
        <w:tc>
          <w:tcPr>
            <w:tcW w:w="1417" w:type="dxa"/>
            <w:vAlign w:val="center"/>
          </w:tcPr>
          <w:p w14:paraId="0A92889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28FB19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F9AC5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79C00C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134" w:type="dxa"/>
            <w:vAlign w:val="center"/>
          </w:tcPr>
          <w:p w14:paraId="36D5B8E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紧急和测试操作屏</w:t>
            </w:r>
          </w:p>
        </w:tc>
        <w:tc>
          <w:tcPr>
            <w:tcW w:w="5953" w:type="dxa"/>
            <w:vAlign w:val="center"/>
          </w:tcPr>
          <w:p w14:paraId="4023C9E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(1)紧急操作和动态测试功能有效；</w:t>
            </w:r>
          </w:p>
          <w:p w14:paraId="3805045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(2)设有显示装置或者观察窗，以获得轿厢运行方向、速度以及是否到达开锁区域的信息；</w:t>
            </w:r>
          </w:p>
          <w:p w14:paraId="33849FF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(3)设有停止装置，除非在其附近1m 之内有可以直接接近的主开关或者其他停止装置。</w:t>
            </w:r>
          </w:p>
        </w:tc>
        <w:tc>
          <w:tcPr>
            <w:tcW w:w="1417" w:type="dxa"/>
            <w:vAlign w:val="center"/>
          </w:tcPr>
          <w:p w14:paraId="01FA04E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4B77FD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F99451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134" w:type="dxa"/>
            <w:vAlign w:val="center"/>
          </w:tcPr>
          <w:p w14:paraId="55FD05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紧急报警装置(对讲系统)</w:t>
            </w:r>
          </w:p>
        </w:tc>
        <w:tc>
          <w:tcPr>
            <w:tcW w:w="5953" w:type="dxa"/>
            <w:vAlign w:val="center"/>
          </w:tcPr>
          <w:p w14:paraId="66B6F72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轿厢内的紧急报警装置采用由应急电源供电的双向对讲系统与救援服务持续联系，如果电梯行程大于30m或者轿厢内与进行紧急操作处之间无法直接对话，则在轿厢内和进行紧急操作处还设置由应急电源供电的双向对讲系统或者类似装置；</w:t>
            </w:r>
          </w:p>
          <w:p w14:paraId="14342E3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对于消防员电梯，还设有在优先召回和消防服务阶段用于轿厢和消防员入口层之间、轿厢和机房或者紧急和测试操作屏之间的双向对讲系统或者类似装置，并且无需按压控制按钮即可实现轿厢和消防员入口层之间的通信。</w:t>
            </w:r>
          </w:p>
        </w:tc>
        <w:tc>
          <w:tcPr>
            <w:tcW w:w="1417" w:type="dxa"/>
            <w:vAlign w:val="center"/>
          </w:tcPr>
          <w:p w14:paraId="30DDE3C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4D90AF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53462B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134" w:type="dxa"/>
            <w:vAlign w:val="center"/>
          </w:tcPr>
          <w:p w14:paraId="55BC1C1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驱动主机停止装置</w:t>
            </w:r>
          </w:p>
        </w:tc>
        <w:tc>
          <w:tcPr>
            <w:tcW w:w="5953" w:type="dxa"/>
            <w:vAlign w:val="center"/>
          </w:tcPr>
          <w:p w14:paraId="2C8F544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检查在驱动主机附近1m 之内是否设有可以直接接近的主开关或者停止装置，并且功能有效。</w:t>
            </w:r>
          </w:p>
        </w:tc>
        <w:tc>
          <w:tcPr>
            <w:tcW w:w="1417" w:type="dxa"/>
            <w:vAlign w:val="center"/>
          </w:tcPr>
          <w:p w14:paraId="11A04C0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238F0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296C81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134" w:type="dxa"/>
            <w:vAlign w:val="center"/>
          </w:tcPr>
          <w:p w14:paraId="2D87684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曳引轮绳槽(带槽)</w:t>
            </w:r>
          </w:p>
        </w:tc>
        <w:tc>
          <w:tcPr>
            <w:tcW w:w="5953" w:type="dxa"/>
            <w:vAlign w:val="center"/>
          </w:tcPr>
          <w:p w14:paraId="3EB78B8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检查曳引轮绳槽(带槽)是否无缺损或者不正常磨损。</w:t>
            </w:r>
          </w:p>
        </w:tc>
        <w:tc>
          <w:tcPr>
            <w:tcW w:w="1417" w:type="dxa"/>
            <w:vAlign w:val="center"/>
          </w:tcPr>
          <w:p w14:paraId="226FEAC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A8E5A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4AEA6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D5F955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34" w:type="dxa"/>
            <w:vAlign w:val="center"/>
          </w:tcPr>
          <w:p w14:paraId="36F2306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钢丝绳</w:t>
            </w:r>
          </w:p>
        </w:tc>
        <w:tc>
          <w:tcPr>
            <w:tcW w:w="5953" w:type="dxa"/>
            <w:vAlign w:val="center"/>
          </w:tcPr>
          <w:p w14:paraId="04370C6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检查悬挂钢丝绳、补偿钢丝绳无笼状畸变、绳股挤出、扭结、部分压扁、弯折、严重锈蚀、铁锈填满绳股间隙、直径小于其公称直径的90%等达到报废条件的现象。</w:t>
            </w:r>
          </w:p>
        </w:tc>
        <w:tc>
          <w:tcPr>
            <w:tcW w:w="1417" w:type="dxa"/>
            <w:vAlign w:val="center"/>
          </w:tcPr>
          <w:p w14:paraId="4EE3750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70C79F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B285F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B27434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134" w:type="dxa"/>
            <w:vAlign w:val="center"/>
          </w:tcPr>
          <w:p w14:paraId="6C4DFDF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包覆带</w:t>
            </w:r>
          </w:p>
        </w:tc>
        <w:tc>
          <w:tcPr>
            <w:tcW w:w="5953" w:type="dxa"/>
            <w:vAlign w:val="center"/>
          </w:tcPr>
          <w:p w14:paraId="07141B5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(1)无包覆层变形(如鼓包、压痕、折痕、凹陷等)、包覆带承载体外露或者刺出、承载体断裂等达到报废条件的现象；</w:t>
            </w:r>
          </w:p>
          <w:p w14:paraId="296A685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(2)设有监测每根包覆带承载体强度的装置，当检测到任一根承载体破断时，能够防止电梯的下一次正常启动；</w:t>
            </w:r>
          </w:p>
          <w:p w14:paraId="7232D714">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(3)用于查看包覆带使用时间或者电梯启动次数的装置完好。</w:t>
            </w:r>
          </w:p>
        </w:tc>
        <w:tc>
          <w:tcPr>
            <w:tcW w:w="1417" w:type="dxa"/>
            <w:vAlign w:val="center"/>
          </w:tcPr>
          <w:p w14:paraId="237220E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C65743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DFD6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568" w:type="dxa"/>
            <w:vAlign w:val="center"/>
          </w:tcPr>
          <w:p w14:paraId="26E6DB4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134" w:type="dxa"/>
            <w:vAlign w:val="center"/>
          </w:tcPr>
          <w:p w14:paraId="0176DC9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悬挂装置端部固定</w:t>
            </w:r>
          </w:p>
        </w:tc>
        <w:tc>
          <w:tcPr>
            <w:tcW w:w="5953" w:type="dxa"/>
            <w:vAlign w:val="center"/>
          </w:tcPr>
          <w:p w14:paraId="47F9E76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(1)悬挂装置的端部固定部件无裂纹、松动等现象，端接装置的弹簧、螺母、开口销等连接部件无缺损；</w:t>
            </w:r>
          </w:p>
          <w:p w14:paraId="592FEE2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(2)对于强制驱动电梯，采用带楔块的压紧装置或者至少用两个绳夹将悬挂装置固定在卷筒上。</w:t>
            </w:r>
          </w:p>
        </w:tc>
        <w:tc>
          <w:tcPr>
            <w:tcW w:w="1417" w:type="dxa"/>
            <w:vAlign w:val="center"/>
          </w:tcPr>
          <w:p w14:paraId="1ED044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6D755A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3AD15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568" w:type="dxa"/>
            <w:vAlign w:val="center"/>
          </w:tcPr>
          <w:p w14:paraId="7C87B01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134" w:type="dxa"/>
            <w:vAlign w:val="center"/>
          </w:tcPr>
          <w:p w14:paraId="7C7AF0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手动紧急操作装置</w:t>
            </w:r>
          </w:p>
        </w:tc>
        <w:tc>
          <w:tcPr>
            <w:tcW w:w="5953" w:type="dxa"/>
            <w:vAlign w:val="center"/>
          </w:tcPr>
          <w:p w14:paraId="1369DE8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(1)对于曳引与强制驱动电梯，能够通过持续手动操作的机械装置或者由自动充电的紧急电源供电的电气装置打开驱动主机制动器，并且该装置的失效不会导致制动功能的失效；</w:t>
            </w:r>
          </w:p>
          <w:p w14:paraId="5F8AD48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(2)手动松开制动器后仅在重力作用下轿厢(运载装置)不能移动时，能够通过手动机械装置、独立于主电源供电的手动操作电动装置或者其他措施将轿厢(运载装置)移动到附近层站；</w:t>
            </w:r>
          </w:p>
          <w:p w14:paraId="6C07558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(3)如果电梯的移动可能带动手动机械装置，该装置是平滑和无辐条的轮子；</w:t>
            </w:r>
          </w:p>
          <w:p w14:paraId="706998E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(4)如果手动机械装置可以从驱动主机上拆卸或者脱出，设有最迟在其连接到驱动主机时起作用的电气安全装置；</w:t>
            </w:r>
          </w:p>
          <w:p w14:paraId="1E1C977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(5)液压驱动电梯设有手动操作的紧急下降阀，以在失电时操纵该阀使轿厢向下移动至层站；</w:t>
            </w:r>
          </w:p>
          <w:p w14:paraId="49EA675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(6)对于轿厢上装有安全钳或者夹紧装置的液压驱动电梯，永久性地安装手动泵，以通过操纵该泵使轿厢向上移动；</w:t>
            </w:r>
          </w:p>
          <w:p w14:paraId="408B9BFF">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(7)在紧急操作处，易于检查轿厢是否在开锁区域。</w:t>
            </w:r>
          </w:p>
        </w:tc>
        <w:tc>
          <w:tcPr>
            <w:tcW w:w="1417" w:type="dxa"/>
            <w:vAlign w:val="center"/>
          </w:tcPr>
          <w:p w14:paraId="46EC573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73DB6B3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1A9A47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225F2C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134" w:type="dxa"/>
            <w:vAlign w:val="center"/>
          </w:tcPr>
          <w:p w14:paraId="64DEAC9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补偿装置</w:t>
            </w:r>
          </w:p>
        </w:tc>
        <w:tc>
          <w:tcPr>
            <w:tcW w:w="5953" w:type="dxa"/>
            <w:vAlign w:val="center"/>
          </w:tcPr>
          <w:p w14:paraId="4D8F9B2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(1)补偿装置的端部固定部件无裂纹、松动等现象；</w:t>
            </w:r>
          </w:p>
          <w:p w14:paraId="193F3A60">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(2)使用电气安全装置来检查补偿绳的最小张紧位置(对于斜行电梯，当不采用重力张紧装置时，设置电气安全装置检查补偿绳的最大张紧位置)，当电梯的额定速度大于 3.5m/s(对于斜行电梯，大于 2.5m/s)时，设有防跳装置，该装置动作时由电气安全装置使电梯停止运行。</w:t>
            </w:r>
          </w:p>
        </w:tc>
        <w:tc>
          <w:tcPr>
            <w:tcW w:w="1417" w:type="dxa"/>
            <w:vAlign w:val="center"/>
          </w:tcPr>
          <w:p w14:paraId="29AF323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127454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C6F92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BA6B02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134" w:type="dxa"/>
            <w:vAlign w:val="center"/>
          </w:tcPr>
          <w:p w14:paraId="34BF82E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异常伸长保护措施</w:t>
            </w:r>
          </w:p>
        </w:tc>
        <w:tc>
          <w:tcPr>
            <w:tcW w:w="5953" w:type="dxa"/>
            <w:vAlign w:val="center"/>
          </w:tcPr>
          <w:p w14:paraId="320CE7F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如果轿厢(运载装置)悬挂在包覆带或者两根钢丝绳上，检查当任意一根悬挂装置发生异常相对伸长时，是否能够通过电气安全装置防止电梯的正常运行。</w:t>
            </w:r>
          </w:p>
        </w:tc>
        <w:tc>
          <w:tcPr>
            <w:tcW w:w="1417" w:type="dxa"/>
            <w:vAlign w:val="center"/>
          </w:tcPr>
          <w:p w14:paraId="342C2D6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DD76CA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D4302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F4DE76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134" w:type="dxa"/>
            <w:vAlign w:val="center"/>
          </w:tcPr>
          <w:p w14:paraId="3AB22AB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旋转部件防护装置</w:t>
            </w:r>
          </w:p>
        </w:tc>
        <w:tc>
          <w:tcPr>
            <w:tcW w:w="5953" w:type="dxa"/>
            <w:vAlign w:val="center"/>
          </w:tcPr>
          <w:p w14:paraId="601D63F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检查曳引轮、滑轮、限速器和张紧轮是否设置防护装置，以避免人身伤害、钢丝绳(包覆带)因松弛而脱离绳槽(带槽)、异物进入钢丝绳(包覆带)与绳槽(带槽)之间，并且防护装置与运动部件无碰擦。</w:t>
            </w:r>
          </w:p>
        </w:tc>
        <w:tc>
          <w:tcPr>
            <w:tcW w:w="1417" w:type="dxa"/>
            <w:vAlign w:val="center"/>
          </w:tcPr>
          <w:p w14:paraId="6291622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E70824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16A60A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ED191C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134" w:type="dxa"/>
            <w:vAlign w:val="center"/>
          </w:tcPr>
          <w:p w14:paraId="58D17F2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非金属材质反绳轮</w:t>
            </w:r>
          </w:p>
        </w:tc>
        <w:tc>
          <w:tcPr>
            <w:tcW w:w="5953" w:type="dxa"/>
            <w:vAlign w:val="center"/>
          </w:tcPr>
          <w:p w14:paraId="7808573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(1)电梯的额定速度不大于1.75m/s；</w:t>
            </w:r>
          </w:p>
          <w:p w14:paraId="73075EA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(2)反绳轮上或者附近设有永久固定和清晰的标识，标明反绳轮制造单位名称或者商标、制造日期、维护保养要求(如润滑方法与周期)及报废条件；</w:t>
            </w:r>
          </w:p>
          <w:p w14:paraId="7CC62B6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(3)维护保养单位按照要求进行了维护保养，并且提供了维护保养过程的视频或者照片等见证资料</w:t>
            </w:r>
          </w:p>
        </w:tc>
        <w:tc>
          <w:tcPr>
            <w:tcW w:w="1417" w:type="dxa"/>
            <w:vAlign w:val="center"/>
          </w:tcPr>
          <w:p w14:paraId="597C75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现场观察确认并检查相关资料</w:t>
            </w:r>
          </w:p>
        </w:tc>
      </w:tr>
      <w:tr w14:paraId="5A4590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AF1250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134" w:type="dxa"/>
            <w:vAlign w:val="center"/>
          </w:tcPr>
          <w:p w14:paraId="1025BBF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轿顶停止</w:t>
            </w:r>
          </w:p>
          <w:p w14:paraId="12A9689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953" w:type="dxa"/>
            <w:vAlign w:val="center"/>
          </w:tcPr>
          <w:p w14:paraId="081D817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检查轿顶上距入口不大于1m处是否设有易于接近的停止装置，并且功能有效，该装置也可以是距入口不大于1m的检修控制装置上的停止装置。</w:t>
            </w:r>
          </w:p>
        </w:tc>
        <w:tc>
          <w:tcPr>
            <w:tcW w:w="1417" w:type="dxa"/>
            <w:vAlign w:val="center"/>
          </w:tcPr>
          <w:p w14:paraId="6EFC25D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88127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9C99E4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134" w:type="dxa"/>
            <w:vAlign w:val="center"/>
          </w:tcPr>
          <w:p w14:paraId="06CA732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轿厢安</w:t>
            </w:r>
          </w:p>
          <w:p w14:paraId="1FAF37D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全窗</w:t>
            </w:r>
          </w:p>
        </w:tc>
        <w:tc>
          <w:tcPr>
            <w:tcW w:w="5953" w:type="dxa"/>
            <w:vAlign w:val="center"/>
          </w:tcPr>
          <w:p w14:paraId="1FFEFDB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如果设有轿厢安全窗，检查安全窗的锁紧是否由电气安全装置验证。</w:t>
            </w:r>
          </w:p>
        </w:tc>
        <w:tc>
          <w:tcPr>
            <w:tcW w:w="1417" w:type="dxa"/>
            <w:vAlign w:val="center"/>
          </w:tcPr>
          <w:p w14:paraId="1457321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028639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BEBE3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DE14AE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134" w:type="dxa"/>
            <w:vAlign w:val="center"/>
          </w:tcPr>
          <w:p w14:paraId="7704434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轿厢安</w:t>
            </w:r>
          </w:p>
          <w:p w14:paraId="799706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全门</w:t>
            </w:r>
          </w:p>
        </w:tc>
        <w:tc>
          <w:tcPr>
            <w:tcW w:w="5953" w:type="dxa"/>
            <w:vAlign w:val="center"/>
          </w:tcPr>
          <w:p w14:paraId="31CF8D7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如果设有轿厢安全门，检查安全门的锁紧是否由电气安全装置验证。</w:t>
            </w:r>
          </w:p>
        </w:tc>
        <w:tc>
          <w:tcPr>
            <w:tcW w:w="1417" w:type="dxa"/>
            <w:vAlign w:val="center"/>
          </w:tcPr>
          <w:p w14:paraId="0272F45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F15370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7B83E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568" w:type="dxa"/>
            <w:vAlign w:val="center"/>
          </w:tcPr>
          <w:p w14:paraId="63734C35">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134" w:type="dxa"/>
            <w:vAlign w:val="center"/>
          </w:tcPr>
          <w:p w14:paraId="593F74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对重(平衡重)块</w:t>
            </w:r>
          </w:p>
        </w:tc>
        <w:tc>
          <w:tcPr>
            <w:tcW w:w="5953" w:type="dxa"/>
            <w:vAlign w:val="center"/>
          </w:tcPr>
          <w:p w14:paraId="7259DEC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(1)对重(平衡重)块无松动、移位等现象；</w:t>
            </w:r>
          </w:p>
          <w:p w14:paraId="7CC3999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(2)具有能够快速识别对重(平衡重)块数蛩的措施(例如标明数量或者总高度)，并且该措施不会被混淆；</w:t>
            </w:r>
          </w:p>
          <w:p w14:paraId="76E7D28D">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(3)非金属材质对重(平衡重)块(架)上、轿顶上或者底坑内有清晰的标识，标明对重(平衡重)块制造单位名称或者商标和报废条件。</w:t>
            </w:r>
          </w:p>
        </w:tc>
        <w:tc>
          <w:tcPr>
            <w:tcW w:w="1417" w:type="dxa"/>
            <w:vAlign w:val="center"/>
          </w:tcPr>
          <w:p w14:paraId="36855AF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4FEA2C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440FE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23DFA0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1134" w:type="dxa"/>
            <w:vAlign w:val="center"/>
          </w:tcPr>
          <w:p w14:paraId="7EAD18B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轿厢照明及通风</w:t>
            </w:r>
          </w:p>
        </w:tc>
        <w:tc>
          <w:tcPr>
            <w:tcW w:w="5953" w:type="dxa"/>
            <w:vAlign w:val="center"/>
          </w:tcPr>
          <w:p w14:paraId="5199CCD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(1)轿厢正常照明和通风有效；</w:t>
            </w:r>
          </w:p>
          <w:p w14:paraId="145536E5">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(2)在正常照明电源发生故障的情况下，由紧急电源供电的应急照明能够自动投入工作。</w:t>
            </w:r>
          </w:p>
        </w:tc>
        <w:tc>
          <w:tcPr>
            <w:tcW w:w="1417" w:type="dxa"/>
            <w:vAlign w:val="center"/>
          </w:tcPr>
          <w:p w14:paraId="2427A54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FFCE74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35EC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C68F80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134" w:type="dxa"/>
            <w:vAlign w:val="center"/>
          </w:tcPr>
          <w:p w14:paraId="32005B3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轿厢语音播报系统</w:t>
            </w:r>
          </w:p>
        </w:tc>
        <w:tc>
          <w:tcPr>
            <w:tcW w:w="5953" w:type="dxa"/>
            <w:vAlign w:val="center"/>
          </w:tcPr>
          <w:p w14:paraId="52B8470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检查在停电、故障停梯、轿厢位置校正(再平层除外)、自动救援操作装置启动以及接收火灾信号退出正常服务时，轿厢语音播报系统是否进行语音播报，提示、安抚轿厢内乘客。</w:t>
            </w:r>
          </w:p>
        </w:tc>
        <w:tc>
          <w:tcPr>
            <w:tcW w:w="1417" w:type="dxa"/>
            <w:vAlign w:val="center"/>
          </w:tcPr>
          <w:p w14:paraId="028A205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807EE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7B034C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5B455C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34" w:type="dxa"/>
            <w:vAlign w:val="center"/>
          </w:tcPr>
          <w:p w14:paraId="024C9B8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轿厢护</w:t>
            </w:r>
          </w:p>
          <w:p w14:paraId="4FF6C05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脚板</w:t>
            </w:r>
          </w:p>
        </w:tc>
        <w:tc>
          <w:tcPr>
            <w:tcW w:w="5953" w:type="dxa"/>
            <w:vAlign w:val="center"/>
          </w:tcPr>
          <w:p w14:paraId="483CA118">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对于非斜行电梯，轿厢护脚板的垂直部分高度不小于0.75m，宽度不小于层站入口宽度。</w:t>
            </w:r>
          </w:p>
        </w:tc>
        <w:tc>
          <w:tcPr>
            <w:tcW w:w="1417" w:type="dxa"/>
            <w:vAlign w:val="center"/>
          </w:tcPr>
          <w:p w14:paraId="58FCF30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431BB2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8A13E1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134" w:type="dxa"/>
            <w:vAlign w:val="center"/>
          </w:tcPr>
          <w:p w14:paraId="6CD90AC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门间隙</w:t>
            </w:r>
          </w:p>
        </w:tc>
        <w:tc>
          <w:tcPr>
            <w:tcW w:w="5953" w:type="dxa"/>
            <w:vAlign w:val="center"/>
          </w:tcPr>
          <w:p w14:paraId="5D7FFE4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(1)门扇之间及门扇与立柱、门楣和地坎之间的间隙，对于乘客电梯不大于6mm，对于载货电梯不大于10mm；</w:t>
            </w:r>
          </w:p>
          <w:p w14:paraId="124B3022">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(2)在水平滑动层门和折叠层门最快门扇的开启方向，以150N的力施加在一个最不利的点，本条第(1)项所述的间隙对于旁开门不大于 30mm，对于中分门其总和不大于45mm。</w:t>
            </w:r>
          </w:p>
        </w:tc>
        <w:tc>
          <w:tcPr>
            <w:tcW w:w="1417" w:type="dxa"/>
            <w:vAlign w:val="center"/>
          </w:tcPr>
          <w:p w14:paraId="698234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2E648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8A5435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1134" w:type="dxa"/>
            <w:vAlign w:val="center"/>
          </w:tcPr>
          <w:p w14:paraId="1716624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玻璃门防拖曳措施</w:t>
            </w:r>
          </w:p>
        </w:tc>
        <w:tc>
          <w:tcPr>
            <w:tcW w:w="5953" w:type="dxa"/>
            <w:vAlign w:val="center"/>
          </w:tcPr>
          <w:p w14:paraId="50C47A82">
            <w:pPr>
              <w:pStyle w:val="13"/>
              <w:spacing w:line="320" w:lineRule="atLeas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检查防止儿童的手被玻璃门拖曳的措施是否有效。</w:t>
            </w:r>
          </w:p>
        </w:tc>
        <w:tc>
          <w:tcPr>
            <w:tcW w:w="1417" w:type="dxa"/>
            <w:vAlign w:val="center"/>
          </w:tcPr>
          <w:p w14:paraId="1C9CA2B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01B50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45A4CC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77A9B2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1134" w:type="dxa"/>
            <w:vAlign w:val="center"/>
          </w:tcPr>
          <w:p w14:paraId="059FBF5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门再开启保护装置</w:t>
            </w:r>
          </w:p>
        </w:tc>
        <w:tc>
          <w:tcPr>
            <w:tcW w:w="5953" w:type="dxa"/>
            <w:vAlign w:val="center"/>
          </w:tcPr>
          <w:p w14:paraId="5C7BB2E9">
            <w:pPr>
              <w:pStyle w:val="13"/>
              <w:spacing w:line="320" w:lineRule="atLeast"/>
              <w:ind w:left="0" w:leftChars="0"/>
              <w:rPr>
                <w:rFonts w:hint="eastAsia" w:ascii="宋体" w:hAnsi="宋体" w:eastAsia="宋体" w:cs="宋体"/>
                <w:color w:val="auto"/>
                <w:sz w:val="24"/>
                <w:highlight w:val="none"/>
              </w:rPr>
            </w:pPr>
            <w:r>
              <w:rPr>
                <w:rStyle w:val="67"/>
                <w:rFonts w:hint="eastAsia" w:ascii="宋体" w:hAnsi="宋体" w:eastAsia="宋体" w:cs="宋体"/>
                <w:color w:val="auto"/>
                <w:sz w:val="24"/>
                <w:szCs w:val="24"/>
                <w:highlight w:val="none"/>
              </w:rPr>
              <w:t>检查自动水平滑动门关闭过程中人员通过入口时，保护装置是否能够自动使门重新</w:t>
            </w:r>
            <w:r>
              <w:rPr>
                <w:rFonts w:hint="eastAsia" w:ascii="宋体" w:hAnsi="宋体" w:eastAsia="宋体" w:cs="宋体"/>
                <w:color w:val="auto"/>
                <w:sz w:val="24"/>
                <w:highlight w:val="none"/>
              </w:rPr>
              <w:t>开启。</w:t>
            </w:r>
          </w:p>
        </w:tc>
        <w:tc>
          <w:tcPr>
            <w:tcW w:w="1417" w:type="dxa"/>
            <w:vAlign w:val="center"/>
          </w:tcPr>
          <w:p w14:paraId="108B73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0E393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0841A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E49323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1134" w:type="dxa"/>
            <w:vAlign w:val="center"/>
          </w:tcPr>
          <w:p w14:paraId="391849C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自动关闭层门装置</w:t>
            </w:r>
          </w:p>
        </w:tc>
        <w:tc>
          <w:tcPr>
            <w:tcW w:w="5953" w:type="dxa"/>
            <w:vAlign w:val="center"/>
          </w:tcPr>
          <w:p w14:paraId="73D2994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(1)在轿门驱动层门的情况下，当轿厢在开锁区域之外时，自动关闭层门装置能够使开启的层门关闭；</w:t>
            </w:r>
          </w:p>
          <w:p w14:paraId="714E1D2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(2)自动关闭层门装置采用重块的，其防止重块坠落的措施保持有效，对于防爆电梯，无火花措施保持完好。</w:t>
            </w:r>
          </w:p>
        </w:tc>
        <w:tc>
          <w:tcPr>
            <w:tcW w:w="1417" w:type="dxa"/>
            <w:vAlign w:val="center"/>
          </w:tcPr>
          <w:p w14:paraId="5CC1CA4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17996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0341E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6F0603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134" w:type="dxa"/>
            <w:vAlign w:val="center"/>
          </w:tcPr>
          <w:p w14:paraId="2EA8230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门的运行与导向</w:t>
            </w:r>
          </w:p>
        </w:tc>
        <w:tc>
          <w:tcPr>
            <w:tcW w:w="5953" w:type="dxa"/>
            <w:vAlign w:val="center"/>
          </w:tcPr>
          <w:p w14:paraId="0355A5CF">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(1)层门和轿门正常运行时无脱轨、机械卡阻或者错位现象；</w:t>
            </w:r>
          </w:p>
          <w:p w14:paraId="07C6A1E3">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(2)层门导向装置失效时，层门保持装置能够使层门保持在原有位置；</w:t>
            </w:r>
          </w:p>
          <w:p w14:paraId="6A3D30F8">
            <w:pPr>
              <w:pStyle w:val="13"/>
              <w:spacing w:line="320" w:lineRule="atLeas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(3)在层门底部保持装置上或者其附近设有识别保持装置最小啮合深度的标记，并且层门底部保持装置的啮合深度不小于标记所示的最小啮合深度（未按照 TSG T7001-2023进行监督检验的此小项可以不检验）。</w:t>
            </w:r>
          </w:p>
        </w:tc>
        <w:tc>
          <w:tcPr>
            <w:tcW w:w="1417" w:type="dxa"/>
            <w:vAlign w:val="center"/>
          </w:tcPr>
          <w:p w14:paraId="488C7A1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55A75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A91F18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134" w:type="dxa"/>
            <w:vAlign w:val="center"/>
          </w:tcPr>
          <w:p w14:paraId="4BECE7E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紧急开锁</w:t>
            </w:r>
          </w:p>
        </w:tc>
        <w:tc>
          <w:tcPr>
            <w:tcW w:w="5953" w:type="dxa"/>
            <w:vAlign w:val="center"/>
          </w:tcPr>
          <w:p w14:paraId="5A891A3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(1)每个层门均能够被专用钥匙从外面开启，紧急开锁后，在层门闭合时门锁装置未保持在开锁位置；</w:t>
            </w:r>
          </w:p>
          <w:p w14:paraId="58BFFB5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(2)如果只能通过层门进入底坑，则从底坑爬梯并且在高度1.80m内和最大水平距离0.80m范围内能够安全地触及门锁，或者能够通过永久设置的装置从底坑中打开层门。</w:t>
            </w:r>
          </w:p>
        </w:tc>
        <w:tc>
          <w:tcPr>
            <w:tcW w:w="1417" w:type="dxa"/>
            <w:vAlign w:val="center"/>
          </w:tcPr>
          <w:p w14:paraId="5819EB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DA9AF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568" w:type="dxa"/>
            <w:vAlign w:val="center"/>
          </w:tcPr>
          <w:p w14:paraId="2A4B9FE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1134" w:type="dxa"/>
            <w:vAlign w:val="center"/>
          </w:tcPr>
          <w:p w14:paraId="3241DD3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门的锁紧与闭合</w:t>
            </w:r>
          </w:p>
        </w:tc>
        <w:tc>
          <w:tcPr>
            <w:tcW w:w="5953" w:type="dxa"/>
            <w:vAlign w:val="center"/>
          </w:tcPr>
          <w:p w14:paraId="23D1978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(1)锁紧动作由重力、永久磁铁或者弹簧来产生和保持，即使永久磁铁或者弹簧失效，重力也不能导致开锁；</w:t>
            </w:r>
          </w:p>
          <w:p w14:paraId="3AAFB1A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(2)轿厢(运载装置)在锁紧元件啮合不小于7mm 时才能启动；</w:t>
            </w:r>
          </w:p>
          <w:p w14:paraId="013EF45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(3)检查层门、轿门锁紧状态的电气安全装置功能有效；</w:t>
            </w:r>
          </w:p>
          <w:p w14:paraId="67306892">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每个层门和轿门的闭合均由电气安全装置来验证，如果滑动门是由数个间接机械连接的门扇组成，则未被锁住的门扇上设有电气安全装置以验证其闭合状态，与门的驱动部件直接机械连接的轿门门扇可以不设置电气安全装置。</w:t>
            </w:r>
          </w:p>
        </w:tc>
        <w:tc>
          <w:tcPr>
            <w:tcW w:w="1417" w:type="dxa"/>
            <w:vAlign w:val="center"/>
          </w:tcPr>
          <w:p w14:paraId="4728A75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2F30C2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1CDA97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1134" w:type="dxa"/>
            <w:vAlign w:val="center"/>
          </w:tcPr>
          <w:p w14:paraId="79EC6E16">
            <w:pPr>
              <w:spacing w:line="320" w:lineRule="exact"/>
              <w:jc w:val="center"/>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门刀、门锁滚轮与地坎间隙</w:t>
            </w:r>
          </w:p>
        </w:tc>
        <w:tc>
          <w:tcPr>
            <w:tcW w:w="5953" w:type="dxa"/>
            <w:vAlign w:val="center"/>
          </w:tcPr>
          <w:p w14:paraId="7E48330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检查轿门门刀与层门地坎、层门门锁滚轮与轿厢地坎的间隙是否不小于5mm，并且电梯运行时不互相碰擦。</w:t>
            </w:r>
          </w:p>
        </w:tc>
        <w:tc>
          <w:tcPr>
            <w:tcW w:w="1417" w:type="dxa"/>
            <w:vAlign w:val="center"/>
          </w:tcPr>
          <w:p w14:paraId="32DBA4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9853C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C95976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44</w:t>
            </w:r>
          </w:p>
        </w:tc>
        <w:tc>
          <w:tcPr>
            <w:tcW w:w="1134" w:type="dxa"/>
            <w:vAlign w:val="center"/>
          </w:tcPr>
          <w:p w14:paraId="11DD411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应急救援试验</w:t>
            </w:r>
          </w:p>
        </w:tc>
        <w:tc>
          <w:tcPr>
            <w:tcW w:w="5953" w:type="dxa"/>
            <w:vAlign w:val="center"/>
          </w:tcPr>
          <w:p w14:paraId="701651D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(1)检查机房内或者紧急和测试操作屏上是否设有清晰的应急救援程序；</w:t>
            </w:r>
          </w:p>
          <w:p w14:paraId="234E7A1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(2)在各种载荷工况下，按照本条第(1)项所述的应急救援程序实施操作，观察是否能够安全、及时地解救被困人员。</w:t>
            </w:r>
          </w:p>
        </w:tc>
        <w:tc>
          <w:tcPr>
            <w:tcW w:w="1417" w:type="dxa"/>
            <w:vAlign w:val="center"/>
          </w:tcPr>
          <w:p w14:paraId="14AE042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72E1BFB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710EE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568" w:type="dxa"/>
            <w:vAlign w:val="center"/>
          </w:tcPr>
          <w:p w14:paraId="677F41C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134" w:type="dxa"/>
            <w:vAlign w:val="center"/>
          </w:tcPr>
          <w:p w14:paraId="180AC4BD">
            <w:pPr>
              <w:spacing w:line="320" w:lineRule="exact"/>
              <w:jc w:val="center"/>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对重(平衡重)限速器-安全钳联动试验</w:t>
            </w:r>
          </w:p>
        </w:tc>
        <w:tc>
          <w:tcPr>
            <w:tcW w:w="5953" w:type="dxa"/>
            <w:vAlign w:val="center"/>
          </w:tcPr>
          <w:p w14:paraId="702A338A">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轿厢空载，以检修速度上行的工况进行限速器-安全钳联动试验(注A1-10)，观察限速器、安全钳动作是否可靠。</w:t>
            </w:r>
          </w:p>
        </w:tc>
        <w:tc>
          <w:tcPr>
            <w:tcW w:w="1417" w:type="dxa"/>
            <w:vAlign w:val="center"/>
          </w:tcPr>
          <w:p w14:paraId="1E082DC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3AD0A32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333467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354A59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46</w:t>
            </w:r>
          </w:p>
        </w:tc>
        <w:tc>
          <w:tcPr>
            <w:tcW w:w="1134" w:type="dxa"/>
            <w:vAlign w:val="center"/>
          </w:tcPr>
          <w:p w14:paraId="41611C1F">
            <w:pPr>
              <w:spacing w:line="320" w:lineRule="exact"/>
              <w:jc w:val="center"/>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轿厢超载保护装置试验</w:t>
            </w:r>
          </w:p>
        </w:tc>
        <w:tc>
          <w:tcPr>
            <w:tcW w:w="5953" w:type="dxa"/>
            <w:vAlign w:val="center"/>
          </w:tcPr>
          <w:p w14:paraId="4580A6AE">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进行轿厢超载保护装置试验，观察是否最迟在轿厢内载荷达到110%额定载重量时能够检测出超载，防止电梯正常启动及再平层(对于液压驱动电梯，防止电梯正常启动)，并且轿厢内有听觉和视觉信号提示，自动门完全开启，手动门保持在未锁紧状态。</w:t>
            </w:r>
          </w:p>
        </w:tc>
        <w:tc>
          <w:tcPr>
            <w:tcW w:w="1417" w:type="dxa"/>
            <w:vAlign w:val="center"/>
          </w:tcPr>
          <w:p w14:paraId="73873D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658AE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A851E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C6B91E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47</w:t>
            </w:r>
          </w:p>
        </w:tc>
        <w:tc>
          <w:tcPr>
            <w:tcW w:w="1134" w:type="dxa"/>
            <w:vAlign w:val="center"/>
          </w:tcPr>
          <w:p w14:paraId="45C8DC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spacing w:val="-10"/>
                <w:highlight w:val="none"/>
              </w:rPr>
              <w:t>轿厢(运载装置)限速器-安全钳试验</w:t>
            </w:r>
          </w:p>
        </w:tc>
        <w:tc>
          <w:tcPr>
            <w:tcW w:w="5953" w:type="dxa"/>
            <w:vAlign w:val="center"/>
          </w:tcPr>
          <w:p w14:paraId="45BB3527">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(1)检查限速器各调节部位封记完好，运转时无碰擦、卡阻、转动不灵活等现象，动作正常。动作速度符合要求；</w:t>
            </w:r>
          </w:p>
          <w:p w14:paraId="39F2F0A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（2）检查限速器或者其他装置上设置的在轿厢(运载装置)上行、下行速度达到限速器动作速度之前动作的电气安全装置；</w:t>
            </w:r>
          </w:p>
          <w:p w14:paraId="3808496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（3)对于安全钳释放后限速器不能自动复位的，用于验证限速器复位状态的电气安全装置；</w:t>
            </w:r>
          </w:p>
          <w:p w14:paraId="30F500D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(4)用于检查限速器绳断裂或者过分伸长的电气安全装置；</w:t>
            </w:r>
          </w:p>
          <w:p w14:paraId="422DD45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(5)轿厢(运载装置)上设置的在轿厢(运载装置)安全钳动作以前或者同时使驱动主机停止运转的电气安全装置。</w:t>
            </w:r>
          </w:p>
        </w:tc>
        <w:tc>
          <w:tcPr>
            <w:tcW w:w="1417" w:type="dxa"/>
            <w:vAlign w:val="center"/>
          </w:tcPr>
          <w:p w14:paraId="73386CE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56B64BC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4E713E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FF8A9D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48</w:t>
            </w:r>
          </w:p>
        </w:tc>
        <w:tc>
          <w:tcPr>
            <w:tcW w:w="1134" w:type="dxa"/>
            <w:vAlign w:val="center"/>
          </w:tcPr>
          <w:p w14:paraId="1197DED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缓冲器</w:t>
            </w:r>
          </w:p>
          <w:p w14:paraId="0A4CBA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53" w:type="dxa"/>
            <w:vAlign w:val="center"/>
          </w:tcPr>
          <w:p w14:paraId="3C8CECD6">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轿厢空载，以检修速度运行的工况使缓冲器被压缩，轿厢(运载装置)、对重停在其上再离开后，观察缓冲器是否未出现对电梯正常使用有不利影响的损坏(如明显倾斜、断裂、塑性变形、剥落、破损等)。</w:t>
            </w:r>
          </w:p>
        </w:tc>
        <w:tc>
          <w:tcPr>
            <w:tcW w:w="1417" w:type="dxa"/>
            <w:vAlign w:val="center"/>
          </w:tcPr>
          <w:p w14:paraId="0566A2B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4D7CF9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4A9FE5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9898C5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49</w:t>
            </w:r>
          </w:p>
        </w:tc>
        <w:tc>
          <w:tcPr>
            <w:tcW w:w="1134" w:type="dxa"/>
            <w:vAlign w:val="center"/>
          </w:tcPr>
          <w:p w14:paraId="5CD9635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轿厢(运载装置)上行超速保护装置</w:t>
            </w:r>
          </w:p>
          <w:p w14:paraId="1AC5890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53" w:type="dxa"/>
            <w:vAlign w:val="center"/>
          </w:tcPr>
          <w:p w14:paraId="2726ABC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（1）检查控制柜或者紧急和测试操作屏上是否标有轿厢(运载装置)上行超速保护装置动作试验方法。</w:t>
            </w:r>
          </w:p>
          <w:p w14:paraId="1197FFA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（2）检查轿厢(运载装置)上行超速保护装置上的电气安全装置功能是否有效。</w:t>
            </w:r>
          </w:p>
          <w:p w14:paraId="0F36884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（3）采用存在内部冗余的制动器作为轿厢(运载装置)上行超速保护装置减速部件的，检查当制动器机械部件动作(松开或者制动)失效或者制动力不足时，是否能够防止电梯正常运行。</w:t>
            </w:r>
          </w:p>
        </w:tc>
        <w:tc>
          <w:tcPr>
            <w:tcW w:w="1417" w:type="dxa"/>
            <w:vAlign w:val="center"/>
          </w:tcPr>
          <w:p w14:paraId="3A16B58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143EDC8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778D3C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32B259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1134" w:type="dxa"/>
            <w:vAlign w:val="center"/>
          </w:tcPr>
          <w:p w14:paraId="594DDB0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轿厢(运载装置)意外移动保护装置</w:t>
            </w:r>
          </w:p>
          <w:p w14:paraId="1AD9BA2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53" w:type="dxa"/>
            <w:vAlign w:val="center"/>
          </w:tcPr>
          <w:p w14:paraId="2DC611C7">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（1）检查控制柜或者紧急和测试操作屏上是否标有轿厢(运载装置)意外移动保护装置动作试验方法。</w:t>
            </w:r>
          </w:p>
          <w:p w14:paraId="22A4C2F5">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（2）检查轿厢(运载装置)意外移动保护装置上的电气安全装置功能是否有效。</w:t>
            </w:r>
          </w:p>
          <w:p w14:paraId="25D7E54E">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（3）采用存在内部冗余的制动器作为轿厢(运载装置)意外移动保护装置制停部件的，检查当制动器机械部件动作(松开或者制动)失效或者制动力不足时，是否能够关闭轿门和层门，并且能够防止电梯正常运行。</w:t>
            </w:r>
          </w:p>
        </w:tc>
        <w:tc>
          <w:tcPr>
            <w:tcW w:w="1417" w:type="dxa"/>
            <w:vAlign w:val="center"/>
          </w:tcPr>
          <w:p w14:paraId="6684B2E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0BD14D4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19ACED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04C952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1134" w:type="dxa"/>
            <w:vAlign w:val="center"/>
          </w:tcPr>
          <w:p w14:paraId="1503AF0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运行试验</w:t>
            </w:r>
          </w:p>
        </w:tc>
        <w:tc>
          <w:tcPr>
            <w:tcW w:w="5953" w:type="dxa"/>
            <w:vAlign w:val="center"/>
          </w:tcPr>
          <w:p w14:paraId="495D49B3">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轿厢空载，以额定速度上、下运行，观察呼梯、楼层显示等信号系统是否功能有效、指示正确、动作无误，轿厢是否平层良好，无异常现象发生。</w:t>
            </w:r>
          </w:p>
        </w:tc>
        <w:tc>
          <w:tcPr>
            <w:tcW w:w="1417" w:type="dxa"/>
            <w:vAlign w:val="center"/>
          </w:tcPr>
          <w:p w14:paraId="1AE130C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4C19ED2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6D81B7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A14C88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52</w:t>
            </w:r>
          </w:p>
        </w:tc>
        <w:tc>
          <w:tcPr>
            <w:tcW w:w="1134" w:type="dxa"/>
            <w:vAlign w:val="center"/>
          </w:tcPr>
          <w:p w14:paraId="2A5D6DF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曳引能力</w:t>
            </w:r>
          </w:p>
          <w:p w14:paraId="5D5123F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试验</w:t>
            </w:r>
          </w:p>
        </w:tc>
        <w:tc>
          <w:tcPr>
            <w:tcW w:w="5953" w:type="dxa"/>
            <w:vAlign w:val="center"/>
          </w:tcPr>
          <w:p w14:paraId="0CDD257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(1)轿厢空载，当对重压在缓冲器上而驱动主机按电梯上行方向旋转时，观察悬挂装置是否相对曳引轮打滑，或者驱动主机停止运转；</w:t>
            </w:r>
          </w:p>
          <w:p w14:paraId="1AF29681">
            <w:pPr>
              <w:pStyle w:val="13"/>
              <w:spacing w:line="32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(2)轿厢空载，以额定速度上行至行程上部，切断电动机与制动器供电，观察轿厢(运载装置)是否完全停止。</w:t>
            </w:r>
          </w:p>
        </w:tc>
        <w:tc>
          <w:tcPr>
            <w:tcW w:w="1417" w:type="dxa"/>
            <w:vAlign w:val="center"/>
          </w:tcPr>
          <w:p w14:paraId="678491A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63D495B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21551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47021EB">
            <w:pPr>
              <w:spacing w:after="197" w:afterLines="50" w:line="24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53</w:t>
            </w:r>
          </w:p>
        </w:tc>
        <w:tc>
          <w:tcPr>
            <w:tcW w:w="1134" w:type="dxa"/>
            <w:vAlign w:val="center"/>
          </w:tcPr>
          <w:p w14:paraId="7CD2058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落实国市监特设发〔2023〕94 号文件精神</w:t>
            </w:r>
          </w:p>
        </w:tc>
        <w:tc>
          <w:tcPr>
            <w:tcW w:w="5953" w:type="dxa"/>
            <w:vAlign w:val="center"/>
          </w:tcPr>
          <w:p w14:paraId="202A8E4B">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结合维护保养计划和方案，认真做好原有维护保养项目，同时增加一次电梯反绳轮（含防脱槽装置、轴承、固定零部件等）、导轨、限速器、安全钳的维护保养以及限速器—安全钳联动试验；对于额定载重量在1600kg 及以上的曳引驱动乘客电梯和额定载重量在3000kg 及以上的曳引驱动载货电梯，应在轿厢内装载额定载荷，以检修速度进行限速器—安全钳联动试验。并留存上述增加维保项目的相应照片或视频等见证材料</w:t>
            </w:r>
          </w:p>
        </w:tc>
        <w:tc>
          <w:tcPr>
            <w:tcW w:w="1417" w:type="dxa"/>
            <w:vAlign w:val="center"/>
          </w:tcPr>
          <w:p w14:paraId="1BA1981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现场查看</w:t>
            </w:r>
            <w:r>
              <w:rPr>
                <w:rFonts w:hint="eastAsia" w:ascii="宋体" w:hAnsi="宋体" w:eastAsia="宋体" w:cs="宋体"/>
                <w:color w:val="auto"/>
                <w:highlight w:val="none"/>
                <w:lang w:val="zh-CN"/>
              </w:rPr>
              <w:t>相应照片或视频等见证材料，验证</w:t>
            </w:r>
            <w:r>
              <w:rPr>
                <w:rFonts w:hint="eastAsia" w:ascii="宋体" w:hAnsi="宋体" w:eastAsia="宋体" w:cs="宋体"/>
                <w:color w:val="auto"/>
                <w:highlight w:val="none"/>
              </w:rPr>
              <w:t>国市监特设发〔2023〕94 号文件精神落实情况</w:t>
            </w:r>
          </w:p>
        </w:tc>
      </w:tr>
    </w:tbl>
    <w:p w14:paraId="58F4DFC3">
      <w:pPr>
        <w:rPr>
          <w:rFonts w:hint="eastAsia" w:ascii="楷体_GB2312" w:hAnsi="黑体" w:eastAsia="楷体_GB2312"/>
          <w:color w:val="auto"/>
          <w:highlight w:val="none"/>
        </w:rPr>
      </w:pPr>
      <w:r>
        <w:rPr>
          <w:rFonts w:hint="eastAsia" w:ascii="宋体" w:hAnsi="宋体" w:eastAsia="宋体" w:cs="宋体"/>
          <w:color w:val="auto"/>
          <w:highlight w:val="none"/>
        </w:rPr>
        <w:t>注：各类乘客与载货电梯检测质量监督抽查包含但不限于以上内容，项目1-52项为曳引驱动乘客电梯与载货电梯基本检测项目，部分项目适用于强制驱动载货电梯、液压乘客与载货电梯、曳引驱动消防员电梯、曳引驱动防爆电梯、液压驱动防爆电梯曳引驱动斜行乘客与载货电梯、强制驱动斜行乘客与载货电梯。53项为查验落实国市监特设发〔2023〕94 号文件精神情况。检测质量监督抽查现场根据被抽查电梯实际情况，依据《电梯自行检测规则》（TSG T 7008-2023）规定的相关项目进行监督抽查。</w:t>
      </w:r>
    </w:p>
    <w:p w14:paraId="45391441">
      <w:pPr>
        <w:rPr>
          <w:rFonts w:hint="eastAsia" w:ascii="宋体" w:hAnsi="宋体" w:eastAsia="宋体" w:cs="宋体"/>
          <w:color w:val="auto"/>
          <w:highlight w:val="none"/>
        </w:rPr>
      </w:pPr>
      <w:r>
        <w:rPr>
          <w:rFonts w:hint="eastAsia" w:ascii="宋体" w:hAnsi="宋体" w:eastAsia="宋体" w:cs="宋体"/>
          <w:color w:val="auto"/>
          <w:highlight w:val="none"/>
        </w:rPr>
        <w:t>2.自动扶梯与自动人行道</w:t>
      </w:r>
    </w:p>
    <w:tbl>
      <w:tblPr>
        <w:tblStyle w:val="33"/>
        <w:tblW w:w="907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134"/>
        <w:gridCol w:w="5953"/>
        <w:gridCol w:w="1417"/>
      </w:tblGrid>
      <w:tr w14:paraId="18DF43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8" w:type="dxa"/>
            <w:vAlign w:val="center"/>
          </w:tcPr>
          <w:p w14:paraId="39CAE857">
            <w:pPr>
              <w:spacing w:line="24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34" w:type="dxa"/>
            <w:vAlign w:val="center"/>
          </w:tcPr>
          <w:p w14:paraId="38402C92">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5953" w:type="dxa"/>
            <w:vAlign w:val="center"/>
          </w:tcPr>
          <w:p w14:paraId="10FAA426">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抽查内容及要求</w:t>
            </w:r>
          </w:p>
        </w:tc>
        <w:tc>
          <w:tcPr>
            <w:tcW w:w="1417" w:type="dxa"/>
            <w:vAlign w:val="center"/>
          </w:tcPr>
          <w:p w14:paraId="7A7807BD">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监督抽查 </w:t>
            </w:r>
          </w:p>
          <w:p w14:paraId="69CDD7DE">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方法</w:t>
            </w:r>
          </w:p>
        </w:tc>
      </w:tr>
      <w:tr w14:paraId="1A4DC1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8" w:type="dxa"/>
            <w:vAlign w:val="center"/>
          </w:tcPr>
          <w:p w14:paraId="4828B103">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5C1B9296">
            <w:pPr>
              <w:spacing w:line="32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技术资料</w:t>
            </w:r>
          </w:p>
        </w:tc>
        <w:tc>
          <w:tcPr>
            <w:tcW w:w="5953" w:type="dxa"/>
            <w:vAlign w:val="center"/>
          </w:tcPr>
          <w:p w14:paraId="28D35DCF">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审查</w:t>
            </w:r>
            <w:r>
              <w:rPr>
                <w:rFonts w:hint="eastAsia" w:ascii="宋体" w:hAnsi="宋体" w:eastAsia="宋体" w:cs="宋体"/>
                <w:color w:val="auto"/>
                <w:highlight w:val="none"/>
              </w:rPr>
              <w:t>电梯</w:t>
            </w:r>
            <w:r>
              <w:rPr>
                <w:rFonts w:hint="eastAsia" w:ascii="宋体" w:hAnsi="宋体" w:eastAsia="宋体" w:cs="宋体"/>
                <w:color w:val="auto"/>
                <w:highlight w:val="none"/>
                <w:lang w:val="zh-CN"/>
              </w:rPr>
              <w:t>使用单位是否提供以下适用于受检电梯的资料：</w:t>
            </w:r>
          </w:p>
          <w:p w14:paraId="4FC29575">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(1)电气原理图、液压系统原理图、安装使用维护保养说明书、检验和检测报告；</w:t>
            </w:r>
          </w:p>
          <w:p w14:paraId="76EC7960">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(2)日常使用状况记录、维护保养记录、运行故障和事故记录。</w:t>
            </w:r>
          </w:p>
        </w:tc>
        <w:tc>
          <w:tcPr>
            <w:tcW w:w="1417" w:type="dxa"/>
            <w:vAlign w:val="center"/>
          </w:tcPr>
          <w:p w14:paraId="68F949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现场审查</w:t>
            </w:r>
          </w:p>
          <w:p w14:paraId="3E92A19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163D28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8" w:type="dxa"/>
            <w:vAlign w:val="center"/>
          </w:tcPr>
          <w:p w14:paraId="33FA775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2AC1BB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照明</w:t>
            </w:r>
          </w:p>
        </w:tc>
        <w:tc>
          <w:tcPr>
            <w:tcW w:w="5953" w:type="dxa"/>
            <w:vAlign w:val="center"/>
          </w:tcPr>
          <w:p w14:paraId="65345EA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检查榆架内的驱动站、转向站以及机房中是否设有电气照明，分离机房是否设有永久性电气照明。</w:t>
            </w:r>
          </w:p>
        </w:tc>
        <w:tc>
          <w:tcPr>
            <w:tcW w:w="1417" w:type="dxa"/>
            <w:vAlign w:val="center"/>
          </w:tcPr>
          <w:p w14:paraId="252087C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6C04FBC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3EF02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3415A1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3D28E41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接地保护措施</w:t>
            </w:r>
          </w:p>
        </w:tc>
        <w:tc>
          <w:tcPr>
            <w:tcW w:w="5953" w:type="dxa"/>
            <w:vAlign w:val="center"/>
          </w:tcPr>
          <w:p w14:paraId="64C31CB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(1)电气设备及线管、线槽的外露可导电部分与保护导体(PE，地线)可靠连接；</w:t>
            </w:r>
          </w:p>
          <w:p w14:paraId="2C32B5C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(2)含有电气安全装置的电路发生接地故障时，驱动主机立即停止运转。</w:t>
            </w:r>
          </w:p>
        </w:tc>
        <w:tc>
          <w:tcPr>
            <w:tcW w:w="1417" w:type="dxa"/>
            <w:vAlign w:val="center"/>
          </w:tcPr>
          <w:p w14:paraId="3074B72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8A383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E8816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68" w:type="dxa"/>
            <w:vAlign w:val="center"/>
          </w:tcPr>
          <w:p w14:paraId="0341759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0149460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旋转部件防护措施</w:t>
            </w:r>
          </w:p>
        </w:tc>
        <w:tc>
          <w:tcPr>
            <w:tcW w:w="5953" w:type="dxa"/>
            <w:vAlign w:val="center"/>
          </w:tcPr>
          <w:p w14:paraId="73102D0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检查驱动主机的旋转部件、驱动站和转向站的梯级或者踏板转向部分是否设有防护装置和警示标志，以防止人员受到伤害。</w:t>
            </w:r>
          </w:p>
        </w:tc>
        <w:tc>
          <w:tcPr>
            <w:tcW w:w="1417" w:type="dxa"/>
            <w:vAlign w:val="center"/>
          </w:tcPr>
          <w:p w14:paraId="4E9D002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781C3E1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11F613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5D649FB">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38E120E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主开关</w:t>
            </w:r>
          </w:p>
        </w:tc>
        <w:tc>
          <w:tcPr>
            <w:tcW w:w="5953" w:type="dxa"/>
            <w:vAlign w:val="center"/>
          </w:tcPr>
          <w:p w14:paraId="2FB7844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(1)能够切断电动机、工作制动器和控制电路的电源，但是不能切断电源插座以及维护和检查所必需的照明电路的电源；</w:t>
            </w:r>
          </w:p>
          <w:p w14:paraId="2E5B3DA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(2)在断开位置上能够被锁住或者使其处于“隔离”位置；</w:t>
            </w:r>
          </w:p>
          <w:p w14:paraId="7D59655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(3)多台设备的主开关设置在同一个机器空间内时，各主开关的操作机构易于识别。</w:t>
            </w:r>
          </w:p>
        </w:tc>
        <w:tc>
          <w:tcPr>
            <w:tcW w:w="1417" w:type="dxa"/>
            <w:vAlign w:val="center"/>
          </w:tcPr>
          <w:p w14:paraId="6992B35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BF71BE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653AD1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85FCA3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7DDDA5A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停止开关</w:t>
            </w:r>
          </w:p>
        </w:tc>
        <w:tc>
          <w:tcPr>
            <w:tcW w:w="5953" w:type="dxa"/>
            <w:vAlign w:val="center"/>
          </w:tcPr>
          <w:p w14:paraId="3B28D34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检查驱动站和转向站是否均设有停止开关(已经设置了主开关的驱动站除外)。驱动装置安装在梯级、踏板或者胶带的载客分支和返回分支之间或者设置在转向站外部的，检查在驱动装置附近是否另设有停止开关。</w:t>
            </w:r>
          </w:p>
        </w:tc>
        <w:tc>
          <w:tcPr>
            <w:tcW w:w="1417" w:type="dxa"/>
            <w:vAlign w:val="center"/>
          </w:tcPr>
          <w:p w14:paraId="283F36D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C28D33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67FE2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C9328E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54947F7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工作制动器状态监测功能</w:t>
            </w:r>
          </w:p>
        </w:tc>
        <w:tc>
          <w:tcPr>
            <w:tcW w:w="5953" w:type="dxa"/>
            <w:vAlign w:val="center"/>
          </w:tcPr>
          <w:p w14:paraId="5FEB648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检查受检设备启动后而工作制动器没有松开时，电气安全装置是否能够使驱动主机立即停止运行，故障锁定功能是否保持有效。</w:t>
            </w:r>
          </w:p>
        </w:tc>
        <w:tc>
          <w:tcPr>
            <w:tcW w:w="1417" w:type="dxa"/>
            <w:vAlign w:val="center"/>
          </w:tcPr>
          <w:p w14:paraId="647D71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B736F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3AF6F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31BC3C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5B3299C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手动盘车装置</w:t>
            </w:r>
          </w:p>
        </w:tc>
        <w:tc>
          <w:tcPr>
            <w:tcW w:w="5953" w:type="dxa"/>
            <w:vAlign w:val="center"/>
          </w:tcPr>
          <w:p w14:paraId="3F4199F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(1)盘车手轮是平滑和无辐条的，并且在其上或者附近清晰地标出操作说明和运行方向；</w:t>
            </w:r>
          </w:p>
          <w:p w14:paraId="52BC9E8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(2)对于可拆卸式手动盘车装置，设有最迟在该装置连接到驱动主机时起作用的电气安全装置。</w:t>
            </w:r>
          </w:p>
        </w:tc>
        <w:tc>
          <w:tcPr>
            <w:tcW w:w="1417" w:type="dxa"/>
            <w:vAlign w:val="center"/>
          </w:tcPr>
          <w:p w14:paraId="291B70C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1CC3195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103921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C546B7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4DACA84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驱动链电气安全装置</w:t>
            </w:r>
          </w:p>
        </w:tc>
        <w:tc>
          <w:tcPr>
            <w:tcW w:w="5953" w:type="dxa"/>
            <w:vAlign w:val="center"/>
          </w:tcPr>
          <w:p w14:paraId="73BF733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检查当驱动主机驱动链过度松弛和断裂时，电气安全装置是否能够使受检设备自动停止运行，并且能够触发附加制动器动作(设有附加制动器时)。</w:t>
            </w:r>
          </w:p>
        </w:tc>
        <w:tc>
          <w:tcPr>
            <w:tcW w:w="1417" w:type="dxa"/>
            <w:vAlign w:val="center"/>
          </w:tcPr>
          <w:p w14:paraId="12B5031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545577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58FF33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ABCCCB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3805909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检修控制装置</w:t>
            </w:r>
          </w:p>
        </w:tc>
        <w:tc>
          <w:tcPr>
            <w:tcW w:w="5953" w:type="dxa"/>
            <w:vAlign w:val="center"/>
          </w:tcPr>
          <w:p w14:paraId="4888FF7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(1)在驱动站和转向站内至少提供一个用于便携式检修控制装置连接的检修插座，该插座的设置能够使检修控制装置到达受检设备的任何位置；</w:t>
            </w:r>
          </w:p>
          <w:p w14:paraId="4ABC854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(2)检修控制装置上的停止开关功能有效；</w:t>
            </w:r>
          </w:p>
          <w:p w14:paraId="3D524FA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(3)检修控制装置上的运行方向标识清晰、正确；</w:t>
            </w:r>
          </w:p>
          <w:p w14:paraId="19C6CFD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(4)当连接一个以上的检修控制装置时，所有检修控制装置均不起作用。</w:t>
            </w:r>
          </w:p>
          <w:p w14:paraId="7B1FABC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（5）对于允许按照GB 16899--1997《自动扶梯和自动人行道的制造与安装安全规范》及更早期标准生产的受检设备，检查其是否符合本条(1)一(3)项以及以下要求：</w:t>
            </w:r>
          </w:p>
          <w:p w14:paraId="090E51E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①操作检修控制装置时，其他所有启动开关均不起作用，安全开关和安全电路仍起作用；</w:t>
            </w:r>
          </w:p>
          <w:p w14:paraId="0569E08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②当连接多个检修控制装置时，或者均不起作用，或者需要同时启动才能起作用。</w:t>
            </w:r>
          </w:p>
        </w:tc>
        <w:tc>
          <w:tcPr>
            <w:tcW w:w="1417" w:type="dxa"/>
            <w:vAlign w:val="center"/>
          </w:tcPr>
          <w:p w14:paraId="49D7059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现场观察确认并试验验证</w:t>
            </w:r>
          </w:p>
        </w:tc>
      </w:tr>
      <w:tr w14:paraId="1EC06B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173ECA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34" w:type="dxa"/>
            <w:vAlign w:val="center"/>
          </w:tcPr>
          <w:p w14:paraId="674BD6E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梳齿与踏面相交线处的照度</w:t>
            </w:r>
          </w:p>
        </w:tc>
        <w:tc>
          <w:tcPr>
            <w:tcW w:w="5953" w:type="dxa"/>
            <w:vAlign w:val="center"/>
          </w:tcPr>
          <w:p w14:paraId="63805A3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测量在楼层板平面的梳齿与踏面相交线位置的照度是否至少为50lx。</w:t>
            </w:r>
          </w:p>
        </w:tc>
        <w:tc>
          <w:tcPr>
            <w:tcW w:w="1417" w:type="dxa"/>
            <w:vAlign w:val="center"/>
          </w:tcPr>
          <w:p w14:paraId="4E13062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AE06CF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36336A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6DAF4C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34" w:type="dxa"/>
            <w:vAlign w:val="center"/>
          </w:tcPr>
          <w:p w14:paraId="28ED790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出入口区域</w:t>
            </w:r>
          </w:p>
        </w:tc>
        <w:tc>
          <w:tcPr>
            <w:tcW w:w="5953" w:type="dxa"/>
            <w:vAlign w:val="center"/>
          </w:tcPr>
          <w:p w14:paraId="3949736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检查出入口区域是否充分畅通，其宽度至少等于扶手带外缘距离加上每边各80mm，纵深尺寸从扶手装置端部算起至少为2.50m，该区域的宽度不小于扶手带外缘之间距离的2倍加上每边各80mm 时，其纵深尺寸允许减少至2.00m。</w:t>
            </w:r>
          </w:p>
        </w:tc>
        <w:tc>
          <w:tcPr>
            <w:tcW w:w="1417" w:type="dxa"/>
            <w:vAlign w:val="center"/>
          </w:tcPr>
          <w:p w14:paraId="51DD69D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66BD44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D9BBFE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34" w:type="dxa"/>
            <w:vAlign w:val="center"/>
          </w:tcPr>
          <w:p w14:paraId="0B1ECF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出入口防护装置</w:t>
            </w:r>
          </w:p>
        </w:tc>
        <w:tc>
          <w:tcPr>
            <w:tcW w:w="5953" w:type="dxa"/>
            <w:vAlign w:val="center"/>
          </w:tcPr>
          <w:p w14:paraId="38074FE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对于人员在出入口可能接触到扶手带的外缘并且引起危险的区域，检查是否设置能够阻止乘客进入该区域的永久固定的防护装置，或者符合以下要求的永久固定的防护装置[对于未按照《电梯监督检验和定期检验规则》对出入口防护装置进行过监督检验的，允许只满足下列第(1)项要求]：</w:t>
            </w:r>
          </w:p>
          <w:p w14:paraId="0B910E3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(1)至少高出扶手带100mm，位于扶手带外缘80mm～120mm处；</w:t>
            </w:r>
          </w:p>
          <w:p w14:paraId="56DAF76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(2)从楼层板起高度不小于1100mm。</w:t>
            </w:r>
          </w:p>
        </w:tc>
        <w:tc>
          <w:tcPr>
            <w:tcW w:w="1417" w:type="dxa"/>
            <w:vAlign w:val="center"/>
          </w:tcPr>
          <w:p w14:paraId="2952C0D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499A57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5EBBD7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34" w:type="dxa"/>
            <w:vAlign w:val="center"/>
          </w:tcPr>
          <w:p w14:paraId="3FD16F4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防护挡板</w:t>
            </w:r>
          </w:p>
        </w:tc>
        <w:tc>
          <w:tcPr>
            <w:tcW w:w="5953" w:type="dxa"/>
            <w:vAlign w:val="center"/>
          </w:tcPr>
          <w:p w14:paraId="60A5DA5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建筑障碍物会引起人员伤害的，检查是否采取了预防措施。受检设备与楼板有交叉或者受检设备之间有交叉的，检查交叉处是否设有垂直固定、无锐利边缘的封闭防护挡板，其位于扶手带上方的防护高度不小于0.30m，并且延伸至扶手带下缘以下至少25mm。扶手带外缘与任何障碍物之间的距离不小于400mm的，可以不设置防护挡板</w:t>
            </w:r>
          </w:p>
        </w:tc>
        <w:tc>
          <w:tcPr>
            <w:tcW w:w="1417" w:type="dxa"/>
            <w:vAlign w:val="center"/>
          </w:tcPr>
          <w:p w14:paraId="55B6319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2B9F5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11A144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34" w:type="dxa"/>
            <w:vAlign w:val="center"/>
          </w:tcPr>
          <w:p w14:paraId="2088831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扶乎带</w:t>
            </w:r>
          </w:p>
          <w:p w14:paraId="301901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距离</w:t>
            </w:r>
          </w:p>
        </w:tc>
        <w:tc>
          <w:tcPr>
            <w:tcW w:w="5953" w:type="dxa"/>
            <w:vAlign w:val="center"/>
          </w:tcPr>
          <w:p w14:paraId="4A5BCC5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(1)墙壁或者障碍物与扶手带外缘之间的水平距离不小于80mm，与扶手带下缘的垂直距离不小于25mm；</w:t>
            </w:r>
          </w:p>
          <w:p w14:paraId="3EBBFA74">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(2)对于邻近布置的受检设备，其扶手带外缘之间的距离不小于160mm。</w:t>
            </w:r>
          </w:p>
        </w:tc>
        <w:tc>
          <w:tcPr>
            <w:tcW w:w="1417" w:type="dxa"/>
            <w:vAlign w:val="center"/>
          </w:tcPr>
          <w:p w14:paraId="4C8418D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9A9A6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2FCD01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134" w:type="dxa"/>
            <w:vAlign w:val="center"/>
          </w:tcPr>
          <w:p w14:paraId="27C806E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连续输送保护</w:t>
            </w:r>
          </w:p>
        </w:tc>
        <w:tc>
          <w:tcPr>
            <w:tcW w:w="5953" w:type="dxa"/>
            <w:vAlign w:val="center"/>
          </w:tcPr>
          <w:p w14:paraId="3FBDC9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(1)具有相同的输送能力并且同方向运行；</w:t>
            </w:r>
          </w:p>
          <w:p w14:paraId="6ED9981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(2)在梯级、踏板或胶带到达梳齿与踏面相交线之前2.00m～3.00m处，设有乘客易于触及的附加紧急停止开关；</w:t>
            </w:r>
          </w:p>
          <w:p w14:paraId="2CAD289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(3)当其中一台受检设备停止运行时，其他继续运行可能造成人流拥堵的设备也停止运行。</w:t>
            </w:r>
          </w:p>
        </w:tc>
        <w:tc>
          <w:tcPr>
            <w:tcW w:w="1417" w:type="dxa"/>
            <w:vAlign w:val="center"/>
          </w:tcPr>
          <w:p w14:paraId="09FAE82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82DCF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C56A75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134" w:type="dxa"/>
            <w:vAlign w:val="center"/>
          </w:tcPr>
          <w:p w14:paraId="235E71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检修盖板与楼层板</w:t>
            </w:r>
          </w:p>
        </w:tc>
        <w:tc>
          <w:tcPr>
            <w:tcW w:w="5953" w:type="dxa"/>
            <w:vAlign w:val="center"/>
          </w:tcPr>
          <w:p w14:paraId="79302F5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(1)检修盖板与楼层板的安装和固定能够防止因人员踩踏或者自重作用而导致倾覆、翻转；</w:t>
            </w:r>
          </w:p>
          <w:p w14:paraId="4894F0A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(2)监测检修盖板和楼层板的电气安全装置能够在移除任何一块检修盖板或者楼层板时动作，机械结构能够保证只能先移除某块检修盖板或者楼层板的，至少在移除该块检修盖板或者楼层板时电气安全装置动作。</w:t>
            </w:r>
          </w:p>
        </w:tc>
        <w:tc>
          <w:tcPr>
            <w:tcW w:w="1417" w:type="dxa"/>
            <w:vAlign w:val="center"/>
          </w:tcPr>
          <w:p w14:paraId="14E1EF3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AA21C8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17A2D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09138C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134" w:type="dxa"/>
            <w:vAlign w:val="center"/>
          </w:tcPr>
          <w:p w14:paraId="2E3B637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扶手带速度监测装置</w:t>
            </w:r>
          </w:p>
        </w:tc>
        <w:tc>
          <w:tcPr>
            <w:tcW w:w="5953" w:type="dxa"/>
            <w:vAlign w:val="center"/>
          </w:tcPr>
          <w:p w14:paraId="3764734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检查当扶手带速度与梯级、踏板或者胶带实际速度偏差最大超过15%，并且持续时间在5s～15s范围内时，扶手带速度监测装置是否能够使受检设备自动停止运行。</w:t>
            </w:r>
          </w:p>
        </w:tc>
        <w:tc>
          <w:tcPr>
            <w:tcW w:w="1417" w:type="dxa"/>
            <w:vAlign w:val="center"/>
          </w:tcPr>
          <w:p w14:paraId="23A80FF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5748D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731A55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134" w:type="dxa"/>
            <w:vAlign w:val="center"/>
          </w:tcPr>
          <w:p w14:paraId="56A0691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梳齿与梳齿板</w:t>
            </w:r>
          </w:p>
        </w:tc>
        <w:tc>
          <w:tcPr>
            <w:tcW w:w="5953" w:type="dxa"/>
            <w:vAlign w:val="center"/>
          </w:tcPr>
          <w:p w14:paraId="62EBCFD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(1)梳齿板梳齿完好，无缺损；</w:t>
            </w:r>
          </w:p>
          <w:p w14:paraId="0B92934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(2)梳齿板梳齿与踏面齿槽的啮合深度至少为4mm，梳齿槽根部与踏面的间隙不超过4mm；</w:t>
            </w:r>
          </w:p>
          <w:p w14:paraId="1128C88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(3)梯级或者踏板进入梳齿板处有异物卡入，并且梳齿与梯级或者踏板不能正常啮合而导致梳齿板与梯级或者踏板发生碰撞时，受检设备能够自动停止运行。</w:t>
            </w:r>
          </w:p>
        </w:tc>
        <w:tc>
          <w:tcPr>
            <w:tcW w:w="1417" w:type="dxa"/>
            <w:vAlign w:val="center"/>
          </w:tcPr>
          <w:p w14:paraId="64A1FD0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122F0A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354C6B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134" w:type="dxa"/>
            <w:vAlign w:val="center"/>
          </w:tcPr>
          <w:p w14:paraId="7658A99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紧急停止开关</w:t>
            </w:r>
          </w:p>
        </w:tc>
        <w:tc>
          <w:tcPr>
            <w:tcW w:w="5953" w:type="dxa"/>
            <w:vAlign w:val="center"/>
          </w:tcPr>
          <w:p w14:paraId="426E951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(1)受检设备出入口附近设有紧急停止开关，必要时增设附加紧急停止开关，以使紧急停止开关之间的距离不超过30m(适用于自动扶梯)或者40m(适用于自动人行道)；</w:t>
            </w:r>
          </w:p>
          <w:p w14:paraId="2759823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(2)各紧急停止开关标识清晰，对于位于扶手装置高度1/2以下的紧急停止开关，在扶手装置高度1/2以上的醒目位置还设有直径至少为 80mm的红底白字“急停”指示标记，箭头指向该开关。</w:t>
            </w:r>
          </w:p>
        </w:tc>
        <w:tc>
          <w:tcPr>
            <w:tcW w:w="1417" w:type="dxa"/>
            <w:vAlign w:val="center"/>
          </w:tcPr>
          <w:p w14:paraId="2FE57E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350E3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568" w:type="dxa"/>
            <w:vAlign w:val="center"/>
          </w:tcPr>
          <w:p w14:paraId="319FF1B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34" w:type="dxa"/>
            <w:vAlign w:val="center"/>
          </w:tcPr>
          <w:p w14:paraId="60084D5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铭牌与</w:t>
            </w:r>
          </w:p>
          <w:p w14:paraId="398C29B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w:t>
            </w:r>
          </w:p>
        </w:tc>
        <w:tc>
          <w:tcPr>
            <w:tcW w:w="5953" w:type="dxa"/>
            <w:vAlign w:val="center"/>
          </w:tcPr>
          <w:p w14:paraId="51286DC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在受检设备出入口的明显位置设有产品铭牌，至少标明产品名称、型号、编号、制造单位名称或者商标、制造日期(对于在本规则实施前已经投入使用的受检设备，可以在出入口的明显位置设置标有产品型号、编号、制造年份、制造单位名称或者商标的产品标识)；改造后的受检设备，加贴铭牌上标明主要技术参数、改造单位名称或者商标、改造竣工日期；</w:t>
            </w:r>
          </w:p>
          <w:p w14:paraId="170741A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(2)在受检设备出入口附近设有包括必须拉住小孩、必须抱着宠物、必须握住扶手带和禁止使用非专用手推车等内容的安全乘用图形标志。</w:t>
            </w:r>
          </w:p>
        </w:tc>
        <w:tc>
          <w:tcPr>
            <w:tcW w:w="1417" w:type="dxa"/>
            <w:vAlign w:val="center"/>
          </w:tcPr>
          <w:p w14:paraId="0C6E9AE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A3883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DD1E6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D640E9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134" w:type="dxa"/>
            <w:vAlign w:val="center"/>
          </w:tcPr>
          <w:p w14:paraId="0291DC7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扶手装置</w:t>
            </w:r>
          </w:p>
        </w:tc>
        <w:tc>
          <w:tcPr>
            <w:tcW w:w="5953" w:type="dxa"/>
            <w:vAlign w:val="center"/>
          </w:tcPr>
          <w:p w14:paraId="30C411C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(1)扶手带完好、表面无龟裂、剥离、严重磨损，扶手带单一开裂处最大裂纹宽度不大于3mm；</w:t>
            </w:r>
          </w:p>
          <w:p w14:paraId="6CEA065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(2)扶手转向端入口处的最低点与地板之间的垂直距离不小于0.10m，并且不大于0.25m；</w:t>
            </w:r>
          </w:p>
          <w:p w14:paraId="6902E1D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(3)朝向梯级、踏板或者胶带一侧的部分光滑、平齐，装设方向与运行方向不一致的压条或者镶条凸出高度不大于 3mm，其边缘呈圆角或者倒角状，沿运行方向的盖板连接处结构能够防止勾绊；</w:t>
            </w:r>
          </w:p>
          <w:p w14:paraId="2E9E0C6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(4)扶手带入口保护装置功能有效。</w:t>
            </w:r>
          </w:p>
        </w:tc>
        <w:tc>
          <w:tcPr>
            <w:tcW w:w="1417" w:type="dxa"/>
            <w:vAlign w:val="center"/>
          </w:tcPr>
          <w:p w14:paraId="004FBB5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3CA61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88D07F2">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134" w:type="dxa"/>
            <w:vAlign w:val="center"/>
          </w:tcPr>
          <w:p w14:paraId="6576B4B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防爬装置</w:t>
            </w:r>
          </w:p>
        </w:tc>
        <w:tc>
          <w:tcPr>
            <w:tcW w:w="5953" w:type="dxa"/>
            <w:vAlign w:val="center"/>
          </w:tcPr>
          <w:p w14:paraId="15FFF92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人员能够爬上外盖板并且存在跌落风险的，检查在受检设备的外盖板上是否装设了符合以下要求的防爬装置：</w:t>
            </w:r>
          </w:p>
          <w:p w14:paraId="1805D56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(1)在位于地平面上方1000mm±50mm处；</w:t>
            </w:r>
          </w:p>
          <w:p w14:paraId="32D8F63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(2)其高度至少与扶手带表面齐平，下部与外盖板相交，平行于外盖板方向上的延伸长度不小于1000mm，并且在此长度范围内无踩脚处。</w:t>
            </w:r>
          </w:p>
        </w:tc>
        <w:tc>
          <w:tcPr>
            <w:tcW w:w="1417" w:type="dxa"/>
            <w:vAlign w:val="center"/>
          </w:tcPr>
          <w:p w14:paraId="486B348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655772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617CC7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134" w:type="dxa"/>
            <w:vAlign w:val="center"/>
          </w:tcPr>
          <w:p w14:paraId="2A0CECB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阻挡装置</w:t>
            </w:r>
          </w:p>
        </w:tc>
        <w:tc>
          <w:tcPr>
            <w:tcW w:w="5953" w:type="dxa"/>
            <w:vAlign w:val="center"/>
          </w:tcPr>
          <w:p w14:paraId="4CE30F3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对于与墙相邻并且外盖板的宽度大于125mm的受检设备，或者相邻平行布置并且共用外盖板的宽度大于125mm 的自动扶梯或者倾斜的自动人行道，检查在上、下端部装设的阻挡装置是否能够防止人员进入外盖板区域，并且延伸到高度距离扶手带下缘25mm-150mm处。</w:t>
            </w:r>
          </w:p>
        </w:tc>
        <w:tc>
          <w:tcPr>
            <w:tcW w:w="1417" w:type="dxa"/>
            <w:vAlign w:val="center"/>
          </w:tcPr>
          <w:p w14:paraId="3DCC655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450CD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66DDBEE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134" w:type="dxa"/>
            <w:vAlign w:val="center"/>
          </w:tcPr>
          <w:p w14:paraId="63F290F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防滑行</w:t>
            </w:r>
          </w:p>
          <w:p w14:paraId="6BB0522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装置</w:t>
            </w:r>
          </w:p>
        </w:tc>
        <w:tc>
          <w:tcPr>
            <w:tcW w:w="5953" w:type="dxa"/>
            <w:vAlign w:val="center"/>
          </w:tcPr>
          <w:p w14:paraId="664BCC9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自动扶梯或者倾斜的自动人行道和相邻的墙之间装有接近扶手带高度的扶手盖板，并且建筑物(墙)和扶手带中心线之间的距离大于300mm时，或者相邻自动扶梯或者倾斜的自动人行道的扶手带中心线之间的距离大于400mm时，检查在扶手盖板上装设的防滑行装置是否无锐角或者锐边，与扶手带的距离不小于100mm，并且防滑行装置之间的间隔距离不大于1800mm，高度不小于20mm。</w:t>
            </w:r>
          </w:p>
        </w:tc>
        <w:tc>
          <w:tcPr>
            <w:tcW w:w="1417" w:type="dxa"/>
            <w:vAlign w:val="center"/>
          </w:tcPr>
          <w:p w14:paraId="04F4F94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41666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7E6A0B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134" w:type="dxa"/>
            <w:vAlign w:val="center"/>
          </w:tcPr>
          <w:p w14:paraId="05B187E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护壁板</w:t>
            </w:r>
          </w:p>
          <w:p w14:paraId="06B8159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间隙</w:t>
            </w:r>
          </w:p>
        </w:tc>
        <w:tc>
          <w:tcPr>
            <w:tcW w:w="5953" w:type="dxa"/>
            <w:vAlign w:val="center"/>
          </w:tcPr>
          <w:p w14:paraId="5F2220A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检查护壁板之间的间隙是否不大于4mm，其边缘是否呈圆角或者倒角状。</w:t>
            </w:r>
          </w:p>
        </w:tc>
        <w:tc>
          <w:tcPr>
            <w:tcW w:w="1417" w:type="dxa"/>
            <w:vAlign w:val="center"/>
          </w:tcPr>
          <w:p w14:paraId="3B4C2AE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5EA8B8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A73085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134" w:type="dxa"/>
            <w:vAlign w:val="center"/>
          </w:tcPr>
          <w:p w14:paraId="4A12BB4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围裙板与梯级、踏板间隙</w:t>
            </w:r>
          </w:p>
        </w:tc>
        <w:tc>
          <w:tcPr>
            <w:tcW w:w="5953" w:type="dxa"/>
            <w:vAlign w:val="center"/>
          </w:tcPr>
          <w:p w14:paraId="4BA87BC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(1)任何一侧的水平间隙不大于4mm，并且两侧对称位置处的间隙总和不大于7mm；</w:t>
            </w:r>
          </w:p>
          <w:p w14:paraId="19A2207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(2)围裙板设置在踏板之上时，踏板表面与围裙板下端的垂直间隙不大于4mm，踏板侧边与围裙板垂直投影间不产生间隙。</w:t>
            </w:r>
          </w:p>
        </w:tc>
        <w:tc>
          <w:tcPr>
            <w:tcW w:w="1417" w:type="dxa"/>
            <w:vAlign w:val="center"/>
          </w:tcPr>
          <w:p w14:paraId="7BC564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72766F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09BDC96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134" w:type="dxa"/>
            <w:vAlign w:val="center"/>
          </w:tcPr>
          <w:p w14:paraId="50E5354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围裙板防夹装置</w:t>
            </w:r>
          </w:p>
        </w:tc>
        <w:tc>
          <w:tcPr>
            <w:tcW w:w="5953" w:type="dxa"/>
            <w:vAlign w:val="center"/>
          </w:tcPr>
          <w:p w14:paraId="04391CF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(1)无松动、缺损等现象；</w:t>
            </w:r>
          </w:p>
          <w:p w14:paraId="1E17F59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(2)端点位于梳齿与踏面相交线前(梯级侧)不小于50mm，但不大于 150mm 的位置。</w:t>
            </w:r>
          </w:p>
        </w:tc>
        <w:tc>
          <w:tcPr>
            <w:tcW w:w="1417" w:type="dxa"/>
            <w:vAlign w:val="center"/>
          </w:tcPr>
          <w:p w14:paraId="1836340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现场观察确认并测量相关数据</w:t>
            </w:r>
          </w:p>
        </w:tc>
      </w:tr>
      <w:tr w14:paraId="03C1C7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4494A0A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134" w:type="dxa"/>
            <w:vAlign w:val="center"/>
          </w:tcPr>
          <w:p w14:paraId="14E468F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围裙板防夹开关</w:t>
            </w:r>
          </w:p>
        </w:tc>
        <w:tc>
          <w:tcPr>
            <w:tcW w:w="5953" w:type="dxa"/>
            <w:vAlign w:val="center"/>
          </w:tcPr>
          <w:p w14:paraId="199B589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对于设有围裙板防夹开关的自动扶梯，检查夹入梯级和围裙板之间的异物最迟到达围裙板防夹开关处时，该开关是否能够有效动作，使自动扶梯在该梯级到达梳齿板前自动停止运行。</w:t>
            </w:r>
          </w:p>
        </w:tc>
        <w:tc>
          <w:tcPr>
            <w:tcW w:w="1417" w:type="dxa"/>
            <w:vAlign w:val="center"/>
          </w:tcPr>
          <w:p w14:paraId="77A3888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57B988C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19711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3C09F8A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134" w:type="dxa"/>
            <w:vAlign w:val="center"/>
          </w:tcPr>
          <w:p w14:paraId="6595E0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梯级、踏板(胶带)</w:t>
            </w:r>
          </w:p>
        </w:tc>
        <w:tc>
          <w:tcPr>
            <w:tcW w:w="5953" w:type="dxa"/>
            <w:vAlign w:val="center"/>
          </w:tcPr>
          <w:p w14:paraId="41C09548">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(1)梯级、踏板或者胶带完好，无破损；</w:t>
            </w:r>
          </w:p>
          <w:p w14:paraId="142BC71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(2)在工作区段内的任何位置，从踏面测得的两个相邻梯级或者踏板之间的间隙不大于6mm，在自动人行道过渡曲线区段，如果踏板的前缘和相邻踏板的后缘啮合，其间隙允许增至8mm。</w:t>
            </w:r>
          </w:p>
        </w:tc>
        <w:tc>
          <w:tcPr>
            <w:tcW w:w="1417" w:type="dxa"/>
            <w:vAlign w:val="center"/>
          </w:tcPr>
          <w:p w14:paraId="6E81B8A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检查人员现场观察确认并测量相关数据</w:t>
            </w:r>
          </w:p>
        </w:tc>
      </w:tr>
      <w:tr w14:paraId="3BAAEC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B75125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134" w:type="dxa"/>
            <w:vAlign w:val="center"/>
          </w:tcPr>
          <w:p w14:paraId="754D2A1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梯级、踏板下陷保护</w:t>
            </w:r>
          </w:p>
        </w:tc>
        <w:tc>
          <w:tcPr>
            <w:tcW w:w="5953" w:type="dxa"/>
            <w:vAlign w:val="center"/>
          </w:tcPr>
          <w:p w14:paraId="2C545FD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检查梯级或者踏板下陷导致不再与梳齿啮合时，电气安全装置是否能够使受检设备自动停止运行，并且下陷的梯级或者踏板不会到达梳齿与踏面相交线，故障锁定功能是否保持有效。</w:t>
            </w:r>
          </w:p>
        </w:tc>
        <w:tc>
          <w:tcPr>
            <w:tcW w:w="1417" w:type="dxa"/>
            <w:vAlign w:val="center"/>
          </w:tcPr>
          <w:p w14:paraId="3BEE05F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3566969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F1546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72CA61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134" w:type="dxa"/>
            <w:vAlign w:val="center"/>
          </w:tcPr>
          <w:p w14:paraId="76ECEEB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梯级、踏板缺失</w:t>
            </w:r>
          </w:p>
          <w:p w14:paraId="7A8EAFF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5953" w:type="dxa"/>
            <w:vAlign w:val="center"/>
          </w:tcPr>
          <w:p w14:paraId="4F011CF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检查由梯级或者踏板缺失而导致的缺口从梳齿板位置出现之前，电气安全装置是否能够使受检设备自动停止运行，故障锁定功能是否保持有效。</w:t>
            </w:r>
          </w:p>
        </w:tc>
        <w:tc>
          <w:tcPr>
            <w:tcW w:w="1417" w:type="dxa"/>
            <w:vAlign w:val="center"/>
          </w:tcPr>
          <w:p w14:paraId="78C0731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0A0CFB6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1EC5FF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E33240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1134" w:type="dxa"/>
            <w:vAlign w:val="center"/>
          </w:tcPr>
          <w:p w14:paraId="6AFA63B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非操纵逆转保护</w:t>
            </w:r>
          </w:p>
        </w:tc>
        <w:tc>
          <w:tcPr>
            <w:tcW w:w="5953" w:type="dxa"/>
            <w:vAlign w:val="center"/>
          </w:tcPr>
          <w:p w14:paraId="22D0DD7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检查梯级、踏板或者胶带改变规定运行方向时，非操纵逆转保护装置是否能够使自动扶梯或者倾斜角不小于6°的自动人行道自动停止运行，故障锁定功能是否保持有效。</w:t>
            </w:r>
          </w:p>
        </w:tc>
        <w:tc>
          <w:tcPr>
            <w:tcW w:w="1417" w:type="dxa"/>
            <w:vAlign w:val="center"/>
          </w:tcPr>
          <w:p w14:paraId="41CC101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4C922C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0A08D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CE8303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134" w:type="dxa"/>
            <w:vAlign w:val="center"/>
          </w:tcPr>
          <w:p w14:paraId="628D74F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驱动元件保护</w:t>
            </w:r>
          </w:p>
        </w:tc>
        <w:tc>
          <w:tcPr>
            <w:tcW w:w="5953" w:type="dxa"/>
            <w:vAlign w:val="center"/>
          </w:tcPr>
          <w:p w14:paraId="67CDAF5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检查直接驱动梯级、踏板或者胶带的元件断裂或者过分伸长时，受检设备是否能够自动停止运行，故障锁定功能是否保持有效。</w:t>
            </w:r>
          </w:p>
        </w:tc>
        <w:tc>
          <w:tcPr>
            <w:tcW w:w="1417" w:type="dxa"/>
            <w:vAlign w:val="center"/>
          </w:tcPr>
          <w:p w14:paraId="58CC03C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25BACAF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2B00EB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10934599">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34" w:type="dxa"/>
            <w:vAlign w:val="center"/>
          </w:tcPr>
          <w:p w14:paraId="7CE1B53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距离伸缩保护</w:t>
            </w:r>
          </w:p>
        </w:tc>
        <w:tc>
          <w:tcPr>
            <w:tcW w:w="5953" w:type="dxa"/>
            <w:vAlign w:val="center"/>
          </w:tcPr>
          <w:p w14:paraId="79F175B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检查驱动装置与转向装置之间的距离发生过分伸长或者缩短时，受检设备是否能够自动停止运行。</w:t>
            </w:r>
          </w:p>
        </w:tc>
        <w:tc>
          <w:tcPr>
            <w:tcW w:w="1417" w:type="dxa"/>
            <w:vAlign w:val="center"/>
          </w:tcPr>
          <w:p w14:paraId="3F3CCD0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w:t>
            </w:r>
          </w:p>
          <w:p w14:paraId="1A93967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确认</w:t>
            </w:r>
          </w:p>
        </w:tc>
      </w:tr>
      <w:tr w14:paraId="19CB6D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5D5034DA">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134" w:type="dxa"/>
            <w:vAlign w:val="center"/>
          </w:tcPr>
          <w:p w14:paraId="6908726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运行试验</w:t>
            </w:r>
          </w:p>
        </w:tc>
        <w:tc>
          <w:tcPr>
            <w:tcW w:w="5953" w:type="dxa"/>
            <w:vAlign w:val="center"/>
          </w:tcPr>
          <w:p w14:paraId="04199FC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(1)对于由使用者的进入而自动启动或者加速的受检设备，观察在使用者到达梳齿与踏面相交线之前，受检设备是否已经启动和加速，其运行方向标识是否正确并且清晰可见；</w:t>
            </w:r>
          </w:p>
          <w:p w14:paraId="66135E4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(2)对于由使用者的进入而自动启动的受检设备，观察、测量当使用者从预定运行方向进入时，是否经过足够的时间(至少为预期输送时间再加上 10s)才能自动停止运行；当使用者从预定运行方向相反的方向进入时，是否仍按照预先确定的方向启动，运行时间不少于10s；</w:t>
            </w:r>
          </w:p>
          <w:p w14:paraId="10147A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(3)受检设备空载，以正常速度进行两个方向的连续运行，观察其是否运行平稳，无异常碰擦、干涉、松动、抖动和声响。</w:t>
            </w:r>
          </w:p>
        </w:tc>
        <w:tc>
          <w:tcPr>
            <w:tcW w:w="1417" w:type="dxa"/>
            <w:vAlign w:val="center"/>
          </w:tcPr>
          <w:p w14:paraId="7C9DD72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4E5479A4">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7E3CAB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2C34E16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1134" w:type="dxa"/>
            <w:vAlign w:val="center"/>
          </w:tcPr>
          <w:p w14:paraId="03B809B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扶手带运行速度偏差试验</w:t>
            </w:r>
          </w:p>
        </w:tc>
        <w:tc>
          <w:tcPr>
            <w:tcW w:w="5953" w:type="dxa"/>
            <w:vAlign w:val="center"/>
          </w:tcPr>
          <w:p w14:paraId="46591DB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受检设备空载运行，分别测量、计算两个运行方向的扶手带运行速度相对于梯级、踏板或者胶带实际速度的偏差，判断其是否在0～+2%范围内。</w:t>
            </w:r>
          </w:p>
        </w:tc>
        <w:tc>
          <w:tcPr>
            <w:tcW w:w="1417" w:type="dxa"/>
            <w:vAlign w:val="center"/>
          </w:tcPr>
          <w:p w14:paraId="63D537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05C55438">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136A4C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88E3DC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1134" w:type="dxa"/>
            <w:vAlign w:val="center"/>
          </w:tcPr>
          <w:p w14:paraId="03E5CBCD">
            <w:pPr>
              <w:pStyle w:val="113"/>
              <w:spacing w:line="320" w:lineRule="exact"/>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制停距离试验</w:t>
            </w:r>
          </w:p>
        </w:tc>
        <w:tc>
          <w:tcPr>
            <w:tcW w:w="5953" w:type="dxa"/>
            <w:vAlign w:val="center"/>
          </w:tcPr>
          <w:p w14:paraId="21C8215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（1）自动扶梯制停距离：</w:t>
            </w:r>
          </w:p>
          <w:p w14:paraId="15B48E81">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名义速度      制停距离范围</w:t>
            </w:r>
          </w:p>
          <w:p w14:paraId="4ACBBAA9">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0.50m/s       0.20m～1.00m</w:t>
            </w:r>
          </w:p>
          <w:p w14:paraId="04C4D065">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0.65m/s       0.30m～1.30m</w:t>
            </w:r>
          </w:p>
          <w:p w14:paraId="0D7B74DB">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0.75m/s       0.40m～1.50m</w:t>
            </w:r>
          </w:p>
          <w:p w14:paraId="543EB7F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（2）自动人行道制停距离</w:t>
            </w:r>
          </w:p>
          <w:p w14:paraId="05239636">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名义速度      制停距离范围</w:t>
            </w:r>
          </w:p>
          <w:p w14:paraId="41463A2F">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0.50m/s       0.20m～1.00m</w:t>
            </w:r>
          </w:p>
          <w:p w14:paraId="3E32E920">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0.65m/s       0.30m～1.30m</w:t>
            </w:r>
          </w:p>
          <w:p w14:paraId="4226587A">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0.75m/s       0.40m～1.50m</w:t>
            </w:r>
          </w:p>
          <w:p w14:paraId="541D10B8">
            <w:pPr>
              <w:spacing w:line="32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0.90m/s       0.55m～1.70m</w:t>
            </w:r>
          </w:p>
        </w:tc>
        <w:tc>
          <w:tcPr>
            <w:tcW w:w="1417" w:type="dxa"/>
            <w:vAlign w:val="center"/>
          </w:tcPr>
          <w:p w14:paraId="7A1738D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67ED3DD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r w14:paraId="1F7C22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568" w:type="dxa"/>
            <w:vAlign w:val="center"/>
          </w:tcPr>
          <w:p w14:paraId="7016088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1134" w:type="dxa"/>
            <w:vAlign w:val="center"/>
          </w:tcPr>
          <w:p w14:paraId="1852C4A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附加制动器试验</w:t>
            </w:r>
          </w:p>
        </w:tc>
        <w:tc>
          <w:tcPr>
            <w:tcW w:w="5953" w:type="dxa"/>
            <w:vAlign w:val="center"/>
          </w:tcPr>
          <w:p w14:paraId="3A4EA311">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(1)检查在附加制动器动作开始时是否能够强制切断控制电路；</w:t>
            </w:r>
          </w:p>
          <w:p w14:paraId="75D294B2">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(2)受检设备空载，在工作制动器松开状态下，下行时触发附加制动器动作，观察附加制动器是否能够使受检设备可靠制停；</w:t>
            </w:r>
          </w:p>
          <w:p w14:paraId="2A9F627B">
            <w:pPr>
              <w:spacing w:line="320" w:lineRule="atLeast"/>
              <w:rPr>
                <w:rFonts w:hint="eastAsia" w:ascii="宋体" w:hAnsi="宋体" w:eastAsia="宋体" w:cs="宋体"/>
                <w:color w:val="auto"/>
                <w:highlight w:val="none"/>
              </w:rPr>
            </w:pPr>
            <w:r>
              <w:rPr>
                <w:rFonts w:hint="eastAsia" w:ascii="宋体" w:hAnsi="宋体" w:eastAsia="宋体" w:cs="宋体"/>
                <w:color w:val="auto"/>
                <w:highlight w:val="none"/>
              </w:rPr>
              <w:t>3)如果受检设备设有两个及以上驱动主机，并且采用工作制动器互为附加制动器时，检查每一制动器是否均符合本条第(1)和第(2)项的要求。</w:t>
            </w:r>
          </w:p>
        </w:tc>
        <w:tc>
          <w:tcPr>
            <w:tcW w:w="1417" w:type="dxa"/>
            <w:vAlign w:val="center"/>
          </w:tcPr>
          <w:p w14:paraId="3F91DF3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现场观察确认并试验</w:t>
            </w:r>
          </w:p>
          <w:p w14:paraId="5A2D860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验证</w:t>
            </w:r>
          </w:p>
        </w:tc>
      </w:tr>
    </w:tbl>
    <w:p w14:paraId="78538F4B">
      <w:pPr>
        <w:spacing w:line="320" w:lineRule="exact"/>
        <w:ind w:firstLine="248" w:firstLineChars="100"/>
        <w:rPr>
          <w:rFonts w:ascii="楷体_GB2312" w:eastAsia="楷体_GB2312"/>
          <w:color w:val="auto"/>
          <w:sz w:val="32"/>
          <w:szCs w:val="32"/>
          <w:highlight w:val="none"/>
        </w:rPr>
      </w:pPr>
      <w:r>
        <w:rPr>
          <w:rFonts w:hint="eastAsia" w:ascii="宋体" w:hAnsi="宋体" w:eastAsia="宋体" w:cs="宋体"/>
          <w:color w:val="auto"/>
          <w:highlight w:val="none"/>
        </w:rPr>
        <w:t>注：自动扶梯与自动人行道检测质量监督抽查项目包含但不限于以上内容，项目1-39项为自动扶梯与自动人行道基本检测项目。检测质量监督抽查现场根据被抽查电梯实际情况，依据《电梯自行检测规则》（TSG T 7008-2023）规定的相关项目进行监督抽查。</w:t>
      </w:r>
    </w:p>
    <w:p w14:paraId="38AD23DC">
      <w:pPr>
        <w:spacing w:line="320" w:lineRule="exact"/>
        <w:ind w:firstLine="248" w:firstLineChars="100"/>
        <w:rPr>
          <w:rFonts w:hint="eastAsia" w:ascii="宋体" w:hAnsi="宋体" w:eastAsia="宋体" w:cs="宋体"/>
          <w:color w:val="auto"/>
          <w:highlight w:val="none"/>
        </w:rPr>
      </w:pPr>
    </w:p>
    <w:p w14:paraId="65459340">
      <w:pPr>
        <w:rPr>
          <w:rFonts w:hint="eastAsia" w:ascii="宋体" w:hAnsi="宋体" w:eastAsia="宋体" w:cs="宋体"/>
          <w:color w:val="auto"/>
          <w:kern w:val="2"/>
          <w:highlight w:val="none"/>
        </w:rPr>
      </w:pPr>
      <w:r>
        <w:rPr>
          <w:rFonts w:hint="eastAsia" w:ascii="宋体" w:hAnsi="宋体" w:eastAsia="宋体" w:cs="宋体"/>
          <w:color w:val="auto"/>
          <w:kern w:val="2"/>
          <w:highlight w:val="none"/>
        </w:rPr>
        <w:br w:type="page"/>
      </w:r>
    </w:p>
    <w:p w14:paraId="392EE068">
      <w:pPr>
        <w:pStyle w:val="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第二包：</w:t>
      </w:r>
    </w:p>
    <w:p w14:paraId="5663CDAC">
      <w:pPr>
        <w:pStyle w:val="4"/>
        <w:jc w:val="left"/>
        <w:rPr>
          <w:rFonts w:hint="eastAsia"/>
          <w:b/>
          <w:bCs/>
          <w:color w:val="auto"/>
          <w:highlight w:val="none"/>
        </w:rPr>
      </w:pPr>
      <w:r>
        <w:rPr>
          <w:rFonts w:hint="eastAsia" w:ascii="宋体" w:hAnsi="宋体" w:eastAsia="宋体" w:cs="宋体"/>
          <w:b/>
          <w:bCs/>
          <w:color w:val="auto"/>
          <w:sz w:val="24"/>
          <w:szCs w:val="24"/>
          <w:highlight w:val="none"/>
        </w:rPr>
        <w:t>一、商务条款</w:t>
      </w:r>
    </w:p>
    <w:p w14:paraId="4DD61BCC">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（一）服务期限</w:t>
      </w:r>
    </w:p>
    <w:p w14:paraId="29F5328F">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自合同签订后5个工作日内开始实施监督抽查工作，并于2025年12月10日完成现场抽查任务。</w:t>
      </w:r>
    </w:p>
    <w:p w14:paraId="3EA15C6F">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（二）质保期：项目验收完成后5个月，主要内容为项目现场复核、报告复核、技术咨询回应等。</w:t>
      </w:r>
    </w:p>
    <w:p w14:paraId="4F63E8E9">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（三）服务终止</w:t>
      </w:r>
    </w:p>
    <w:p w14:paraId="46EB23A3">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在有效服务期内，如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45C2FAC2">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（四）完成服务成果</w:t>
      </w:r>
    </w:p>
    <w:p w14:paraId="641AB672">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1.中标供应商于2025年12月10日前，完成2025年机电类特种设备生产、使用单位抽查工作。其中，抽查生产单位不少于150家，使用单位不少于400家。</w:t>
      </w:r>
    </w:p>
    <w:p w14:paraId="6FD628AD">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05E358F5">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3.根据采购人需求，承办监督抽查工作动员部署会议、阶段小结、监督抽查完成后的总结会议以及项目验收会。</w:t>
      </w:r>
    </w:p>
    <w:p w14:paraId="7DD855E3">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6F63F014">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5.本项目设定质量保证期，质保期为项目验收完成后5个月，主要内容为项目现场复核、报告复核、技术咨询回应等。</w:t>
      </w:r>
    </w:p>
    <w:p w14:paraId="67FE30F7">
      <w:pPr>
        <w:widowControl w:val="0"/>
        <w:spacing w:line="360" w:lineRule="auto"/>
        <w:ind w:firstLine="496" w:firstLineChars="200"/>
        <w:jc w:val="both"/>
        <w:rPr>
          <w:rFonts w:hint="eastAsia" w:ascii="宋体" w:hAnsi="宋体" w:eastAsia="宋体" w:cs="宋体"/>
          <w:color w:val="auto"/>
          <w:kern w:val="2"/>
          <w:highlight w:val="none"/>
        </w:rPr>
      </w:pPr>
      <w:r>
        <w:rPr>
          <w:rFonts w:ascii="宋体" w:hAnsi="宋体" w:eastAsia="宋体" w:cs="宋体"/>
          <w:color w:val="auto"/>
          <w:kern w:val="2"/>
          <w:highlight w:val="none"/>
        </w:rPr>
        <w:t>（</w:t>
      </w:r>
      <w:r>
        <w:rPr>
          <w:rFonts w:hint="eastAsia" w:ascii="宋体" w:hAnsi="宋体" w:eastAsia="宋体" w:cs="宋体"/>
          <w:color w:val="auto"/>
          <w:kern w:val="2"/>
          <w:highlight w:val="none"/>
        </w:rPr>
        <w:t>五</w:t>
      </w:r>
      <w:r>
        <w:rPr>
          <w:rFonts w:ascii="宋体" w:hAnsi="宋体" w:eastAsia="宋体" w:cs="宋体"/>
          <w:color w:val="auto"/>
          <w:kern w:val="2"/>
          <w:highlight w:val="none"/>
        </w:rPr>
        <w:t>）</w:t>
      </w:r>
      <w:r>
        <w:rPr>
          <w:rFonts w:hint="eastAsia" w:ascii="宋体" w:hAnsi="宋体" w:eastAsia="宋体" w:cs="宋体"/>
          <w:color w:val="auto"/>
          <w:kern w:val="2"/>
          <w:highlight w:val="none"/>
        </w:rPr>
        <w:t>付款方式</w:t>
      </w:r>
    </w:p>
    <w:p w14:paraId="1DA95DC2">
      <w:pPr>
        <w:widowControl w:val="0"/>
        <w:spacing w:line="360" w:lineRule="auto"/>
        <w:ind w:firstLine="496"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r>
        <w:rPr>
          <w:rFonts w:ascii="宋体" w:hAnsi="宋体" w:eastAsia="宋体" w:cs="宋体"/>
          <w:color w:val="auto"/>
          <w:kern w:val="2"/>
          <w:highlight w:val="none"/>
        </w:rPr>
        <w:t>款项支付：银行转账，分期付款。</w:t>
      </w:r>
    </w:p>
    <w:p w14:paraId="057E8FC8">
      <w:pPr>
        <w:ind w:firstLine="496"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r>
        <w:rPr>
          <w:rFonts w:ascii="宋体" w:hAnsi="宋体" w:eastAsia="宋体" w:cs="宋体"/>
          <w:color w:val="auto"/>
          <w:kern w:val="2"/>
          <w:highlight w:val="none"/>
        </w:rPr>
        <w:t>付款条件：</w:t>
      </w:r>
      <w:r>
        <w:rPr>
          <w:rFonts w:hint="eastAsia" w:ascii="宋体" w:hAnsi="宋体" w:eastAsia="宋体" w:cs="宋体"/>
          <w:color w:val="auto"/>
          <w:kern w:val="2"/>
          <w:highlight w:val="none"/>
        </w:rPr>
        <w:t>签订合同后支付合同总价款的50%，验收合格后支付合同总价款的25%（</w:t>
      </w:r>
      <w:r>
        <w:rPr>
          <w:rFonts w:hint="eastAsia" w:ascii="宋体" w:hAnsi="宋体" w:eastAsia="宋体" w:cs="宋体"/>
          <w:b/>
          <w:bCs/>
          <w:color w:val="auto"/>
          <w:kern w:val="2"/>
          <w:highlight w:val="none"/>
        </w:rPr>
        <w:t>最多支付至220000.00元</w:t>
      </w:r>
      <w:r>
        <w:rPr>
          <w:rFonts w:hint="eastAsia" w:ascii="宋体" w:hAnsi="宋体" w:eastAsia="宋体" w:cs="宋体"/>
          <w:color w:val="auto"/>
          <w:kern w:val="2"/>
          <w:highlight w:val="none"/>
        </w:rPr>
        <w:t>），项目完成</w:t>
      </w:r>
      <w:r>
        <w:rPr>
          <w:rFonts w:hint="eastAsia" w:ascii="宋体" w:hAnsi="宋体" w:eastAsia="宋体" w:cs="宋体"/>
          <w:b/>
          <w:bCs/>
          <w:color w:val="auto"/>
          <w:kern w:val="2"/>
          <w:highlight w:val="none"/>
        </w:rPr>
        <w:t>质保期满后</w:t>
      </w:r>
      <w:r>
        <w:rPr>
          <w:rFonts w:hint="eastAsia" w:ascii="宋体" w:hAnsi="宋体" w:eastAsia="宋体" w:cs="宋体"/>
          <w:color w:val="auto"/>
          <w:kern w:val="2"/>
          <w:highlight w:val="none"/>
        </w:rPr>
        <w:t>支付剩余合同价款。</w:t>
      </w:r>
    </w:p>
    <w:p w14:paraId="635E96E3">
      <w:pPr>
        <w:pStyle w:val="4"/>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14:paraId="3ECF7B4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为全面排查整治特种设备安全隐患，督促我市特种设备生产、使用单位主体责任落实，预防和减少安全事故，保障全市机电类特种设备安全稳定。根据《中华人民共和国特种设备安全法》等法律法规规章和安全技术规范，结合实际，按照随机抽查、分布合理、重点突出的原则，委托第三方专业机构，对全市机电类特种设备生产、使用单位进行监督抽查，重点查找和解决机电类特种设备生产、使用单位在主体责任落实环节中存在的问题和风险，整治安全隐患，查处违法行为，规范安全秩序，夯实安全责任，促进全市特种设备安全形势平稳向好发展。</w:t>
      </w:r>
    </w:p>
    <w:p w14:paraId="38B81899">
      <w:pPr>
        <w:pStyle w:val="4"/>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三、项目数量及内容</w:t>
      </w:r>
    </w:p>
    <w:p w14:paraId="099470F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2025 机电类特种设备生产、使用单位监督抽查项目计划抽查不少于550家，其中，生产单位不少于150家，使用单位不少于400家。</w:t>
      </w:r>
    </w:p>
    <w:p w14:paraId="1EBE5CD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一）机电类特种设备生产单位监督抽查。抽取注册地在西安市的电梯、起重机械、场（厂）内专用机动车辆、大型游乐设施、客运索道的生产（制造、安装、改造、修理）单位不少于150家，依据相关法律法规规章和安全技术规范，核查确认其行政许可、人员管理、生产档案、证后许可资源条件保持、“两个规定”及“日管控、周排查、月调度”工作机制落实情况，对其质量安全主体责任落实情况和质量体系运行情况进行监督验证。</w:t>
      </w:r>
    </w:p>
    <w:p w14:paraId="07FD7FC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机电类特种设备使用单位监督抽查。抽取西安市辖区内机电类特种设备使用单位不少于400家，依据相关法律法规规章和安全技术规范，检查在用特种设备安全管理情况、安全管理机构设置、安全管理制度落实、安全技术档案建立、“两个规定”及“日管控、周排查、月调度”工作机制落实等情况，对其主体责任落实情况和设备安全状况运行监督验证。</w:t>
      </w:r>
    </w:p>
    <w:p w14:paraId="231BA194">
      <w:pPr>
        <w:pStyle w:val="4"/>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四、项目实施要求</w:t>
      </w:r>
    </w:p>
    <w:p w14:paraId="76126BA7">
      <w:pPr>
        <w:pStyle w:val="5"/>
        <w:numPr>
          <w:ilvl w:val="3"/>
          <w:numId w:val="0"/>
        </w:numPr>
        <w:rPr>
          <w:color w:val="auto"/>
          <w:highlight w:val="none"/>
        </w:rPr>
      </w:pPr>
      <w:r>
        <w:rPr>
          <w:rFonts w:hint="eastAsia"/>
          <w:color w:val="auto"/>
          <w:highlight w:val="none"/>
        </w:rPr>
        <w:t>（一）技术服务要求</w:t>
      </w:r>
    </w:p>
    <w:p w14:paraId="3BB8CB0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1.未经采购人同意，中标供应商不得以任何方式转包、分包或挂靠本项目。</w:t>
      </w:r>
    </w:p>
    <w:p w14:paraId="3B525C0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2.中标供应商应明确被抽检单位报送相关资料的联系地址、联系人及联系方式。</w:t>
      </w:r>
    </w:p>
    <w:p w14:paraId="61A276F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中标供应商应当成立监督抽查工作机构，根据有关法律、法规、安全技术规范编制监督抽查工作实施方案。方案应当科学、高效、准确、便捷，符合实际。方案应当包含监督抽查需求的技术人员、检测工具、车辆配置、突发事件处置等要素。</w:t>
      </w:r>
    </w:p>
    <w:p w14:paraId="30BB324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4.中标供应商应当制定监督抽查工作实施总计划、月度计划，且计划任务分布合理；对监督抽查过程中出现的突发情况能迅速组织力量响应。</w:t>
      </w:r>
    </w:p>
    <w:p w14:paraId="1883D4D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5.中标供应商应当严格按照监督抽查工作实施方案规定的项目、要求和方法组织实施监督抽查工作。监督抽查工作开展过程中做好有关安全防护措施，对监督抽查工作中的安全负全责。</w:t>
      </w:r>
    </w:p>
    <w:p w14:paraId="1489CF5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6.中标供应商开展现场监督抽查工作，应减少对被抽查单位正常工作的影响。</w:t>
      </w:r>
    </w:p>
    <w:p w14:paraId="05E336A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中标供应商提供监督抽查任务使用的信息化系统，至少可以实现数据随机抽样、接收下发监督抽查任务、进展状况查询、数据统计分析，系统能够满足出具、查询监督抽查过程中开具的通知书、报告单，且运行可靠、稳定，并能配备专人配合采购人做好监督抽查全过程数据处理工作。</w:t>
      </w:r>
    </w:p>
    <w:p w14:paraId="78B3C76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中标供应商拟投入监督抽查工作的人员应当具备相应技术能力，熟悉特种设备安全质量管理，掌握特种设备有关法律、法规、安全技术规范和标准，了解生产、检验检测行政许可工作管理要求，并对监督抽查项目内容、判定依据和相关行政监管法规要求、工作流程有一定认知。</w:t>
      </w:r>
    </w:p>
    <w:p w14:paraId="23F4CEF9">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9.中标供应商不得提前向被抽查单位透露有关监督抽查工作的计划、内容等信息；未经同意，不得对外发布、泄漏监督抽查工作的相关信息；不得泄露被抽查单位的商业信息。</w:t>
      </w:r>
    </w:p>
    <w:p w14:paraId="01B4EE5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10.中标供应商对监督抽查过程中未发现问题的，应及时出具报告，并分类、逐单位建立监督抽查电子档案，定期向采购人提交汇总信息。</w:t>
      </w:r>
    </w:p>
    <w:p w14:paraId="1527545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11.中标供应商对监督抽查过程中发现的严重事故隐患（重大违法行为）每周汇总一次，对发现的不符合项每月汇总一次，并将《严重事故隐患（重大违法行为）汇总表》《监督抽查汇总表》提交采购人。</w:t>
      </w:r>
    </w:p>
    <w:p w14:paraId="20DA9EC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12.中标供应商应严格遵守有关纪律规定，在监督抽查过程中不得向被抽查对象收取任何费用，不得向被抽查对象提出与监督抽查无关的服务和要求。</w:t>
      </w:r>
    </w:p>
    <w:p w14:paraId="7E0A836C">
      <w:pPr>
        <w:pStyle w:val="5"/>
        <w:numPr>
          <w:ilvl w:val="3"/>
          <w:numId w:val="0"/>
        </w:numPr>
        <w:ind w:left="864" w:hanging="864"/>
        <w:rPr>
          <w:color w:val="auto"/>
          <w:highlight w:val="none"/>
        </w:rPr>
      </w:pPr>
      <w:r>
        <w:rPr>
          <w:rFonts w:hint="eastAsia"/>
          <w:color w:val="auto"/>
          <w:highlight w:val="none"/>
        </w:rPr>
        <w:t>（二）出具报告相关规定</w:t>
      </w:r>
    </w:p>
    <w:p w14:paraId="7460B07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1.按照《西安市市场监督管理局2025年特种设备安全质量监督抽查工作实施方案》和采购单位要求，对所抽查到的相关单位，逐个单位实施监督抽查并逐份出具监督抽查报告。</w:t>
      </w:r>
    </w:p>
    <w:p w14:paraId="3C5F4E6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 监督抽查过程中发现不符合项的，监督抽查机构应向被抽查单位出具《监督抽查不符合项目通知书》，发现严重事故隐患（重大违法行为）的，同时出具《严重事故隐患（重大违法行为）报告单》。出具的《通知书》《报告单》须经被抽查单位现场配合人员签字确认。对于拒绝签字的现场配合抽查人员应注明原因并留存相关证据链。</w:t>
      </w:r>
    </w:p>
    <w:p w14:paraId="2F4F98A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3.监督抽查出具的《监督抽查不符合项目通知书》《严重事故隐患（重大违法行为）报告单》，现场以短信的形式推送至被抽查单位和辖区监管部门。</w:t>
      </w:r>
    </w:p>
    <w:p w14:paraId="1BA0840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4.被抽查单位在规定时间内完成监督抽查不符合项整改后，向监督抽查机构提出复查申请。监督抽查机构应及时安排复查并出具相关复查结论。</w:t>
      </w:r>
    </w:p>
    <w:p w14:paraId="77F5EB5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监督抽查机构对复查不合格的，向被抽查单位出具《复查不合格设备报送单》，对逾期未申请复查的单位，应填写《逾期未申请复查设备报送单》，同时将《复查不合格设备报送单》《逾期未申请复查设备报送单》报送辖区监管部门。</w:t>
      </w:r>
    </w:p>
    <w:p w14:paraId="3051560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6.被抽查单位对抽查结果有异议的，监督抽查机构应当配合各级监管部门做好相关处理工作。</w:t>
      </w:r>
    </w:p>
    <w:p w14:paraId="3B5ED91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7.《通知书》《报告单》中不符合项目、严重事故隐患（重大违法行为）的文字表述必须严谨，符合相关法律、法规、安全技术规范要求，且与《监督抽查报告》及监督抽查原始记录一致。</w:t>
      </w:r>
    </w:p>
    <w:p w14:paraId="40BBDD57">
      <w:pPr>
        <w:pStyle w:val="5"/>
        <w:numPr>
          <w:ilvl w:val="3"/>
          <w:numId w:val="0"/>
        </w:numPr>
        <w:ind w:left="864" w:hanging="864"/>
        <w:rPr>
          <w:color w:val="auto"/>
          <w:highlight w:val="none"/>
        </w:rPr>
      </w:pPr>
      <w:r>
        <w:rPr>
          <w:rFonts w:hint="eastAsia"/>
          <w:color w:val="auto"/>
          <w:highlight w:val="none"/>
        </w:rPr>
        <w:t>（三）完成服务成果</w:t>
      </w:r>
    </w:p>
    <w:p w14:paraId="0227281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1.中标供应商于2025年12月10日前，完成2025年机电类特种设备生产、使用单位抽查工作。其中，抽查生产单位不少于150家，使用单位不少于400家。</w:t>
      </w:r>
    </w:p>
    <w:p w14:paraId="333A2A9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59809EB9">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3656151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根据采购人需求，帮助完成相关特种设备专项应急预案范本的修订、应急预案演练、特种设备安全宣传、特种设备安全监察人员能力提升培训等工作。监督抽查时协助现场监察人员对被抽查单位安全总监、安全员进行现场考试，帮扶指导企业落实“两个规定”。配合监管部门做好各项专项整治；协助被抽查单位完成陕西省特种设备智慧监管平台数据录入工作，完善企业库、人员库和设备库。</w:t>
      </w:r>
    </w:p>
    <w:p w14:paraId="1F7322A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1F05A668">
      <w:pPr>
        <w:pStyle w:val="4"/>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五、具体内容及方法要求（包含但不限于以下内容）</w:t>
      </w:r>
    </w:p>
    <w:p w14:paraId="36CDA4AC">
      <w:pPr>
        <w:autoSpaceDE w:val="0"/>
        <w:autoSpaceDN w:val="0"/>
        <w:adjustRightInd w:val="0"/>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（一）机电类特种设备生产单位监督抽查项目内容及方法要求</w:t>
      </w:r>
    </w:p>
    <w:p w14:paraId="0A331981">
      <w:pPr>
        <w:rPr>
          <w:color w:val="auto"/>
          <w:highlight w:val="none"/>
        </w:rPr>
      </w:pPr>
      <w:r>
        <w:rPr>
          <w:rFonts w:hint="eastAsia" w:ascii="宋体" w:hAnsi="宋体" w:eastAsia="宋体" w:cs="宋体"/>
          <w:color w:val="auto"/>
          <w:highlight w:val="none"/>
        </w:rPr>
        <w:t>1.机电类特种设备生产单位（除电梯维保单位外）</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67"/>
        <w:gridCol w:w="1134"/>
        <w:gridCol w:w="5953"/>
        <w:gridCol w:w="1417"/>
      </w:tblGrid>
      <w:tr w14:paraId="7973BC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67" w:type="dxa"/>
            <w:vAlign w:val="center"/>
          </w:tcPr>
          <w:p w14:paraId="6566141F">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181ED430">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vAlign w:val="center"/>
          </w:tcPr>
          <w:p w14:paraId="71BEF0A1">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vAlign w:val="center"/>
          </w:tcPr>
          <w:p w14:paraId="45223D5C">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监督抽查</w:t>
            </w:r>
          </w:p>
          <w:p w14:paraId="4D98C96A">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方法</w:t>
            </w:r>
          </w:p>
        </w:tc>
      </w:tr>
      <w:tr w14:paraId="26BC35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6823ACA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3BA2A94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行政许可</w:t>
            </w:r>
          </w:p>
        </w:tc>
        <w:tc>
          <w:tcPr>
            <w:tcW w:w="5953" w:type="dxa"/>
            <w:vAlign w:val="center"/>
          </w:tcPr>
          <w:p w14:paraId="6A44EE3E">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许可证在有效期内</w:t>
            </w:r>
          </w:p>
        </w:tc>
        <w:tc>
          <w:tcPr>
            <w:tcW w:w="1417" w:type="dxa"/>
            <w:vMerge w:val="restart"/>
            <w:vAlign w:val="center"/>
          </w:tcPr>
          <w:p w14:paraId="7174BE7A">
            <w:pPr>
              <w:spacing w:line="320" w:lineRule="exact"/>
              <w:jc w:val="center"/>
              <w:rPr>
                <w:rFonts w:hint="eastAsia" w:ascii="宋体" w:hAnsi="宋体" w:eastAsia="宋体" w:cs="宋体"/>
                <w:bCs/>
                <w:color w:val="auto"/>
                <w:highlight w:val="none"/>
              </w:rPr>
            </w:pPr>
            <w:r>
              <w:rPr>
                <w:rFonts w:hint="eastAsia" w:ascii="宋体" w:hAnsi="宋体" w:eastAsia="宋体" w:cs="宋体"/>
                <w:color w:val="auto"/>
                <w:highlight w:val="none"/>
              </w:rPr>
              <w:t>现场检查档案资料、制度落实、等情况，检查相关记录资料</w:t>
            </w:r>
          </w:p>
        </w:tc>
      </w:tr>
      <w:tr w14:paraId="090755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1D4EC83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7262E92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生产档案</w:t>
            </w:r>
          </w:p>
        </w:tc>
        <w:tc>
          <w:tcPr>
            <w:tcW w:w="5953" w:type="dxa"/>
            <w:vAlign w:val="center"/>
          </w:tcPr>
          <w:p w14:paraId="57973F7A">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建立设计、制造、安装、改造、重大修理档案</w:t>
            </w:r>
          </w:p>
        </w:tc>
        <w:tc>
          <w:tcPr>
            <w:tcW w:w="1417" w:type="dxa"/>
            <w:vMerge w:val="continue"/>
            <w:vAlign w:val="center"/>
          </w:tcPr>
          <w:p w14:paraId="606B2214">
            <w:pPr>
              <w:spacing w:line="320" w:lineRule="exact"/>
              <w:jc w:val="center"/>
              <w:rPr>
                <w:rFonts w:hint="eastAsia" w:ascii="宋体" w:hAnsi="宋体" w:eastAsia="宋体" w:cs="宋体"/>
                <w:color w:val="auto"/>
                <w:highlight w:val="none"/>
              </w:rPr>
            </w:pPr>
          </w:p>
        </w:tc>
      </w:tr>
      <w:tr w14:paraId="569E48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796D88D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7A284BA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设计审批</w:t>
            </w:r>
          </w:p>
        </w:tc>
        <w:tc>
          <w:tcPr>
            <w:tcW w:w="5953" w:type="dxa"/>
            <w:vAlign w:val="center"/>
          </w:tcPr>
          <w:p w14:paraId="76EBC0C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设计文件鉴定或设计单位许可符合要求</w:t>
            </w:r>
          </w:p>
        </w:tc>
        <w:tc>
          <w:tcPr>
            <w:tcW w:w="1417" w:type="dxa"/>
            <w:vMerge w:val="continue"/>
            <w:vAlign w:val="center"/>
          </w:tcPr>
          <w:p w14:paraId="4D4E79AA">
            <w:pPr>
              <w:spacing w:line="320" w:lineRule="exact"/>
              <w:jc w:val="center"/>
              <w:rPr>
                <w:rFonts w:hint="eastAsia" w:ascii="宋体" w:hAnsi="宋体" w:eastAsia="宋体" w:cs="宋体"/>
                <w:color w:val="auto"/>
                <w:highlight w:val="none"/>
              </w:rPr>
            </w:pPr>
          </w:p>
        </w:tc>
      </w:tr>
      <w:tr w14:paraId="7C3386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1153E742">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5ADB820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检验资料</w:t>
            </w:r>
          </w:p>
        </w:tc>
        <w:tc>
          <w:tcPr>
            <w:tcW w:w="5953" w:type="dxa"/>
            <w:vAlign w:val="center"/>
          </w:tcPr>
          <w:p w14:paraId="32172E9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型式试验、监督检验资料齐全。</w:t>
            </w:r>
          </w:p>
        </w:tc>
        <w:tc>
          <w:tcPr>
            <w:tcW w:w="1417" w:type="dxa"/>
            <w:vMerge w:val="continue"/>
            <w:vAlign w:val="center"/>
          </w:tcPr>
          <w:p w14:paraId="3E63229C">
            <w:pPr>
              <w:spacing w:line="320" w:lineRule="exact"/>
              <w:jc w:val="center"/>
              <w:rPr>
                <w:rFonts w:hint="eastAsia" w:ascii="宋体" w:hAnsi="宋体" w:eastAsia="宋体" w:cs="宋体"/>
                <w:color w:val="auto"/>
                <w:highlight w:val="none"/>
              </w:rPr>
            </w:pPr>
          </w:p>
        </w:tc>
      </w:tr>
      <w:tr w14:paraId="5637F3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5FC16F2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1AD3590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生产情况</w:t>
            </w:r>
          </w:p>
          <w:p w14:paraId="390B64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记录</w:t>
            </w:r>
          </w:p>
        </w:tc>
        <w:tc>
          <w:tcPr>
            <w:tcW w:w="5953" w:type="dxa"/>
            <w:vAlign w:val="center"/>
          </w:tcPr>
          <w:p w14:paraId="051C0947">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现场抽查生产记录和成品仓库中的产品，未发现超出许可范围和许可有效期生产的情形。</w:t>
            </w:r>
          </w:p>
        </w:tc>
        <w:tc>
          <w:tcPr>
            <w:tcW w:w="1417" w:type="dxa"/>
            <w:vMerge w:val="continue"/>
            <w:vAlign w:val="center"/>
          </w:tcPr>
          <w:p w14:paraId="1F9C9CCC">
            <w:pPr>
              <w:spacing w:line="320" w:lineRule="exact"/>
              <w:jc w:val="center"/>
              <w:rPr>
                <w:rFonts w:hint="eastAsia" w:ascii="宋体" w:hAnsi="宋体" w:eastAsia="宋体" w:cs="宋体"/>
                <w:color w:val="auto"/>
                <w:highlight w:val="none"/>
              </w:rPr>
            </w:pPr>
          </w:p>
        </w:tc>
      </w:tr>
      <w:tr w14:paraId="5F7CD8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3B921549">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6E47625D">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档案抽查</w:t>
            </w:r>
          </w:p>
        </w:tc>
        <w:tc>
          <w:tcPr>
            <w:tcW w:w="5953" w:type="dxa"/>
            <w:vAlign w:val="center"/>
          </w:tcPr>
          <w:p w14:paraId="4395899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（1）产品生产过程资料按要求存档。</w:t>
            </w:r>
          </w:p>
          <w:p w14:paraId="5ACD216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（2）特种设备出厂资料、竣工资料移交记录按要求存档。</w:t>
            </w:r>
          </w:p>
        </w:tc>
        <w:tc>
          <w:tcPr>
            <w:tcW w:w="1417" w:type="dxa"/>
            <w:vMerge w:val="continue"/>
            <w:vAlign w:val="center"/>
          </w:tcPr>
          <w:p w14:paraId="0A865BCF">
            <w:pPr>
              <w:spacing w:line="320" w:lineRule="exact"/>
              <w:jc w:val="center"/>
              <w:rPr>
                <w:rFonts w:hint="eastAsia" w:ascii="宋体" w:hAnsi="宋体" w:eastAsia="宋体" w:cs="宋体"/>
                <w:color w:val="auto"/>
                <w:highlight w:val="none"/>
              </w:rPr>
            </w:pPr>
          </w:p>
        </w:tc>
      </w:tr>
      <w:tr w14:paraId="53C7E1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53832CCF">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6A5AE0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整改情况</w:t>
            </w:r>
          </w:p>
        </w:tc>
        <w:tc>
          <w:tcPr>
            <w:tcW w:w="5953" w:type="dxa"/>
            <w:vAlign w:val="center"/>
          </w:tcPr>
          <w:p w14:paraId="3B60D6F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最近一次评审提出的整改项目均已按要求整改并复评合格。</w:t>
            </w:r>
          </w:p>
        </w:tc>
        <w:tc>
          <w:tcPr>
            <w:tcW w:w="1417" w:type="dxa"/>
            <w:vMerge w:val="continue"/>
            <w:vAlign w:val="center"/>
          </w:tcPr>
          <w:p w14:paraId="0D24B1DB">
            <w:pPr>
              <w:spacing w:line="320" w:lineRule="exact"/>
              <w:jc w:val="center"/>
              <w:rPr>
                <w:rFonts w:hint="eastAsia" w:ascii="宋体" w:hAnsi="宋体" w:eastAsia="宋体" w:cs="宋体"/>
                <w:color w:val="auto"/>
                <w:highlight w:val="none"/>
              </w:rPr>
            </w:pPr>
          </w:p>
        </w:tc>
      </w:tr>
      <w:tr w14:paraId="309997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361EBA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53E2E68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变更申请</w:t>
            </w:r>
          </w:p>
        </w:tc>
        <w:tc>
          <w:tcPr>
            <w:tcW w:w="5953" w:type="dxa"/>
            <w:vAlign w:val="center"/>
          </w:tcPr>
          <w:p w14:paraId="42B2975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单位名称、住所、制造地址、办公地址改变及时申请变更。</w:t>
            </w:r>
          </w:p>
        </w:tc>
        <w:tc>
          <w:tcPr>
            <w:tcW w:w="1417" w:type="dxa"/>
            <w:vMerge w:val="continue"/>
            <w:vAlign w:val="center"/>
          </w:tcPr>
          <w:p w14:paraId="5864DDB0">
            <w:pPr>
              <w:spacing w:line="320" w:lineRule="exact"/>
              <w:jc w:val="center"/>
              <w:rPr>
                <w:rFonts w:hint="eastAsia" w:ascii="宋体" w:hAnsi="宋体" w:eastAsia="宋体" w:cs="宋体"/>
                <w:color w:val="auto"/>
                <w:highlight w:val="none"/>
              </w:rPr>
            </w:pPr>
          </w:p>
        </w:tc>
      </w:tr>
      <w:tr w14:paraId="6E6D41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0F48BACB">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7432A86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工作场所</w:t>
            </w:r>
          </w:p>
        </w:tc>
        <w:tc>
          <w:tcPr>
            <w:tcW w:w="5953" w:type="dxa"/>
            <w:vAlign w:val="center"/>
          </w:tcPr>
          <w:p w14:paraId="567278A3">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具有日常工作需要的固定办公场所，面积符合相关要求。</w:t>
            </w:r>
          </w:p>
        </w:tc>
        <w:tc>
          <w:tcPr>
            <w:tcW w:w="1417" w:type="dxa"/>
            <w:vMerge w:val="continue"/>
            <w:vAlign w:val="center"/>
          </w:tcPr>
          <w:p w14:paraId="008AF889">
            <w:pPr>
              <w:spacing w:line="320" w:lineRule="exact"/>
              <w:jc w:val="center"/>
              <w:rPr>
                <w:rFonts w:hint="eastAsia" w:ascii="宋体" w:hAnsi="宋体" w:eastAsia="宋体" w:cs="宋体"/>
                <w:color w:val="auto"/>
                <w:highlight w:val="none"/>
              </w:rPr>
            </w:pPr>
          </w:p>
        </w:tc>
      </w:tr>
      <w:tr w14:paraId="7DEE5E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7081A7B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390B176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设备设施</w:t>
            </w:r>
          </w:p>
        </w:tc>
        <w:tc>
          <w:tcPr>
            <w:tcW w:w="5953" w:type="dxa"/>
            <w:vAlign w:val="center"/>
          </w:tcPr>
          <w:p w14:paraId="798EA09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设备设施符合相关要求。</w:t>
            </w:r>
          </w:p>
        </w:tc>
        <w:tc>
          <w:tcPr>
            <w:tcW w:w="1417" w:type="dxa"/>
            <w:vMerge w:val="continue"/>
            <w:vAlign w:val="center"/>
          </w:tcPr>
          <w:p w14:paraId="6FB49614">
            <w:pPr>
              <w:spacing w:line="320" w:lineRule="exact"/>
              <w:jc w:val="center"/>
              <w:rPr>
                <w:rFonts w:hint="eastAsia" w:ascii="宋体" w:hAnsi="宋体" w:eastAsia="宋体" w:cs="宋体"/>
                <w:color w:val="auto"/>
                <w:highlight w:val="none"/>
              </w:rPr>
            </w:pPr>
          </w:p>
        </w:tc>
      </w:tr>
      <w:tr w14:paraId="5C33B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67" w:type="dxa"/>
            <w:vAlign w:val="center"/>
          </w:tcPr>
          <w:p w14:paraId="3CAFEBA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34" w:type="dxa"/>
            <w:vAlign w:val="center"/>
          </w:tcPr>
          <w:p w14:paraId="43EF1D16">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管理制度</w:t>
            </w:r>
          </w:p>
        </w:tc>
        <w:tc>
          <w:tcPr>
            <w:tcW w:w="5953" w:type="dxa"/>
            <w:vAlign w:val="center"/>
          </w:tcPr>
          <w:p w14:paraId="473BA52A">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有健全的质量保证、安全管理和岗位责任等制度并有效运行。</w:t>
            </w:r>
          </w:p>
        </w:tc>
        <w:tc>
          <w:tcPr>
            <w:tcW w:w="1417" w:type="dxa"/>
            <w:vMerge w:val="continue"/>
            <w:vAlign w:val="center"/>
          </w:tcPr>
          <w:p w14:paraId="563C23BC">
            <w:pPr>
              <w:spacing w:line="320" w:lineRule="exact"/>
              <w:jc w:val="center"/>
              <w:rPr>
                <w:rFonts w:hint="eastAsia" w:ascii="宋体" w:hAnsi="宋体" w:eastAsia="宋体" w:cs="宋体"/>
                <w:color w:val="auto"/>
                <w:highlight w:val="none"/>
              </w:rPr>
            </w:pPr>
          </w:p>
        </w:tc>
      </w:tr>
      <w:tr w14:paraId="6254A4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7" w:hRule="atLeast"/>
        </w:trPr>
        <w:tc>
          <w:tcPr>
            <w:tcW w:w="567" w:type="dxa"/>
            <w:vAlign w:val="center"/>
          </w:tcPr>
          <w:p w14:paraId="4708A39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34" w:type="dxa"/>
            <w:vAlign w:val="center"/>
          </w:tcPr>
          <w:p w14:paraId="317936F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人员管理</w:t>
            </w:r>
          </w:p>
        </w:tc>
        <w:tc>
          <w:tcPr>
            <w:tcW w:w="5953" w:type="dxa"/>
            <w:vAlign w:val="center"/>
          </w:tcPr>
          <w:p w14:paraId="123F854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（1）书面任命质量、技术负责人。</w:t>
            </w:r>
          </w:p>
          <w:p w14:paraId="29E857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（2）特种设备安全管理人员、检测人员、作业人员等许可相关在岗人员的资格和数量符合要求。</w:t>
            </w:r>
          </w:p>
        </w:tc>
        <w:tc>
          <w:tcPr>
            <w:tcW w:w="1417" w:type="dxa"/>
            <w:vMerge w:val="continue"/>
            <w:vAlign w:val="center"/>
          </w:tcPr>
          <w:p w14:paraId="51631CCC">
            <w:pPr>
              <w:spacing w:line="320" w:lineRule="exact"/>
              <w:jc w:val="center"/>
              <w:rPr>
                <w:rFonts w:hint="eastAsia" w:ascii="宋体" w:hAnsi="宋体" w:eastAsia="宋体" w:cs="宋体"/>
                <w:color w:val="auto"/>
                <w:highlight w:val="none"/>
              </w:rPr>
            </w:pPr>
          </w:p>
        </w:tc>
      </w:tr>
      <w:tr w14:paraId="71DC84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08" w:hRule="atLeast"/>
        </w:trPr>
        <w:tc>
          <w:tcPr>
            <w:tcW w:w="567" w:type="dxa"/>
            <w:vAlign w:val="center"/>
          </w:tcPr>
          <w:p w14:paraId="6436215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34" w:type="dxa"/>
            <w:vAlign w:val="center"/>
          </w:tcPr>
          <w:p w14:paraId="0BAA5569">
            <w:pPr>
              <w:spacing w:line="32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安全责任落实</w:t>
            </w:r>
          </w:p>
        </w:tc>
        <w:tc>
          <w:tcPr>
            <w:tcW w:w="5953" w:type="dxa"/>
            <w:vAlign w:val="center"/>
          </w:tcPr>
          <w:p w14:paraId="209B5D3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（1）书面任命质量安全总监、质量安全员。</w:t>
            </w:r>
          </w:p>
          <w:p w14:paraId="03539FB6">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（2）开展质量安全总监和质量安全员培训及考核的存档资料。</w:t>
            </w:r>
          </w:p>
          <w:p w14:paraId="3A22BA59">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6153A8C5">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617E8680">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4DFABCC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（6）协助现场监察人员对安全总监、安全员的开展监督抽查考核。</w:t>
            </w:r>
          </w:p>
        </w:tc>
        <w:tc>
          <w:tcPr>
            <w:tcW w:w="1417" w:type="dxa"/>
            <w:vMerge w:val="continue"/>
            <w:vAlign w:val="center"/>
          </w:tcPr>
          <w:p w14:paraId="27292E28">
            <w:pPr>
              <w:spacing w:line="320" w:lineRule="exact"/>
              <w:jc w:val="center"/>
              <w:rPr>
                <w:rFonts w:hint="eastAsia" w:ascii="宋体" w:hAnsi="宋体" w:eastAsia="宋体" w:cs="宋体"/>
                <w:color w:val="auto"/>
                <w:highlight w:val="none"/>
              </w:rPr>
            </w:pPr>
          </w:p>
        </w:tc>
      </w:tr>
    </w:tbl>
    <w:p w14:paraId="33DEB4BD">
      <w:pPr>
        <w:rPr>
          <w:rFonts w:hint="eastAsia" w:ascii="宋体" w:hAnsi="宋体" w:eastAsia="宋体" w:cs="宋体"/>
          <w:color w:val="auto"/>
          <w:highlight w:val="none"/>
        </w:rPr>
      </w:pPr>
      <w:r>
        <w:rPr>
          <w:rFonts w:hint="eastAsia" w:ascii="宋体" w:hAnsi="宋体" w:eastAsia="宋体" w:cs="宋体"/>
          <w:color w:val="auto"/>
          <w:highlight w:val="none"/>
        </w:rPr>
        <w:t>2.电梯维保单位</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67"/>
        <w:gridCol w:w="1134"/>
        <w:gridCol w:w="5953"/>
        <w:gridCol w:w="1417"/>
      </w:tblGrid>
      <w:tr w14:paraId="2FB8D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7" w:type="dxa"/>
            <w:vAlign w:val="center"/>
          </w:tcPr>
          <w:p w14:paraId="01C8869D">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04E0E13F">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vAlign w:val="center"/>
          </w:tcPr>
          <w:p w14:paraId="422DE7CF">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vAlign w:val="center"/>
          </w:tcPr>
          <w:p w14:paraId="7622CA53">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抽查方法</w:t>
            </w:r>
          </w:p>
        </w:tc>
      </w:tr>
      <w:tr w14:paraId="3EA863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1" w:hRule="atLeast"/>
        </w:trPr>
        <w:tc>
          <w:tcPr>
            <w:tcW w:w="567" w:type="dxa"/>
            <w:vAlign w:val="center"/>
          </w:tcPr>
          <w:p w14:paraId="6114574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34" w:type="dxa"/>
            <w:vAlign w:val="center"/>
          </w:tcPr>
          <w:p w14:paraId="64640C9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建立安全管理体系</w:t>
            </w:r>
          </w:p>
        </w:tc>
        <w:tc>
          <w:tcPr>
            <w:tcW w:w="5953" w:type="dxa"/>
            <w:vAlign w:val="center"/>
          </w:tcPr>
          <w:p w14:paraId="6D44BF1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（1）现行有效的相关法规政策文件齐全,在其框架下建立安全管理体系，整理建档；</w:t>
            </w:r>
          </w:p>
          <w:p w14:paraId="0164EB2C">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（2）质量保证、安全管理和岗位责任等制度健全；</w:t>
            </w:r>
          </w:p>
          <w:p w14:paraId="179EA179">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（3）有保障安全管理体系有效运行的措施。</w:t>
            </w:r>
          </w:p>
        </w:tc>
        <w:tc>
          <w:tcPr>
            <w:tcW w:w="1417" w:type="dxa"/>
            <w:vAlign w:val="center"/>
          </w:tcPr>
          <w:p w14:paraId="3BA5520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查阅体系</w:t>
            </w:r>
          </w:p>
          <w:p w14:paraId="5049EA2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文件</w:t>
            </w:r>
          </w:p>
        </w:tc>
      </w:tr>
      <w:tr w14:paraId="59BF1E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567" w:type="dxa"/>
            <w:vAlign w:val="center"/>
          </w:tcPr>
          <w:p w14:paraId="5D07ECE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34" w:type="dxa"/>
            <w:vAlign w:val="center"/>
          </w:tcPr>
          <w:p w14:paraId="14185B8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加强日常安全自查</w:t>
            </w:r>
          </w:p>
        </w:tc>
        <w:tc>
          <w:tcPr>
            <w:tcW w:w="5953" w:type="dxa"/>
            <w:vAlign w:val="center"/>
          </w:tcPr>
          <w:p w14:paraId="057CC67B">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（1）制定自行检测、日常检查、维护保养、检验等自查计划并按相关技术规范要求实施；</w:t>
            </w:r>
          </w:p>
          <w:p w14:paraId="1ED70E23">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（2）保存相关自查记录，保证信息能追溯。</w:t>
            </w:r>
          </w:p>
        </w:tc>
        <w:tc>
          <w:tcPr>
            <w:tcW w:w="1417" w:type="dxa"/>
            <w:vAlign w:val="center"/>
          </w:tcPr>
          <w:p w14:paraId="3B462A0F">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w:t>
            </w:r>
          </w:p>
          <w:p w14:paraId="0DC85705">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资料</w:t>
            </w:r>
          </w:p>
        </w:tc>
      </w:tr>
      <w:tr w14:paraId="4C634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67" w:type="dxa"/>
            <w:vAlign w:val="center"/>
          </w:tcPr>
          <w:p w14:paraId="14124836">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34" w:type="dxa"/>
            <w:vAlign w:val="center"/>
          </w:tcPr>
          <w:p w14:paraId="1C68F87E">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遵守安全防护操作规程</w:t>
            </w:r>
          </w:p>
        </w:tc>
        <w:tc>
          <w:tcPr>
            <w:tcW w:w="5953" w:type="dxa"/>
            <w:vAlign w:val="center"/>
          </w:tcPr>
          <w:p w14:paraId="0211A81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进行维护保养或救援时，落实现场安全防护措施，按照操作规程和技术规范作业，保证施工安全。</w:t>
            </w:r>
          </w:p>
        </w:tc>
        <w:tc>
          <w:tcPr>
            <w:tcW w:w="1417" w:type="dxa"/>
            <w:vAlign w:val="center"/>
          </w:tcPr>
          <w:p w14:paraId="7A69EAD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查阅相关见证资料</w:t>
            </w:r>
          </w:p>
        </w:tc>
      </w:tr>
      <w:tr w14:paraId="0EA406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8" w:hRule="atLeast"/>
        </w:trPr>
        <w:tc>
          <w:tcPr>
            <w:tcW w:w="567" w:type="dxa"/>
            <w:vAlign w:val="center"/>
          </w:tcPr>
          <w:p w14:paraId="180E16F1">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34" w:type="dxa"/>
            <w:vAlign w:val="center"/>
          </w:tcPr>
          <w:p w14:paraId="6F92CBA7">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配备相</w:t>
            </w:r>
          </w:p>
          <w:p w14:paraId="6D9BB70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应人员</w:t>
            </w:r>
          </w:p>
        </w:tc>
        <w:tc>
          <w:tcPr>
            <w:tcW w:w="5953" w:type="dxa"/>
            <w:vAlign w:val="center"/>
          </w:tcPr>
          <w:p w14:paraId="09C9A75E">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（1）按照《特种设备生产和充装单位许可规则》（TSG 07-2019）相关要求，具有相应的技术负责人、质量保证体系人员、技术人员（项目负责人）、质量检验人员、作业人员，并且有相关人员任命文件；</w:t>
            </w:r>
          </w:p>
          <w:p w14:paraId="18268590">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（2）技术负责人、质量保证体系人员、技术人员（项目负责人）、质量检验人员、作业人员数量、职称或者学历符合《特种设备生产和充装单位许可规则》（TSG 07-2019）规定要求；</w:t>
            </w:r>
          </w:p>
          <w:p w14:paraId="18DE9292">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（3）建立人员台账，按照年度安全教育和技能培训计划，定期组织开展必要的安全教育和技能培训、考核。</w:t>
            </w:r>
          </w:p>
          <w:p w14:paraId="2DA9B9CA">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（4）有保障人员执行安全技术规范和管理制度的措施。</w:t>
            </w:r>
          </w:p>
        </w:tc>
        <w:tc>
          <w:tcPr>
            <w:tcW w:w="1417" w:type="dxa"/>
            <w:vAlign w:val="center"/>
          </w:tcPr>
          <w:p w14:paraId="6349508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现场检查相关资料</w:t>
            </w:r>
          </w:p>
        </w:tc>
      </w:tr>
      <w:tr w14:paraId="500F29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5" w:hRule="atLeast"/>
        </w:trPr>
        <w:tc>
          <w:tcPr>
            <w:tcW w:w="567" w:type="dxa"/>
            <w:vAlign w:val="center"/>
          </w:tcPr>
          <w:p w14:paraId="45A27DF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34" w:type="dxa"/>
            <w:vAlign w:val="center"/>
          </w:tcPr>
          <w:p w14:paraId="05C80EC8">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按规范维护保养</w:t>
            </w:r>
          </w:p>
        </w:tc>
        <w:tc>
          <w:tcPr>
            <w:tcW w:w="5953" w:type="dxa"/>
            <w:vAlign w:val="center"/>
          </w:tcPr>
          <w:p w14:paraId="66EBC726">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（1）建立维护保养电梯台账，根据《电梯维护保养规则》（TSG T5002-2017）以及电梯产品安装使用维护说明书的相关要求，制定维护保养方案，并严格执行；</w:t>
            </w:r>
          </w:p>
          <w:p w14:paraId="7E43FB5B">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（2）如实填写维护保养记录，每部电梯的保养记录保存4 年以上。采用按需维保模式的要保存相关信息并可查证；</w:t>
            </w:r>
          </w:p>
          <w:p w14:paraId="110ECA3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（3）抽查本年度2-5个维保项目各1-3台电梯的维护保养记录，检查维保项目落实情况；</w:t>
            </w:r>
          </w:p>
          <w:p w14:paraId="7F7193D9">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（4）对保存有效期内的其他年度的维护保养记录随机抽查3—5份，检查维保项目落实情况。</w:t>
            </w:r>
          </w:p>
        </w:tc>
        <w:tc>
          <w:tcPr>
            <w:tcW w:w="1417" w:type="dxa"/>
            <w:vAlign w:val="center"/>
          </w:tcPr>
          <w:p w14:paraId="4341D82E">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查阅相关方案及维护保养记录</w:t>
            </w:r>
          </w:p>
        </w:tc>
      </w:tr>
      <w:tr w14:paraId="645F1E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4" w:hRule="atLeast"/>
        </w:trPr>
        <w:tc>
          <w:tcPr>
            <w:tcW w:w="567" w:type="dxa"/>
            <w:vAlign w:val="center"/>
          </w:tcPr>
          <w:p w14:paraId="70B2A7A7">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34" w:type="dxa"/>
            <w:vAlign w:val="center"/>
          </w:tcPr>
          <w:p w14:paraId="10D6ADD4">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规范作业人员管理</w:t>
            </w:r>
          </w:p>
        </w:tc>
        <w:tc>
          <w:tcPr>
            <w:tcW w:w="5953" w:type="dxa"/>
            <w:vAlign w:val="center"/>
          </w:tcPr>
          <w:p w14:paraId="16D750BF">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（1）配备与维护保养业务相适应的维护保养人员，加强培训教育管理，持证上岗；</w:t>
            </w:r>
          </w:p>
          <w:p w14:paraId="5D4161BD">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（2）维护保养或救援时不得少于2 人；</w:t>
            </w:r>
          </w:p>
          <w:p w14:paraId="304F6BE6">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（3）鼓励建立惩戒措施或制度，规范作业人员行为。</w:t>
            </w:r>
          </w:p>
        </w:tc>
        <w:tc>
          <w:tcPr>
            <w:tcW w:w="1417" w:type="dxa"/>
            <w:vAlign w:val="center"/>
          </w:tcPr>
          <w:p w14:paraId="71EB2108">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查阅相关记录及见证材料</w:t>
            </w:r>
          </w:p>
        </w:tc>
      </w:tr>
      <w:tr w14:paraId="63D4DD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71" w:hRule="atLeast"/>
        </w:trPr>
        <w:tc>
          <w:tcPr>
            <w:tcW w:w="567" w:type="dxa"/>
            <w:vAlign w:val="center"/>
          </w:tcPr>
          <w:p w14:paraId="303051AA">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34" w:type="dxa"/>
            <w:vAlign w:val="center"/>
          </w:tcPr>
          <w:p w14:paraId="48B9BBE0">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保持电梯安全性能</w:t>
            </w:r>
          </w:p>
        </w:tc>
        <w:tc>
          <w:tcPr>
            <w:tcW w:w="5953" w:type="dxa"/>
            <w:vAlign w:val="center"/>
          </w:tcPr>
          <w:p w14:paraId="18696767">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（1）加强电梯安全防范和隐患治理，协助使用单位制定安全管理制度和应急救援预案；</w:t>
            </w:r>
          </w:p>
          <w:p w14:paraId="1EB0AAE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（2）发现事故隐患及时书面告知使用单位；</w:t>
            </w:r>
          </w:p>
          <w:p w14:paraId="7A98C9D0">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（3）对新承担维护保养的电梯进行安全性能确认；</w:t>
            </w:r>
          </w:p>
          <w:p w14:paraId="52831A5C">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（4）加强电梯安全保护装置的维护保养，并保证其正常有效。</w:t>
            </w:r>
          </w:p>
        </w:tc>
        <w:tc>
          <w:tcPr>
            <w:tcW w:w="1417" w:type="dxa"/>
            <w:vAlign w:val="center"/>
          </w:tcPr>
          <w:p w14:paraId="0A97278C">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查阅相关见证材料</w:t>
            </w:r>
          </w:p>
        </w:tc>
      </w:tr>
      <w:tr w14:paraId="3F5B29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71" w:hRule="atLeast"/>
        </w:trPr>
        <w:tc>
          <w:tcPr>
            <w:tcW w:w="567" w:type="dxa"/>
            <w:vAlign w:val="center"/>
          </w:tcPr>
          <w:p w14:paraId="7840A2C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34" w:type="dxa"/>
            <w:vAlign w:val="center"/>
          </w:tcPr>
          <w:p w14:paraId="62B26F62">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履行应急救援职责</w:t>
            </w:r>
          </w:p>
        </w:tc>
        <w:tc>
          <w:tcPr>
            <w:tcW w:w="5953" w:type="dxa"/>
            <w:vAlign w:val="center"/>
          </w:tcPr>
          <w:p w14:paraId="7267E56E">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（1）建立应急值班制度，保持24 小时电话畅通，接到故障或困人等信息后，设区市抵达时间不超过30 分钟，其他地区一般不超过1小时；</w:t>
            </w:r>
          </w:p>
          <w:p w14:paraId="16D99D35">
            <w:pPr>
              <w:spacing w:line="30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（2）制定电梯故障和事故应急救援预案，每年至少进行一次应急救援演练并作出记录。</w:t>
            </w:r>
          </w:p>
        </w:tc>
        <w:tc>
          <w:tcPr>
            <w:tcW w:w="1417" w:type="dxa"/>
            <w:vAlign w:val="center"/>
          </w:tcPr>
          <w:p w14:paraId="3570B1A0">
            <w:pPr>
              <w:spacing w:line="30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查阅应急救援专项预案及演练记录验证应急预案电话是否畅通</w:t>
            </w:r>
          </w:p>
        </w:tc>
      </w:tr>
      <w:tr w14:paraId="5C38B9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trPr>
        <w:tc>
          <w:tcPr>
            <w:tcW w:w="567" w:type="dxa"/>
            <w:vAlign w:val="center"/>
          </w:tcPr>
          <w:p w14:paraId="27628604">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34" w:type="dxa"/>
            <w:vAlign w:val="center"/>
          </w:tcPr>
          <w:p w14:paraId="09BC02CD">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许可条件保持情况</w:t>
            </w:r>
          </w:p>
        </w:tc>
        <w:tc>
          <w:tcPr>
            <w:tcW w:w="5953" w:type="dxa"/>
            <w:vAlign w:val="center"/>
          </w:tcPr>
          <w:p w14:paraId="0CC4208F">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（1）《营业执照》《中华人民共和国特种设备生产许可证》信息一致，并在有效期内；具有日常工作需要的固定办公场所。</w:t>
            </w:r>
          </w:p>
          <w:p w14:paraId="5B21B64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（2）制定持续保持许可条件的制度或措施；</w:t>
            </w:r>
          </w:p>
          <w:p w14:paraId="3759F78A">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（3）许可条件发生变化或不能满足时及时整改，仍达不到许可条件的应报告发证机关；</w:t>
            </w:r>
          </w:p>
          <w:p w14:paraId="117A42C0">
            <w:pPr>
              <w:autoSpaceDE w:val="0"/>
              <w:autoSpaceDN w:val="0"/>
              <w:adjustRightIn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（4）单位名称、住所、办公地址改变及时申请变更。</w:t>
            </w:r>
          </w:p>
        </w:tc>
        <w:tc>
          <w:tcPr>
            <w:tcW w:w="1417" w:type="dxa"/>
            <w:vAlign w:val="center"/>
          </w:tcPr>
          <w:p w14:paraId="1A5F7C85">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现场查验相关信息及资料</w:t>
            </w:r>
          </w:p>
        </w:tc>
      </w:tr>
      <w:tr w14:paraId="2D33B3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4" w:hRule="atLeast"/>
        </w:trPr>
        <w:tc>
          <w:tcPr>
            <w:tcW w:w="567" w:type="dxa"/>
            <w:vAlign w:val="center"/>
          </w:tcPr>
          <w:p w14:paraId="073921D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34" w:type="dxa"/>
            <w:vAlign w:val="center"/>
          </w:tcPr>
          <w:p w14:paraId="35D4A4E0">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bCs/>
                <w:color w:val="auto"/>
                <w:highlight w:val="none"/>
              </w:rPr>
              <w:t>安全责任落实</w:t>
            </w:r>
          </w:p>
        </w:tc>
        <w:tc>
          <w:tcPr>
            <w:tcW w:w="5953" w:type="dxa"/>
            <w:vAlign w:val="center"/>
          </w:tcPr>
          <w:p w14:paraId="39C608CE">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（1）书面任命质量安全总监、质量安全员；</w:t>
            </w:r>
          </w:p>
          <w:p w14:paraId="7D4CA218">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（2）开展质量安全总监和质量安全员培训及考核的存档资料；</w:t>
            </w:r>
          </w:p>
          <w:p w14:paraId="7FF37C0F">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3AEB49B4">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6F775AC6">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50E25CB5">
            <w:pPr>
              <w:spacing w:line="320" w:lineRule="exact"/>
              <w:outlineLvl w:val="2"/>
              <w:rPr>
                <w:rFonts w:hint="eastAsia" w:ascii="宋体" w:hAnsi="宋体" w:eastAsia="宋体" w:cs="宋体"/>
                <w:color w:val="auto"/>
                <w:highlight w:val="none"/>
              </w:rPr>
            </w:pPr>
            <w:r>
              <w:rPr>
                <w:rFonts w:hint="eastAsia" w:ascii="宋体" w:hAnsi="宋体" w:eastAsia="宋体" w:cs="宋体"/>
                <w:color w:val="auto"/>
                <w:highlight w:val="none"/>
              </w:rPr>
              <w:t>（6）对质量安全总监、质量安全员开展监督抽查考核。</w:t>
            </w:r>
          </w:p>
        </w:tc>
        <w:tc>
          <w:tcPr>
            <w:tcW w:w="1417" w:type="dxa"/>
            <w:vAlign w:val="center"/>
          </w:tcPr>
          <w:p w14:paraId="170B727C">
            <w:pPr>
              <w:spacing w:line="320" w:lineRule="exact"/>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检查相关制度、任命文件及记录资料</w:t>
            </w:r>
          </w:p>
        </w:tc>
      </w:tr>
    </w:tbl>
    <w:p w14:paraId="337FAE6A">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（二）机电类特种设备使用单位监督抽查项目内容及方法要求</w:t>
      </w:r>
    </w:p>
    <w:tbl>
      <w:tblPr>
        <w:tblStyle w:val="33"/>
        <w:tblW w:w="907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134"/>
        <w:gridCol w:w="5953"/>
        <w:gridCol w:w="1417"/>
      </w:tblGrid>
      <w:tr w14:paraId="22304E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67" w:type="dxa"/>
            <w:vAlign w:val="center"/>
          </w:tcPr>
          <w:p w14:paraId="4452DA72">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34" w:type="dxa"/>
            <w:vAlign w:val="center"/>
          </w:tcPr>
          <w:p w14:paraId="39931B42">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w:t>
            </w:r>
          </w:p>
        </w:tc>
        <w:tc>
          <w:tcPr>
            <w:tcW w:w="5953" w:type="dxa"/>
            <w:tcBorders>
              <w:bottom w:val="single" w:color="auto" w:sz="4" w:space="0"/>
            </w:tcBorders>
            <w:vAlign w:val="center"/>
          </w:tcPr>
          <w:p w14:paraId="5B8996A1">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抽查内容与要求</w:t>
            </w:r>
          </w:p>
        </w:tc>
        <w:tc>
          <w:tcPr>
            <w:tcW w:w="1417" w:type="dxa"/>
            <w:tcBorders>
              <w:bottom w:val="single" w:color="auto" w:sz="4" w:space="0"/>
            </w:tcBorders>
            <w:vAlign w:val="center"/>
          </w:tcPr>
          <w:p w14:paraId="48648EA8">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监督抽查</w:t>
            </w:r>
          </w:p>
          <w:p w14:paraId="54C199A6">
            <w:pPr>
              <w:spacing w:line="2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方法</w:t>
            </w:r>
          </w:p>
        </w:tc>
      </w:tr>
      <w:tr w14:paraId="5823B3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54" w:hRule="atLeast"/>
        </w:trPr>
        <w:tc>
          <w:tcPr>
            <w:tcW w:w="567" w:type="dxa"/>
            <w:vAlign w:val="center"/>
          </w:tcPr>
          <w:p w14:paraId="323691AB">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134" w:type="dxa"/>
            <w:vAlign w:val="center"/>
          </w:tcPr>
          <w:p w14:paraId="727F0B3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设备档案</w:t>
            </w:r>
          </w:p>
        </w:tc>
        <w:tc>
          <w:tcPr>
            <w:tcW w:w="5953" w:type="dxa"/>
            <w:tcBorders>
              <w:bottom w:val="single" w:color="auto" w:sz="4" w:space="0"/>
            </w:tcBorders>
            <w:vAlign w:val="center"/>
          </w:tcPr>
          <w:p w14:paraId="0EDEECE5">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（1）所抽查设备办理使用登记；</w:t>
            </w:r>
          </w:p>
          <w:p w14:paraId="1932B67B">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（2）所抽查设备在检验有效期内；</w:t>
            </w:r>
          </w:p>
          <w:p w14:paraId="498F436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（3）按要求建立设备档案且档案齐全；</w:t>
            </w:r>
          </w:p>
          <w:p w14:paraId="1818D102">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（4）所抽查设备按要求进行经常性维护保养或者定期自行检查并有记录；</w:t>
            </w:r>
          </w:p>
          <w:p w14:paraId="0B16FB5E">
            <w:pPr>
              <w:pStyle w:val="117"/>
              <w:spacing w:line="320" w:lineRule="exact"/>
              <w:rPr>
                <w:rFonts w:hint="eastAsia" w:ascii="宋体" w:hAnsi="宋体" w:cs="宋体"/>
                <w:color w:val="auto"/>
                <w:szCs w:val="24"/>
                <w:highlight w:val="none"/>
              </w:rPr>
            </w:pPr>
            <w:r>
              <w:rPr>
                <w:rFonts w:hint="eastAsia" w:ascii="宋体" w:hAnsi="宋体" w:cs="宋体"/>
                <w:color w:val="auto"/>
                <w:szCs w:val="24"/>
                <w:highlight w:val="none"/>
              </w:rPr>
              <w:t>（5）有设备故障、异常情况处理记录；</w:t>
            </w:r>
          </w:p>
          <w:p w14:paraId="0BB5FD20">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（6）有事故隐患排查和整治记录。</w:t>
            </w:r>
          </w:p>
        </w:tc>
        <w:tc>
          <w:tcPr>
            <w:tcW w:w="1417" w:type="dxa"/>
            <w:tcBorders>
              <w:bottom w:val="single" w:color="auto" w:sz="4" w:space="0"/>
            </w:tcBorders>
            <w:vAlign w:val="center"/>
          </w:tcPr>
          <w:p w14:paraId="5FBC5C0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检查各类档案资料及</w:t>
            </w:r>
            <w:r>
              <w:rPr>
                <w:rFonts w:hint="eastAsia" w:ascii="宋体" w:hAnsi="宋体" w:eastAsia="宋体" w:cs="宋体"/>
                <w:color w:val="auto"/>
                <w:highlight w:val="none"/>
              </w:rPr>
              <w:t>证书有效期和相关记录</w:t>
            </w:r>
          </w:p>
        </w:tc>
      </w:tr>
      <w:tr w14:paraId="5DFB0C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trPr>
        <w:tc>
          <w:tcPr>
            <w:tcW w:w="567" w:type="dxa"/>
            <w:vAlign w:val="center"/>
          </w:tcPr>
          <w:p w14:paraId="6CBAE2E4">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134" w:type="dxa"/>
            <w:vAlign w:val="center"/>
          </w:tcPr>
          <w:p w14:paraId="589F2376">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人员档案</w:t>
            </w:r>
          </w:p>
        </w:tc>
        <w:tc>
          <w:tcPr>
            <w:tcW w:w="5953" w:type="dxa"/>
            <w:tcBorders>
              <w:bottom w:val="single" w:color="auto" w:sz="4" w:space="0"/>
            </w:tcBorders>
            <w:vAlign w:val="center"/>
          </w:tcPr>
          <w:p w14:paraId="6C204F97">
            <w:pPr>
              <w:spacing w:line="320" w:lineRule="exact"/>
              <w:rPr>
                <w:rFonts w:hint="eastAsia" w:ascii="宋体" w:hAnsi="宋体" w:eastAsia="宋体" w:cs="宋体"/>
                <w:color w:val="auto"/>
                <w:highlight w:val="none"/>
              </w:rPr>
            </w:pPr>
            <w:r>
              <w:rPr>
                <w:rFonts w:hint="eastAsia" w:ascii="宋体" w:hAnsi="宋体" w:eastAsia="宋体" w:cs="宋体"/>
                <w:bCs/>
                <w:color w:val="auto"/>
                <w:spacing w:val="4"/>
                <w:highlight w:val="none"/>
              </w:rPr>
              <w:t>（1）特种设备</w:t>
            </w:r>
            <w:r>
              <w:rPr>
                <w:rFonts w:hint="eastAsia" w:ascii="宋体" w:hAnsi="宋体" w:eastAsia="宋体" w:cs="宋体"/>
                <w:color w:val="auto"/>
                <w:highlight w:val="none"/>
              </w:rPr>
              <w:t>安全管理和作业人员证在有效期内，项目符合要求并办理聘用手续；</w:t>
            </w:r>
          </w:p>
          <w:p w14:paraId="2E9A3903">
            <w:pPr>
              <w:spacing w:line="320" w:lineRule="exact"/>
              <w:rPr>
                <w:rFonts w:hint="eastAsia" w:ascii="宋体" w:hAnsi="宋体" w:eastAsia="宋体" w:cs="宋体"/>
                <w:bCs/>
                <w:color w:val="auto"/>
                <w:spacing w:val="4"/>
                <w:highlight w:val="none"/>
              </w:rPr>
            </w:pPr>
            <w:r>
              <w:rPr>
                <w:rFonts w:hint="eastAsia" w:ascii="宋体" w:hAnsi="宋体" w:eastAsia="宋体" w:cs="宋体"/>
                <w:color w:val="auto"/>
                <w:highlight w:val="none"/>
              </w:rPr>
              <w:t>（2）有特种设备作业人员培训考核记录。</w:t>
            </w:r>
          </w:p>
        </w:tc>
        <w:tc>
          <w:tcPr>
            <w:tcW w:w="1417" w:type="dxa"/>
            <w:tcBorders>
              <w:bottom w:val="single" w:color="auto" w:sz="4" w:space="0"/>
            </w:tcBorders>
            <w:vAlign w:val="center"/>
          </w:tcPr>
          <w:p w14:paraId="6D89E3F5">
            <w:pPr>
              <w:spacing w:line="320" w:lineRule="exact"/>
              <w:jc w:val="center"/>
              <w:rPr>
                <w:rFonts w:hint="eastAsia" w:ascii="宋体" w:hAnsi="宋体" w:eastAsia="宋体" w:cs="宋体"/>
                <w:bCs/>
                <w:color w:val="auto"/>
                <w:highlight w:val="none"/>
              </w:rPr>
            </w:pPr>
            <w:r>
              <w:rPr>
                <w:rFonts w:hint="eastAsia" w:ascii="宋体" w:hAnsi="宋体" w:eastAsia="宋体" w:cs="宋体"/>
                <w:color w:val="auto"/>
                <w:highlight w:val="none"/>
              </w:rPr>
              <w:t>检查证书有效期及聘用手续、培训考核相关记录</w:t>
            </w:r>
          </w:p>
        </w:tc>
      </w:tr>
      <w:tr w14:paraId="22F2B7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trPr>
        <w:tc>
          <w:tcPr>
            <w:tcW w:w="567" w:type="dxa"/>
            <w:vAlign w:val="center"/>
          </w:tcPr>
          <w:p w14:paraId="032952A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134" w:type="dxa"/>
            <w:vAlign w:val="center"/>
          </w:tcPr>
          <w:p w14:paraId="6353A3E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机构及</w:t>
            </w:r>
          </w:p>
          <w:p w14:paraId="1AC2F43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制度</w:t>
            </w:r>
          </w:p>
        </w:tc>
        <w:tc>
          <w:tcPr>
            <w:tcW w:w="5953" w:type="dxa"/>
            <w:tcBorders>
              <w:bottom w:val="single" w:color="auto" w:sz="4" w:space="0"/>
            </w:tcBorders>
            <w:vAlign w:val="center"/>
          </w:tcPr>
          <w:p w14:paraId="441EB32C">
            <w:pPr>
              <w:spacing w:line="320" w:lineRule="exact"/>
              <w:rPr>
                <w:rFonts w:hint="eastAsia" w:ascii="宋体" w:hAnsi="宋体" w:eastAsia="宋体" w:cs="宋体"/>
                <w:bCs/>
                <w:color w:val="auto"/>
                <w:spacing w:val="4"/>
                <w:highlight w:val="none"/>
              </w:rPr>
            </w:pPr>
            <w:r>
              <w:rPr>
                <w:rFonts w:hint="eastAsia" w:ascii="宋体" w:hAnsi="宋体" w:eastAsia="宋体" w:cs="宋体"/>
                <w:bCs/>
                <w:color w:val="auto"/>
                <w:spacing w:val="4"/>
                <w:highlight w:val="none"/>
              </w:rPr>
              <w:t>（1）</w:t>
            </w:r>
            <w:r>
              <w:rPr>
                <w:rFonts w:hint="eastAsia" w:ascii="宋体" w:hAnsi="宋体" w:eastAsia="宋体" w:cs="宋体"/>
                <w:color w:val="auto"/>
                <w:highlight w:val="none"/>
              </w:rPr>
              <w:t>按规定设置安全管理机构或配备专兼职安全管理人员，并书面任命安全责任人；</w:t>
            </w:r>
          </w:p>
          <w:p w14:paraId="68CC81BD">
            <w:pPr>
              <w:spacing w:line="320" w:lineRule="exact"/>
              <w:rPr>
                <w:rFonts w:hint="eastAsia" w:ascii="宋体" w:hAnsi="宋体" w:eastAsia="宋体" w:cs="宋体"/>
                <w:color w:val="auto"/>
                <w:highlight w:val="none"/>
              </w:rPr>
            </w:pPr>
            <w:r>
              <w:rPr>
                <w:rFonts w:hint="eastAsia" w:ascii="宋体" w:hAnsi="宋体" w:eastAsia="宋体" w:cs="宋体"/>
                <w:bCs/>
                <w:color w:val="auto"/>
                <w:spacing w:val="4"/>
                <w:highlight w:val="none"/>
              </w:rPr>
              <w:t>（2）</w:t>
            </w:r>
            <w:r>
              <w:rPr>
                <w:rFonts w:hint="eastAsia" w:ascii="宋体" w:hAnsi="宋体" w:eastAsia="宋体" w:cs="宋体"/>
                <w:color w:val="auto"/>
                <w:highlight w:val="none"/>
              </w:rPr>
              <w:t>建立并实施安全管理制度和操作规程；</w:t>
            </w:r>
          </w:p>
          <w:p w14:paraId="089A18F0">
            <w:pPr>
              <w:spacing w:line="320" w:lineRule="exact"/>
              <w:rPr>
                <w:rFonts w:hint="eastAsia" w:ascii="宋体" w:hAnsi="宋体" w:eastAsia="宋体" w:cs="宋体"/>
                <w:bCs/>
                <w:color w:val="auto"/>
                <w:spacing w:val="4"/>
                <w:highlight w:val="none"/>
              </w:rPr>
            </w:pPr>
            <w:r>
              <w:rPr>
                <w:rFonts w:hint="eastAsia" w:ascii="宋体" w:hAnsi="宋体" w:eastAsia="宋体" w:cs="宋体"/>
                <w:color w:val="auto"/>
                <w:highlight w:val="none"/>
              </w:rPr>
              <w:t>（3）制定事故应急（专项）预案并有演练记录。</w:t>
            </w:r>
          </w:p>
        </w:tc>
        <w:tc>
          <w:tcPr>
            <w:tcW w:w="1417" w:type="dxa"/>
            <w:tcBorders>
              <w:bottom w:val="single" w:color="auto" w:sz="4" w:space="0"/>
            </w:tcBorders>
            <w:vAlign w:val="center"/>
          </w:tcPr>
          <w:p w14:paraId="1ABB6A8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查阅相关见证资料</w:t>
            </w:r>
          </w:p>
        </w:tc>
      </w:tr>
      <w:tr w14:paraId="7BCCAE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567" w:type="dxa"/>
            <w:vAlign w:val="center"/>
          </w:tcPr>
          <w:p w14:paraId="5483F4DE">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134" w:type="dxa"/>
            <w:tcBorders>
              <w:top w:val="single" w:color="auto" w:sz="4" w:space="0"/>
              <w:bottom w:val="single" w:color="auto" w:sz="4" w:space="0"/>
            </w:tcBorders>
            <w:vAlign w:val="center"/>
          </w:tcPr>
          <w:p w14:paraId="6555DE35">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安全责任落实</w:t>
            </w:r>
          </w:p>
        </w:tc>
        <w:tc>
          <w:tcPr>
            <w:tcW w:w="5953" w:type="dxa"/>
            <w:tcBorders>
              <w:top w:val="single" w:color="auto" w:sz="4" w:space="0"/>
              <w:bottom w:val="single" w:color="auto" w:sz="4" w:space="0"/>
            </w:tcBorders>
            <w:vAlign w:val="center"/>
          </w:tcPr>
          <w:p w14:paraId="2A3A973C">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（1）书面任命安全总监、安全员。</w:t>
            </w:r>
          </w:p>
          <w:p w14:paraId="24C8959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（2）开展安全总监和安全员培训及考核的存档资料。</w:t>
            </w:r>
          </w:p>
          <w:p w14:paraId="3E1E9B11">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（3）制定单位《特种设备安全风险管控清单》《特种设备安全总监职责》《特种设备安全员守则》等文件。</w:t>
            </w:r>
          </w:p>
          <w:p w14:paraId="372FA847">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（4）建立并落实日管控、周排查、月调度工作机制。</w:t>
            </w:r>
          </w:p>
          <w:p w14:paraId="3A57821C">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（5）查阅《每日安全检查记录》《每周安全排查治理报告》《每月安全调度会议纪要》记录。</w:t>
            </w:r>
          </w:p>
          <w:p w14:paraId="4A274F9A">
            <w:pPr>
              <w:autoSpaceDE w:val="0"/>
              <w:autoSpaceDN w:val="0"/>
              <w:adjustRightInd w:val="0"/>
              <w:rPr>
                <w:rFonts w:hint="eastAsia" w:ascii="宋体" w:hAnsi="宋体" w:eastAsia="宋体" w:cs="宋体"/>
                <w:color w:val="auto"/>
                <w:highlight w:val="none"/>
              </w:rPr>
            </w:pPr>
            <w:r>
              <w:rPr>
                <w:rFonts w:hint="eastAsia" w:ascii="宋体" w:hAnsi="宋体" w:eastAsia="宋体" w:cs="宋体"/>
                <w:color w:val="auto"/>
                <w:highlight w:val="none"/>
              </w:rPr>
              <w:t>（6）协助现场监察人员对安全总监、安全员开展监督抽查考核。</w:t>
            </w:r>
          </w:p>
        </w:tc>
        <w:tc>
          <w:tcPr>
            <w:tcW w:w="1417" w:type="dxa"/>
            <w:vAlign w:val="center"/>
          </w:tcPr>
          <w:p w14:paraId="6125A23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检查相关制度、任命文件及记录资料</w:t>
            </w:r>
          </w:p>
        </w:tc>
      </w:tr>
      <w:tr w14:paraId="79149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trPr>
        <w:tc>
          <w:tcPr>
            <w:tcW w:w="567" w:type="dxa"/>
            <w:tcBorders>
              <w:top w:val="single" w:color="auto" w:sz="4" w:space="0"/>
            </w:tcBorders>
            <w:vAlign w:val="center"/>
          </w:tcPr>
          <w:p w14:paraId="76450B9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134" w:type="dxa"/>
            <w:tcBorders>
              <w:top w:val="single" w:color="auto" w:sz="4" w:space="0"/>
            </w:tcBorders>
            <w:vAlign w:val="center"/>
          </w:tcPr>
          <w:p w14:paraId="51DB5B6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大型游乐设施</w:t>
            </w:r>
            <w:r>
              <w:rPr>
                <w:rFonts w:hint="eastAsia" w:ascii="宋体" w:hAnsi="宋体" w:eastAsia="宋体" w:cs="宋体"/>
                <w:bCs/>
                <w:color w:val="auto"/>
                <w:highlight w:val="none"/>
              </w:rPr>
              <w:t>安全管理要求</w:t>
            </w:r>
          </w:p>
        </w:tc>
        <w:tc>
          <w:tcPr>
            <w:tcW w:w="5953" w:type="dxa"/>
            <w:tcBorders>
              <w:top w:val="single" w:color="auto" w:sz="4" w:space="0"/>
            </w:tcBorders>
            <w:vAlign w:val="center"/>
          </w:tcPr>
          <w:p w14:paraId="674D6DE1">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（1）</w:t>
            </w:r>
            <w:r>
              <w:rPr>
                <w:rFonts w:hint="eastAsia" w:hAnsi="宋体" w:cs="宋体"/>
                <w:color w:val="auto"/>
                <w:kern w:val="0"/>
                <w:sz w:val="24"/>
                <w:szCs w:val="24"/>
                <w:highlight w:val="none"/>
              </w:rPr>
              <w:t>使用标志及安全标志：①设备按要求办理使用登记并将使用标志置于显著位置。②设有显著的警示标志。③进出口设有显著的乘客须知和身高标尺等安全标志。</w:t>
            </w:r>
          </w:p>
          <w:p w14:paraId="207D422F">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（2）作业人员的有效证件在显著位置公示。</w:t>
            </w:r>
          </w:p>
          <w:p w14:paraId="0060B8B4">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（3）</w:t>
            </w:r>
            <w:r>
              <w:rPr>
                <w:rFonts w:hint="eastAsia" w:hAnsi="宋体" w:cs="宋体"/>
                <w:color w:val="auto"/>
                <w:kern w:val="0"/>
                <w:sz w:val="24"/>
                <w:szCs w:val="24"/>
                <w:highlight w:val="none"/>
              </w:rPr>
              <w:t>安全保护装置：①抽查配备的安全带、安全压杠等乘客束缚装置，应当完好有效。②抽查座舱舱门锁紧装置，应当完好有效。</w:t>
            </w:r>
          </w:p>
          <w:p w14:paraId="199A8AA3">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（4）定期修订应急救援（专项）预案，并按照预案开展应急救援演练。</w:t>
            </w:r>
          </w:p>
          <w:p w14:paraId="58C5605D">
            <w:pPr>
              <w:pStyle w:val="113"/>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（5）按规定进行设备运营前试运行检查、日常检查和维护保养、定期自行检查。</w:t>
            </w:r>
          </w:p>
        </w:tc>
        <w:tc>
          <w:tcPr>
            <w:tcW w:w="1417" w:type="dxa"/>
            <w:tcBorders>
              <w:top w:val="single" w:color="auto" w:sz="4" w:space="0"/>
            </w:tcBorders>
            <w:vAlign w:val="center"/>
          </w:tcPr>
          <w:p w14:paraId="270EAD21">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查阅标识标志、人员证件、相关记录，验证安全保护装置是否有效</w:t>
            </w:r>
          </w:p>
        </w:tc>
      </w:tr>
      <w:tr w14:paraId="0050DE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3" w:hRule="atLeast"/>
        </w:trPr>
        <w:tc>
          <w:tcPr>
            <w:tcW w:w="567" w:type="dxa"/>
            <w:vAlign w:val="center"/>
          </w:tcPr>
          <w:p w14:paraId="254F69DB">
            <w:pPr>
              <w:spacing w:line="32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6</w:t>
            </w:r>
          </w:p>
        </w:tc>
        <w:tc>
          <w:tcPr>
            <w:tcW w:w="1134" w:type="dxa"/>
            <w:vAlign w:val="center"/>
          </w:tcPr>
          <w:p w14:paraId="729CCBC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电梯</w:t>
            </w:r>
            <w:r>
              <w:rPr>
                <w:rFonts w:hint="eastAsia" w:ascii="宋体" w:hAnsi="宋体" w:eastAsia="宋体" w:cs="宋体"/>
                <w:bCs/>
                <w:color w:val="auto"/>
                <w:highlight w:val="none"/>
              </w:rPr>
              <w:t>安全管理要求</w:t>
            </w:r>
          </w:p>
        </w:tc>
        <w:tc>
          <w:tcPr>
            <w:tcW w:w="5953" w:type="dxa"/>
            <w:vAlign w:val="center"/>
          </w:tcPr>
          <w:p w14:paraId="044172C0">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（1）使用标志及安全警示：①设备按要求办理使用登记并将使用标志置于设备的显著位置。②安全注意事项和警示标志置于易于为乘客注意的显著位置。</w:t>
            </w:r>
          </w:p>
          <w:p w14:paraId="5DDBD5BD">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保护装置：①电梯轿厢内设置的紧急报警装置有效，联系畅通。②轿厢门防夹保护装置有效。③自动扶梯和自动人行道急停开关有效，且有清晰的永久性标识。④自动扶梯围裙板上的防夹装置完整。⑤自动扶梯和自动人行道出入口处梳齿板完好。⑥在与楼板交叉处以及各交叉设置的自动扶梯或者自动人行道之间，按要求装设防护挡板（扶手带外缘与任何障碍物之间距离大于等于400mm的除外）。</w:t>
            </w:r>
          </w:p>
          <w:p w14:paraId="55A39105">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（3）显示信号系统：抽查呼梯、选层、楼层指示等显示信号系统功能有效，指示正确。</w:t>
            </w:r>
          </w:p>
          <w:p w14:paraId="7EFF5317">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（4）维保情况：①签订维保合同并在有效期内。②有维保记录，并经安全管理人员签字确认。</w:t>
            </w:r>
          </w:p>
          <w:p w14:paraId="2423973D">
            <w:pPr>
              <w:spacing w:line="32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结合维护保养计划和方案，认真做好原有维护保养项目，同时增加一次电梯反绳轮（含防脱槽装置、轴承、固定零部件等）、导轨、限速器、安全钳的维护保养以及限速器—安全钳联动试验；对于额定载重量在1600kg 及以上的曳引驱动乘客电梯和额定载重量在3000kg 及以上的曳引驱动载货电梯，应在轿厢内装载额定载荷，以检修速度进行限速器—安全钳联动试验；并留存上述增加维保项目的相应照片或视频等见证材料。</w:t>
            </w:r>
          </w:p>
        </w:tc>
        <w:tc>
          <w:tcPr>
            <w:tcW w:w="1417" w:type="dxa"/>
            <w:vAlign w:val="center"/>
          </w:tcPr>
          <w:p w14:paraId="046DB8A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查阅相关标志标识及记录、见证资料，验证安全保护装置及显示信号系统是否有效</w:t>
            </w:r>
          </w:p>
        </w:tc>
      </w:tr>
      <w:tr w14:paraId="3318DB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08" w:hRule="atLeast"/>
        </w:trPr>
        <w:tc>
          <w:tcPr>
            <w:tcW w:w="567" w:type="dxa"/>
            <w:vAlign w:val="center"/>
          </w:tcPr>
          <w:p w14:paraId="39763D1C">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134" w:type="dxa"/>
            <w:vAlign w:val="center"/>
          </w:tcPr>
          <w:p w14:paraId="08132103">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起重机械</w:t>
            </w:r>
            <w:r>
              <w:rPr>
                <w:rFonts w:hint="eastAsia" w:ascii="宋体" w:hAnsi="宋体" w:eastAsia="宋体" w:cs="宋体"/>
                <w:bCs/>
                <w:color w:val="auto"/>
                <w:highlight w:val="none"/>
              </w:rPr>
              <w:t>安全管理要求</w:t>
            </w:r>
          </w:p>
        </w:tc>
        <w:tc>
          <w:tcPr>
            <w:tcW w:w="5953" w:type="dxa"/>
            <w:vAlign w:val="center"/>
          </w:tcPr>
          <w:p w14:paraId="60E616AD">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（1）使用标志：①设备按要求办理使用登记并将使用标志置于设备的显著位置或存放档案中。②有额定起重量（额定起重力矩）标识，且固定在显著位置。</w:t>
            </w:r>
          </w:p>
          <w:p w14:paraId="7600D997">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（2）安全保护装置：①按要求设置紧急停止开关且完好。②按要求设置起重量限制器且完好。③按要求设置力矩限制器且完好。④按要求设置防坠安全器且完好。⑤按要求设置高度限制器且完好。</w:t>
            </w:r>
          </w:p>
          <w:p w14:paraId="19A86188">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（3）维保情况：按规定进行定期自行检查和维护保养</w:t>
            </w:r>
          </w:p>
        </w:tc>
        <w:tc>
          <w:tcPr>
            <w:tcW w:w="1417" w:type="dxa"/>
            <w:vAlign w:val="center"/>
          </w:tcPr>
          <w:p w14:paraId="6BB252A1">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查阅相关标志标识及记录，验证安全保护装置是否有效</w:t>
            </w:r>
          </w:p>
        </w:tc>
      </w:tr>
      <w:tr w14:paraId="590CA7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65" w:hRule="atLeast"/>
        </w:trPr>
        <w:tc>
          <w:tcPr>
            <w:tcW w:w="567" w:type="dxa"/>
            <w:vAlign w:val="center"/>
          </w:tcPr>
          <w:p w14:paraId="5BA8D439">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134" w:type="dxa"/>
            <w:vAlign w:val="center"/>
          </w:tcPr>
          <w:p w14:paraId="76E2870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场（厂）内专用机动车辆</w:t>
            </w:r>
            <w:r>
              <w:rPr>
                <w:rFonts w:hint="eastAsia" w:ascii="宋体" w:hAnsi="宋体" w:eastAsia="宋体" w:cs="宋体"/>
                <w:bCs/>
                <w:color w:val="auto"/>
                <w:highlight w:val="none"/>
              </w:rPr>
              <w:t>安全管理要求</w:t>
            </w:r>
          </w:p>
        </w:tc>
        <w:tc>
          <w:tcPr>
            <w:tcW w:w="5953" w:type="dxa"/>
            <w:vAlign w:val="center"/>
          </w:tcPr>
          <w:p w14:paraId="6B637FE5">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（1）使用标志及安全标志：①设备按要求办理使用登记并将使用标志置于显著位置。②悬挂有效牌照。③设置安全警示标志。</w:t>
            </w:r>
          </w:p>
          <w:p w14:paraId="632E585E">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安全装置：①车辆的照明系统和仪表盘正常。②车辆的行车、驻车制动系统有效。③有能发出清晰声响的警示装置（如喇叭）。④车辆后视镜有效。⑤按要求配备灭火器（仅观光车辆）。⑥按要求配置安全带（仅坐驾式车辆）。⑦紧急断电开关有效（仅电动车辆）。⑧视频监控装置有效（仅观光列车）。</w:t>
            </w:r>
          </w:p>
          <w:p w14:paraId="040108CF">
            <w:pPr>
              <w:pStyle w:val="113"/>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（3）运行及维保情况：①按规定进行定期自行检查和维护保养。②非公路用旅游观光车辆在上下车站点处明示行驶路线图。</w:t>
            </w:r>
          </w:p>
        </w:tc>
        <w:tc>
          <w:tcPr>
            <w:tcW w:w="1417" w:type="dxa"/>
            <w:vAlign w:val="center"/>
          </w:tcPr>
          <w:p w14:paraId="36BBADF0">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查阅相关标志标识及记录，验证安全保护装置是否有效</w:t>
            </w:r>
          </w:p>
        </w:tc>
      </w:tr>
      <w:tr w14:paraId="76F68C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61" w:hRule="atLeast"/>
        </w:trPr>
        <w:tc>
          <w:tcPr>
            <w:tcW w:w="567" w:type="dxa"/>
            <w:tcBorders>
              <w:top w:val="single" w:color="auto" w:sz="4" w:space="0"/>
            </w:tcBorders>
            <w:vAlign w:val="center"/>
          </w:tcPr>
          <w:p w14:paraId="5587A45A">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9</w:t>
            </w:r>
          </w:p>
        </w:tc>
        <w:tc>
          <w:tcPr>
            <w:tcW w:w="1134" w:type="dxa"/>
            <w:tcBorders>
              <w:top w:val="single" w:color="auto" w:sz="4" w:space="0"/>
            </w:tcBorders>
            <w:vAlign w:val="center"/>
          </w:tcPr>
          <w:p w14:paraId="4FB8FADE">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客运索道</w:t>
            </w:r>
            <w:r>
              <w:rPr>
                <w:rFonts w:hint="eastAsia" w:ascii="宋体" w:hAnsi="宋体" w:eastAsia="宋体" w:cs="宋体"/>
                <w:bCs/>
                <w:color w:val="auto"/>
                <w:highlight w:val="none"/>
              </w:rPr>
              <w:t>安全管理要求</w:t>
            </w:r>
          </w:p>
        </w:tc>
        <w:tc>
          <w:tcPr>
            <w:tcW w:w="5953" w:type="dxa"/>
            <w:tcBorders>
              <w:top w:val="single" w:color="auto" w:sz="4" w:space="0"/>
            </w:tcBorders>
            <w:vAlign w:val="center"/>
          </w:tcPr>
          <w:p w14:paraId="067CFF41">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sz w:val="24"/>
                <w:szCs w:val="24"/>
                <w:highlight w:val="none"/>
              </w:rPr>
              <w:t>（1）</w:t>
            </w:r>
            <w:r>
              <w:rPr>
                <w:rFonts w:hint="eastAsia" w:hAnsi="宋体" w:cs="宋体"/>
                <w:color w:val="auto"/>
                <w:kern w:val="0"/>
                <w:sz w:val="24"/>
                <w:szCs w:val="24"/>
                <w:highlight w:val="none"/>
              </w:rPr>
              <w:t>使用标志及安全标志：①设备按要求办理使用登记并将使用标志置于显著位置。②进站口设乘客须知。③站台按规定设上下车线、禁止线等安全标志。④吊篮、吊箱内有安全说明。</w:t>
            </w:r>
          </w:p>
          <w:p w14:paraId="0459039C">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（2）作业人员的有效证件在显著位置公示。</w:t>
            </w:r>
          </w:p>
          <w:p w14:paraId="65EC247A">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（3）通信装置：①站房之间有专用电话，且至少有一条外线电话，并能保持通讯可靠。②沿线广播系统有效。</w:t>
            </w:r>
          </w:p>
          <w:p w14:paraId="2F404DFD">
            <w:pPr>
              <w:pStyle w:val="113"/>
              <w:widowControl w:val="0"/>
              <w:adjustRightInd w:val="0"/>
              <w:snapToGrid w:val="0"/>
              <w:spacing w:line="320" w:lineRule="exact"/>
              <w:ind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（4）应急救援：有应急救援专项预案、救援装备，并按照要求开展应急救援演练。</w:t>
            </w:r>
          </w:p>
          <w:p w14:paraId="50FCAB71">
            <w:pPr>
              <w:pStyle w:val="113"/>
              <w:widowControl w:val="0"/>
              <w:adjustRightInd w:val="0"/>
              <w:snapToGrid w:val="0"/>
              <w:spacing w:line="320" w:lineRule="exact"/>
              <w:ind w:firstLine="0" w:firstLineChars="0"/>
              <w:rPr>
                <w:rFonts w:hint="eastAsia" w:hAnsi="宋体" w:cs="宋体"/>
                <w:color w:val="auto"/>
                <w:sz w:val="24"/>
                <w:szCs w:val="24"/>
                <w:highlight w:val="none"/>
              </w:rPr>
            </w:pPr>
            <w:r>
              <w:rPr>
                <w:rFonts w:hint="eastAsia" w:hAnsi="宋体" w:cs="宋体"/>
                <w:color w:val="auto"/>
                <w:kern w:val="0"/>
                <w:sz w:val="24"/>
                <w:szCs w:val="24"/>
                <w:highlight w:val="none"/>
              </w:rPr>
              <w:t>（5）运行及维保情况：按规定进行设备运营前试运行检查、日常检查和维护保养、定期自行检查，并有检查记录。</w:t>
            </w:r>
          </w:p>
        </w:tc>
        <w:tc>
          <w:tcPr>
            <w:tcW w:w="1417" w:type="dxa"/>
            <w:tcBorders>
              <w:top w:val="single" w:color="auto" w:sz="4" w:space="0"/>
            </w:tcBorders>
            <w:vAlign w:val="center"/>
          </w:tcPr>
          <w:p w14:paraId="0849E14D">
            <w:pPr>
              <w:spacing w:line="32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查阅相关标志标识及记录，验证通讯装置是否</w:t>
            </w:r>
          </w:p>
          <w:p w14:paraId="1554F2E2">
            <w:pPr>
              <w:spacing w:line="32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有效</w:t>
            </w:r>
          </w:p>
        </w:tc>
      </w:tr>
    </w:tbl>
    <w:p w14:paraId="6B795135">
      <w:pPr>
        <w:rPr>
          <w:rFonts w:hint="eastAsia" w:ascii="宋体" w:hAnsi="宋体" w:eastAsia="宋体" w:cs="宋体"/>
          <w:color w:val="auto"/>
          <w:kern w:val="2"/>
          <w:highlight w:val="none"/>
        </w:rPr>
      </w:pPr>
      <w:r>
        <w:rPr>
          <w:rFonts w:hint="eastAsia" w:ascii="宋体" w:hAnsi="宋体" w:eastAsia="宋体" w:cs="宋体"/>
          <w:color w:val="auto"/>
          <w:kern w:val="2"/>
          <w:highlight w:val="none"/>
        </w:rPr>
        <w:br w:type="page"/>
      </w:r>
    </w:p>
    <w:p w14:paraId="282D535E">
      <w:pPr>
        <w:spacing w:line="360" w:lineRule="auto"/>
        <w:ind w:firstLine="496" w:firstLineChars="200"/>
        <w:rPr>
          <w:rFonts w:hint="eastAsia" w:ascii="宋体" w:hAnsi="宋体" w:eastAsia="宋体" w:cs="宋体"/>
          <w:color w:val="auto"/>
          <w:highlight w:val="none"/>
        </w:rPr>
      </w:pPr>
    </w:p>
    <w:p w14:paraId="6DE41363">
      <w:pPr>
        <w:pStyle w:val="2"/>
        <w:rPr>
          <w:rFonts w:hint="eastAsia" w:ascii="宋体" w:hAnsi="宋体" w:cs="宋体"/>
          <w:b/>
          <w:bCs/>
          <w:color w:val="auto"/>
          <w:highlight w:val="none"/>
        </w:rPr>
      </w:pPr>
      <w:bookmarkStart w:id="183" w:name="_Toc15832"/>
      <w:r>
        <w:rPr>
          <w:rFonts w:hint="eastAsia" w:ascii="宋体" w:hAnsi="宋体" w:eastAsia="宋体" w:cs="宋体"/>
          <w:color w:val="auto"/>
          <w:highlight w:val="none"/>
        </w:rPr>
        <w:t>第四章  合同文本</w:t>
      </w:r>
      <w:bookmarkEnd w:id="182"/>
      <w:bookmarkEnd w:id="183"/>
      <w:bookmarkStart w:id="184" w:name="_Toc100219616"/>
    </w:p>
    <w:p w14:paraId="61C8BFCA">
      <w:pPr>
        <w:spacing w:line="360" w:lineRule="auto"/>
        <w:jc w:val="right"/>
        <w:rPr>
          <w:rFonts w:hint="eastAsia" w:ascii="宋体" w:hAnsi="宋体" w:eastAsia="宋体" w:cs="宋体"/>
          <w:color w:val="auto"/>
          <w:sz w:val="72"/>
          <w:szCs w:val="72"/>
          <w:highlight w:val="none"/>
        </w:rPr>
      </w:pPr>
      <w:bookmarkStart w:id="185" w:name="_Toc32580"/>
      <w:r>
        <w:rPr>
          <w:rFonts w:hint="eastAsia" w:ascii="宋体" w:hAnsi="宋体" w:eastAsia="宋体" w:cs="宋体"/>
          <w:b/>
          <w:color w:val="auto"/>
          <w:sz w:val="32"/>
          <w:szCs w:val="32"/>
          <w:highlight w:val="none"/>
          <w:bdr w:val="single" w:color="auto" w:sz="4" w:space="0"/>
          <w:shd w:val="pct10" w:color="auto" w:fill="FFFFFF"/>
        </w:rPr>
        <w:t>政府采购项目</w:t>
      </w:r>
    </w:p>
    <w:p w14:paraId="6D7287EA">
      <w:pPr>
        <w:pStyle w:val="5"/>
        <w:numPr>
          <w:ilvl w:val="3"/>
          <w:numId w:val="0"/>
        </w:numPr>
        <w:ind w:left="864" w:hanging="864"/>
        <w:rPr>
          <w:color w:val="auto"/>
          <w:highlight w:val="none"/>
        </w:rPr>
      </w:pPr>
      <w:r>
        <w:rPr>
          <w:rFonts w:hint="eastAsia"/>
          <w:color w:val="auto"/>
          <w:highlight w:val="none"/>
        </w:rPr>
        <w:t>第一包</w:t>
      </w:r>
    </w:p>
    <w:p w14:paraId="5DD50C8C">
      <w:pPr>
        <w:pStyle w:val="29"/>
        <w:spacing w:before="395" w:beforeLines="100"/>
        <w:ind w:firstLine="420"/>
        <w:jc w:val="center"/>
        <w:rPr>
          <w:rFonts w:hint="eastAsia" w:eastAsia="宋体"/>
          <w:b/>
          <w:bCs/>
          <w:color w:val="auto"/>
          <w:sz w:val="48"/>
          <w:szCs w:val="48"/>
          <w:highlight w:val="none"/>
        </w:rPr>
      </w:pPr>
      <w:r>
        <w:rPr>
          <w:rFonts w:hint="eastAsia" w:eastAsia="宋体"/>
          <w:b/>
          <w:bCs/>
          <w:color w:val="auto"/>
          <w:sz w:val="48"/>
          <w:szCs w:val="48"/>
          <w:highlight w:val="none"/>
        </w:rPr>
        <w:t>西安市市场监督管理局2025年机电类特种设备安全质量监督抽查项目</w:t>
      </w:r>
    </w:p>
    <w:p w14:paraId="514F5078">
      <w:pPr>
        <w:jc w:val="center"/>
        <w:rPr>
          <w:rFonts w:hint="eastAsia" w:ascii="宋体" w:hAnsi="宋体" w:eastAsia="宋体" w:cs="宋体"/>
          <w:b/>
          <w:bCs/>
          <w:color w:val="auto"/>
          <w:sz w:val="72"/>
          <w:szCs w:val="72"/>
          <w:highlight w:val="none"/>
        </w:rPr>
      </w:pPr>
    </w:p>
    <w:p w14:paraId="6ACEDDDD">
      <w:pPr>
        <w:jc w:val="center"/>
        <w:rPr>
          <w:rFonts w:hint="eastAsia" w:ascii="宋体" w:hAnsi="宋体" w:eastAsia="宋体" w:cs="宋体"/>
          <w:b/>
          <w:bCs/>
          <w:color w:val="auto"/>
          <w:spacing w:val="68"/>
          <w:sz w:val="28"/>
          <w:szCs w:val="28"/>
          <w:highlight w:val="none"/>
        </w:rPr>
      </w:pPr>
      <w:r>
        <w:rPr>
          <w:rFonts w:hint="eastAsia" w:ascii="宋体" w:hAnsi="宋体" w:eastAsia="宋体" w:cs="宋体"/>
          <w:b/>
          <w:bCs/>
          <w:color w:val="auto"/>
          <w:sz w:val="72"/>
          <w:szCs w:val="72"/>
          <w:highlight w:val="none"/>
        </w:rPr>
        <w:t>服务合同</w:t>
      </w:r>
    </w:p>
    <w:p w14:paraId="1D22520F">
      <w:pPr>
        <w:rPr>
          <w:rFonts w:hint="eastAsia" w:ascii="宋体" w:hAnsi="宋体" w:eastAsia="宋体" w:cs="宋体"/>
          <w:color w:val="auto"/>
          <w:spacing w:val="68"/>
          <w:sz w:val="28"/>
          <w:szCs w:val="28"/>
          <w:highlight w:val="none"/>
        </w:rPr>
      </w:pPr>
    </w:p>
    <w:p w14:paraId="48B2DD25">
      <w:pPr>
        <w:rPr>
          <w:rFonts w:hint="eastAsia" w:ascii="宋体" w:hAnsi="宋体" w:eastAsia="宋体" w:cs="宋体"/>
          <w:color w:val="auto"/>
          <w:spacing w:val="68"/>
          <w:sz w:val="28"/>
          <w:szCs w:val="28"/>
          <w:highlight w:val="none"/>
        </w:rPr>
      </w:pPr>
    </w:p>
    <w:p w14:paraId="10DAAA2A">
      <w:pPr>
        <w:rPr>
          <w:rFonts w:hint="eastAsia" w:ascii="宋体" w:hAnsi="宋体" w:eastAsia="宋体" w:cs="宋体"/>
          <w:color w:val="auto"/>
          <w:spacing w:val="68"/>
          <w:sz w:val="28"/>
          <w:szCs w:val="28"/>
          <w:highlight w:val="none"/>
        </w:rPr>
      </w:pPr>
    </w:p>
    <w:p w14:paraId="2FBEB8F1">
      <w:pPr>
        <w:rPr>
          <w:rFonts w:hint="eastAsia" w:ascii="宋体" w:hAnsi="宋体" w:eastAsia="宋体" w:cs="宋体"/>
          <w:color w:val="auto"/>
          <w:spacing w:val="68"/>
          <w:sz w:val="28"/>
          <w:szCs w:val="28"/>
          <w:highlight w:val="none"/>
        </w:rPr>
      </w:pPr>
    </w:p>
    <w:p w14:paraId="42C9CB6B">
      <w:pPr>
        <w:rPr>
          <w:rFonts w:hint="eastAsia" w:ascii="宋体" w:hAnsi="宋体" w:eastAsia="宋体" w:cs="宋体"/>
          <w:color w:val="auto"/>
          <w:spacing w:val="68"/>
          <w:sz w:val="28"/>
          <w:szCs w:val="28"/>
          <w:highlight w:val="none"/>
        </w:rPr>
      </w:pPr>
    </w:p>
    <w:p w14:paraId="528DA7DA">
      <w:pPr>
        <w:rPr>
          <w:rFonts w:hint="eastAsia" w:ascii="宋体" w:hAnsi="宋体" w:eastAsia="宋体" w:cs="宋体"/>
          <w:color w:val="auto"/>
          <w:spacing w:val="68"/>
          <w:sz w:val="28"/>
          <w:szCs w:val="28"/>
          <w:highlight w:val="none"/>
        </w:rPr>
      </w:pPr>
    </w:p>
    <w:p w14:paraId="1F6D4A30">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    号：政采-西安市-2025-</w:t>
      </w:r>
    </w:p>
    <w:p w14:paraId="3EC3CDC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合同编号：</w:t>
      </w:r>
    </w:p>
    <w:p w14:paraId="78BB44C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合同包：1</w:t>
      </w:r>
    </w:p>
    <w:p w14:paraId="434A8A8B">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服务内容：2025年电梯维护保养、检验、检测质量监督抽查项目</w:t>
      </w:r>
    </w:p>
    <w:p w14:paraId="1DB1C0E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需    方：西安市市场监督管理局</w:t>
      </w:r>
    </w:p>
    <w:p w14:paraId="47421F8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方：</w:t>
      </w:r>
    </w:p>
    <w:p w14:paraId="4EC168EC">
      <w:pPr>
        <w:rPr>
          <w:rFonts w:hint="eastAsia" w:ascii="宋体" w:hAnsi="宋体" w:eastAsia="宋体" w:cs="宋体"/>
          <w:color w:val="auto"/>
          <w:spacing w:val="68"/>
          <w:sz w:val="28"/>
          <w:szCs w:val="28"/>
          <w:highlight w:val="none"/>
        </w:rPr>
      </w:pPr>
      <w:r>
        <w:rPr>
          <w:rFonts w:hint="eastAsia" w:ascii="宋体" w:hAnsi="宋体" w:eastAsia="宋体" w:cs="宋体"/>
          <w:b/>
          <w:color w:val="auto"/>
          <w:sz w:val="28"/>
          <w:szCs w:val="28"/>
          <w:highlight w:val="none"/>
        </w:rPr>
        <w:t>鉴 证 方：陕西万泽招标有限公司</w:t>
      </w:r>
    </w:p>
    <w:p w14:paraId="6CE2F382">
      <w:pPr>
        <w:jc w:val="center"/>
        <w:rPr>
          <w:rFonts w:hint="eastAsia" w:ascii="宋体" w:hAnsi="宋体" w:eastAsia="宋体" w:cs="宋体"/>
          <w:color w:val="auto"/>
          <w:highlight w:val="none"/>
        </w:rPr>
      </w:pPr>
    </w:p>
    <w:p w14:paraId="59A4B0E5">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highlight w:val="none"/>
          <w:u w:val="single"/>
        </w:rPr>
        <w:t>西安市市场监督管理局</w:t>
      </w:r>
      <w:r>
        <w:rPr>
          <w:rFonts w:hint="eastAsia" w:ascii="宋体" w:hAnsi="宋体" w:eastAsia="宋体" w:cs="宋体"/>
          <w:color w:val="auto"/>
          <w:highlight w:val="none"/>
        </w:rPr>
        <w:t xml:space="preserve"> （以下简称需方）和（以下简称供方）根据《中华人民共和国民法典》和有关法律法规，遵循平等、自愿、公平和诚实信用原则，同意按照下面的条款和条件订立本政府采购合同，共同信守。</w:t>
      </w:r>
    </w:p>
    <w:p w14:paraId="1E2325F9">
      <w:pPr>
        <w:adjustRightInd w:val="0"/>
        <w:snapToGrid w:val="0"/>
        <w:spacing w:line="360" w:lineRule="auto"/>
        <w:ind w:firstLine="496" w:firstLineChars="200"/>
        <w:rPr>
          <w:rFonts w:hint="eastAsia" w:ascii="宋体" w:hAnsi="宋体" w:eastAsia="宋体" w:cs="宋体"/>
          <w:b/>
          <w:bCs/>
          <w:color w:val="auto"/>
          <w:highlight w:val="none"/>
        </w:rPr>
      </w:pPr>
      <w:r>
        <w:rPr>
          <w:rFonts w:hint="eastAsia" w:ascii="宋体" w:hAnsi="宋体" w:eastAsia="宋体" w:cs="宋体"/>
          <w:b/>
          <w:bCs/>
          <w:color w:val="auto"/>
          <w:kern w:val="2"/>
          <w:highlight w:val="none"/>
        </w:rPr>
        <w:t xml:space="preserve">一、项目概况 </w:t>
      </w:r>
    </w:p>
    <w:p w14:paraId="457480B2">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（一）项目名称：2025年机电类特种设备安全质量监督抽查项目</w:t>
      </w:r>
    </w:p>
    <w:p w14:paraId="217A1232">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（二）项目地点：西安市</w:t>
      </w:r>
      <w:r>
        <w:rPr>
          <w:rFonts w:hint="eastAsia" w:ascii="宋体" w:hAnsi="宋体" w:eastAsia="宋体" w:cs="宋体"/>
          <w:color w:val="auto"/>
          <w:highlight w:val="none"/>
        </w:rPr>
        <w:t>辖区范围内</w:t>
      </w:r>
    </w:p>
    <w:p w14:paraId="6318C05C">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三）项目概况：为全面排查整治电梯安全隐患，规范我市电梯维护保养和检验、检测行为，预防和减少安全事故，保障全市电梯安全稳定。根据《中华人民共和国特种设备安全法》等法律法规规章和安全技术规范，结合实际，按照随机抽查、分布合理、重点突出的原则，委托第三方专业机构，对全市电梯维护保养、检验、检测质量进行监督抽查，重点查找和解决电梯维护保养、检验、检测等环节中存在的问题和风险，整治安全隐患，查处违法行为，夯实安全责任，持续提升电梯安全质量水平，促进全市特种设备安全形势平稳向好发展。</w:t>
      </w:r>
    </w:p>
    <w:p w14:paraId="47986C1A">
      <w:pPr>
        <w:adjustRightInd w:val="0"/>
        <w:snapToGrid w:val="0"/>
        <w:spacing w:line="360" w:lineRule="auto"/>
        <w:ind w:firstLine="496" w:firstLineChars="200"/>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二、合同标的物内容及数量</w:t>
      </w:r>
      <w:r>
        <w:rPr>
          <w:rFonts w:hint="eastAsia" w:ascii="宋体" w:hAnsi="宋体" w:eastAsia="宋体" w:cs="宋体"/>
          <w:color w:val="auto"/>
          <w:kern w:val="2"/>
          <w:highlight w:val="none"/>
        </w:rPr>
        <w:t>：</w:t>
      </w:r>
    </w:p>
    <w:p w14:paraId="3D7803C0">
      <w:pPr>
        <w:adjustRightInd w:val="0"/>
        <w:snapToGrid w:val="0"/>
        <w:spacing w:line="360" w:lineRule="auto"/>
        <w:ind w:firstLine="496"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2025年电梯维护保养、检验、检测质量监督抽查计划抽查在用电梯不少于6800台，其中，电梯维护保养质量抽查不少于6000台，电梯检验、检测质量抽查不少于800台。</w:t>
      </w:r>
    </w:p>
    <w:p w14:paraId="4034C294">
      <w:pPr>
        <w:adjustRightInd w:val="0"/>
        <w:snapToGrid w:val="0"/>
        <w:spacing w:line="360" w:lineRule="auto"/>
        <w:ind w:firstLine="496"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一）电梯维护保养质量监督抽查。抽取在用电梯不少于6000台，依据相关法律法规规章和安全技术规范，检查电梯关键部位、主要部件、安全保护装置等电梯安全性能指标，核查确认电梯安全状况，监督验证电梯维护保养项目落实情况和电梯维护保养质量。 </w:t>
      </w:r>
    </w:p>
    <w:p w14:paraId="43197BD6">
      <w:pPr>
        <w:adjustRightInd w:val="0"/>
        <w:snapToGrid w:val="0"/>
        <w:spacing w:line="360" w:lineRule="auto"/>
        <w:ind w:firstLine="496"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（二）电梯检验、检测质量监督抽查。抽取电梯检验检测机构检验、检测完成的电梯不少于800台，依据相关法律法规规章和安全技术规范，核查确认电梯检验、检测项目落实情况，监督验证电梯检验、检测质量。</w:t>
      </w:r>
    </w:p>
    <w:p w14:paraId="43B092F0">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 xml:space="preserve">三、合同价款 </w:t>
      </w:r>
    </w:p>
    <w:p w14:paraId="6801E4F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（一）合同总价款：元整（￥元）含税。</w:t>
      </w:r>
    </w:p>
    <w:p w14:paraId="2BBABC0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（二）合同总价即中标价，包含但不限于检测费、税费等一切费用，除此之外需方对供方不承担其他任何付款义务，不受市场价变化或实际工作量变化的影响。</w:t>
      </w:r>
    </w:p>
    <w:p w14:paraId="35CBB3D4">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四、服务要求</w:t>
      </w:r>
    </w:p>
    <w:p w14:paraId="62BEA5B4">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（一）服务期限</w:t>
      </w:r>
    </w:p>
    <w:p w14:paraId="46E7D47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自合同签订后5个工作日内开始实施监督抽查工作，并于2025年12月10日完成现场抽查任务。</w:t>
      </w:r>
    </w:p>
    <w:p w14:paraId="46CFA10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（二）服务终止</w:t>
      </w:r>
    </w:p>
    <w:p w14:paraId="2661F07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在有效服务期内，如供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165324C1">
      <w:pPr>
        <w:pStyle w:val="13"/>
        <w:spacing w:line="360" w:lineRule="auto"/>
        <w:ind w:left="49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五、进度要求</w:t>
      </w:r>
    </w:p>
    <w:p w14:paraId="0EB5CEF1">
      <w:pPr>
        <w:spacing w:line="360" w:lineRule="auto"/>
        <w:ind w:left="76" w:right="66" w:rightChars="27" w:firstLine="42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1.中标供应商于2025年12月10日前完成监督抽查电梯不少于6800台，其中，电梯维护保养质量抽查不少于6000台，电梯检验、检测质量抽查不少于800台。</w:t>
      </w:r>
    </w:p>
    <w:p w14:paraId="6FD0AA52">
      <w:pPr>
        <w:spacing w:line="360" w:lineRule="auto"/>
        <w:ind w:left="76" w:right="66" w:rightChars="27" w:firstLine="42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6000台电梯维保量监督抽查报告、不少于800台电梯检验质量监督抽查报告的电子版材料。提交报告及电子版材料符合采购人要求后视为合同履约完成。</w:t>
      </w:r>
    </w:p>
    <w:p w14:paraId="33230387">
      <w:pPr>
        <w:spacing w:line="360" w:lineRule="auto"/>
        <w:ind w:left="76" w:right="66" w:rightChars="27" w:firstLine="42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614B0FB5">
      <w:pPr>
        <w:spacing w:line="360" w:lineRule="auto"/>
        <w:ind w:left="76" w:right="66" w:rightChars="27" w:firstLine="420"/>
        <w:rPr>
          <w:rFonts w:hint="eastAsia" w:ascii="宋体" w:hAnsi="宋体" w:eastAsia="宋体" w:cs="宋体"/>
          <w:color w:val="auto"/>
          <w:highlight w:val="none"/>
        </w:rPr>
      </w:pPr>
      <w:r>
        <w:rPr>
          <w:rFonts w:hint="eastAsia" w:ascii="宋体" w:hAnsi="宋体" w:eastAsia="宋体" w:cs="宋体"/>
          <w:color w:val="auto"/>
          <w:highlight w:val="none"/>
        </w:rPr>
        <w:t>4.根据采购人需求，完成相关特种设备专项应急预案范本的修订、应急预案演练、特种设备安全宣传、特种设备安全监察人员能力提升培训等工作。</w:t>
      </w:r>
    </w:p>
    <w:p w14:paraId="17A67F67">
      <w:pPr>
        <w:spacing w:line="360" w:lineRule="auto"/>
        <w:ind w:left="76" w:right="66" w:rightChars="27" w:firstLine="42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6972546D">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六、付款方式</w:t>
      </w:r>
    </w:p>
    <w:p w14:paraId="621DDAC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（一）支付方式：分期付款，银行转账</w:t>
      </w:r>
    </w:p>
    <w:p w14:paraId="2E5EBD7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kern w:val="2"/>
          <w:highlight w:val="none"/>
        </w:rPr>
        <w:t>签订合同后支付合同总价款的50%，验收合格后支付合同总价款的25%（</w:t>
      </w:r>
      <w:r>
        <w:rPr>
          <w:rFonts w:hint="eastAsia" w:ascii="宋体" w:hAnsi="宋体" w:eastAsia="宋体" w:cs="宋体"/>
          <w:b/>
          <w:bCs/>
          <w:color w:val="auto"/>
          <w:kern w:val="2"/>
          <w:highlight w:val="none"/>
        </w:rPr>
        <w:t>最多支付至2850000.00元</w:t>
      </w:r>
      <w:r>
        <w:rPr>
          <w:rFonts w:hint="eastAsia" w:ascii="宋体" w:hAnsi="宋体" w:eastAsia="宋体" w:cs="宋体"/>
          <w:color w:val="auto"/>
          <w:kern w:val="2"/>
          <w:highlight w:val="none"/>
        </w:rPr>
        <w:t>），</w:t>
      </w:r>
      <w:r>
        <w:rPr>
          <w:rFonts w:hint="eastAsia" w:ascii="宋体" w:hAnsi="宋体" w:eastAsia="宋体" w:cs="宋体"/>
          <w:color w:val="auto"/>
          <w:highlight w:val="none"/>
        </w:rPr>
        <w:t>即人民币（大写）元整；（￥元）。</w:t>
      </w:r>
    </w:p>
    <w:p w14:paraId="0397486A">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kern w:val="2"/>
          <w:highlight w:val="none"/>
        </w:rPr>
        <w:t>项目完成</w:t>
      </w:r>
      <w:r>
        <w:rPr>
          <w:rFonts w:hint="eastAsia" w:ascii="宋体" w:hAnsi="宋体" w:eastAsia="宋体" w:cs="宋体"/>
          <w:b/>
          <w:bCs/>
          <w:color w:val="auto"/>
          <w:kern w:val="2"/>
          <w:highlight w:val="none"/>
        </w:rPr>
        <w:t>质保期满后</w:t>
      </w:r>
      <w:r>
        <w:rPr>
          <w:rFonts w:hint="eastAsia" w:ascii="宋体" w:hAnsi="宋体" w:eastAsia="宋体" w:cs="宋体"/>
          <w:color w:val="auto"/>
          <w:kern w:val="2"/>
          <w:highlight w:val="none"/>
        </w:rPr>
        <w:t>支付剩余合同价款</w:t>
      </w:r>
      <w:r>
        <w:rPr>
          <w:rFonts w:hint="eastAsia" w:ascii="宋体" w:hAnsi="宋体" w:eastAsia="宋体" w:cs="宋体"/>
          <w:color w:val="auto"/>
          <w:highlight w:val="none"/>
        </w:rPr>
        <w:t>即人民币</w:t>
      </w:r>
      <w:r>
        <w:rPr>
          <w:rFonts w:hint="eastAsia" w:ascii="宋体" w:hAnsi="宋体" w:eastAsia="宋体" w:cs="宋体"/>
          <w:color w:val="auto"/>
          <w:highlight w:val="none"/>
          <w:u w:val="single"/>
        </w:rPr>
        <w:t>（大写）</w:t>
      </w:r>
      <w:r>
        <w:rPr>
          <w:rFonts w:hint="eastAsia" w:ascii="宋体" w:hAnsi="宋体" w:eastAsia="宋体" w:cs="宋体"/>
          <w:color w:val="auto"/>
          <w:highlight w:val="none"/>
        </w:rPr>
        <w:t>元整；（￥元）。</w:t>
      </w:r>
    </w:p>
    <w:p w14:paraId="5DC1B73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（四）供方收款账号信息：</w:t>
      </w:r>
    </w:p>
    <w:p w14:paraId="6B9F89DB">
      <w:pPr>
        <w:widowControl w:val="0"/>
        <w:spacing w:line="360" w:lineRule="auto"/>
        <w:ind w:firstLine="496"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（五）需方在收到供方开具的付款等额增值税普通发票后按照上述付款期限付款。</w:t>
      </w:r>
    </w:p>
    <w:p w14:paraId="62788992">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七、质量保证</w:t>
      </w:r>
    </w:p>
    <w:p w14:paraId="45429F59">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（一）供方应遵循严谨、准确、客观、公开、公平原则，保证检验报告准确性并对检验质量及检验结果的真实性承担法律责任。</w:t>
      </w:r>
    </w:p>
    <w:p w14:paraId="27E7F618">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（二）供方保证按时、准确完成特种设备监督抽查任务；</w:t>
      </w:r>
    </w:p>
    <w:p w14:paraId="08D8CB9E">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（三）供方保证所供服务没有涉及其他权力纠纷。因侵权而产生的一切后果由供方负责，需方保留索赔权利；</w:t>
      </w:r>
    </w:p>
    <w:p w14:paraId="00081829">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（四）供方所提供的服务符合国家现行标准和相应的技术规范，这些标准和技术规范应为合同签订之日为止最新公布发行的标准和技术规范。</w:t>
      </w:r>
    </w:p>
    <w:p w14:paraId="5193935E">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货物、工程、服务等需符合现行的国家、行业、地区、企业质量安全标准及要求，标准不一致的，以更为严格的为准，投标服务商对提供的货物、工程、服务等的质量、安全、环保等负全权责任。</w:t>
      </w:r>
    </w:p>
    <w:p w14:paraId="25895904">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六）供方在抽查工作中接受西安市市场监管局的监督。抽查工作须保证整体工作质量，按时完成工作计划，配合西安市市场监管局、分局实施问题特种设备复查和后期处理工作。对西安市市场监管局责令整改逾期未改的，西安市市场监管局可根据实际情况，终止服务合同，并由供方承担违约责任。</w:t>
      </w:r>
    </w:p>
    <w:p w14:paraId="2128A3BB">
      <w:pPr>
        <w:pStyle w:val="13"/>
        <w:ind w:left="49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八、服务成果</w:t>
      </w:r>
    </w:p>
    <w:p w14:paraId="2F1DF608">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1.中标供应商于2025年12月10日前完成监督抽查电梯不少于6800台，其中，电梯维护保养质量抽查不少于6000台，电梯检验、检测质量抽查不少于800台。</w:t>
      </w:r>
    </w:p>
    <w:p w14:paraId="2B74541E">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6000台电梯维保量监督抽查报告、不少于800台电梯检验质量监督抽查报告的电子版材料。提交报告及电子版材料符合采购人要求后视为合同履约完成。</w:t>
      </w:r>
    </w:p>
    <w:p w14:paraId="28CBDA1E">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2F7B74DC">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4.根据采购人需求，完成相关特种设备专项应急预案范本的修订、应急预案演练、特种设备安全宣传、特种设备安全监察人员能力提升培训等工作。</w:t>
      </w:r>
    </w:p>
    <w:p w14:paraId="2E3EEC19">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3EF43C32">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九、考核验收：</w:t>
      </w:r>
    </w:p>
    <w:p w14:paraId="3AB61E1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（一）服务期满后，需方组织供方,必要时请有关专家进行考核验收，验收合格后，填写政府采购项目验收单（一式伍份）作为对服务的最终认可。</w:t>
      </w:r>
    </w:p>
    <w:p w14:paraId="77ACF640">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（二）需方向供方提供服务过程中的所有资料,以便需方日后管理和维护。</w:t>
      </w:r>
    </w:p>
    <w:p w14:paraId="416FE14C">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（三）验收依据 </w:t>
      </w:r>
    </w:p>
    <w:p w14:paraId="7C22F7BF">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1、招标文件、投标文件、澄清表（函）；</w:t>
      </w:r>
    </w:p>
    <w:p w14:paraId="6487641A">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2、本合同及附件文本； </w:t>
      </w:r>
    </w:p>
    <w:p w14:paraId="39183441">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3、国家相应的标准、规范。</w:t>
      </w:r>
    </w:p>
    <w:p w14:paraId="70997049">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十、保密条款</w:t>
      </w:r>
    </w:p>
    <w:p w14:paraId="49759615">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（一）未经需方同意，供方不得向第三方扩散、转让需方该项目中的所有中间抽查数据和总结报告；</w:t>
      </w:r>
    </w:p>
    <w:p w14:paraId="3F0B7D52">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（二）双方应妥善保管对方提供的资料，保守对方的各项秘密。未经对方许可，不得利用知悉的对方资料和总结报告为自己或第三方谋取利益。</w:t>
      </w:r>
    </w:p>
    <w:p w14:paraId="36D3768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（三）在合同有效期内，供方在合同义务下所完成的需提交给需方的全部成果（包括知识产权）全部归需方所有。</w:t>
      </w:r>
    </w:p>
    <w:p w14:paraId="6976D44F">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十一、合同争议的解决</w:t>
      </w:r>
    </w:p>
    <w:p w14:paraId="0EBBCE8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合同执行中发生争议的，当事人双方应协商解决，协商达不成一致时，可向需方所在地人民法院提请诉讼。</w:t>
      </w:r>
    </w:p>
    <w:p w14:paraId="55EF56E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十二、不可抗力情况下的免责约定</w:t>
      </w:r>
    </w:p>
    <w:p w14:paraId="59E6B74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双方约定不可抗力情况指：双方不可预见、不可避免、不可克服的客观情况，但不包括双方的违约或疏忽。这些事件包括但不限于：战争、严重火灾、洪水、</w:t>
      </w:r>
    </w:p>
    <w:p w14:paraId="031248A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台风、地震等。</w:t>
      </w:r>
    </w:p>
    <w:p w14:paraId="6F7A2667">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十三、违约责任：</w:t>
      </w:r>
    </w:p>
    <w:p w14:paraId="3C20214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（一）按《中华人民共和国民法典》中的相关条款执行。</w:t>
      </w:r>
    </w:p>
    <w:p w14:paraId="37AA5653">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未按合同要求提供服务或服务质量不能满足合同要求，需方应当将供方违约的情况以及拟采取的措施以书面形式报政府采购监管部门，根据政府采购监管部门的处理意见，需方有权依据《中华人民共和国民法典》有关条款及合同约定终止合同，并要求供方承担违约责任。同时，政府采购监管部门有权依据《中华人民共和国政府采购法》及相关法律法规对供方的违法行为进行相应的处罚。</w:t>
      </w:r>
    </w:p>
    <w:p w14:paraId="1CBE6F58">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（三）在本合同履行过程中，双方因违约或造成对方经济、社会效益等损失的应当赔偿。</w:t>
      </w:r>
    </w:p>
    <w:p w14:paraId="50C2377E">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（四）需方无正当理由拒绝接受服务，到期拒付服务费的，需方向供方偿付本合同总价款 5 %的违约金。由于需方为政府职能部门，双方一致同意因地方政府涉及本合同中对应的抽检产品质量监管规定或有关法律、法规及政策的变化调整、财政支付程序性问题造成的需方支付延迟的，供方予以谅解，需方不必承担违约责任。</w:t>
      </w:r>
    </w:p>
    <w:p w14:paraId="45D7C34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（五）供方提供的服务不符合本项目相关文件和本合同规定的，需方有权拒绝，并且供方须向需方支付本合同总价款 5 %的违约金。</w:t>
      </w:r>
    </w:p>
    <w:p w14:paraId="016B40D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（六）供方未能按照本合同约定时间提供服务或完成约定的项目服务内容的，从逾期之日起每日按本合同总价款 0.1 %的数额向需方支付违约金；逾期 30 日以上的，需方有权终止合同，由此造成的需方经济损失由供方承担。</w:t>
      </w:r>
    </w:p>
    <w:p w14:paraId="0AA3BEA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（七）未经需方同意，供方不得擅自将本合同服务转包第三方承担。</w:t>
      </w:r>
    </w:p>
    <w:p w14:paraId="46D666EF">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（八）双方确定，在本合同有效期内，需方指定______为需方项目联系人，供方指定______为供方项目联系人。项目联系人承担以下责任：</w:t>
      </w:r>
    </w:p>
    <w:p w14:paraId="2A37C8B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1．保持联络，及时协调有关问题。 </w:t>
      </w:r>
    </w:p>
    <w:p w14:paraId="391CB7A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2．监督合同的执行。</w:t>
      </w:r>
    </w:p>
    <w:p w14:paraId="1DBE55F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一方变更项目联系人的，应当及时以书面形式通知另一方。未及时通知并影响本合同履行或造成损失的，应承担相应的责任。</w:t>
      </w:r>
    </w:p>
    <w:p w14:paraId="29F4A578">
      <w:pPr>
        <w:ind w:firstLine="496"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十四、合同变更</w:t>
      </w:r>
    </w:p>
    <w:p w14:paraId="297CC40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32796623">
      <w:pPr>
        <w:spacing w:line="360" w:lineRule="auto"/>
        <w:ind w:firstLine="496"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十五、送达及生效</w:t>
      </w:r>
    </w:p>
    <w:p w14:paraId="76501086">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t>合同所显示当事人联系方式和联系信息适用于双方往来联系、书面文件送达及争议解决时法律文书送达。因联系方式和联系信息错误而无法直接送达的自交邮后第7日视为送达。</w:t>
      </w:r>
    </w:p>
    <w:p w14:paraId="7896CD47">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t>本政府采购合同经双方盖章且授权代表签字后生效。本合同一式陆份，需方叁份、供方贰份、鉴证方壹份。</w:t>
      </w:r>
    </w:p>
    <w:p w14:paraId="4C4E0C83">
      <w:pPr>
        <w:autoSpaceDE w:val="0"/>
        <w:autoSpaceDN w:val="0"/>
        <w:adjustRightInd w:val="0"/>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十六、其他事项</w:t>
      </w:r>
    </w:p>
    <w:p w14:paraId="6942D0D5">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（一）采购文件、响应文件、澄清表（函）、成交通知书、合同附件均成为合同不可分割的部分。</w:t>
      </w:r>
    </w:p>
    <w:p w14:paraId="43527403">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（二）未尽事宜，经双方协商一致，签订补充协议，补充协议与本合同具有同等法律效力。</w:t>
      </w:r>
    </w:p>
    <w:p w14:paraId="4D3981DD">
      <w:pPr>
        <w:spacing w:line="360" w:lineRule="auto"/>
        <w:ind w:firstLine="248" w:firstLineChars="100"/>
        <w:rPr>
          <w:rFonts w:hint="eastAsia" w:ascii="宋体" w:hAnsi="宋体" w:eastAsia="宋体" w:cs="宋体"/>
          <w:color w:val="auto"/>
          <w:highlight w:val="none"/>
        </w:rPr>
      </w:pPr>
    </w:p>
    <w:p w14:paraId="3237CEE8">
      <w:pPr>
        <w:spacing w:line="360" w:lineRule="auto"/>
        <w:ind w:firstLine="248" w:firstLineChars="100"/>
        <w:rPr>
          <w:rFonts w:hint="eastAsia" w:ascii="宋体" w:hAnsi="宋体" w:eastAsia="宋体" w:cs="宋体"/>
          <w:color w:val="auto"/>
          <w:highlight w:val="none"/>
        </w:rPr>
      </w:pPr>
    </w:p>
    <w:p w14:paraId="22096908">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本页无正文</w:t>
      </w:r>
    </w:p>
    <w:tbl>
      <w:tblPr>
        <w:tblStyle w:val="33"/>
        <w:tblW w:w="9038" w:type="dxa"/>
        <w:jc w:val="center"/>
        <w:tblLayout w:type="fixed"/>
        <w:tblCellMar>
          <w:top w:w="0" w:type="dxa"/>
          <w:left w:w="108" w:type="dxa"/>
          <w:bottom w:w="0" w:type="dxa"/>
          <w:right w:w="108" w:type="dxa"/>
        </w:tblCellMar>
      </w:tblPr>
      <w:tblGrid>
        <w:gridCol w:w="3043"/>
        <w:gridCol w:w="2978"/>
        <w:gridCol w:w="3017"/>
      </w:tblGrid>
      <w:tr w14:paraId="42568B8D">
        <w:tblPrEx>
          <w:tblCellMar>
            <w:top w:w="0" w:type="dxa"/>
            <w:left w:w="108" w:type="dxa"/>
            <w:bottom w:w="0" w:type="dxa"/>
            <w:right w:w="108" w:type="dxa"/>
          </w:tblCellMar>
        </w:tblPrEx>
        <w:trPr>
          <w:trHeight w:val="739" w:hRule="atLeast"/>
          <w:jc w:val="center"/>
        </w:trPr>
        <w:tc>
          <w:tcPr>
            <w:tcW w:w="3043" w:type="dxa"/>
            <w:noWrap/>
            <w:vAlign w:val="center"/>
          </w:tcPr>
          <w:p w14:paraId="5E0F2E13">
            <w:pPr>
              <w:rPr>
                <w:rFonts w:hint="eastAsia" w:ascii="宋体" w:hAnsi="宋体" w:cs="宋体"/>
                <w:color w:val="auto"/>
                <w:highlight w:val="none"/>
              </w:rPr>
            </w:pPr>
            <w:r>
              <w:rPr>
                <w:rFonts w:hint="eastAsia" w:ascii="宋体" w:hAnsi="宋体" w:cs="宋体"/>
                <w:b/>
                <w:bCs/>
                <w:color w:val="auto"/>
                <w:highlight w:val="none"/>
              </w:rPr>
              <w:t>需方：西安市市场监督管理局（盖章）</w:t>
            </w:r>
          </w:p>
        </w:tc>
        <w:tc>
          <w:tcPr>
            <w:tcW w:w="2978" w:type="dxa"/>
            <w:noWrap/>
            <w:vAlign w:val="center"/>
          </w:tcPr>
          <w:p w14:paraId="07676466">
            <w:pPr>
              <w:rPr>
                <w:rFonts w:hint="eastAsia" w:ascii="宋体" w:hAnsi="宋体" w:cs="宋体"/>
                <w:color w:val="auto"/>
                <w:highlight w:val="none"/>
              </w:rPr>
            </w:pPr>
            <w:r>
              <w:rPr>
                <w:rFonts w:hint="eastAsia" w:ascii="宋体" w:hAnsi="宋体" w:cs="宋体"/>
                <w:b/>
                <w:bCs/>
                <w:color w:val="auto"/>
                <w:highlight w:val="none"/>
              </w:rPr>
              <w:t>供方：（盖章）</w:t>
            </w:r>
          </w:p>
        </w:tc>
        <w:tc>
          <w:tcPr>
            <w:tcW w:w="3017" w:type="dxa"/>
            <w:vMerge w:val="restart"/>
            <w:noWrap/>
          </w:tcPr>
          <w:p w14:paraId="24835A33">
            <w:pPr>
              <w:rPr>
                <w:rFonts w:hint="eastAsia" w:ascii="宋体" w:hAnsi="宋体" w:cs="宋体"/>
                <w:b/>
                <w:bCs/>
                <w:color w:val="auto"/>
                <w:highlight w:val="none"/>
              </w:rPr>
            </w:pPr>
            <w:r>
              <w:rPr>
                <w:rFonts w:hint="eastAsia" w:ascii="宋体" w:hAnsi="宋体" w:cs="宋体"/>
                <w:b/>
                <w:bCs/>
                <w:color w:val="auto"/>
                <w:highlight w:val="none"/>
              </w:rPr>
              <w:t>鉴证方：陕西万泽招标有限公司</w:t>
            </w:r>
          </w:p>
          <w:p w14:paraId="5E281265">
            <w:pPr>
              <w:ind w:left="242" w:hanging="239" w:hangingChars="97"/>
              <w:rPr>
                <w:rFonts w:hint="eastAsia" w:ascii="宋体" w:hAnsi="宋体" w:cs="宋体"/>
                <w:color w:val="auto"/>
                <w:highlight w:val="none"/>
              </w:rPr>
            </w:pPr>
            <w:r>
              <w:rPr>
                <w:rFonts w:hint="eastAsia" w:ascii="宋体" w:hAnsi="宋体" w:cs="宋体"/>
                <w:b/>
                <w:bCs/>
                <w:color w:val="auto"/>
                <w:highlight w:val="none"/>
              </w:rPr>
              <w:t>（盖章）</w:t>
            </w:r>
          </w:p>
        </w:tc>
      </w:tr>
      <w:tr w14:paraId="2A313974">
        <w:tblPrEx>
          <w:tblCellMar>
            <w:top w:w="0" w:type="dxa"/>
            <w:left w:w="108" w:type="dxa"/>
            <w:bottom w:w="0" w:type="dxa"/>
            <w:right w:w="108" w:type="dxa"/>
          </w:tblCellMar>
        </w:tblPrEx>
        <w:trPr>
          <w:trHeight w:val="598" w:hRule="atLeast"/>
          <w:jc w:val="center"/>
        </w:trPr>
        <w:tc>
          <w:tcPr>
            <w:tcW w:w="3043" w:type="dxa"/>
            <w:noWrap/>
            <w:vAlign w:val="center"/>
          </w:tcPr>
          <w:p w14:paraId="0D34786B">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2978" w:type="dxa"/>
            <w:noWrap/>
            <w:vAlign w:val="center"/>
          </w:tcPr>
          <w:p w14:paraId="30FC4C55">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3017" w:type="dxa"/>
            <w:vMerge w:val="continue"/>
            <w:noWrap/>
            <w:vAlign w:val="center"/>
          </w:tcPr>
          <w:p w14:paraId="5A0919D7">
            <w:pPr>
              <w:rPr>
                <w:rFonts w:hint="eastAsia" w:ascii="宋体" w:hAnsi="宋体" w:cs="宋体"/>
                <w:color w:val="auto"/>
                <w:highlight w:val="none"/>
              </w:rPr>
            </w:pPr>
          </w:p>
        </w:tc>
      </w:tr>
      <w:tr w14:paraId="4590447C">
        <w:tblPrEx>
          <w:tblCellMar>
            <w:top w:w="0" w:type="dxa"/>
            <w:left w:w="108" w:type="dxa"/>
            <w:bottom w:w="0" w:type="dxa"/>
            <w:right w:w="108" w:type="dxa"/>
          </w:tblCellMar>
        </w:tblPrEx>
        <w:trPr>
          <w:trHeight w:val="739" w:hRule="atLeast"/>
          <w:jc w:val="center"/>
        </w:trPr>
        <w:tc>
          <w:tcPr>
            <w:tcW w:w="3043" w:type="dxa"/>
            <w:noWrap/>
            <w:vAlign w:val="center"/>
          </w:tcPr>
          <w:p w14:paraId="3D75E3A5">
            <w:pPr>
              <w:rPr>
                <w:rFonts w:hint="eastAsia" w:ascii="宋体" w:hAnsi="宋体" w:cs="宋体"/>
                <w:color w:val="auto"/>
                <w:highlight w:val="none"/>
              </w:rPr>
            </w:pPr>
            <w:r>
              <w:rPr>
                <w:rFonts w:hint="eastAsia" w:ascii="宋体" w:hAnsi="宋体" w:cs="宋体"/>
                <w:b/>
                <w:bCs/>
                <w:color w:val="auto"/>
                <w:highlight w:val="none"/>
              </w:rPr>
              <w:t>户名：</w:t>
            </w:r>
          </w:p>
        </w:tc>
        <w:tc>
          <w:tcPr>
            <w:tcW w:w="2978" w:type="dxa"/>
            <w:noWrap/>
            <w:vAlign w:val="center"/>
          </w:tcPr>
          <w:p w14:paraId="6EAAF5DF">
            <w:pPr>
              <w:rPr>
                <w:rFonts w:hint="eastAsia" w:ascii="宋体" w:hAnsi="宋体" w:cs="宋体"/>
                <w:color w:val="auto"/>
                <w:highlight w:val="none"/>
              </w:rPr>
            </w:pPr>
            <w:r>
              <w:rPr>
                <w:rFonts w:hint="eastAsia" w:ascii="宋体" w:hAnsi="宋体" w:cs="宋体"/>
                <w:b/>
                <w:bCs/>
                <w:color w:val="auto"/>
                <w:highlight w:val="none"/>
              </w:rPr>
              <w:t>户名：</w:t>
            </w:r>
          </w:p>
        </w:tc>
        <w:tc>
          <w:tcPr>
            <w:tcW w:w="3017" w:type="dxa"/>
            <w:vMerge w:val="continue"/>
            <w:noWrap/>
            <w:vAlign w:val="center"/>
          </w:tcPr>
          <w:p w14:paraId="2FA77069">
            <w:pPr>
              <w:rPr>
                <w:rFonts w:hint="eastAsia" w:ascii="宋体" w:hAnsi="宋体" w:cs="宋体"/>
                <w:color w:val="auto"/>
                <w:highlight w:val="none"/>
              </w:rPr>
            </w:pPr>
          </w:p>
        </w:tc>
      </w:tr>
      <w:tr w14:paraId="5035020D">
        <w:tblPrEx>
          <w:tblCellMar>
            <w:top w:w="0" w:type="dxa"/>
            <w:left w:w="108" w:type="dxa"/>
            <w:bottom w:w="0" w:type="dxa"/>
            <w:right w:w="108" w:type="dxa"/>
          </w:tblCellMar>
        </w:tblPrEx>
        <w:trPr>
          <w:trHeight w:val="739" w:hRule="atLeast"/>
          <w:jc w:val="center"/>
        </w:trPr>
        <w:tc>
          <w:tcPr>
            <w:tcW w:w="3043" w:type="dxa"/>
            <w:noWrap/>
            <w:vAlign w:val="center"/>
          </w:tcPr>
          <w:p w14:paraId="4AA028CE">
            <w:pPr>
              <w:rPr>
                <w:rFonts w:hint="eastAsia" w:ascii="宋体" w:hAnsi="宋体" w:cs="宋体"/>
                <w:color w:val="auto"/>
                <w:highlight w:val="none"/>
              </w:rPr>
            </w:pPr>
            <w:r>
              <w:rPr>
                <w:rFonts w:hint="eastAsia" w:ascii="宋体" w:hAnsi="宋体" w:cs="宋体"/>
                <w:b/>
                <w:bCs/>
                <w:color w:val="auto"/>
                <w:highlight w:val="none"/>
              </w:rPr>
              <w:t>开户行：</w:t>
            </w:r>
          </w:p>
        </w:tc>
        <w:tc>
          <w:tcPr>
            <w:tcW w:w="2978" w:type="dxa"/>
            <w:noWrap/>
            <w:vAlign w:val="center"/>
          </w:tcPr>
          <w:p w14:paraId="7D4A45EB">
            <w:pPr>
              <w:rPr>
                <w:rFonts w:hint="eastAsia" w:ascii="宋体" w:hAnsi="宋体" w:cs="宋体"/>
                <w:color w:val="auto"/>
                <w:highlight w:val="none"/>
              </w:rPr>
            </w:pPr>
            <w:r>
              <w:rPr>
                <w:rFonts w:hint="eastAsia" w:ascii="宋体" w:hAnsi="宋体" w:cs="宋体"/>
                <w:b/>
                <w:bCs/>
                <w:color w:val="auto"/>
                <w:highlight w:val="none"/>
              </w:rPr>
              <w:t>开户行：</w:t>
            </w:r>
          </w:p>
        </w:tc>
        <w:tc>
          <w:tcPr>
            <w:tcW w:w="3017" w:type="dxa"/>
            <w:noWrap/>
            <w:vAlign w:val="center"/>
          </w:tcPr>
          <w:p w14:paraId="25693578">
            <w:pPr>
              <w:rPr>
                <w:rFonts w:hint="eastAsia" w:ascii="宋体" w:hAnsi="宋体" w:cs="宋体"/>
                <w:color w:val="auto"/>
                <w:highlight w:val="none"/>
              </w:rPr>
            </w:pPr>
            <w:r>
              <w:rPr>
                <w:rFonts w:hint="eastAsia" w:ascii="宋体" w:hAnsi="宋体" w:cs="宋体"/>
                <w:b/>
                <w:bCs/>
                <w:color w:val="auto"/>
                <w:highlight w:val="none"/>
              </w:rPr>
              <w:t>代表签字：</w:t>
            </w:r>
          </w:p>
        </w:tc>
      </w:tr>
      <w:tr w14:paraId="5A2D73F3">
        <w:tblPrEx>
          <w:tblCellMar>
            <w:top w:w="0" w:type="dxa"/>
            <w:left w:w="108" w:type="dxa"/>
            <w:bottom w:w="0" w:type="dxa"/>
            <w:right w:w="108" w:type="dxa"/>
          </w:tblCellMar>
        </w:tblPrEx>
        <w:trPr>
          <w:trHeight w:val="598" w:hRule="atLeast"/>
          <w:jc w:val="center"/>
        </w:trPr>
        <w:tc>
          <w:tcPr>
            <w:tcW w:w="3043" w:type="dxa"/>
            <w:noWrap/>
            <w:vAlign w:val="center"/>
          </w:tcPr>
          <w:p w14:paraId="1C9C952D">
            <w:pPr>
              <w:rPr>
                <w:rFonts w:hint="eastAsia" w:ascii="宋体" w:hAnsi="宋体" w:cs="宋体"/>
                <w:color w:val="auto"/>
                <w:highlight w:val="none"/>
              </w:rPr>
            </w:pPr>
            <w:r>
              <w:rPr>
                <w:rFonts w:hint="eastAsia" w:ascii="宋体" w:hAnsi="宋体" w:cs="宋体"/>
                <w:b/>
                <w:bCs/>
                <w:color w:val="auto"/>
                <w:highlight w:val="none"/>
              </w:rPr>
              <w:t>账号：</w:t>
            </w:r>
          </w:p>
        </w:tc>
        <w:tc>
          <w:tcPr>
            <w:tcW w:w="2978" w:type="dxa"/>
            <w:noWrap/>
            <w:vAlign w:val="center"/>
          </w:tcPr>
          <w:p w14:paraId="3E139AC4">
            <w:pPr>
              <w:rPr>
                <w:rFonts w:hint="eastAsia" w:ascii="宋体" w:hAnsi="宋体" w:cs="宋体"/>
                <w:color w:val="auto"/>
                <w:highlight w:val="none"/>
              </w:rPr>
            </w:pPr>
            <w:r>
              <w:rPr>
                <w:rFonts w:hint="eastAsia" w:ascii="宋体" w:hAnsi="宋体" w:cs="宋体"/>
                <w:b/>
                <w:bCs/>
                <w:color w:val="auto"/>
                <w:highlight w:val="none"/>
              </w:rPr>
              <w:t>账号：</w:t>
            </w:r>
          </w:p>
        </w:tc>
        <w:tc>
          <w:tcPr>
            <w:tcW w:w="3017" w:type="dxa"/>
            <w:noWrap/>
            <w:vAlign w:val="center"/>
          </w:tcPr>
          <w:p w14:paraId="11252C9E">
            <w:pPr>
              <w:rPr>
                <w:rFonts w:hint="eastAsia" w:ascii="宋体" w:hAnsi="宋体" w:cs="宋体"/>
                <w:color w:val="auto"/>
                <w:highlight w:val="none"/>
              </w:rPr>
            </w:pPr>
          </w:p>
        </w:tc>
      </w:tr>
      <w:tr w14:paraId="053E5F3A">
        <w:tblPrEx>
          <w:tblCellMar>
            <w:top w:w="0" w:type="dxa"/>
            <w:left w:w="108" w:type="dxa"/>
            <w:bottom w:w="0" w:type="dxa"/>
            <w:right w:w="108" w:type="dxa"/>
          </w:tblCellMar>
        </w:tblPrEx>
        <w:trPr>
          <w:trHeight w:val="598" w:hRule="atLeast"/>
          <w:jc w:val="center"/>
        </w:trPr>
        <w:tc>
          <w:tcPr>
            <w:tcW w:w="3043" w:type="dxa"/>
            <w:noWrap/>
            <w:vAlign w:val="center"/>
          </w:tcPr>
          <w:p w14:paraId="1CC62738">
            <w:pPr>
              <w:rPr>
                <w:rFonts w:hint="eastAsia" w:ascii="宋体" w:hAnsi="宋体" w:cs="宋体"/>
                <w:color w:val="auto"/>
                <w:highlight w:val="none"/>
              </w:rPr>
            </w:pPr>
            <w:r>
              <w:rPr>
                <w:rFonts w:hint="eastAsia" w:ascii="宋体" w:hAnsi="宋体" w:cs="宋体"/>
                <w:b/>
                <w:bCs/>
                <w:color w:val="auto"/>
                <w:highlight w:val="none"/>
              </w:rPr>
              <w:t>电话：</w:t>
            </w:r>
          </w:p>
        </w:tc>
        <w:tc>
          <w:tcPr>
            <w:tcW w:w="2978" w:type="dxa"/>
            <w:noWrap/>
            <w:vAlign w:val="center"/>
          </w:tcPr>
          <w:p w14:paraId="78DB3F12">
            <w:pPr>
              <w:rPr>
                <w:rFonts w:hint="eastAsia" w:ascii="宋体" w:hAnsi="宋体" w:cs="宋体"/>
                <w:color w:val="auto"/>
                <w:highlight w:val="none"/>
              </w:rPr>
            </w:pPr>
            <w:r>
              <w:rPr>
                <w:rFonts w:hint="eastAsia" w:ascii="宋体" w:hAnsi="宋体" w:cs="宋体"/>
                <w:b/>
                <w:bCs/>
                <w:color w:val="auto"/>
                <w:highlight w:val="none"/>
              </w:rPr>
              <w:t xml:space="preserve">电话: </w:t>
            </w:r>
          </w:p>
        </w:tc>
        <w:tc>
          <w:tcPr>
            <w:tcW w:w="3017" w:type="dxa"/>
            <w:noWrap/>
            <w:vAlign w:val="center"/>
          </w:tcPr>
          <w:p w14:paraId="0E0F8A6E">
            <w:pPr>
              <w:rPr>
                <w:rFonts w:hint="eastAsia" w:ascii="宋体" w:hAnsi="宋体" w:cs="宋体"/>
                <w:color w:val="auto"/>
                <w:highlight w:val="none"/>
              </w:rPr>
            </w:pPr>
            <w:r>
              <w:rPr>
                <w:rFonts w:hint="eastAsia" w:ascii="宋体" w:hAnsi="宋体" w:cs="宋体"/>
                <w:b/>
                <w:bCs/>
                <w:color w:val="auto"/>
                <w:highlight w:val="none"/>
              </w:rPr>
              <w:t>电话029-88319689</w:t>
            </w:r>
          </w:p>
        </w:tc>
      </w:tr>
      <w:tr w14:paraId="2493A708">
        <w:tblPrEx>
          <w:tblCellMar>
            <w:top w:w="0" w:type="dxa"/>
            <w:left w:w="108" w:type="dxa"/>
            <w:bottom w:w="0" w:type="dxa"/>
            <w:right w:w="108" w:type="dxa"/>
          </w:tblCellMar>
        </w:tblPrEx>
        <w:trPr>
          <w:trHeight w:val="1109" w:hRule="atLeast"/>
          <w:jc w:val="center"/>
        </w:trPr>
        <w:tc>
          <w:tcPr>
            <w:tcW w:w="3043" w:type="dxa"/>
            <w:noWrap/>
            <w:vAlign w:val="center"/>
          </w:tcPr>
          <w:p w14:paraId="44D7EF90">
            <w:pPr>
              <w:rPr>
                <w:rFonts w:hint="eastAsia" w:ascii="宋体" w:hAnsi="宋体" w:cs="宋体"/>
                <w:color w:val="auto"/>
                <w:highlight w:val="none"/>
              </w:rPr>
            </w:pPr>
            <w:r>
              <w:rPr>
                <w:rFonts w:hint="eastAsia" w:ascii="宋体" w:hAnsi="宋体" w:cs="宋体"/>
                <w:b/>
                <w:bCs/>
                <w:color w:val="auto"/>
                <w:highlight w:val="none"/>
              </w:rPr>
              <w:t>地址：凤城八路109号2号楼五层</w:t>
            </w:r>
          </w:p>
        </w:tc>
        <w:tc>
          <w:tcPr>
            <w:tcW w:w="2978" w:type="dxa"/>
            <w:noWrap/>
            <w:vAlign w:val="center"/>
          </w:tcPr>
          <w:p w14:paraId="2B0E49B2">
            <w:pPr>
              <w:rPr>
                <w:rFonts w:hint="eastAsia" w:ascii="宋体" w:hAnsi="宋体" w:cs="宋体"/>
                <w:color w:val="auto"/>
                <w:highlight w:val="none"/>
              </w:rPr>
            </w:pPr>
            <w:r>
              <w:rPr>
                <w:rFonts w:hint="eastAsia" w:ascii="宋体" w:hAnsi="宋体" w:cs="宋体"/>
                <w:b/>
                <w:bCs/>
                <w:color w:val="auto"/>
                <w:highlight w:val="none"/>
              </w:rPr>
              <w:t>地址：</w:t>
            </w:r>
          </w:p>
        </w:tc>
        <w:tc>
          <w:tcPr>
            <w:tcW w:w="3017" w:type="dxa"/>
            <w:noWrap/>
            <w:vAlign w:val="center"/>
          </w:tcPr>
          <w:p w14:paraId="5E2DF818">
            <w:pPr>
              <w:rPr>
                <w:rFonts w:hint="eastAsia" w:ascii="宋体" w:hAnsi="宋体" w:cs="宋体"/>
                <w:color w:val="auto"/>
                <w:highlight w:val="none"/>
              </w:rPr>
            </w:pPr>
            <w:r>
              <w:rPr>
                <w:rFonts w:hint="eastAsia" w:ascii="宋体" w:hAnsi="宋体" w:cs="宋体"/>
                <w:b/>
                <w:bCs/>
                <w:color w:val="auto"/>
                <w:highlight w:val="none"/>
              </w:rPr>
              <w:t>地址：西安市高新区唐延路旺座现代城C座25楼2504</w:t>
            </w:r>
          </w:p>
        </w:tc>
      </w:tr>
      <w:tr w14:paraId="31A7A6AA">
        <w:tblPrEx>
          <w:tblCellMar>
            <w:top w:w="0" w:type="dxa"/>
            <w:left w:w="108" w:type="dxa"/>
            <w:bottom w:w="0" w:type="dxa"/>
            <w:right w:w="108" w:type="dxa"/>
          </w:tblCellMar>
        </w:tblPrEx>
        <w:trPr>
          <w:trHeight w:val="598" w:hRule="atLeast"/>
          <w:jc w:val="center"/>
        </w:trPr>
        <w:tc>
          <w:tcPr>
            <w:tcW w:w="3043" w:type="dxa"/>
            <w:noWrap/>
            <w:vAlign w:val="center"/>
          </w:tcPr>
          <w:p w14:paraId="4F7BB07A">
            <w:pPr>
              <w:rPr>
                <w:rFonts w:hint="eastAsia" w:ascii="宋体" w:hAnsi="宋体" w:cs="宋体"/>
                <w:color w:val="auto"/>
                <w:highlight w:val="none"/>
              </w:rPr>
            </w:pPr>
            <w:r>
              <w:rPr>
                <w:rFonts w:hint="eastAsia" w:ascii="宋体" w:hAnsi="宋体" w:cs="宋体"/>
                <w:b/>
                <w:bCs/>
                <w:color w:val="auto"/>
                <w:highlight w:val="none"/>
              </w:rPr>
              <w:t>日期: 2025年 月 日</w:t>
            </w:r>
          </w:p>
        </w:tc>
        <w:tc>
          <w:tcPr>
            <w:tcW w:w="2978" w:type="dxa"/>
            <w:noWrap/>
            <w:vAlign w:val="center"/>
          </w:tcPr>
          <w:p w14:paraId="572E189A">
            <w:pPr>
              <w:rPr>
                <w:rFonts w:hint="eastAsia" w:ascii="宋体" w:hAnsi="宋体" w:cs="宋体"/>
                <w:color w:val="auto"/>
                <w:highlight w:val="none"/>
              </w:rPr>
            </w:pPr>
            <w:r>
              <w:rPr>
                <w:rFonts w:hint="eastAsia" w:ascii="宋体" w:hAnsi="宋体" w:cs="宋体"/>
                <w:b/>
                <w:bCs/>
                <w:color w:val="auto"/>
                <w:highlight w:val="none"/>
              </w:rPr>
              <w:t>日期: 2025年 月 日</w:t>
            </w:r>
          </w:p>
        </w:tc>
        <w:tc>
          <w:tcPr>
            <w:tcW w:w="3017" w:type="dxa"/>
            <w:noWrap/>
            <w:vAlign w:val="center"/>
          </w:tcPr>
          <w:p w14:paraId="1E72B572">
            <w:pPr>
              <w:rPr>
                <w:rFonts w:hint="eastAsia" w:ascii="宋体" w:hAnsi="宋体" w:cs="宋体"/>
                <w:color w:val="auto"/>
                <w:highlight w:val="none"/>
              </w:rPr>
            </w:pPr>
          </w:p>
        </w:tc>
      </w:tr>
    </w:tbl>
    <w:p w14:paraId="07B18FD8">
      <w:pPr>
        <w:pStyle w:val="13"/>
        <w:ind w:left="497" w:firstLine="559"/>
        <w:rPr>
          <w:rFonts w:hint="eastAsia" w:ascii="宋体" w:hAnsi="宋体" w:eastAsia="宋体" w:cs="宋体"/>
          <w:color w:val="auto"/>
          <w:sz w:val="24"/>
          <w:highlight w:val="none"/>
        </w:rPr>
      </w:pPr>
    </w:p>
    <w:p w14:paraId="41E7FA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915AEA">
      <w:pPr>
        <w:spacing w:line="360" w:lineRule="auto"/>
        <w:jc w:val="right"/>
        <w:rPr>
          <w:rFonts w:hint="eastAsia" w:ascii="宋体" w:hAnsi="宋体" w:eastAsia="宋体" w:cs="宋体"/>
          <w:color w:val="auto"/>
          <w:sz w:val="72"/>
          <w:szCs w:val="72"/>
          <w:highlight w:val="none"/>
        </w:rPr>
      </w:pPr>
      <w:r>
        <w:rPr>
          <w:rFonts w:hint="eastAsia" w:ascii="宋体" w:hAnsi="宋体" w:eastAsia="宋体" w:cs="宋体"/>
          <w:b/>
          <w:color w:val="auto"/>
          <w:sz w:val="32"/>
          <w:szCs w:val="32"/>
          <w:highlight w:val="none"/>
          <w:bdr w:val="single" w:color="auto" w:sz="4" w:space="0"/>
          <w:shd w:val="pct10" w:color="auto" w:fill="FFFFFF"/>
        </w:rPr>
        <w:t>政府采购项目</w:t>
      </w:r>
    </w:p>
    <w:p w14:paraId="1259AB89">
      <w:pPr>
        <w:pStyle w:val="5"/>
        <w:numPr>
          <w:ilvl w:val="3"/>
          <w:numId w:val="0"/>
        </w:numPr>
        <w:rPr>
          <w:color w:val="auto"/>
          <w:highlight w:val="none"/>
        </w:rPr>
      </w:pPr>
      <w:r>
        <w:rPr>
          <w:rFonts w:hint="eastAsia"/>
          <w:color w:val="auto"/>
          <w:highlight w:val="none"/>
        </w:rPr>
        <w:t>第二包</w:t>
      </w:r>
    </w:p>
    <w:p w14:paraId="1516693C">
      <w:pPr>
        <w:pStyle w:val="29"/>
        <w:spacing w:before="395" w:beforeLines="100"/>
        <w:ind w:firstLine="420"/>
        <w:jc w:val="center"/>
        <w:rPr>
          <w:rFonts w:hint="eastAsia" w:eastAsia="宋体"/>
          <w:b/>
          <w:bCs/>
          <w:color w:val="auto"/>
          <w:sz w:val="48"/>
          <w:szCs w:val="48"/>
          <w:highlight w:val="none"/>
        </w:rPr>
      </w:pPr>
      <w:r>
        <w:rPr>
          <w:rFonts w:hint="eastAsia" w:eastAsia="宋体"/>
          <w:b/>
          <w:bCs/>
          <w:color w:val="auto"/>
          <w:sz w:val="48"/>
          <w:szCs w:val="48"/>
          <w:highlight w:val="none"/>
        </w:rPr>
        <w:t>西安市市场监督管理局2025年机电类特种设备安全质量监督抽查项目</w:t>
      </w:r>
    </w:p>
    <w:p w14:paraId="17CFDAB2">
      <w:pPr>
        <w:jc w:val="center"/>
        <w:rPr>
          <w:rFonts w:hint="eastAsia" w:ascii="宋体" w:hAnsi="宋体" w:eastAsia="宋体" w:cs="宋体"/>
          <w:b/>
          <w:bCs/>
          <w:color w:val="auto"/>
          <w:sz w:val="72"/>
          <w:szCs w:val="72"/>
          <w:highlight w:val="none"/>
        </w:rPr>
      </w:pPr>
    </w:p>
    <w:p w14:paraId="1C05A579">
      <w:pPr>
        <w:jc w:val="center"/>
        <w:rPr>
          <w:rFonts w:hint="eastAsia" w:ascii="宋体" w:hAnsi="宋体" w:eastAsia="宋体" w:cs="宋体"/>
          <w:b/>
          <w:bCs/>
          <w:color w:val="auto"/>
          <w:spacing w:val="68"/>
          <w:sz w:val="28"/>
          <w:szCs w:val="28"/>
          <w:highlight w:val="none"/>
        </w:rPr>
      </w:pPr>
      <w:r>
        <w:rPr>
          <w:rFonts w:hint="eastAsia" w:ascii="宋体" w:hAnsi="宋体" w:eastAsia="宋体" w:cs="宋体"/>
          <w:b/>
          <w:bCs/>
          <w:color w:val="auto"/>
          <w:sz w:val="72"/>
          <w:szCs w:val="72"/>
          <w:highlight w:val="none"/>
        </w:rPr>
        <w:t>服务合同</w:t>
      </w:r>
    </w:p>
    <w:p w14:paraId="1FA9DF63">
      <w:pPr>
        <w:rPr>
          <w:rFonts w:hint="eastAsia" w:ascii="宋体" w:hAnsi="宋体" w:eastAsia="宋体" w:cs="宋体"/>
          <w:color w:val="auto"/>
          <w:spacing w:val="68"/>
          <w:sz w:val="28"/>
          <w:szCs w:val="28"/>
          <w:highlight w:val="none"/>
        </w:rPr>
      </w:pPr>
    </w:p>
    <w:p w14:paraId="52EB96EE">
      <w:pPr>
        <w:rPr>
          <w:rFonts w:hint="eastAsia" w:ascii="宋体" w:hAnsi="宋体" w:eastAsia="宋体" w:cs="宋体"/>
          <w:color w:val="auto"/>
          <w:spacing w:val="68"/>
          <w:sz w:val="28"/>
          <w:szCs w:val="28"/>
          <w:highlight w:val="none"/>
        </w:rPr>
      </w:pPr>
    </w:p>
    <w:p w14:paraId="330A0A9E">
      <w:pPr>
        <w:rPr>
          <w:rFonts w:hint="eastAsia" w:ascii="宋体" w:hAnsi="宋体" w:eastAsia="宋体" w:cs="宋体"/>
          <w:color w:val="auto"/>
          <w:spacing w:val="68"/>
          <w:sz w:val="28"/>
          <w:szCs w:val="28"/>
          <w:highlight w:val="none"/>
        </w:rPr>
      </w:pPr>
    </w:p>
    <w:p w14:paraId="2346274B">
      <w:pPr>
        <w:rPr>
          <w:rFonts w:hint="eastAsia" w:ascii="宋体" w:hAnsi="宋体" w:eastAsia="宋体" w:cs="宋体"/>
          <w:color w:val="auto"/>
          <w:spacing w:val="68"/>
          <w:sz w:val="28"/>
          <w:szCs w:val="28"/>
          <w:highlight w:val="none"/>
        </w:rPr>
      </w:pPr>
    </w:p>
    <w:p w14:paraId="555E1E32">
      <w:pPr>
        <w:rPr>
          <w:rFonts w:hint="eastAsia" w:ascii="宋体" w:hAnsi="宋体" w:eastAsia="宋体" w:cs="宋体"/>
          <w:color w:val="auto"/>
          <w:spacing w:val="68"/>
          <w:sz w:val="28"/>
          <w:szCs w:val="28"/>
          <w:highlight w:val="none"/>
        </w:rPr>
      </w:pPr>
    </w:p>
    <w:p w14:paraId="16B9359D">
      <w:pPr>
        <w:rPr>
          <w:rFonts w:hint="eastAsia" w:ascii="宋体" w:hAnsi="宋体" w:eastAsia="宋体" w:cs="宋体"/>
          <w:color w:val="auto"/>
          <w:spacing w:val="68"/>
          <w:sz w:val="28"/>
          <w:szCs w:val="28"/>
          <w:highlight w:val="none"/>
        </w:rPr>
      </w:pPr>
    </w:p>
    <w:p w14:paraId="5A4A8C85">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    号：政采-西安市-2025-</w:t>
      </w:r>
    </w:p>
    <w:p w14:paraId="78FDA4E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合同编号：</w:t>
      </w:r>
    </w:p>
    <w:p w14:paraId="35AC22E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合同包：2</w:t>
      </w:r>
    </w:p>
    <w:p w14:paraId="27C41B30">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服务内容：2025年机电类特种设备生产、使用单位监督抽查项目</w:t>
      </w:r>
    </w:p>
    <w:p w14:paraId="2953D26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需    方：西安市市场监督管理局</w:t>
      </w:r>
    </w:p>
    <w:p w14:paraId="0FBBD50C">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方：</w:t>
      </w:r>
    </w:p>
    <w:p w14:paraId="33E8EB1A">
      <w:pPr>
        <w:rPr>
          <w:rFonts w:hint="eastAsia" w:ascii="宋体" w:hAnsi="宋体" w:eastAsia="宋体" w:cs="宋体"/>
          <w:color w:val="auto"/>
          <w:spacing w:val="68"/>
          <w:sz w:val="28"/>
          <w:szCs w:val="28"/>
          <w:highlight w:val="none"/>
        </w:rPr>
      </w:pPr>
      <w:r>
        <w:rPr>
          <w:rFonts w:hint="eastAsia" w:ascii="宋体" w:hAnsi="宋体" w:eastAsia="宋体" w:cs="宋体"/>
          <w:b/>
          <w:color w:val="auto"/>
          <w:sz w:val="28"/>
          <w:szCs w:val="28"/>
          <w:highlight w:val="none"/>
        </w:rPr>
        <w:t>鉴 证 方：陕西万泽招标有限公司</w:t>
      </w:r>
    </w:p>
    <w:p w14:paraId="099011B3">
      <w:pPr>
        <w:jc w:val="center"/>
        <w:rPr>
          <w:rFonts w:hint="eastAsia" w:ascii="宋体" w:hAnsi="宋体" w:eastAsia="宋体" w:cs="宋体"/>
          <w:color w:val="auto"/>
          <w:highlight w:val="none"/>
        </w:rPr>
      </w:pPr>
    </w:p>
    <w:p w14:paraId="7703BDEA">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br w:type="page"/>
      </w:r>
    </w:p>
    <w:p w14:paraId="6599BB8F">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highlight w:val="none"/>
          <w:u w:val="single"/>
        </w:rPr>
        <w:t>西安市市场监督管理局</w:t>
      </w:r>
      <w:r>
        <w:rPr>
          <w:rFonts w:hint="eastAsia" w:ascii="宋体" w:hAnsi="宋体" w:eastAsia="宋体" w:cs="宋体"/>
          <w:color w:val="auto"/>
          <w:highlight w:val="none"/>
        </w:rPr>
        <w:t xml:space="preserve"> （以下简称需方）和（以下简称供方）根据《中华人民共和国民法典》和有关法律法规，遵循平等、自愿、公平和诚实信用原则，同意按照下面的条款和条件订立本政府采购合同，共同信守。</w:t>
      </w:r>
    </w:p>
    <w:p w14:paraId="55BD3909">
      <w:pPr>
        <w:adjustRightInd w:val="0"/>
        <w:snapToGrid w:val="0"/>
        <w:spacing w:line="360" w:lineRule="auto"/>
        <w:ind w:firstLine="496" w:firstLineChars="200"/>
        <w:rPr>
          <w:rFonts w:hint="eastAsia" w:ascii="宋体" w:hAnsi="宋体" w:eastAsia="宋体" w:cs="宋体"/>
          <w:b/>
          <w:bCs/>
          <w:color w:val="auto"/>
          <w:highlight w:val="none"/>
        </w:rPr>
      </w:pPr>
      <w:r>
        <w:rPr>
          <w:rFonts w:hint="eastAsia" w:ascii="宋体" w:hAnsi="宋体" w:eastAsia="宋体" w:cs="宋体"/>
          <w:b/>
          <w:bCs/>
          <w:color w:val="auto"/>
          <w:kern w:val="2"/>
          <w:highlight w:val="none"/>
        </w:rPr>
        <w:t xml:space="preserve">一、项目概况 </w:t>
      </w:r>
    </w:p>
    <w:p w14:paraId="5741F12C">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（一）项目名称：2025年机电类特种设备安全质量监督抽查项目</w:t>
      </w:r>
    </w:p>
    <w:p w14:paraId="17CE1C33">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（二）项目地点：西安市</w:t>
      </w:r>
      <w:r>
        <w:rPr>
          <w:rFonts w:hint="eastAsia" w:ascii="宋体" w:hAnsi="宋体" w:eastAsia="宋体" w:cs="宋体"/>
          <w:color w:val="auto"/>
          <w:highlight w:val="none"/>
        </w:rPr>
        <w:t>辖区范围内</w:t>
      </w:r>
    </w:p>
    <w:p w14:paraId="591C83A1">
      <w:pPr>
        <w:adjustRightInd w:val="0"/>
        <w:snapToGrid w:val="0"/>
        <w:spacing w:line="360" w:lineRule="auto"/>
        <w:ind w:firstLine="640"/>
        <w:rPr>
          <w:rFonts w:hint="eastAsia" w:ascii="宋体" w:hAnsi="宋体" w:eastAsia="宋体" w:cs="宋体"/>
          <w:color w:val="auto"/>
          <w:highlight w:val="none"/>
        </w:rPr>
      </w:pPr>
      <w:r>
        <w:rPr>
          <w:rFonts w:hint="eastAsia" w:ascii="宋体" w:hAnsi="宋体" w:eastAsia="宋体" w:cs="宋体"/>
          <w:color w:val="auto"/>
          <w:kern w:val="2"/>
          <w:highlight w:val="none"/>
        </w:rPr>
        <w:t>（三）项目概况：为全面排查整治特种设备安全隐患，督促我市特种设备生产、使用单位主体责任落实，预防和减少安全事故，保障全市机电类特种设备安全稳定。根据《中华人民共和国特种设备安全法》等法律法规规章和安全技术规范，结合实际，按照随机抽查、分布合理、重点突出的原则，委托第三方专业机构，对全市机电类特种设备生产、使用单位进行监督抽查，重点查找和解决机电类特种设备生产、使用单位在主体责任落实环节中存在的问题和风险，整治安全隐患，查处违法行为，规范安全秩序，夯实安全责任，促进全市特种设备安全形势平稳向好发展。</w:t>
      </w:r>
    </w:p>
    <w:p w14:paraId="35F28CAF">
      <w:pPr>
        <w:adjustRightInd w:val="0"/>
        <w:snapToGrid w:val="0"/>
        <w:spacing w:line="360" w:lineRule="auto"/>
        <w:ind w:firstLine="496" w:firstLineChars="200"/>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二、合同标的物内容及数量</w:t>
      </w:r>
      <w:r>
        <w:rPr>
          <w:rFonts w:hint="eastAsia" w:ascii="宋体" w:hAnsi="宋体" w:eastAsia="宋体" w:cs="宋体"/>
          <w:color w:val="auto"/>
          <w:kern w:val="2"/>
          <w:highlight w:val="none"/>
        </w:rPr>
        <w:t>：</w:t>
      </w:r>
    </w:p>
    <w:p w14:paraId="350BDD35">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2025 机电类特种设备生产、使用单位监督抽查项目计划抽查不少于550家，其中，生产单位不少于150家，使用单位不少于400家。</w:t>
      </w:r>
    </w:p>
    <w:p w14:paraId="2332069C">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机电类特种设备生产单位监督抽查。抽取注册地在西安市的电梯、起重机械、场（厂）内专用机动车辆、大型游乐设施、客运索道的生产（制造、安装、改造、修理）单位不少于150家，依据相关法律法规规章和安全技术规范，核查确认其行政许可、人员管理、生产档案、证后许可资源条件保持、“两个规定”及“日管控、周排查、月调度”工作机制落实情况，对其质量安全主体责任落实情况和质量体系运行情况进行监督验证。</w:t>
      </w:r>
    </w:p>
    <w:p w14:paraId="513445AB">
      <w:pPr>
        <w:spacing w:line="560" w:lineRule="exact"/>
        <w:ind w:firstLine="496" w:firstLineChars="200"/>
        <w:rPr>
          <w:rFonts w:hint="eastAsia" w:ascii="宋体" w:hAnsi="宋体" w:eastAsia="宋体" w:cs="宋体"/>
          <w:color w:val="auto"/>
          <w:sz w:val="28"/>
          <w:szCs w:val="28"/>
          <w:highlight w:val="none"/>
        </w:rPr>
      </w:pPr>
      <w:r>
        <w:rPr>
          <w:rFonts w:hint="eastAsia" w:ascii="宋体" w:hAnsi="宋体" w:eastAsia="宋体" w:cs="宋体"/>
          <w:color w:val="auto"/>
          <w:highlight w:val="none"/>
        </w:rPr>
        <w:t>（二）机电类特种设备使用单位监督抽查。抽取西安市辖区内机电类特种设备使用单位不少于400家，依据相关法律法规规章和安全技术规范，检查在用特种设备安全管理情况、安全管理机构设置、安全管理制度落实、安全技术档案建立、“两个规定”及“日管控、周排查、月调度”工作机制落实等情况，对其主体责任落实情况和设备安全状况运行监督验证。</w:t>
      </w:r>
    </w:p>
    <w:p w14:paraId="5D61976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 xml:space="preserve">三、合同价款 </w:t>
      </w:r>
    </w:p>
    <w:p w14:paraId="03F9FB9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（一）合同总价款：元整（￥元）含税。</w:t>
      </w:r>
    </w:p>
    <w:p w14:paraId="2834EFE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（二）合同总价即中标价，包含但不限于检测费、税费等一切费用，除此之外需方对供方不承担其他任何付款义务，不受市场价变化或实际工作量变化的影响。</w:t>
      </w:r>
    </w:p>
    <w:p w14:paraId="11E32411">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四、服务要求</w:t>
      </w:r>
    </w:p>
    <w:p w14:paraId="51EB62C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（一）服务期限</w:t>
      </w:r>
    </w:p>
    <w:p w14:paraId="4E39A53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自合同签订后5个工作日内开始实施监督抽查工作，并于2025年12月10日完成现场抽查任务。</w:t>
      </w:r>
    </w:p>
    <w:p w14:paraId="148413E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（二）服务终止</w:t>
      </w:r>
    </w:p>
    <w:p w14:paraId="29FC9ED3">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在有效服务期内，如供中标供应商在人员配置、作业管理、质量控制、科学高效、便捷服务等各方面不能满足采购文件的相关要求或没有实现投标文件中的相关承诺，采购人有权单方面解除合同，并保留追究违约责任。同时将违约情况上报财政部门列入政府采购失信名单。</w:t>
      </w:r>
    </w:p>
    <w:p w14:paraId="5B65BB93">
      <w:pPr>
        <w:pStyle w:val="13"/>
        <w:spacing w:line="360" w:lineRule="auto"/>
        <w:ind w:left="49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五、进度要求</w:t>
      </w:r>
    </w:p>
    <w:p w14:paraId="68D9D5B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1.中标供应商于2025年12月10日前，完成2025年机电类特种设备生产、使用单位抽查工作。其中，抽查生产单位不少于150家，使用单位不少于400家。</w:t>
      </w:r>
    </w:p>
    <w:p w14:paraId="07E882C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7DED059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3.根据采购人需求，承办监督抽查工作动员部署会议、阶段小结、监督抽查完成后的总结会议以及项目验收会。</w:t>
      </w:r>
    </w:p>
    <w:p w14:paraId="08FB9B9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378DAD5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5.本项目设定质量保证期，质保期为项目验收完成后5个月，主要内容为项目现场复核、报告复核、技术咨询回应等</w:t>
      </w:r>
    </w:p>
    <w:p w14:paraId="513F3A71">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六、付款方式</w:t>
      </w:r>
    </w:p>
    <w:p w14:paraId="01B1F378">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（一）支付方式：分期付款，银行转账</w:t>
      </w:r>
    </w:p>
    <w:p w14:paraId="22D60415">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kern w:val="2"/>
          <w:highlight w:val="none"/>
        </w:rPr>
        <w:t>签订合同后支付合同总价款的50%，验收合格后支付合同总价款的25%（</w:t>
      </w:r>
      <w:r>
        <w:rPr>
          <w:rFonts w:hint="eastAsia" w:ascii="宋体" w:hAnsi="宋体" w:eastAsia="宋体" w:cs="宋体"/>
          <w:b/>
          <w:bCs/>
          <w:color w:val="auto"/>
          <w:kern w:val="2"/>
          <w:highlight w:val="none"/>
        </w:rPr>
        <w:t>最多支付至220000.00元</w:t>
      </w:r>
      <w:r>
        <w:rPr>
          <w:rFonts w:hint="eastAsia" w:ascii="宋体" w:hAnsi="宋体" w:eastAsia="宋体" w:cs="宋体"/>
          <w:color w:val="auto"/>
          <w:kern w:val="2"/>
          <w:highlight w:val="none"/>
        </w:rPr>
        <w:t>），</w:t>
      </w:r>
      <w:r>
        <w:rPr>
          <w:rFonts w:hint="eastAsia" w:ascii="宋体" w:hAnsi="宋体" w:eastAsia="宋体" w:cs="宋体"/>
          <w:color w:val="auto"/>
          <w:highlight w:val="none"/>
        </w:rPr>
        <w:t>即人民币（大写）元整；（￥元）。</w:t>
      </w:r>
    </w:p>
    <w:p w14:paraId="07676A08">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kern w:val="2"/>
          <w:highlight w:val="none"/>
        </w:rPr>
        <w:t>项目完成</w:t>
      </w:r>
      <w:r>
        <w:rPr>
          <w:rFonts w:hint="eastAsia" w:ascii="宋体" w:hAnsi="宋体" w:eastAsia="宋体" w:cs="宋体"/>
          <w:b/>
          <w:bCs/>
          <w:color w:val="auto"/>
          <w:kern w:val="2"/>
          <w:highlight w:val="none"/>
        </w:rPr>
        <w:t>质保期满后</w:t>
      </w:r>
      <w:r>
        <w:rPr>
          <w:rFonts w:hint="eastAsia" w:ascii="宋体" w:hAnsi="宋体" w:eastAsia="宋体" w:cs="宋体"/>
          <w:color w:val="auto"/>
          <w:kern w:val="2"/>
          <w:highlight w:val="none"/>
        </w:rPr>
        <w:t>支付剩余合同价款</w:t>
      </w:r>
      <w:r>
        <w:rPr>
          <w:rFonts w:hint="eastAsia" w:ascii="宋体" w:hAnsi="宋体" w:eastAsia="宋体" w:cs="宋体"/>
          <w:color w:val="auto"/>
          <w:highlight w:val="none"/>
        </w:rPr>
        <w:t>即人民币</w:t>
      </w:r>
      <w:r>
        <w:rPr>
          <w:rFonts w:hint="eastAsia" w:ascii="宋体" w:hAnsi="宋体" w:eastAsia="宋体" w:cs="宋体"/>
          <w:color w:val="auto"/>
          <w:highlight w:val="none"/>
          <w:u w:val="single"/>
        </w:rPr>
        <w:t>（大写）</w:t>
      </w:r>
      <w:r>
        <w:rPr>
          <w:rFonts w:hint="eastAsia" w:ascii="宋体" w:hAnsi="宋体" w:eastAsia="宋体" w:cs="宋体"/>
          <w:color w:val="auto"/>
          <w:highlight w:val="none"/>
        </w:rPr>
        <w:t>元整；（￥元）。</w:t>
      </w:r>
    </w:p>
    <w:p w14:paraId="255B7B91">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（四）供方收款账号信息：</w:t>
      </w:r>
    </w:p>
    <w:p w14:paraId="41A0282B">
      <w:pPr>
        <w:pStyle w:val="13"/>
        <w:spacing w:line="360" w:lineRule="auto"/>
        <w:ind w:left="497"/>
        <w:rPr>
          <w:rFonts w:hint="eastAsia" w:ascii="宋体" w:hAnsi="宋体" w:eastAsia="宋体" w:cs="宋体"/>
          <w:color w:val="auto"/>
          <w:sz w:val="24"/>
          <w:highlight w:val="none"/>
        </w:rPr>
      </w:pPr>
      <w:r>
        <w:rPr>
          <w:rFonts w:hint="eastAsia" w:ascii="宋体" w:hAnsi="宋体" w:eastAsia="宋体" w:cs="宋体"/>
          <w:color w:val="auto"/>
          <w:sz w:val="24"/>
          <w:highlight w:val="none"/>
        </w:rPr>
        <w:t>（五）需方在收到供方开具的付款等额增值税普通发票后按照上述付款期限付款。</w:t>
      </w:r>
    </w:p>
    <w:p w14:paraId="3831BFD4">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七、质量保证</w:t>
      </w:r>
    </w:p>
    <w:p w14:paraId="6799096C">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（一）供方应遵循严谨、准确、客观、公开、公平原则，保证检验报告准确性并对检验质量及检验结果的真实性承担法律责任。</w:t>
      </w:r>
    </w:p>
    <w:p w14:paraId="750B532A">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（二）供方保证按时、准确完成特种设备监督抽查任务；</w:t>
      </w:r>
    </w:p>
    <w:p w14:paraId="4E8277C8">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（三）供方保证所供服务没有涉及其他权力纠纷。因侵权而产生的一切后果由供方负责，需方保留索赔权利；</w:t>
      </w:r>
    </w:p>
    <w:p w14:paraId="7E3A0181">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（四）供方所提供的服务符合国家现行标准和相应的技术规范，这些标准和技术规范应为合同签订之日为止最新公布发行的标准和技术规范。</w:t>
      </w:r>
    </w:p>
    <w:p w14:paraId="1258A781">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货物、工程、服务等需符合现行的国家、行业、地区、企业质量安全标准及要求，标准不一致的，以更为严格的为准，投标服务商对提供的货物、工程、服务等的质量、安全、环保等负全权责任。</w:t>
      </w:r>
    </w:p>
    <w:p w14:paraId="6E1EBA3B">
      <w:pPr>
        <w:autoSpaceDE w:val="0"/>
        <w:autoSpaceDN w:val="0"/>
        <w:adjustRightInd w:val="0"/>
        <w:spacing w:line="30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六）供方在抽查工作中接受西安市市场监管局的监督。抽查工作须保证整体工作质量，按时完成工作计划，配合西安市市场监管局、分局实施问题特种设备复查和后期处理工作。对西安市市场监管局责令整改逾期未改的，西安市市场监管局可根据实际情况，终止服务合同，并由供方承担违约责任。</w:t>
      </w:r>
    </w:p>
    <w:p w14:paraId="2BDB5662">
      <w:pPr>
        <w:pStyle w:val="13"/>
        <w:ind w:left="49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八、服务成果</w:t>
      </w:r>
    </w:p>
    <w:p w14:paraId="188DA547">
      <w:pPr>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1.中标供应商于2025年12月10日前，完成2025年机电类特种设备生产、使用单位抽查工作。其中，抽查生产单位不少于150家，使用单位不少于400家。</w:t>
      </w:r>
    </w:p>
    <w:p w14:paraId="0D0A46B3">
      <w:pPr>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中标供应商于2025年12月15日前，向采购人提交监督抽查汇总表、分析报告、总结报告；同时提交不少于150家机电类特种设备生产单位监督抽查报告、不少于400家机电类特种设备使用单位监督抽查报告的电子版材料。提交报告及电子版材料符合采购人要求后视为合同履约完成。</w:t>
      </w:r>
    </w:p>
    <w:p w14:paraId="5E46F374">
      <w:pPr>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3.根据采购人需求，承办监督抽查工作动员部署会议、阶段小结、监督抽查完成后的总结会议以及项目验收会。</w:t>
      </w:r>
    </w:p>
    <w:p w14:paraId="62F68C58">
      <w:pPr>
        <w:ind w:firstLine="496"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根据采购人需求，帮助完成相关特种设备专项应急预案范本的修订、应急预案演练、特种设备安全宣传、特种设备安全监察人员能力提升培训等工作。监督抽查时应组织被抽查单位安全总监、安全员进行现场考试，并将考试成绩按照相关要求登记上传，帮扶指导企业落实“两个规定”。配合监管部门做好各项专项整治；协助被抽查单位完成陕西省特种设备智慧监管平台数据录入工作，完善企业库、人员库和设备库。</w:t>
      </w:r>
    </w:p>
    <w:p w14:paraId="2772F8B1">
      <w:pPr>
        <w:ind w:firstLine="496" w:firstLineChars="200"/>
        <w:rPr>
          <w:rFonts w:hint="eastAsia" w:ascii="宋体" w:hAnsi="宋体" w:eastAsia="宋体" w:cs="宋体"/>
          <w:b/>
          <w:color w:val="auto"/>
          <w:highlight w:val="none"/>
        </w:rPr>
      </w:pPr>
      <w:r>
        <w:rPr>
          <w:rFonts w:hint="eastAsia" w:ascii="宋体" w:hAnsi="宋体" w:eastAsia="宋体" w:cs="宋体"/>
          <w:bCs/>
          <w:color w:val="auto"/>
          <w:highlight w:val="none"/>
        </w:rPr>
        <w:t>5.本项目设定质量保证期，质保期为项目验收完成后5个月，主要内容为项目现场复核、报告复核、技术咨询回应等。</w:t>
      </w:r>
    </w:p>
    <w:p w14:paraId="00BB6749">
      <w:pPr>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九、考核验收：</w:t>
      </w:r>
    </w:p>
    <w:p w14:paraId="30760BD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（一）服务期满后，需方组织供方,必要时请有关专家进行考核验收，验收合格后，填写政府采购项目验收单（一式伍份）作为对服务的最终认可。</w:t>
      </w:r>
    </w:p>
    <w:p w14:paraId="3BB163BE">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（二）需方向供方提供服务过程中的所有资料,以便需方日后管理和维护。</w:t>
      </w:r>
    </w:p>
    <w:p w14:paraId="1F4C422F">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（三）验收依据 </w:t>
      </w:r>
    </w:p>
    <w:p w14:paraId="4B93D240">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1、招标文件、投标文件、澄清表（函）；</w:t>
      </w:r>
    </w:p>
    <w:p w14:paraId="00F5BE8A">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2、本合同及附件文本； </w:t>
      </w:r>
    </w:p>
    <w:p w14:paraId="6E9B6D13">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3、国家相应的标准、规范。</w:t>
      </w:r>
    </w:p>
    <w:p w14:paraId="5BB473E7">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十、保密条款</w:t>
      </w:r>
    </w:p>
    <w:p w14:paraId="34CF4FFE">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（一）未经需方同意，供方不得向第三方扩散、转让需方该项目中的所有中间抽查数据和总结报告；</w:t>
      </w:r>
    </w:p>
    <w:p w14:paraId="103C8C68">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（二）双方应妥善保管对方提供的资料，保守对方的各项秘密。未经对方许可，不得利用知悉的对方资料和总结报告为自己或第三方谋取利益。</w:t>
      </w:r>
    </w:p>
    <w:p w14:paraId="7DE3300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（三）在合同有效期内，供方在合同义务下所完成的需提交给需方的全部成果（包括知识产权）全部归需方所有。</w:t>
      </w:r>
    </w:p>
    <w:p w14:paraId="0FB7140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十一、合同争议的解决</w:t>
      </w:r>
    </w:p>
    <w:p w14:paraId="7D88181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合同执行中发生争议的，当事人双方应协商解决，协商达不成一致时，可向需方所在地人民法院提请诉讼。</w:t>
      </w:r>
    </w:p>
    <w:p w14:paraId="691162D4">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b/>
          <w:color w:val="auto"/>
          <w:highlight w:val="none"/>
        </w:rPr>
        <w:t>十二、不可抗力情况下的免责约定</w:t>
      </w:r>
    </w:p>
    <w:p w14:paraId="5B0940A5">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双方约定不可抗力情况指：双方不可预见、不可避免、不可克服的客观情况，但不包括双方的违约或疏忽。这些事件包括但不限于：战争、严重火灾、洪水、</w:t>
      </w:r>
    </w:p>
    <w:p w14:paraId="0D01EDC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台风、地震等。</w:t>
      </w:r>
    </w:p>
    <w:p w14:paraId="1E0BE474">
      <w:pPr>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十三、违约责任：</w:t>
      </w:r>
    </w:p>
    <w:p w14:paraId="494804F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（一）按照《中华人民共和国民法典》中的相关条款执行。</w:t>
      </w:r>
    </w:p>
    <w:p w14:paraId="6AF354DD">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二）未按合同要求提供服务或服务质量不能满足合同要求，需方应当将供方违约的情况以及拟采取的措施以书面形式报政府采购监管部门，根据政府采购监管部门的处理意见，需方有权依据《中华人民共和国民法典》有关条款及合同约定终止合同，并要求供方承担违约责任。同时，政府采购监管部门有权依据《中华人民共和国政府采购法》及相关法律法规对供方的违法行为进行相应的处罚。</w:t>
      </w:r>
    </w:p>
    <w:p w14:paraId="140B9A0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（三）在本合同履行过程中，双方因违约或造成对方经济、社会效益等损失的应当赔偿。</w:t>
      </w:r>
    </w:p>
    <w:p w14:paraId="1C2095D9">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（四）需方无正当理由拒绝接受服务，到期拒付服务费的，需方向供方偿付本合同总价款 5 %的违约金。由于需方为政府职能部门，双方一致同意因地方政府涉及本合同中对应的抽检产品质量监管规定或有关法律、法规及政策的变化调整、财政支付程序性问题造成的需方支付延迟的，供方予以谅解，需方不必承担违约责任。</w:t>
      </w:r>
    </w:p>
    <w:p w14:paraId="29216C1E">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（五）供方提供的服务不符合本项目相关文件和本合同规定的，需方有权拒绝，并且供方须向需方支付本合同总价款 5 %的违约金。</w:t>
      </w:r>
    </w:p>
    <w:p w14:paraId="023D7CEA">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（六）供方未能按照本合同约定时间提供服务或完成约定的项目服务内容的，从逾期之日起每日按本合同总价款 0.1 %的数额向需方支付违约金；逾期 30 日以上的，需方有权终止合同，由此造成的需方经济损失由供方承担。</w:t>
      </w:r>
    </w:p>
    <w:p w14:paraId="0BEDD176">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（七）未经需方同意，供方不得擅自将本合同服务转包第三方承担。</w:t>
      </w:r>
    </w:p>
    <w:p w14:paraId="3D89550A">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（八）双方确定，在本合同有效期内，需方指定______为需方项目联系人，供方指定______为供方项目联系人。项目联系人承担以下责任：</w:t>
      </w:r>
    </w:p>
    <w:p w14:paraId="589041CE">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1．保持联络，及时协调有关问题。 </w:t>
      </w:r>
    </w:p>
    <w:p w14:paraId="31395CF2">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2．监督合同的执行。</w:t>
      </w:r>
    </w:p>
    <w:p w14:paraId="00AF72FB">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一方变更项目联系人的，应当及时以书面形式通知另一方。未及时通知并影响本合同履行或造成损失的，应承担相应的责任。</w:t>
      </w:r>
    </w:p>
    <w:p w14:paraId="65DAAA19">
      <w:pPr>
        <w:ind w:firstLine="496"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十四、合同变更</w:t>
      </w:r>
    </w:p>
    <w:p w14:paraId="10BC73A7">
      <w:pPr>
        <w:spacing w:line="360" w:lineRule="auto"/>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28AD8232">
      <w:pPr>
        <w:spacing w:line="360" w:lineRule="auto"/>
        <w:ind w:firstLine="496"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十五、送达及生效</w:t>
      </w:r>
    </w:p>
    <w:p w14:paraId="2368784E">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t>合同所显示当事人联系方式和联系信息适用于双方往来联系、书面文件送达及争议解决时法律文书送达。因联系方式和联系信息错误而无法直接送达的自交邮后第7日视为送达。</w:t>
      </w:r>
    </w:p>
    <w:p w14:paraId="79DC0E64">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t>本政府采购合同经双方盖章且授权代表签字后生效。本合同一式陆份，需方叁份、供方贰份、鉴证方壹份。</w:t>
      </w:r>
    </w:p>
    <w:p w14:paraId="0A210C2A">
      <w:pPr>
        <w:autoSpaceDE w:val="0"/>
        <w:autoSpaceDN w:val="0"/>
        <w:adjustRightInd w:val="0"/>
        <w:spacing w:line="360" w:lineRule="auto"/>
        <w:ind w:firstLine="496" w:firstLineChars="200"/>
        <w:rPr>
          <w:rFonts w:hint="eastAsia" w:ascii="宋体" w:hAnsi="宋体" w:eastAsia="宋体" w:cs="宋体"/>
          <w:b/>
          <w:color w:val="auto"/>
          <w:highlight w:val="none"/>
        </w:rPr>
      </w:pPr>
      <w:r>
        <w:rPr>
          <w:rFonts w:hint="eastAsia" w:ascii="宋体" w:hAnsi="宋体" w:eastAsia="宋体" w:cs="宋体"/>
          <w:b/>
          <w:color w:val="auto"/>
          <w:highlight w:val="none"/>
        </w:rPr>
        <w:t>十六、其他事项</w:t>
      </w:r>
    </w:p>
    <w:p w14:paraId="30DC6839">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（一）采购文件、响应文件、澄清表（函）、成交通知书、合同附件均成为合同不可分割的部分。</w:t>
      </w:r>
    </w:p>
    <w:p w14:paraId="129718B1">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（二）未尽事宜，经双方协商一致，签订补充协议，补充协议与本合同具有同等法律效力。</w:t>
      </w:r>
    </w:p>
    <w:p w14:paraId="499B0ACD">
      <w:pPr>
        <w:spacing w:line="360" w:lineRule="auto"/>
        <w:ind w:firstLine="248" w:firstLineChars="100"/>
        <w:rPr>
          <w:rFonts w:hint="eastAsia" w:ascii="宋体" w:hAnsi="宋体" w:eastAsia="宋体" w:cs="宋体"/>
          <w:color w:val="auto"/>
          <w:highlight w:val="none"/>
        </w:rPr>
      </w:pPr>
    </w:p>
    <w:p w14:paraId="5BFA45C5">
      <w:pPr>
        <w:spacing w:line="360" w:lineRule="auto"/>
        <w:ind w:firstLine="248" w:firstLineChars="100"/>
        <w:rPr>
          <w:rFonts w:hint="eastAsia" w:ascii="宋体" w:hAnsi="宋体" w:eastAsia="宋体" w:cs="宋体"/>
          <w:color w:val="auto"/>
          <w:highlight w:val="none"/>
        </w:rPr>
      </w:pPr>
    </w:p>
    <w:p w14:paraId="2B53749A">
      <w:pPr>
        <w:spacing w:line="360" w:lineRule="auto"/>
        <w:ind w:firstLine="248" w:firstLineChars="1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本页无正文</w:t>
      </w:r>
    </w:p>
    <w:tbl>
      <w:tblPr>
        <w:tblStyle w:val="33"/>
        <w:tblW w:w="9038" w:type="dxa"/>
        <w:jc w:val="center"/>
        <w:tblLayout w:type="fixed"/>
        <w:tblCellMar>
          <w:top w:w="0" w:type="dxa"/>
          <w:left w:w="108" w:type="dxa"/>
          <w:bottom w:w="0" w:type="dxa"/>
          <w:right w:w="108" w:type="dxa"/>
        </w:tblCellMar>
      </w:tblPr>
      <w:tblGrid>
        <w:gridCol w:w="3043"/>
        <w:gridCol w:w="2978"/>
        <w:gridCol w:w="3017"/>
      </w:tblGrid>
      <w:tr w14:paraId="6536080B">
        <w:tblPrEx>
          <w:tblCellMar>
            <w:top w:w="0" w:type="dxa"/>
            <w:left w:w="108" w:type="dxa"/>
            <w:bottom w:w="0" w:type="dxa"/>
            <w:right w:w="108" w:type="dxa"/>
          </w:tblCellMar>
        </w:tblPrEx>
        <w:trPr>
          <w:trHeight w:val="739" w:hRule="atLeast"/>
          <w:jc w:val="center"/>
        </w:trPr>
        <w:tc>
          <w:tcPr>
            <w:tcW w:w="3043" w:type="dxa"/>
            <w:noWrap/>
            <w:vAlign w:val="center"/>
          </w:tcPr>
          <w:p w14:paraId="3BAD1036">
            <w:pPr>
              <w:rPr>
                <w:rFonts w:hint="eastAsia" w:ascii="宋体" w:hAnsi="宋体" w:cs="宋体"/>
                <w:color w:val="auto"/>
                <w:highlight w:val="none"/>
              </w:rPr>
            </w:pPr>
            <w:r>
              <w:rPr>
                <w:rFonts w:hint="eastAsia" w:ascii="宋体" w:hAnsi="宋体" w:cs="宋体"/>
                <w:b/>
                <w:bCs/>
                <w:color w:val="auto"/>
                <w:highlight w:val="none"/>
              </w:rPr>
              <w:t>需方：西安市市场监督管理局（盖章）</w:t>
            </w:r>
          </w:p>
        </w:tc>
        <w:tc>
          <w:tcPr>
            <w:tcW w:w="2978" w:type="dxa"/>
            <w:noWrap/>
            <w:vAlign w:val="center"/>
          </w:tcPr>
          <w:p w14:paraId="7953C067">
            <w:pPr>
              <w:rPr>
                <w:rFonts w:hint="eastAsia" w:ascii="宋体" w:hAnsi="宋体" w:cs="宋体"/>
                <w:color w:val="auto"/>
                <w:highlight w:val="none"/>
              </w:rPr>
            </w:pPr>
            <w:r>
              <w:rPr>
                <w:rFonts w:hint="eastAsia" w:ascii="宋体" w:hAnsi="宋体" w:cs="宋体"/>
                <w:b/>
                <w:bCs/>
                <w:color w:val="auto"/>
                <w:highlight w:val="none"/>
              </w:rPr>
              <w:t>供方：（盖章）</w:t>
            </w:r>
          </w:p>
        </w:tc>
        <w:tc>
          <w:tcPr>
            <w:tcW w:w="3017" w:type="dxa"/>
            <w:vMerge w:val="restart"/>
            <w:noWrap/>
          </w:tcPr>
          <w:p w14:paraId="1D0938FD">
            <w:pPr>
              <w:rPr>
                <w:rFonts w:hint="eastAsia" w:ascii="宋体" w:hAnsi="宋体" w:cs="宋体"/>
                <w:b/>
                <w:bCs/>
                <w:color w:val="auto"/>
                <w:highlight w:val="none"/>
              </w:rPr>
            </w:pPr>
            <w:r>
              <w:rPr>
                <w:rFonts w:hint="eastAsia" w:ascii="宋体" w:hAnsi="宋体" w:cs="宋体"/>
                <w:b/>
                <w:bCs/>
                <w:color w:val="auto"/>
                <w:highlight w:val="none"/>
              </w:rPr>
              <w:t>鉴证方：陕西万泽招标有限公司</w:t>
            </w:r>
          </w:p>
          <w:p w14:paraId="05DC0846">
            <w:pPr>
              <w:ind w:left="242" w:hanging="239" w:hangingChars="97"/>
              <w:rPr>
                <w:rFonts w:hint="eastAsia" w:ascii="宋体" w:hAnsi="宋体" w:cs="宋体"/>
                <w:color w:val="auto"/>
                <w:highlight w:val="none"/>
              </w:rPr>
            </w:pPr>
            <w:r>
              <w:rPr>
                <w:rFonts w:hint="eastAsia" w:ascii="宋体" w:hAnsi="宋体" w:cs="宋体"/>
                <w:b/>
                <w:bCs/>
                <w:color w:val="auto"/>
                <w:highlight w:val="none"/>
              </w:rPr>
              <w:t>（盖章）</w:t>
            </w:r>
          </w:p>
        </w:tc>
      </w:tr>
      <w:tr w14:paraId="0326B229">
        <w:tblPrEx>
          <w:tblCellMar>
            <w:top w:w="0" w:type="dxa"/>
            <w:left w:w="108" w:type="dxa"/>
            <w:bottom w:w="0" w:type="dxa"/>
            <w:right w:w="108" w:type="dxa"/>
          </w:tblCellMar>
        </w:tblPrEx>
        <w:trPr>
          <w:trHeight w:val="598" w:hRule="atLeast"/>
          <w:jc w:val="center"/>
        </w:trPr>
        <w:tc>
          <w:tcPr>
            <w:tcW w:w="3043" w:type="dxa"/>
            <w:noWrap/>
            <w:vAlign w:val="center"/>
          </w:tcPr>
          <w:p w14:paraId="64DF8B0D">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2978" w:type="dxa"/>
            <w:noWrap/>
            <w:vAlign w:val="center"/>
          </w:tcPr>
          <w:p w14:paraId="6EE651A1">
            <w:pPr>
              <w:rPr>
                <w:rFonts w:hint="eastAsia" w:ascii="宋体" w:hAnsi="宋体" w:cs="宋体"/>
                <w:color w:val="auto"/>
                <w:highlight w:val="none"/>
              </w:rPr>
            </w:pPr>
            <w:r>
              <w:rPr>
                <w:rFonts w:hint="eastAsia" w:ascii="宋体" w:hAnsi="宋体" w:cs="宋体"/>
                <w:b/>
                <w:bCs/>
                <w:color w:val="auto"/>
                <w:highlight w:val="none"/>
              </w:rPr>
              <w:t>法人或委托代理人：</w:t>
            </w:r>
          </w:p>
        </w:tc>
        <w:tc>
          <w:tcPr>
            <w:tcW w:w="3017" w:type="dxa"/>
            <w:vMerge w:val="continue"/>
            <w:noWrap/>
            <w:vAlign w:val="center"/>
          </w:tcPr>
          <w:p w14:paraId="14D67A83">
            <w:pPr>
              <w:rPr>
                <w:rFonts w:hint="eastAsia" w:ascii="宋体" w:hAnsi="宋体" w:cs="宋体"/>
                <w:color w:val="auto"/>
                <w:highlight w:val="none"/>
              </w:rPr>
            </w:pPr>
          </w:p>
        </w:tc>
      </w:tr>
      <w:tr w14:paraId="1B29857D">
        <w:tblPrEx>
          <w:tblCellMar>
            <w:top w:w="0" w:type="dxa"/>
            <w:left w:w="108" w:type="dxa"/>
            <w:bottom w:w="0" w:type="dxa"/>
            <w:right w:w="108" w:type="dxa"/>
          </w:tblCellMar>
        </w:tblPrEx>
        <w:trPr>
          <w:trHeight w:val="739" w:hRule="atLeast"/>
          <w:jc w:val="center"/>
        </w:trPr>
        <w:tc>
          <w:tcPr>
            <w:tcW w:w="3043" w:type="dxa"/>
            <w:noWrap/>
            <w:vAlign w:val="center"/>
          </w:tcPr>
          <w:p w14:paraId="7E8D75B4">
            <w:pPr>
              <w:rPr>
                <w:rFonts w:hint="eastAsia" w:ascii="宋体" w:hAnsi="宋体" w:cs="宋体"/>
                <w:color w:val="auto"/>
                <w:highlight w:val="none"/>
              </w:rPr>
            </w:pPr>
            <w:r>
              <w:rPr>
                <w:rFonts w:hint="eastAsia" w:ascii="宋体" w:hAnsi="宋体" w:cs="宋体"/>
                <w:b/>
                <w:bCs/>
                <w:color w:val="auto"/>
                <w:highlight w:val="none"/>
              </w:rPr>
              <w:t>户名：</w:t>
            </w:r>
          </w:p>
        </w:tc>
        <w:tc>
          <w:tcPr>
            <w:tcW w:w="2978" w:type="dxa"/>
            <w:noWrap/>
            <w:vAlign w:val="center"/>
          </w:tcPr>
          <w:p w14:paraId="13E97E0C">
            <w:pPr>
              <w:rPr>
                <w:rFonts w:hint="eastAsia" w:ascii="宋体" w:hAnsi="宋体" w:cs="宋体"/>
                <w:color w:val="auto"/>
                <w:highlight w:val="none"/>
              </w:rPr>
            </w:pPr>
            <w:r>
              <w:rPr>
                <w:rFonts w:hint="eastAsia" w:ascii="宋体" w:hAnsi="宋体" w:cs="宋体"/>
                <w:b/>
                <w:bCs/>
                <w:color w:val="auto"/>
                <w:highlight w:val="none"/>
              </w:rPr>
              <w:t>户名：</w:t>
            </w:r>
          </w:p>
        </w:tc>
        <w:tc>
          <w:tcPr>
            <w:tcW w:w="3017" w:type="dxa"/>
            <w:vMerge w:val="continue"/>
            <w:noWrap/>
            <w:vAlign w:val="center"/>
          </w:tcPr>
          <w:p w14:paraId="7F953BF1">
            <w:pPr>
              <w:rPr>
                <w:rFonts w:hint="eastAsia" w:ascii="宋体" w:hAnsi="宋体" w:cs="宋体"/>
                <w:color w:val="auto"/>
                <w:highlight w:val="none"/>
              </w:rPr>
            </w:pPr>
          </w:p>
        </w:tc>
      </w:tr>
      <w:tr w14:paraId="1928E4E1">
        <w:tblPrEx>
          <w:tblCellMar>
            <w:top w:w="0" w:type="dxa"/>
            <w:left w:w="108" w:type="dxa"/>
            <w:bottom w:w="0" w:type="dxa"/>
            <w:right w:w="108" w:type="dxa"/>
          </w:tblCellMar>
        </w:tblPrEx>
        <w:trPr>
          <w:trHeight w:val="739" w:hRule="atLeast"/>
          <w:jc w:val="center"/>
        </w:trPr>
        <w:tc>
          <w:tcPr>
            <w:tcW w:w="3043" w:type="dxa"/>
            <w:noWrap/>
            <w:vAlign w:val="center"/>
          </w:tcPr>
          <w:p w14:paraId="22F2C67B">
            <w:pPr>
              <w:rPr>
                <w:rFonts w:hint="eastAsia" w:ascii="宋体" w:hAnsi="宋体" w:cs="宋体"/>
                <w:color w:val="auto"/>
                <w:highlight w:val="none"/>
              </w:rPr>
            </w:pPr>
            <w:r>
              <w:rPr>
                <w:rFonts w:hint="eastAsia" w:ascii="宋体" w:hAnsi="宋体" w:cs="宋体"/>
                <w:b/>
                <w:bCs/>
                <w:color w:val="auto"/>
                <w:highlight w:val="none"/>
              </w:rPr>
              <w:t>开户行：</w:t>
            </w:r>
          </w:p>
        </w:tc>
        <w:tc>
          <w:tcPr>
            <w:tcW w:w="2978" w:type="dxa"/>
            <w:noWrap/>
            <w:vAlign w:val="center"/>
          </w:tcPr>
          <w:p w14:paraId="56B52DC1">
            <w:pPr>
              <w:rPr>
                <w:rFonts w:hint="eastAsia" w:ascii="宋体" w:hAnsi="宋体" w:cs="宋体"/>
                <w:color w:val="auto"/>
                <w:highlight w:val="none"/>
              </w:rPr>
            </w:pPr>
            <w:r>
              <w:rPr>
                <w:rFonts w:hint="eastAsia" w:ascii="宋体" w:hAnsi="宋体" w:cs="宋体"/>
                <w:b/>
                <w:bCs/>
                <w:color w:val="auto"/>
                <w:highlight w:val="none"/>
              </w:rPr>
              <w:t>开户行：</w:t>
            </w:r>
          </w:p>
        </w:tc>
        <w:tc>
          <w:tcPr>
            <w:tcW w:w="3017" w:type="dxa"/>
            <w:noWrap/>
            <w:vAlign w:val="center"/>
          </w:tcPr>
          <w:p w14:paraId="7FA9337B">
            <w:pPr>
              <w:rPr>
                <w:rFonts w:hint="eastAsia" w:ascii="宋体" w:hAnsi="宋体" w:cs="宋体"/>
                <w:color w:val="auto"/>
                <w:highlight w:val="none"/>
              </w:rPr>
            </w:pPr>
            <w:r>
              <w:rPr>
                <w:rFonts w:hint="eastAsia" w:ascii="宋体" w:hAnsi="宋体" w:cs="宋体"/>
                <w:b/>
                <w:bCs/>
                <w:color w:val="auto"/>
                <w:highlight w:val="none"/>
              </w:rPr>
              <w:t>代表签字：</w:t>
            </w:r>
          </w:p>
        </w:tc>
      </w:tr>
      <w:tr w14:paraId="3AF46956">
        <w:tblPrEx>
          <w:tblCellMar>
            <w:top w:w="0" w:type="dxa"/>
            <w:left w:w="108" w:type="dxa"/>
            <w:bottom w:w="0" w:type="dxa"/>
            <w:right w:w="108" w:type="dxa"/>
          </w:tblCellMar>
        </w:tblPrEx>
        <w:trPr>
          <w:trHeight w:val="598" w:hRule="atLeast"/>
          <w:jc w:val="center"/>
        </w:trPr>
        <w:tc>
          <w:tcPr>
            <w:tcW w:w="3043" w:type="dxa"/>
            <w:noWrap/>
            <w:vAlign w:val="center"/>
          </w:tcPr>
          <w:p w14:paraId="50E1547E">
            <w:pPr>
              <w:rPr>
                <w:rFonts w:hint="eastAsia" w:ascii="宋体" w:hAnsi="宋体" w:cs="宋体"/>
                <w:color w:val="auto"/>
                <w:highlight w:val="none"/>
              </w:rPr>
            </w:pPr>
            <w:r>
              <w:rPr>
                <w:rFonts w:hint="eastAsia" w:ascii="宋体" w:hAnsi="宋体" w:cs="宋体"/>
                <w:b/>
                <w:bCs/>
                <w:color w:val="auto"/>
                <w:highlight w:val="none"/>
              </w:rPr>
              <w:t>账号：</w:t>
            </w:r>
          </w:p>
        </w:tc>
        <w:tc>
          <w:tcPr>
            <w:tcW w:w="2978" w:type="dxa"/>
            <w:noWrap/>
            <w:vAlign w:val="center"/>
          </w:tcPr>
          <w:p w14:paraId="6F734DEC">
            <w:pPr>
              <w:rPr>
                <w:rFonts w:hint="eastAsia" w:ascii="宋体" w:hAnsi="宋体" w:cs="宋体"/>
                <w:color w:val="auto"/>
                <w:highlight w:val="none"/>
              </w:rPr>
            </w:pPr>
            <w:r>
              <w:rPr>
                <w:rFonts w:hint="eastAsia" w:ascii="宋体" w:hAnsi="宋体" w:cs="宋体"/>
                <w:b/>
                <w:bCs/>
                <w:color w:val="auto"/>
                <w:highlight w:val="none"/>
              </w:rPr>
              <w:t>账号：</w:t>
            </w:r>
          </w:p>
        </w:tc>
        <w:tc>
          <w:tcPr>
            <w:tcW w:w="3017" w:type="dxa"/>
            <w:noWrap/>
            <w:vAlign w:val="center"/>
          </w:tcPr>
          <w:p w14:paraId="35814302">
            <w:pPr>
              <w:rPr>
                <w:rFonts w:hint="eastAsia" w:ascii="宋体" w:hAnsi="宋体" w:cs="宋体"/>
                <w:color w:val="auto"/>
                <w:highlight w:val="none"/>
              </w:rPr>
            </w:pPr>
          </w:p>
        </w:tc>
      </w:tr>
      <w:tr w14:paraId="35710373">
        <w:tblPrEx>
          <w:tblCellMar>
            <w:top w:w="0" w:type="dxa"/>
            <w:left w:w="108" w:type="dxa"/>
            <w:bottom w:w="0" w:type="dxa"/>
            <w:right w:w="108" w:type="dxa"/>
          </w:tblCellMar>
        </w:tblPrEx>
        <w:trPr>
          <w:trHeight w:val="598" w:hRule="atLeast"/>
          <w:jc w:val="center"/>
        </w:trPr>
        <w:tc>
          <w:tcPr>
            <w:tcW w:w="3043" w:type="dxa"/>
            <w:noWrap/>
            <w:vAlign w:val="center"/>
          </w:tcPr>
          <w:p w14:paraId="4D79D844">
            <w:pPr>
              <w:rPr>
                <w:rFonts w:hint="eastAsia" w:ascii="宋体" w:hAnsi="宋体" w:cs="宋体"/>
                <w:color w:val="auto"/>
                <w:highlight w:val="none"/>
              </w:rPr>
            </w:pPr>
            <w:r>
              <w:rPr>
                <w:rFonts w:hint="eastAsia" w:ascii="宋体" w:hAnsi="宋体" w:cs="宋体"/>
                <w:b/>
                <w:bCs/>
                <w:color w:val="auto"/>
                <w:highlight w:val="none"/>
              </w:rPr>
              <w:t>电话：</w:t>
            </w:r>
          </w:p>
        </w:tc>
        <w:tc>
          <w:tcPr>
            <w:tcW w:w="2978" w:type="dxa"/>
            <w:noWrap/>
            <w:vAlign w:val="center"/>
          </w:tcPr>
          <w:p w14:paraId="566A823E">
            <w:pPr>
              <w:rPr>
                <w:rFonts w:hint="eastAsia" w:ascii="宋体" w:hAnsi="宋体" w:cs="宋体"/>
                <w:color w:val="auto"/>
                <w:highlight w:val="none"/>
              </w:rPr>
            </w:pPr>
            <w:r>
              <w:rPr>
                <w:rFonts w:hint="eastAsia" w:ascii="宋体" w:hAnsi="宋体" w:cs="宋体"/>
                <w:b/>
                <w:bCs/>
                <w:color w:val="auto"/>
                <w:highlight w:val="none"/>
              </w:rPr>
              <w:t xml:space="preserve">电话: </w:t>
            </w:r>
          </w:p>
        </w:tc>
        <w:tc>
          <w:tcPr>
            <w:tcW w:w="3017" w:type="dxa"/>
            <w:noWrap/>
            <w:vAlign w:val="center"/>
          </w:tcPr>
          <w:p w14:paraId="4F1360AF">
            <w:pPr>
              <w:rPr>
                <w:rFonts w:hint="eastAsia" w:ascii="宋体" w:hAnsi="宋体" w:cs="宋体"/>
                <w:color w:val="auto"/>
                <w:highlight w:val="none"/>
              </w:rPr>
            </w:pPr>
            <w:r>
              <w:rPr>
                <w:rFonts w:hint="eastAsia" w:ascii="宋体" w:hAnsi="宋体" w:cs="宋体"/>
                <w:b/>
                <w:bCs/>
                <w:color w:val="auto"/>
                <w:highlight w:val="none"/>
              </w:rPr>
              <w:t>电话029-88319689</w:t>
            </w:r>
          </w:p>
        </w:tc>
      </w:tr>
      <w:tr w14:paraId="502EB734">
        <w:tblPrEx>
          <w:tblCellMar>
            <w:top w:w="0" w:type="dxa"/>
            <w:left w:w="108" w:type="dxa"/>
            <w:bottom w:w="0" w:type="dxa"/>
            <w:right w:w="108" w:type="dxa"/>
          </w:tblCellMar>
        </w:tblPrEx>
        <w:trPr>
          <w:trHeight w:val="1109" w:hRule="atLeast"/>
          <w:jc w:val="center"/>
        </w:trPr>
        <w:tc>
          <w:tcPr>
            <w:tcW w:w="3043" w:type="dxa"/>
            <w:noWrap/>
            <w:vAlign w:val="center"/>
          </w:tcPr>
          <w:p w14:paraId="4B9E1F81">
            <w:pPr>
              <w:rPr>
                <w:rFonts w:hint="eastAsia" w:ascii="宋体" w:hAnsi="宋体" w:cs="宋体"/>
                <w:color w:val="auto"/>
                <w:highlight w:val="none"/>
              </w:rPr>
            </w:pPr>
            <w:r>
              <w:rPr>
                <w:rFonts w:hint="eastAsia" w:ascii="宋体" w:hAnsi="宋体" w:cs="宋体"/>
                <w:b/>
                <w:bCs/>
                <w:color w:val="auto"/>
                <w:highlight w:val="none"/>
              </w:rPr>
              <w:t>地址：凤城八路109号2号楼五层</w:t>
            </w:r>
          </w:p>
        </w:tc>
        <w:tc>
          <w:tcPr>
            <w:tcW w:w="2978" w:type="dxa"/>
            <w:noWrap/>
            <w:vAlign w:val="center"/>
          </w:tcPr>
          <w:p w14:paraId="0C2B71B5">
            <w:pPr>
              <w:rPr>
                <w:rFonts w:hint="eastAsia" w:ascii="宋体" w:hAnsi="宋体" w:cs="宋体"/>
                <w:color w:val="auto"/>
                <w:highlight w:val="none"/>
              </w:rPr>
            </w:pPr>
            <w:r>
              <w:rPr>
                <w:rFonts w:hint="eastAsia" w:ascii="宋体" w:hAnsi="宋体" w:cs="宋体"/>
                <w:b/>
                <w:bCs/>
                <w:color w:val="auto"/>
                <w:highlight w:val="none"/>
              </w:rPr>
              <w:t>地址：</w:t>
            </w:r>
          </w:p>
        </w:tc>
        <w:tc>
          <w:tcPr>
            <w:tcW w:w="3017" w:type="dxa"/>
            <w:noWrap/>
            <w:vAlign w:val="center"/>
          </w:tcPr>
          <w:p w14:paraId="79B5D80F">
            <w:pPr>
              <w:rPr>
                <w:rFonts w:hint="eastAsia" w:ascii="宋体" w:hAnsi="宋体" w:cs="宋体"/>
                <w:color w:val="auto"/>
                <w:highlight w:val="none"/>
              </w:rPr>
            </w:pPr>
            <w:r>
              <w:rPr>
                <w:rFonts w:hint="eastAsia" w:ascii="宋体" w:hAnsi="宋体" w:cs="宋体"/>
                <w:b/>
                <w:bCs/>
                <w:color w:val="auto"/>
                <w:highlight w:val="none"/>
              </w:rPr>
              <w:t>地址：西安市高新区唐延路旺座现代城C座25楼2504</w:t>
            </w:r>
          </w:p>
        </w:tc>
      </w:tr>
      <w:tr w14:paraId="2E43B31A">
        <w:tblPrEx>
          <w:tblCellMar>
            <w:top w:w="0" w:type="dxa"/>
            <w:left w:w="108" w:type="dxa"/>
            <w:bottom w:w="0" w:type="dxa"/>
            <w:right w:w="108" w:type="dxa"/>
          </w:tblCellMar>
        </w:tblPrEx>
        <w:trPr>
          <w:trHeight w:val="598" w:hRule="atLeast"/>
          <w:jc w:val="center"/>
        </w:trPr>
        <w:tc>
          <w:tcPr>
            <w:tcW w:w="3043" w:type="dxa"/>
            <w:noWrap/>
            <w:vAlign w:val="center"/>
          </w:tcPr>
          <w:p w14:paraId="2B371431">
            <w:pPr>
              <w:rPr>
                <w:rFonts w:hint="eastAsia" w:ascii="宋体" w:hAnsi="宋体" w:cs="宋体"/>
                <w:color w:val="auto"/>
                <w:highlight w:val="none"/>
              </w:rPr>
            </w:pPr>
            <w:r>
              <w:rPr>
                <w:rFonts w:hint="eastAsia" w:ascii="宋体" w:hAnsi="宋体" w:cs="宋体"/>
                <w:b/>
                <w:bCs/>
                <w:color w:val="auto"/>
                <w:highlight w:val="none"/>
              </w:rPr>
              <w:t>日期: 2025年月日</w:t>
            </w:r>
          </w:p>
        </w:tc>
        <w:tc>
          <w:tcPr>
            <w:tcW w:w="2978" w:type="dxa"/>
            <w:noWrap/>
            <w:vAlign w:val="center"/>
          </w:tcPr>
          <w:p w14:paraId="7B0E6E85">
            <w:pPr>
              <w:rPr>
                <w:rFonts w:hint="eastAsia" w:ascii="宋体" w:hAnsi="宋体" w:cs="宋体"/>
                <w:color w:val="auto"/>
                <w:highlight w:val="none"/>
              </w:rPr>
            </w:pPr>
            <w:r>
              <w:rPr>
                <w:rFonts w:hint="eastAsia" w:ascii="宋体" w:hAnsi="宋体" w:cs="宋体"/>
                <w:b/>
                <w:bCs/>
                <w:color w:val="auto"/>
                <w:highlight w:val="none"/>
              </w:rPr>
              <w:t>日期: 2025年月日</w:t>
            </w:r>
          </w:p>
        </w:tc>
        <w:tc>
          <w:tcPr>
            <w:tcW w:w="3017" w:type="dxa"/>
            <w:noWrap/>
            <w:vAlign w:val="center"/>
          </w:tcPr>
          <w:p w14:paraId="73B2D288">
            <w:pPr>
              <w:rPr>
                <w:rFonts w:hint="eastAsia" w:ascii="宋体" w:hAnsi="宋体" w:cs="宋体"/>
                <w:color w:val="auto"/>
                <w:highlight w:val="none"/>
              </w:rPr>
            </w:pPr>
          </w:p>
        </w:tc>
      </w:tr>
    </w:tbl>
    <w:p w14:paraId="763AC47C">
      <w:pPr>
        <w:rPr>
          <w:rFonts w:hint="eastAsia" w:ascii="宋体" w:hAnsi="宋体" w:eastAsia="宋体" w:cs="宋体"/>
          <w:color w:val="auto"/>
          <w:highlight w:val="none"/>
        </w:rPr>
      </w:pPr>
    </w:p>
    <w:p w14:paraId="4790B34C">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53B33F8">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rPr>
        <w:t>第五章  投标文件构成及格式</w:t>
      </w:r>
      <w:bookmarkEnd w:id="184"/>
      <w:bookmarkEnd w:id="185"/>
    </w:p>
    <w:p w14:paraId="1B455DE7">
      <w:pPr>
        <w:spacing w:line="560" w:lineRule="exact"/>
        <w:ind w:firstLine="656" w:firstLineChars="200"/>
        <w:jc w:val="both"/>
        <w:rPr>
          <w:rFonts w:hint="eastAsia" w:ascii="宋体" w:hAnsi="宋体" w:eastAsia="宋体" w:cs="宋体"/>
          <w:color w:val="auto"/>
          <w:sz w:val="32"/>
          <w:szCs w:val="32"/>
          <w:highlight w:val="none"/>
        </w:rPr>
      </w:pPr>
    </w:p>
    <w:p w14:paraId="4F303238">
      <w:pPr>
        <w:spacing w:line="560" w:lineRule="exact"/>
        <w:ind w:firstLine="656" w:firstLineChars="200"/>
        <w:jc w:val="both"/>
        <w:rPr>
          <w:rFonts w:hint="eastAsia" w:ascii="宋体" w:hAnsi="宋体" w:eastAsia="宋体" w:cs="宋体"/>
          <w:color w:val="auto"/>
          <w:sz w:val="32"/>
          <w:szCs w:val="32"/>
          <w:highlight w:val="none"/>
        </w:rPr>
      </w:pPr>
    </w:p>
    <w:p w14:paraId="07037D3E">
      <w:pPr>
        <w:spacing w:line="560" w:lineRule="exact"/>
        <w:jc w:val="both"/>
        <w:rPr>
          <w:rFonts w:hint="eastAsia" w:ascii="宋体" w:hAnsi="宋体" w:eastAsia="宋体" w:cs="宋体"/>
          <w:color w:val="auto"/>
          <w:sz w:val="32"/>
          <w:szCs w:val="32"/>
          <w:highlight w:val="none"/>
        </w:rPr>
      </w:pPr>
    </w:p>
    <w:p w14:paraId="2BE86068">
      <w:pPr>
        <w:snapToGrid w:val="0"/>
        <w:jc w:val="center"/>
        <w:rPr>
          <w:rFonts w:hint="eastAsia" w:asciiTheme="minorEastAsia" w:hAnsiTheme="minorEastAsia" w:cstheme="minorEastAsia"/>
          <w:b/>
          <w:bCs/>
          <w:color w:val="auto"/>
          <w:sz w:val="44"/>
          <w:szCs w:val="44"/>
          <w:highlight w:val="none"/>
        </w:rPr>
      </w:pPr>
      <w:r>
        <w:rPr>
          <w:rFonts w:hint="eastAsia" w:asciiTheme="minorEastAsia" w:hAnsiTheme="minorEastAsia" w:cstheme="minorEastAsia"/>
          <w:b/>
          <w:bCs/>
          <w:color w:val="auto"/>
          <w:sz w:val="44"/>
          <w:szCs w:val="44"/>
          <w:highlight w:val="none"/>
        </w:rPr>
        <w:t>西安市市场监督管理局</w:t>
      </w:r>
    </w:p>
    <w:p w14:paraId="0CC7480E">
      <w:pPr>
        <w:snapToGrid w:val="0"/>
        <w:jc w:val="center"/>
        <w:rPr>
          <w:rFonts w:hint="eastAsia" w:asciiTheme="minorEastAsia" w:hAnsiTheme="minorEastAsia" w:cstheme="minorEastAsia"/>
          <w:b/>
          <w:bCs/>
          <w:color w:val="auto"/>
          <w:sz w:val="44"/>
          <w:szCs w:val="44"/>
          <w:highlight w:val="none"/>
        </w:rPr>
      </w:pPr>
      <w:r>
        <w:rPr>
          <w:rFonts w:hint="eastAsia" w:asciiTheme="minorEastAsia" w:hAnsiTheme="minorEastAsia" w:cstheme="minorEastAsia"/>
          <w:b/>
          <w:bCs/>
          <w:color w:val="auto"/>
          <w:sz w:val="44"/>
          <w:szCs w:val="44"/>
          <w:highlight w:val="none"/>
        </w:rPr>
        <w:t>2025年机电类特种设备安全质量</w:t>
      </w:r>
    </w:p>
    <w:p w14:paraId="5424057F">
      <w:pPr>
        <w:snapToGrid w:val="0"/>
        <w:jc w:val="center"/>
        <w:rPr>
          <w:rFonts w:hint="eastAsia" w:asciiTheme="minorEastAsia" w:hAnsiTheme="minorEastAsia" w:cstheme="minorEastAsia"/>
          <w:b/>
          <w:bCs/>
          <w:color w:val="auto"/>
          <w:sz w:val="44"/>
          <w:szCs w:val="44"/>
          <w:highlight w:val="none"/>
        </w:rPr>
      </w:pPr>
      <w:r>
        <w:rPr>
          <w:rFonts w:hint="eastAsia" w:asciiTheme="minorEastAsia" w:hAnsiTheme="minorEastAsia" w:cstheme="minorEastAsia"/>
          <w:b/>
          <w:bCs/>
          <w:color w:val="auto"/>
          <w:sz w:val="44"/>
          <w:szCs w:val="44"/>
          <w:highlight w:val="none"/>
        </w:rPr>
        <w:t>监督抽查项目</w:t>
      </w:r>
    </w:p>
    <w:p w14:paraId="04F3ACC3">
      <w:pPr>
        <w:snapToGrid w:val="0"/>
        <w:jc w:val="center"/>
        <w:rPr>
          <w:rFonts w:hint="eastAsia" w:asciiTheme="minorEastAsia" w:hAnsiTheme="minorEastAsia" w:cstheme="minorEastAsia"/>
          <w:b/>
          <w:bCs/>
          <w:color w:val="auto"/>
          <w:sz w:val="44"/>
          <w:szCs w:val="44"/>
          <w:highlight w:val="none"/>
        </w:rPr>
      </w:pPr>
    </w:p>
    <w:p w14:paraId="13375D3B">
      <w:pPr>
        <w:snapToGrid w:val="0"/>
        <w:jc w:val="center"/>
        <w:rPr>
          <w:rFonts w:hint="eastAsia" w:asciiTheme="minorEastAsia" w:hAnsiTheme="minorEastAsia" w:cstheme="minorEastAsia"/>
          <w:b/>
          <w:bCs/>
          <w:color w:val="auto"/>
          <w:sz w:val="44"/>
          <w:szCs w:val="44"/>
          <w:highlight w:val="none"/>
        </w:rPr>
      </w:pPr>
      <w:r>
        <w:rPr>
          <w:rFonts w:hint="eastAsia" w:asciiTheme="minorEastAsia" w:hAnsiTheme="minorEastAsia" w:cstheme="minorEastAsia"/>
          <w:b/>
          <w:bCs/>
          <w:color w:val="auto"/>
          <w:sz w:val="44"/>
          <w:szCs w:val="44"/>
          <w:highlight w:val="none"/>
        </w:rPr>
        <w:t>投标文件</w:t>
      </w:r>
    </w:p>
    <w:p w14:paraId="4E00503D">
      <w:pPr>
        <w:rPr>
          <w:rFonts w:hint="eastAsia" w:ascii="宋体" w:hAnsi="宋体" w:eastAsia="宋体" w:cs="宋体"/>
          <w:color w:val="auto"/>
          <w:highlight w:val="none"/>
        </w:rPr>
      </w:pPr>
    </w:p>
    <w:p w14:paraId="7D1309A6">
      <w:pPr>
        <w:rPr>
          <w:rFonts w:hint="eastAsia" w:ascii="宋体" w:hAnsi="宋体" w:eastAsia="宋体" w:cs="宋体"/>
          <w:color w:val="auto"/>
          <w:highlight w:val="none"/>
        </w:rPr>
      </w:pPr>
    </w:p>
    <w:p w14:paraId="5E662F2C">
      <w:pPr>
        <w:jc w:val="center"/>
        <w:rPr>
          <w:rFonts w:hint="eastAsia" w:ascii="宋体" w:hAnsi="宋体" w:eastAsia="宋体" w:cs="宋体"/>
          <w:color w:val="auto"/>
          <w:highlight w:val="none"/>
        </w:rPr>
      </w:pPr>
      <w:r>
        <w:rPr>
          <w:rFonts w:hint="eastAsia" w:ascii="宋体" w:hAnsi="宋体" w:eastAsia="宋体" w:cs="宋体"/>
          <w:color w:val="auto"/>
          <w:highlight w:val="none"/>
        </w:rPr>
        <w:t>（第X包）</w:t>
      </w:r>
    </w:p>
    <w:p w14:paraId="112C8D38">
      <w:pPr>
        <w:rPr>
          <w:rFonts w:hint="eastAsia" w:ascii="宋体" w:hAnsi="宋体" w:eastAsia="宋体" w:cs="宋体"/>
          <w:color w:val="auto"/>
          <w:highlight w:val="none"/>
        </w:rPr>
      </w:pPr>
    </w:p>
    <w:p w14:paraId="753255D6">
      <w:pPr>
        <w:spacing w:line="560" w:lineRule="exact"/>
        <w:ind w:firstLine="656" w:firstLineChars="20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项目编号：SXWZ2025ZB-SGLJ-070</w:t>
      </w:r>
    </w:p>
    <w:p w14:paraId="2713F14C">
      <w:pPr>
        <w:spacing w:line="560" w:lineRule="exact"/>
        <w:ind w:firstLine="656" w:firstLineChars="200"/>
        <w:jc w:val="both"/>
        <w:rPr>
          <w:rFonts w:hint="eastAsia" w:ascii="宋体" w:hAnsi="宋体" w:eastAsia="宋体" w:cs="宋体"/>
          <w:color w:val="auto"/>
          <w:sz w:val="32"/>
          <w:szCs w:val="32"/>
          <w:highlight w:val="none"/>
        </w:rPr>
      </w:pPr>
    </w:p>
    <w:p w14:paraId="431CC282">
      <w:pPr>
        <w:spacing w:line="560" w:lineRule="exact"/>
        <w:ind w:firstLine="656" w:firstLineChars="200"/>
        <w:jc w:val="both"/>
        <w:rPr>
          <w:rFonts w:hint="eastAsia" w:ascii="宋体" w:hAnsi="宋体" w:eastAsia="宋体" w:cs="宋体"/>
          <w:color w:val="auto"/>
          <w:sz w:val="32"/>
          <w:szCs w:val="32"/>
          <w:highlight w:val="none"/>
        </w:rPr>
      </w:pPr>
    </w:p>
    <w:p w14:paraId="415EBD28">
      <w:pPr>
        <w:spacing w:line="560" w:lineRule="exact"/>
        <w:ind w:firstLine="656" w:firstLineChars="200"/>
        <w:jc w:val="both"/>
        <w:rPr>
          <w:rFonts w:hint="eastAsia" w:ascii="宋体" w:hAnsi="宋体" w:eastAsia="宋体" w:cs="宋体"/>
          <w:color w:val="auto"/>
          <w:sz w:val="32"/>
          <w:szCs w:val="32"/>
          <w:highlight w:val="none"/>
        </w:rPr>
      </w:pPr>
    </w:p>
    <w:p w14:paraId="6A8B8FC1">
      <w:pPr>
        <w:spacing w:line="560" w:lineRule="exact"/>
        <w:ind w:firstLine="656" w:firstLineChars="200"/>
        <w:jc w:val="both"/>
        <w:rPr>
          <w:rFonts w:hint="eastAsia" w:ascii="宋体" w:hAnsi="宋体" w:eastAsia="宋体" w:cs="宋体"/>
          <w:color w:val="auto"/>
          <w:sz w:val="32"/>
          <w:szCs w:val="32"/>
          <w:highlight w:val="none"/>
        </w:rPr>
      </w:pPr>
    </w:p>
    <w:p w14:paraId="0716D25B">
      <w:pPr>
        <w:spacing w:line="560" w:lineRule="exact"/>
        <w:ind w:firstLine="656" w:firstLineChars="200"/>
        <w:jc w:val="both"/>
        <w:rPr>
          <w:rFonts w:hint="eastAsia" w:ascii="宋体" w:hAnsi="宋体" w:eastAsia="宋体" w:cs="宋体"/>
          <w:color w:val="auto"/>
          <w:sz w:val="32"/>
          <w:szCs w:val="32"/>
          <w:highlight w:val="none"/>
        </w:rPr>
      </w:pPr>
    </w:p>
    <w:p w14:paraId="1190AE79">
      <w:pPr>
        <w:spacing w:line="560" w:lineRule="exact"/>
        <w:ind w:firstLine="656" w:firstLineChars="200"/>
        <w:jc w:val="both"/>
        <w:rPr>
          <w:rFonts w:hint="eastAsia" w:ascii="宋体" w:hAnsi="宋体" w:eastAsia="宋体" w:cs="宋体"/>
          <w:color w:val="auto"/>
          <w:sz w:val="32"/>
          <w:szCs w:val="32"/>
          <w:highlight w:val="none"/>
        </w:rPr>
      </w:pPr>
    </w:p>
    <w:p w14:paraId="76822162">
      <w:pPr>
        <w:spacing w:line="560" w:lineRule="exact"/>
        <w:ind w:firstLine="656" w:firstLineChars="200"/>
        <w:jc w:val="both"/>
        <w:rPr>
          <w:rFonts w:hint="eastAsia" w:ascii="宋体" w:hAnsi="宋体" w:eastAsia="宋体" w:cs="宋体"/>
          <w:color w:val="auto"/>
          <w:sz w:val="32"/>
          <w:szCs w:val="32"/>
          <w:highlight w:val="none"/>
        </w:rPr>
      </w:pPr>
    </w:p>
    <w:p w14:paraId="7947AD1A">
      <w:pPr>
        <w:spacing w:line="560" w:lineRule="exact"/>
        <w:ind w:firstLine="656" w:firstLineChars="200"/>
        <w:jc w:val="both"/>
        <w:rPr>
          <w:rFonts w:hint="eastAsia" w:ascii="宋体" w:hAnsi="宋体" w:eastAsia="宋体" w:cs="宋体"/>
          <w:color w:val="auto"/>
          <w:sz w:val="32"/>
          <w:szCs w:val="32"/>
          <w:highlight w:val="none"/>
        </w:rPr>
      </w:pPr>
    </w:p>
    <w:p w14:paraId="4DC8AC11">
      <w:pPr>
        <w:snapToGrid w:val="0"/>
        <w:spacing w:line="480" w:lineRule="auto"/>
        <w:ind w:firstLine="1152"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lang w:val="zh-CN"/>
        </w:rPr>
        <w:t>供应商（单位名称及公章）：</w:t>
      </w:r>
    </w:p>
    <w:p w14:paraId="267DD820">
      <w:pPr>
        <w:snapToGrid w:val="0"/>
        <w:spacing w:line="480" w:lineRule="auto"/>
        <w:ind w:firstLine="1152" w:firstLineChars="400"/>
        <w:jc w:val="both"/>
        <w:rPr>
          <w:color w:val="auto"/>
          <w:sz w:val="22"/>
          <w:szCs w:val="22"/>
          <w:highlight w:val="none"/>
        </w:rPr>
      </w:pPr>
      <w:r>
        <w:rPr>
          <w:rFonts w:hint="eastAsia" w:ascii="宋体" w:hAnsi="宋体" w:cs="宋体"/>
          <w:color w:val="auto"/>
          <w:sz w:val="28"/>
          <w:szCs w:val="28"/>
          <w:highlight w:val="none"/>
        </w:rPr>
        <w:t>法定代表人或被授权人（签字或盖章）：</w:t>
      </w:r>
    </w:p>
    <w:p w14:paraId="44D91632">
      <w:pPr>
        <w:snapToGrid w:val="0"/>
        <w:spacing w:line="480" w:lineRule="auto"/>
        <w:ind w:firstLine="1152"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lang w:val="zh-CN"/>
        </w:rPr>
        <w:t>：</w:t>
      </w:r>
    </w:p>
    <w:p w14:paraId="57355C72">
      <w:pPr>
        <w:spacing w:line="560" w:lineRule="exact"/>
        <w:ind w:firstLine="896" w:firstLineChars="200"/>
        <w:jc w:val="center"/>
        <w:rPr>
          <w:rFonts w:hint="eastAsia" w:ascii="宋体" w:hAnsi="宋体" w:eastAsia="宋体" w:cs="宋体"/>
          <w:color w:val="auto"/>
          <w:sz w:val="44"/>
          <w:szCs w:val="44"/>
          <w:highlight w:val="none"/>
        </w:rPr>
      </w:pPr>
    </w:p>
    <w:p w14:paraId="35286AEA">
      <w:pPr>
        <w:spacing w:line="560" w:lineRule="exact"/>
        <w:ind w:firstLine="896" w:firstLineChars="2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6A9A6341">
      <w:pPr>
        <w:spacing w:line="560" w:lineRule="exact"/>
        <w:ind w:firstLine="656" w:firstLineChars="200"/>
        <w:jc w:val="both"/>
        <w:rPr>
          <w:rFonts w:hint="eastAsia" w:ascii="宋体" w:hAnsi="宋体" w:eastAsia="宋体" w:cs="宋体"/>
          <w:color w:val="auto"/>
          <w:sz w:val="32"/>
          <w:szCs w:val="32"/>
          <w:highlight w:val="none"/>
        </w:rPr>
      </w:pPr>
    </w:p>
    <w:p w14:paraId="3FDEA30F">
      <w:pPr>
        <w:pStyle w:val="20"/>
        <w:snapToGrid w:val="0"/>
        <w:spacing w:line="480" w:lineRule="auto"/>
        <w:ind w:firstLine="576" w:firstLineChars="200"/>
        <w:rPr>
          <w:rFonts w:hint="eastAsia" w:hAnsi="宋体" w:eastAsia="宋体" w:cs="宋体"/>
          <w:b/>
          <w:bCs/>
          <w:color w:val="auto"/>
          <w:sz w:val="28"/>
          <w:szCs w:val="28"/>
          <w:highlight w:val="none"/>
        </w:rPr>
      </w:pPr>
      <w:r>
        <w:rPr>
          <w:rFonts w:hint="eastAsia" w:hAnsi="宋体" w:eastAsia="宋体" w:cs="宋体"/>
          <w:b/>
          <w:bCs/>
          <w:color w:val="auto"/>
          <w:sz w:val="28"/>
          <w:szCs w:val="28"/>
          <w:highlight w:val="none"/>
        </w:rPr>
        <w:t>第一部分   投标函</w:t>
      </w:r>
    </w:p>
    <w:p w14:paraId="5B22463F">
      <w:pPr>
        <w:snapToGrid w:val="0"/>
        <w:spacing w:line="480" w:lineRule="auto"/>
        <w:ind w:firstLine="576" w:firstLineChars="200"/>
        <w:rPr>
          <w:rFonts w:hint="eastAsia" w:hAnsi="宋体" w:eastAsia="宋体" w:cs="宋体"/>
          <w:b/>
          <w:bCs/>
          <w:color w:val="auto"/>
          <w:sz w:val="28"/>
          <w:szCs w:val="28"/>
          <w:highlight w:val="none"/>
        </w:rPr>
      </w:pPr>
      <w:r>
        <w:rPr>
          <w:rFonts w:hint="eastAsia" w:ascii="宋体" w:hAnsi="宋体" w:eastAsia="宋体" w:cs="宋体"/>
          <w:b/>
          <w:color w:val="auto"/>
          <w:sz w:val="28"/>
          <w:szCs w:val="28"/>
          <w:highlight w:val="none"/>
        </w:rPr>
        <w:t>第二</w:t>
      </w:r>
      <w:r>
        <w:rPr>
          <w:rFonts w:hint="eastAsia" w:ascii="宋体" w:hAnsi="宋体" w:eastAsia="宋体" w:cs="宋体"/>
          <w:b/>
          <w:bCs/>
          <w:color w:val="auto"/>
          <w:sz w:val="28"/>
          <w:szCs w:val="28"/>
          <w:highlight w:val="none"/>
        </w:rPr>
        <w:t>部分</w:t>
      </w:r>
      <w:r>
        <w:rPr>
          <w:rFonts w:hint="eastAsia" w:ascii="宋体" w:hAnsi="宋体" w:eastAsia="宋体" w:cs="宋体"/>
          <w:b/>
          <w:color w:val="auto"/>
          <w:sz w:val="28"/>
          <w:szCs w:val="28"/>
          <w:highlight w:val="none"/>
        </w:rPr>
        <w:t xml:space="preserve">   开标一览表 </w:t>
      </w:r>
    </w:p>
    <w:p w14:paraId="4CEDC9E2">
      <w:pPr>
        <w:pStyle w:val="20"/>
        <w:snapToGrid w:val="0"/>
        <w:spacing w:line="480" w:lineRule="auto"/>
        <w:ind w:firstLine="576" w:firstLineChars="200"/>
        <w:rPr>
          <w:rFonts w:hint="eastAsia" w:hAnsi="宋体" w:eastAsia="宋体" w:cs="宋体"/>
          <w:b/>
          <w:bCs/>
          <w:color w:val="auto"/>
          <w:sz w:val="28"/>
          <w:szCs w:val="28"/>
          <w:highlight w:val="none"/>
        </w:rPr>
      </w:pPr>
      <w:r>
        <w:rPr>
          <w:rFonts w:hint="eastAsia" w:hAnsi="宋体" w:eastAsia="宋体" w:cs="宋体"/>
          <w:b/>
          <w:bCs/>
          <w:color w:val="auto"/>
          <w:sz w:val="28"/>
          <w:szCs w:val="28"/>
          <w:highlight w:val="none"/>
        </w:rPr>
        <w:t xml:space="preserve">第三部分   </w:t>
      </w:r>
      <w:r>
        <w:rPr>
          <w:rFonts w:hint="eastAsia" w:hAnsi="宋体" w:eastAsia="宋体" w:cs="宋体"/>
          <w:b/>
          <w:color w:val="auto"/>
          <w:sz w:val="28"/>
          <w:szCs w:val="28"/>
          <w:highlight w:val="none"/>
        </w:rPr>
        <w:t>资格证明文件</w:t>
      </w:r>
    </w:p>
    <w:p w14:paraId="5966CBA0">
      <w:pPr>
        <w:pStyle w:val="20"/>
        <w:snapToGrid w:val="0"/>
        <w:spacing w:line="480" w:lineRule="auto"/>
        <w:ind w:firstLine="576" w:firstLineChars="200"/>
        <w:rPr>
          <w:rFonts w:hint="eastAsia" w:hAnsi="宋体" w:eastAsia="宋体" w:cs="宋体"/>
          <w:b/>
          <w:bCs/>
          <w:color w:val="auto"/>
          <w:sz w:val="28"/>
          <w:szCs w:val="28"/>
          <w:highlight w:val="none"/>
        </w:rPr>
      </w:pPr>
      <w:r>
        <w:rPr>
          <w:rFonts w:hint="eastAsia" w:hAnsi="宋体" w:eastAsia="宋体" w:cs="宋体"/>
          <w:b/>
          <w:color w:val="auto"/>
          <w:sz w:val="28"/>
          <w:szCs w:val="28"/>
          <w:highlight w:val="none"/>
        </w:rPr>
        <w:t>第四</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供应商概况</w:t>
      </w:r>
    </w:p>
    <w:p w14:paraId="579EA1E0">
      <w:pPr>
        <w:pStyle w:val="20"/>
        <w:snapToGrid w:val="0"/>
        <w:spacing w:line="480" w:lineRule="auto"/>
        <w:ind w:firstLine="576" w:firstLineChars="200"/>
        <w:rPr>
          <w:rFonts w:hint="eastAsia" w:hAnsi="宋体" w:eastAsia="宋体" w:cs="宋体"/>
          <w:b/>
          <w:color w:val="auto"/>
          <w:sz w:val="28"/>
          <w:szCs w:val="28"/>
          <w:highlight w:val="none"/>
        </w:rPr>
      </w:pPr>
      <w:r>
        <w:rPr>
          <w:rFonts w:hint="eastAsia" w:hAnsi="宋体" w:eastAsia="宋体" w:cs="宋体"/>
          <w:b/>
          <w:color w:val="auto"/>
          <w:sz w:val="28"/>
          <w:szCs w:val="28"/>
          <w:highlight w:val="none"/>
        </w:rPr>
        <w:t>第五</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商务和技术响应偏离表</w:t>
      </w:r>
    </w:p>
    <w:p w14:paraId="7BB4E5AA">
      <w:pPr>
        <w:pStyle w:val="20"/>
        <w:snapToGrid w:val="0"/>
        <w:spacing w:line="480" w:lineRule="auto"/>
        <w:ind w:firstLine="576" w:firstLineChars="200"/>
        <w:rPr>
          <w:rFonts w:hint="eastAsia" w:hAnsi="宋体" w:eastAsia="宋体" w:cs="宋体"/>
          <w:b/>
          <w:color w:val="auto"/>
          <w:sz w:val="28"/>
          <w:szCs w:val="28"/>
          <w:highlight w:val="none"/>
        </w:rPr>
      </w:pPr>
      <w:r>
        <w:rPr>
          <w:rFonts w:hint="eastAsia" w:hAnsi="宋体" w:eastAsia="宋体" w:cs="宋体"/>
          <w:b/>
          <w:color w:val="auto"/>
          <w:sz w:val="28"/>
          <w:szCs w:val="28"/>
          <w:highlight w:val="none"/>
        </w:rPr>
        <w:t>第六</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服务方案</w:t>
      </w:r>
    </w:p>
    <w:p w14:paraId="65DB9C0C">
      <w:pPr>
        <w:pStyle w:val="20"/>
        <w:snapToGrid w:val="0"/>
        <w:spacing w:line="480" w:lineRule="auto"/>
        <w:ind w:firstLine="576" w:firstLineChars="200"/>
        <w:rPr>
          <w:rFonts w:hint="eastAsia" w:hAnsi="宋体" w:eastAsia="宋体" w:cs="宋体"/>
          <w:b/>
          <w:color w:val="auto"/>
          <w:sz w:val="28"/>
          <w:szCs w:val="28"/>
          <w:highlight w:val="none"/>
        </w:rPr>
      </w:pPr>
      <w:r>
        <w:rPr>
          <w:rFonts w:hint="eastAsia" w:hAnsi="宋体" w:eastAsia="宋体" w:cs="宋体"/>
          <w:b/>
          <w:color w:val="auto"/>
          <w:sz w:val="28"/>
          <w:szCs w:val="28"/>
          <w:highlight w:val="none"/>
        </w:rPr>
        <w:t>第七部分   技术支持资料</w:t>
      </w:r>
    </w:p>
    <w:p w14:paraId="34FE6AC7">
      <w:pPr>
        <w:pStyle w:val="20"/>
        <w:snapToGrid w:val="0"/>
        <w:spacing w:line="480" w:lineRule="auto"/>
        <w:ind w:firstLine="576" w:firstLineChars="200"/>
        <w:rPr>
          <w:rFonts w:hint="eastAsia" w:hAnsi="宋体" w:eastAsia="宋体" w:cs="宋体"/>
          <w:b/>
          <w:color w:val="auto"/>
          <w:sz w:val="28"/>
          <w:szCs w:val="28"/>
          <w:highlight w:val="none"/>
        </w:rPr>
      </w:pPr>
      <w:r>
        <w:rPr>
          <w:rFonts w:hint="eastAsia" w:hAnsi="宋体" w:eastAsia="宋体" w:cs="宋体"/>
          <w:b/>
          <w:color w:val="auto"/>
          <w:sz w:val="28"/>
          <w:szCs w:val="28"/>
          <w:highlight w:val="none"/>
        </w:rPr>
        <w:t>第八</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供应商业绩一览表</w:t>
      </w:r>
    </w:p>
    <w:p w14:paraId="1F5315C8">
      <w:pPr>
        <w:pStyle w:val="20"/>
        <w:snapToGrid w:val="0"/>
        <w:spacing w:line="480" w:lineRule="auto"/>
        <w:ind w:firstLine="576" w:firstLineChars="200"/>
        <w:rPr>
          <w:rFonts w:hint="eastAsia" w:hAnsi="宋体" w:eastAsia="宋体" w:cs="宋体"/>
          <w:b/>
          <w:color w:val="auto"/>
          <w:sz w:val="28"/>
          <w:szCs w:val="28"/>
          <w:highlight w:val="none"/>
        </w:rPr>
      </w:pPr>
      <w:r>
        <w:rPr>
          <w:rFonts w:hint="eastAsia" w:hAnsi="宋体" w:eastAsia="宋体" w:cs="宋体"/>
          <w:b/>
          <w:color w:val="auto"/>
          <w:sz w:val="28"/>
          <w:szCs w:val="28"/>
          <w:highlight w:val="none"/>
        </w:rPr>
        <w:t>第九</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供应商认为有必要说明的其他问题</w:t>
      </w:r>
    </w:p>
    <w:p w14:paraId="417AEA2B">
      <w:pPr>
        <w:pStyle w:val="20"/>
        <w:snapToGrid w:val="0"/>
        <w:spacing w:line="480" w:lineRule="auto"/>
        <w:ind w:firstLine="576" w:firstLineChars="200"/>
        <w:rPr>
          <w:rFonts w:hint="default"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第十部分   供应商参加政府采购活动承诺书</w:t>
      </w:r>
    </w:p>
    <w:p w14:paraId="51776A0E">
      <w:pP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p w14:paraId="6D2C711A">
      <w:pPr>
        <w:pStyle w:val="3"/>
        <w:ind w:firstLine="657"/>
        <w:jc w:val="center"/>
        <w:rPr>
          <w:rFonts w:hint="eastAsia" w:ascii="宋体" w:hAnsi="宋体" w:eastAsia="宋体" w:cs="宋体"/>
          <w:color w:val="auto"/>
          <w:highlight w:val="none"/>
        </w:rPr>
      </w:pPr>
      <w:bookmarkStart w:id="186" w:name="_Toc13179"/>
      <w:r>
        <w:rPr>
          <w:rFonts w:hint="eastAsia" w:ascii="宋体" w:hAnsi="宋体" w:eastAsia="宋体" w:cs="宋体"/>
          <w:color w:val="auto"/>
          <w:highlight w:val="none"/>
        </w:rPr>
        <w:t>第一部分  投标函</w:t>
      </w:r>
      <w:bookmarkEnd w:id="186"/>
    </w:p>
    <w:p w14:paraId="5CFBE05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陕西万泽招标有限公司：</w:t>
      </w:r>
    </w:p>
    <w:p w14:paraId="45DB3B9B">
      <w:pPr>
        <w:spacing w:line="56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我单位收到项目名称为：（项目名称为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的招标文件，经详细研究，我公司决定参加本次招标活动。为此，我方郑重承诺以下诸点，并负法律责任。</w:t>
      </w:r>
    </w:p>
    <w:p w14:paraId="068A91C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1．我方已详细阅读了招标文件，完全理解并同意招标文件的所有事项及内容。</w:t>
      </w:r>
    </w:p>
    <w:p w14:paraId="0D06A14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已知悉并及时关注了贵单位在陕西省政府采购网、全国公共资源交易平台（陕西省·西安市）上发布的关于本项目的有关变更公告（包括但不限于对招标文件做出的修改或澄清、答疑纪要，以及项目暂停、重启、延期、终止等）。</w:t>
      </w:r>
    </w:p>
    <w:p w14:paraId="52653C6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3．我方同意向贵单位提供与本次招标有关的全部证明材料，并保证所提交的证明材料真实、合法、有效。</w:t>
      </w:r>
    </w:p>
    <w:p w14:paraId="10CA92E3">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4．我方理解最低价不是成交的唯一条件，并尊重评标委员会的评审结果。</w:t>
      </w:r>
    </w:p>
    <w:p w14:paraId="4671B7A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5．我方投标文件在开启之日起90个日历日（应不少于90个日历日）内有效。</w:t>
      </w:r>
    </w:p>
    <w:p w14:paraId="13A03DF1">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6．若我方成交，我方承诺：（1）将投标文件有效期延长至合同执行完毕；（2）遵照招标文件中的要求，完成本项目的合同责任和义务。</w:t>
      </w:r>
    </w:p>
    <w:p w14:paraId="05751514">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7．所有关于此次招标活动的函电，请按下列方式联系：</w:t>
      </w:r>
    </w:p>
    <w:p w14:paraId="77B66186">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供应商：（供应商全称并加盖公章）</w:t>
      </w:r>
    </w:p>
    <w:p w14:paraId="2AC859E7">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632DAF1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6AA2B35C">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p>
    <w:p w14:paraId="7EC7BE7D">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    编：</w:t>
      </w:r>
    </w:p>
    <w:p w14:paraId="4FE3BB18">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p>
    <w:p w14:paraId="6E8D60F5">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40CD7DA8">
      <w:pP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p w14:paraId="265A6A2D">
      <w:pPr>
        <w:pStyle w:val="3"/>
        <w:numPr>
          <w:ilvl w:val="0"/>
          <w:numId w:val="3"/>
        </w:numPr>
        <w:ind w:firstLine="657"/>
        <w:jc w:val="center"/>
        <w:rPr>
          <w:rFonts w:hint="eastAsia" w:ascii="宋体" w:hAnsi="宋体" w:eastAsia="宋体" w:cs="宋体"/>
          <w:color w:val="auto"/>
          <w:highlight w:val="none"/>
        </w:rPr>
      </w:pPr>
      <w:bookmarkStart w:id="187" w:name="_Toc9494"/>
      <w:r>
        <w:rPr>
          <w:rFonts w:hint="eastAsia" w:ascii="宋体" w:hAnsi="宋体" w:eastAsia="宋体" w:cs="宋体"/>
          <w:color w:val="auto"/>
          <w:highlight w:val="none"/>
        </w:rPr>
        <w:t xml:space="preserve">  开标一览表</w:t>
      </w:r>
      <w:bookmarkEnd w:id="187"/>
    </w:p>
    <w:p w14:paraId="75A81982">
      <w:pPr>
        <w:kinsoku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w:t>
      </w:r>
    </w:p>
    <w:p w14:paraId="4CE79646">
      <w:pPr>
        <w:kinsoku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                                      包号：</w:t>
      </w:r>
    </w:p>
    <w:p w14:paraId="6B7CD39E">
      <w:pPr>
        <w:kinsoku w:val="0"/>
        <w:spacing w:line="360" w:lineRule="auto"/>
        <w:rPr>
          <w:rFonts w:hint="eastAsia" w:ascii="宋体" w:hAnsi="宋体" w:eastAsia="宋体" w:cs="宋体"/>
          <w:b/>
          <w:bCs/>
          <w:color w:val="auto"/>
          <w:spacing w:val="20"/>
          <w:sz w:val="28"/>
          <w:szCs w:val="28"/>
          <w:highlight w:val="none"/>
        </w:rPr>
      </w:pPr>
      <w:r>
        <w:rPr>
          <w:rFonts w:hint="eastAsia" w:ascii="宋体" w:hAnsi="宋体" w:eastAsia="宋体" w:cs="宋体"/>
          <w:color w:val="auto"/>
          <w:sz w:val="28"/>
          <w:szCs w:val="28"/>
          <w:highlight w:val="none"/>
        </w:rPr>
        <w:t>单    位：元</w:t>
      </w:r>
    </w:p>
    <w:tbl>
      <w:tblPr>
        <w:tblStyle w:val="3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920"/>
        <w:gridCol w:w="2608"/>
        <w:gridCol w:w="2317"/>
      </w:tblGrid>
      <w:tr w14:paraId="4D5C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513" w:type="dxa"/>
            <w:tcBorders>
              <w:tl2br w:val="single" w:color="auto" w:sz="4" w:space="0"/>
            </w:tcBorders>
          </w:tcPr>
          <w:p w14:paraId="2ECF4C96">
            <w:pPr>
              <w:kinsoku w:val="0"/>
              <w:spacing w:line="480" w:lineRule="auto"/>
              <w:ind w:firstLine="992"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报价内容</w:t>
            </w:r>
          </w:p>
          <w:p w14:paraId="61B9D774">
            <w:pPr>
              <w:kinsoku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1920" w:type="dxa"/>
            <w:vAlign w:val="center"/>
          </w:tcPr>
          <w:p w14:paraId="318B697D">
            <w:pPr>
              <w:kinsoku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w:t>
            </w:r>
          </w:p>
        </w:tc>
        <w:tc>
          <w:tcPr>
            <w:tcW w:w="2608" w:type="dxa"/>
            <w:vAlign w:val="center"/>
          </w:tcPr>
          <w:p w14:paraId="4C5AACE9">
            <w:pPr>
              <w:kinsoku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2317" w:type="dxa"/>
            <w:vAlign w:val="center"/>
          </w:tcPr>
          <w:p w14:paraId="4DA851F1">
            <w:pPr>
              <w:kinsoku w:val="0"/>
              <w:spacing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r>
      <w:tr w14:paraId="3A3B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2513" w:type="dxa"/>
            <w:vAlign w:val="center"/>
          </w:tcPr>
          <w:p w14:paraId="6D251AC1">
            <w:pPr>
              <w:kinsoku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西安市市场监督管理局2025年机电类特种设备安全质量监督抽查项目（第X包）</w:t>
            </w:r>
          </w:p>
        </w:tc>
        <w:tc>
          <w:tcPr>
            <w:tcW w:w="1920" w:type="dxa"/>
            <w:vAlign w:val="center"/>
          </w:tcPr>
          <w:p w14:paraId="43805D44">
            <w:pPr>
              <w:kinsoku w:val="0"/>
              <w:spacing w:line="480" w:lineRule="auto"/>
              <w:rPr>
                <w:rFonts w:hint="eastAsia" w:ascii="宋体" w:hAnsi="宋体" w:eastAsia="宋体" w:cs="宋体"/>
                <w:color w:val="auto"/>
                <w:szCs w:val="21"/>
                <w:highlight w:val="none"/>
              </w:rPr>
            </w:pPr>
          </w:p>
        </w:tc>
        <w:tc>
          <w:tcPr>
            <w:tcW w:w="2608" w:type="dxa"/>
            <w:vAlign w:val="center"/>
          </w:tcPr>
          <w:p w14:paraId="2E86DCFC">
            <w:pPr>
              <w:kinsoku w:val="0"/>
              <w:spacing w:line="480" w:lineRule="auto"/>
              <w:ind w:firstLine="496" w:firstLineChars="200"/>
              <w:rPr>
                <w:rFonts w:hint="eastAsia" w:ascii="宋体" w:hAnsi="宋体" w:eastAsia="宋体" w:cs="宋体"/>
                <w:color w:val="auto"/>
                <w:szCs w:val="21"/>
                <w:highlight w:val="none"/>
              </w:rPr>
            </w:pPr>
          </w:p>
        </w:tc>
        <w:tc>
          <w:tcPr>
            <w:tcW w:w="2317" w:type="dxa"/>
            <w:vAlign w:val="center"/>
          </w:tcPr>
          <w:p w14:paraId="06D87CE0">
            <w:pPr>
              <w:kinsoku w:val="0"/>
              <w:spacing w:line="480" w:lineRule="auto"/>
              <w:ind w:firstLine="496" w:firstLineChars="200"/>
              <w:rPr>
                <w:rFonts w:hint="eastAsia" w:ascii="宋体" w:hAnsi="宋体" w:eastAsia="宋体" w:cs="宋体"/>
                <w:color w:val="auto"/>
                <w:szCs w:val="21"/>
                <w:highlight w:val="none"/>
              </w:rPr>
            </w:pPr>
          </w:p>
        </w:tc>
      </w:tr>
      <w:tr w14:paraId="5D8D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358" w:type="dxa"/>
            <w:gridSpan w:val="4"/>
            <w:vAlign w:val="center"/>
          </w:tcPr>
          <w:p w14:paraId="13346EDE">
            <w:pPr>
              <w:kinsoku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投标总报价：人民币</w:t>
            </w:r>
            <w:r>
              <w:rPr>
                <w:rFonts w:hint="eastAsia" w:ascii="宋体" w:hAnsi="宋体" w:eastAsia="宋体" w:cs="宋体"/>
                <w:color w:val="auto"/>
                <w:szCs w:val="21"/>
                <w:highlight w:val="none"/>
                <w:u w:val="single"/>
              </w:rPr>
              <w:t>（大写）                           （小写）￥        元</w:t>
            </w:r>
          </w:p>
        </w:tc>
      </w:tr>
      <w:tr w14:paraId="515F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358" w:type="dxa"/>
            <w:gridSpan w:val="4"/>
            <w:vAlign w:val="center"/>
          </w:tcPr>
          <w:p w14:paraId="2956CEE7">
            <w:pPr>
              <w:kinsoku w:val="0"/>
              <w:rPr>
                <w:rFonts w:hint="eastAsia" w:ascii="宋体" w:hAnsi="宋体" w:eastAsia="宋体" w:cs="宋体"/>
                <w:color w:val="auto"/>
                <w:highlight w:val="none"/>
              </w:rPr>
            </w:pPr>
            <w:r>
              <w:rPr>
                <w:rFonts w:hint="eastAsia" w:ascii="宋体" w:hAnsi="宋体" w:eastAsia="宋体" w:cs="宋体"/>
                <w:color w:val="auto"/>
                <w:highlight w:val="none"/>
              </w:rPr>
              <w:t>备注：</w:t>
            </w:r>
          </w:p>
          <w:p w14:paraId="024C3449">
            <w:pPr>
              <w:kinsoku w:val="0"/>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1、表内报价内容以元为单位，精确到小数点后两位。 </w:t>
            </w:r>
          </w:p>
          <w:p w14:paraId="407E891F">
            <w:pPr>
              <w:ind w:firstLine="496" w:firstLineChars="200"/>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服务</w:t>
            </w:r>
            <w:r>
              <w:rPr>
                <w:rFonts w:ascii="宋体" w:hAnsi="宋体" w:cs="宋体"/>
                <w:color w:val="auto"/>
                <w:highlight w:val="none"/>
              </w:rPr>
              <w:t>期</w:t>
            </w:r>
            <w:r>
              <w:rPr>
                <w:rFonts w:hint="eastAsia" w:ascii="宋体" w:hAnsi="宋体" w:cs="宋体"/>
                <w:color w:val="auto"/>
                <w:highlight w:val="none"/>
              </w:rPr>
              <w:t>限、质保期</w:t>
            </w:r>
            <w:r>
              <w:rPr>
                <w:rFonts w:ascii="宋体" w:hAnsi="宋体" w:cs="宋体"/>
                <w:color w:val="auto"/>
                <w:highlight w:val="none"/>
              </w:rPr>
              <w:t>要求详见第</w:t>
            </w:r>
            <w:r>
              <w:rPr>
                <w:rFonts w:hint="eastAsia" w:ascii="宋体" w:hAnsi="宋体" w:cs="宋体"/>
                <w:color w:val="auto"/>
                <w:highlight w:val="none"/>
              </w:rPr>
              <w:t>三章招标内容及要求中一、商务条款。</w:t>
            </w:r>
          </w:p>
        </w:tc>
      </w:tr>
    </w:tbl>
    <w:p w14:paraId="4BF5E274">
      <w:pPr>
        <w:tabs>
          <w:tab w:val="left" w:pos="4000"/>
        </w:tabs>
        <w:snapToGrid w:val="0"/>
        <w:spacing w:line="300" w:lineRule="auto"/>
        <w:rPr>
          <w:rFonts w:hint="eastAsia" w:ascii="宋体" w:hAnsi="宋体" w:eastAsia="宋体" w:cs="宋体"/>
          <w:b/>
          <w:bCs/>
          <w:color w:val="auto"/>
          <w:spacing w:val="20"/>
          <w:sz w:val="28"/>
          <w:szCs w:val="28"/>
          <w:highlight w:val="none"/>
        </w:rPr>
      </w:pPr>
    </w:p>
    <w:p w14:paraId="32FD46EC">
      <w:pPr>
        <w:adjustRightInd w:val="0"/>
        <w:snapToGrid w:val="0"/>
        <w:spacing w:line="48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供应商（单位名称及公章）：</w:t>
      </w:r>
    </w:p>
    <w:p w14:paraId="399689DA">
      <w:pPr>
        <w:adjustRightInd w:val="0"/>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法定代表人或被授权人（签字或盖章）：</w:t>
      </w:r>
    </w:p>
    <w:p w14:paraId="5F3339EC">
      <w:pPr>
        <w:adjustRightInd w:val="0"/>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期：年月日</w:t>
      </w:r>
    </w:p>
    <w:p w14:paraId="4B4208BF">
      <w:pPr>
        <w:spacing w:line="560" w:lineRule="exact"/>
        <w:ind w:firstLine="656" w:firstLineChars="200"/>
        <w:jc w:val="both"/>
        <w:rPr>
          <w:rFonts w:hint="eastAsia" w:ascii="宋体" w:hAnsi="宋体" w:eastAsia="宋体" w:cs="宋体"/>
          <w:color w:val="auto"/>
          <w:sz w:val="32"/>
          <w:szCs w:val="32"/>
          <w:highlight w:val="none"/>
        </w:rPr>
      </w:pPr>
    </w:p>
    <w:p w14:paraId="3F566473">
      <w:pPr>
        <w:spacing w:line="560" w:lineRule="exact"/>
        <w:ind w:firstLine="656" w:firstLineChars="200"/>
        <w:jc w:val="both"/>
        <w:rPr>
          <w:rFonts w:hint="eastAsia" w:ascii="宋体" w:hAnsi="宋体" w:eastAsia="宋体" w:cs="宋体"/>
          <w:color w:val="auto"/>
          <w:sz w:val="32"/>
          <w:szCs w:val="32"/>
          <w:highlight w:val="none"/>
        </w:rPr>
      </w:pPr>
    </w:p>
    <w:p w14:paraId="70585A2E">
      <w:pPr>
        <w:spacing w:line="560" w:lineRule="exact"/>
        <w:ind w:firstLine="656"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8887EB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分项报价表</w:t>
      </w:r>
    </w:p>
    <w:p w14:paraId="7771EA73">
      <w:pPr>
        <w:wordWrap w:val="0"/>
        <w:spacing w:line="360" w:lineRule="auto"/>
        <w:rPr>
          <w:rFonts w:hint="eastAsia" w:ascii="宋体" w:hAnsi="宋体" w:cs="宋体"/>
          <w:color w:val="auto"/>
          <w:highlight w:val="none"/>
        </w:rPr>
      </w:pPr>
      <w:r>
        <w:rPr>
          <w:rFonts w:hint="eastAsia" w:ascii="宋体" w:hAnsi="宋体" w:cs="宋体"/>
          <w:color w:val="auto"/>
          <w:highlight w:val="none"/>
        </w:rPr>
        <w:t>项目名称：西安市市场监督管理局2025年机电类特种设备安全质量监督抽查项目</w:t>
      </w:r>
    </w:p>
    <w:p w14:paraId="683C31EA">
      <w:pPr>
        <w:wordWrap w:val="0"/>
        <w:spacing w:line="360" w:lineRule="auto"/>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SXWZ2025ZB-SGLJ-070  </w:t>
      </w:r>
      <w:r>
        <w:rPr>
          <w:rFonts w:hint="eastAsia" w:ascii="宋体" w:hAnsi="宋体" w:cs="宋体"/>
          <w:color w:val="auto"/>
          <w:highlight w:val="none"/>
        </w:rPr>
        <w:t xml:space="preserve">                       包号：</w:t>
      </w:r>
    </w:p>
    <w:p w14:paraId="6853CCD3">
      <w:pPr>
        <w:wordWrap w:val="0"/>
        <w:spacing w:line="360" w:lineRule="auto"/>
        <w:rPr>
          <w:rFonts w:ascii="宋体" w:cs="宋体"/>
          <w:b/>
          <w:color w:val="auto"/>
          <w:sz w:val="36"/>
          <w:szCs w:val="36"/>
          <w:highlight w:val="none"/>
        </w:rPr>
      </w:pPr>
      <w:r>
        <w:rPr>
          <w:rFonts w:hint="eastAsia" w:ascii="宋体" w:hAnsi="宋体" w:cs="宋体"/>
          <w:color w:val="auto"/>
          <w:highlight w:val="none"/>
        </w:rPr>
        <w:t>共  页，第  页</w:t>
      </w:r>
    </w:p>
    <w:p w14:paraId="71E5AD4A">
      <w:pPr>
        <w:spacing w:line="560" w:lineRule="exact"/>
        <w:ind w:firstLine="496" w:firstLineChars="200"/>
        <w:rPr>
          <w:rFonts w:hint="eastAsia" w:ascii="宋体" w:hAnsi="宋体" w:eastAsia="宋体" w:cs="宋体"/>
          <w:color w:val="auto"/>
          <w:highlight w:val="none"/>
        </w:rPr>
      </w:pPr>
      <w:r>
        <w:rPr>
          <w:rFonts w:hint="eastAsia" w:ascii="宋体" w:hAnsi="宋体" w:eastAsia="宋体" w:cs="宋体"/>
          <w:color w:val="auto"/>
          <w:highlight w:val="none"/>
        </w:rPr>
        <w:t>单位：元</w:t>
      </w:r>
    </w:p>
    <w:tbl>
      <w:tblPr>
        <w:tblStyle w:val="33"/>
        <w:tblW w:w="91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76"/>
        <w:gridCol w:w="1215"/>
        <w:gridCol w:w="4602"/>
        <w:gridCol w:w="799"/>
        <w:gridCol w:w="931"/>
        <w:gridCol w:w="937"/>
      </w:tblGrid>
      <w:tr w14:paraId="16C413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45" w:hRule="atLeast"/>
          <w:jc w:val="center"/>
        </w:trPr>
        <w:tc>
          <w:tcPr>
            <w:tcW w:w="9160" w:type="dxa"/>
            <w:gridSpan w:val="6"/>
            <w:shd w:val="clear" w:color="auto" w:fill="F1F1F1" w:themeFill="background1" w:themeFillShade="F2"/>
            <w:noWrap/>
            <w:tcMar>
              <w:top w:w="20" w:type="dxa"/>
              <w:left w:w="20" w:type="dxa"/>
              <w:bottom w:w="0" w:type="dxa"/>
              <w:right w:w="20" w:type="dxa"/>
            </w:tcMar>
            <w:vAlign w:val="center"/>
          </w:tcPr>
          <w:p w14:paraId="1335ECA4">
            <w:pPr>
              <w:jc w:val="center"/>
              <w:rPr>
                <w:rFonts w:hint="eastAsia" w:ascii="宋体" w:hAnsi="宋体" w:eastAsia="宋体" w:cs="宋体"/>
                <w:color w:val="auto"/>
                <w:highlight w:val="none"/>
              </w:rPr>
            </w:pPr>
            <w:r>
              <w:rPr>
                <w:rFonts w:hint="eastAsia" w:ascii="宋体" w:hAnsi="宋体" w:eastAsia="宋体" w:cs="宋体"/>
                <w:color w:val="auto"/>
                <w:highlight w:val="none"/>
              </w:rPr>
              <w:t>费用明细</w:t>
            </w:r>
          </w:p>
        </w:tc>
      </w:tr>
      <w:tr w14:paraId="74BB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7B34250B">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15" w:type="dxa"/>
            <w:noWrap/>
            <w:tcMar>
              <w:top w:w="20" w:type="dxa"/>
              <w:left w:w="20" w:type="dxa"/>
              <w:bottom w:w="0" w:type="dxa"/>
              <w:right w:w="20" w:type="dxa"/>
            </w:tcMar>
            <w:vAlign w:val="center"/>
          </w:tcPr>
          <w:p w14:paraId="1A7E1C99">
            <w:pPr>
              <w:jc w:val="center"/>
              <w:rPr>
                <w:rFonts w:hint="eastAsia" w:ascii="宋体" w:hAnsi="宋体" w:eastAsia="宋体" w:cs="宋体"/>
                <w:color w:val="auto"/>
                <w:highlight w:val="none"/>
              </w:rPr>
            </w:pPr>
            <w:r>
              <w:rPr>
                <w:rFonts w:hint="eastAsia" w:ascii="宋体" w:hAnsi="宋体" w:eastAsia="宋体" w:cs="宋体"/>
                <w:color w:val="auto"/>
                <w:highlight w:val="none"/>
              </w:rPr>
              <w:t>费用名称</w:t>
            </w:r>
          </w:p>
        </w:tc>
        <w:tc>
          <w:tcPr>
            <w:tcW w:w="4602" w:type="dxa"/>
            <w:noWrap/>
            <w:tcMar>
              <w:top w:w="20" w:type="dxa"/>
              <w:left w:w="20" w:type="dxa"/>
              <w:bottom w:w="0" w:type="dxa"/>
              <w:right w:w="20" w:type="dxa"/>
            </w:tcMar>
            <w:vAlign w:val="center"/>
          </w:tcPr>
          <w:p w14:paraId="731BC7F6">
            <w:pPr>
              <w:jc w:val="center"/>
              <w:rPr>
                <w:rFonts w:hint="eastAsia" w:ascii="宋体" w:hAnsi="宋体" w:eastAsia="宋体" w:cs="宋体"/>
                <w:color w:val="auto"/>
                <w:highlight w:val="none"/>
              </w:rPr>
            </w:pPr>
            <w:r>
              <w:rPr>
                <w:rFonts w:hint="eastAsia" w:ascii="宋体" w:hAnsi="宋体" w:eastAsia="宋体" w:cs="宋体"/>
                <w:color w:val="auto"/>
                <w:highlight w:val="none"/>
              </w:rPr>
              <w:t>费用描述</w:t>
            </w:r>
          </w:p>
        </w:tc>
        <w:tc>
          <w:tcPr>
            <w:tcW w:w="799" w:type="dxa"/>
            <w:noWrap/>
            <w:tcMar>
              <w:top w:w="20" w:type="dxa"/>
              <w:left w:w="20" w:type="dxa"/>
              <w:bottom w:w="0" w:type="dxa"/>
              <w:right w:w="20" w:type="dxa"/>
            </w:tcMar>
            <w:vAlign w:val="center"/>
          </w:tcPr>
          <w:p w14:paraId="0BD312E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31" w:type="dxa"/>
            <w:noWrap/>
            <w:tcMar>
              <w:top w:w="20" w:type="dxa"/>
              <w:left w:w="20" w:type="dxa"/>
              <w:bottom w:w="0" w:type="dxa"/>
              <w:right w:w="20" w:type="dxa"/>
            </w:tcMar>
            <w:vAlign w:val="center"/>
          </w:tcPr>
          <w:p w14:paraId="3B89803D">
            <w:pPr>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937" w:type="dxa"/>
            <w:vAlign w:val="center"/>
          </w:tcPr>
          <w:p w14:paraId="250966D9">
            <w:pPr>
              <w:jc w:val="center"/>
              <w:rPr>
                <w:rFonts w:hint="eastAsia" w:ascii="宋体" w:hAnsi="宋体" w:eastAsia="宋体" w:cs="宋体"/>
                <w:color w:val="auto"/>
                <w:highlight w:val="none"/>
              </w:rPr>
            </w:pPr>
            <w:r>
              <w:rPr>
                <w:rFonts w:hint="eastAsia" w:ascii="宋体" w:hAnsi="宋体" w:eastAsia="宋体" w:cs="宋体"/>
                <w:color w:val="auto"/>
                <w:highlight w:val="none"/>
              </w:rPr>
              <w:t>总价</w:t>
            </w:r>
          </w:p>
        </w:tc>
      </w:tr>
      <w:tr w14:paraId="0F780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5350AAA8">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8AFE2F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EA237AD">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603ED8E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66146697">
            <w:pPr>
              <w:jc w:val="center"/>
              <w:rPr>
                <w:rFonts w:hint="eastAsia" w:ascii="宋体" w:hAnsi="宋体" w:eastAsia="宋体" w:cs="宋体"/>
                <w:color w:val="auto"/>
                <w:highlight w:val="none"/>
              </w:rPr>
            </w:pPr>
          </w:p>
        </w:tc>
        <w:tc>
          <w:tcPr>
            <w:tcW w:w="937" w:type="dxa"/>
            <w:vAlign w:val="center"/>
          </w:tcPr>
          <w:p w14:paraId="37B0AA0A">
            <w:pPr>
              <w:jc w:val="center"/>
              <w:rPr>
                <w:rFonts w:hint="eastAsia" w:ascii="宋体" w:hAnsi="宋体" w:eastAsia="宋体" w:cs="宋体"/>
                <w:color w:val="auto"/>
                <w:highlight w:val="none"/>
              </w:rPr>
            </w:pPr>
          </w:p>
        </w:tc>
      </w:tr>
      <w:tr w14:paraId="54C460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B8F5BFB">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15C86150">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4349E539">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04EB872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5AAD065C">
            <w:pPr>
              <w:jc w:val="center"/>
              <w:rPr>
                <w:rFonts w:hint="eastAsia" w:ascii="宋体" w:hAnsi="宋体" w:eastAsia="宋体" w:cs="宋体"/>
                <w:color w:val="auto"/>
                <w:highlight w:val="none"/>
              </w:rPr>
            </w:pPr>
          </w:p>
        </w:tc>
        <w:tc>
          <w:tcPr>
            <w:tcW w:w="937" w:type="dxa"/>
            <w:vAlign w:val="center"/>
          </w:tcPr>
          <w:p w14:paraId="3AD9E8CA">
            <w:pPr>
              <w:jc w:val="center"/>
              <w:rPr>
                <w:rFonts w:hint="eastAsia" w:ascii="宋体" w:hAnsi="宋体" w:eastAsia="宋体" w:cs="宋体"/>
                <w:color w:val="auto"/>
                <w:highlight w:val="none"/>
              </w:rPr>
            </w:pPr>
          </w:p>
        </w:tc>
      </w:tr>
      <w:tr w14:paraId="7C473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CB33327">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1BE0994">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02824544">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AA7F4A7">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7861984A">
            <w:pPr>
              <w:jc w:val="center"/>
              <w:rPr>
                <w:rFonts w:hint="eastAsia" w:ascii="宋体" w:hAnsi="宋体" w:eastAsia="宋体" w:cs="宋体"/>
                <w:color w:val="auto"/>
                <w:highlight w:val="none"/>
              </w:rPr>
            </w:pPr>
          </w:p>
        </w:tc>
        <w:tc>
          <w:tcPr>
            <w:tcW w:w="937" w:type="dxa"/>
            <w:vAlign w:val="center"/>
          </w:tcPr>
          <w:p w14:paraId="531C35C2">
            <w:pPr>
              <w:jc w:val="center"/>
              <w:rPr>
                <w:rFonts w:hint="eastAsia" w:ascii="宋体" w:hAnsi="宋体" w:eastAsia="宋体" w:cs="宋体"/>
                <w:color w:val="auto"/>
                <w:highlight w:val="none"/>
              </w:rPr>
            </w:pPr>
          </w:p>
        </w:tc>
      </w:tr>
      <w:tr w14:paraId="5EA15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53E6F3F9">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5E2A7C6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1EF2AF25">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F35D55D">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F473018">
            <w:pPr>
              <w:jc w:val="center"/>
              <w:rPr>
                <w:rFonts w:hint="eastAsia" w:ascii="宋体" w:hAnsi="宋体" w:eastAsia="宋体" w:cs="宋体"/>
                <w:color w:val="auto"/>
                <w:highlight w:val="none"/>
              </w:rPr>
            </w:pPr>
          </w:p>
        </w:tc>
        <w:tc>
          <w:tcPr>
            <w:tcW w:w="937" w:type="dxa"/>
            <w:vAlign w:val="center"/>
          </w:tcPr>
          <w:p w14:paraId="590CE45B">
            <w:pPr>
              <w:jc w:val="center"/>
              <w:rPr>
                <w:rFonts w:hint="eastAsia" w:ascii="宋体" w:hAnsi="宋体" w:eastAsia="宋体" w:cs="宋体"/>
                <w:color w:val="auto"/>
                <w:highlight w:val="none"/>
              </w:rPr>
            </w:pPr>
          </w:p>
        </w:tc>
      </w:tr>
      <w:tr w14:paraId="2BBA7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6E80EF86">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6371E542">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2374FF4D">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A72FD25">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08665BEC">
            <w:pPr>
              <w:jc w:val="center"/>
              <w:rPr>
                <w:rFonts w:hint="eastAsia" w:ascii="宋体" w:hAnsi="宋体" w:eastAsia="宋体" w:cs="宋体"/>
                <w:color w:val="auto"/>
                <w:highlight w:val="none"/>
              </w:rPr>
            </w:pPr>
          </w:p>
        </w:tc>
        <w:tc>
          <w:tcPr>
            <w:tcW w:w="937" w:type="dxa"/>
            <w:vAlign w:val="center"/>
          </w:tcPr>
          <w:p w14:paraId="59E11A4A">
            <w:pPr>
              <w:jc w:val="center"/>
              <w:rPr>
                <w:rFonts w:hint="eastAsia" w:ascii="宋体" w:hAnsi="宋体" w:eastAsia="宋体" w:cs="宋体"/>
                <w:color w:val="auto"/>
                <w:highlight w:val="none"/>
              </w:rPr>
            </w:pPr>
          </w:p>
        </w:tc>
      </w:tr>
      <w:tr w14:paraId="1FE8A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2AEE07E9">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8B24CA4">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3B32DEA2">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993C964">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5A1C152">
            <w:pPr>
              <w:jc w:val="center"/>
              <w:rPr>
                <w:rFonts w:hint="eastAsia" w:ascii="宋体" w:hAnsi="宋体" w:eastAsia="宋体" w:cs="宋体"/>
                <w:color w:val="auto"/>
                <w:highlight w:val="none"/>
              </w:rPr>
            </w:pPr>
          </w:p>
        </w:tc>
        <w:tc>
          <w:tcPr>
            <w:tcW w:w="937" w:type="dxa"/>
            <w:vAlign w:val="center"/>
          </w:tcPr>
          <w:p w14:paraId="49821EE9">
            <w:pPr>
              <w:jc w:val="center"/>
              <w:rPr>
                <w:rFonts w:hint="eastAsia" w:ascii="宋体" w:hAnsi="宋体" w:eastAsia="宋体" w:cs="宋体"/>
                <w:color w:val="auto"/>
                <w:highlight w:val="none"/>
              </w:rPr>
            </w:pPr>
          </w:p>
        </w:tc>
      </w:tr>
      <w:tr w14:paraId="332A5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C29057C">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CC44B81">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1914517">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1D146A29">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33396277">
            <w:pPr>
              <w:jc w:val="center"/>
              <w:rPr>
                <w:rFonts w:hint="eastAsia" w:ascii="宋体" w:hAnsi="宋体" w:eastAsia="宋体" w:cs="宋体"/>
                <w:color w:val="auto"/>
                <w:highlight w:val="none"/>
              </w:rPr>
            </w:pPr>
          </w:p>
        </w:tc>
        <w:tc>
          <w:tcPr>
            <w:tcW w:w="937" w:type="dxa"/>
            <w:vAlign w:val="center"/>
          </w:tcPr>
          <w:p w14:paraId="3B833238">
            <w:pPr>
              <w:jc w:val="center"/>
              <w:rPr>
                <w:rFonts w:hint="eastAsia" w:ascii="宋体" w:hAnsi="宋体" w:eastAsia="宋体" w:cs="宋体"/>
                <w:color w:val="auto"/>
                <w:highlight w:val="none"/>
              </w:rPr>
            </w:pPr>
          </w:p>
        </w:tc>
      </w:tr>
      <w:tr w14:paraId="1304CB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79650D5A">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4BE2B1C">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7E889CEC">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9F8FC13">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3FEB45EF">
            <w:pPr>
              <w:jc w:val="center"/>
              <w:rPr>
                <w:rFonts w:hint="eastAsia" w:ascii="宋体" w:hAnsi="宋体" w:eastAsia="宋体" w:cs="宋体"/>
                <w:color w:val="auto"/>
                <w:highlight w:val="none"/>
              </w:rPr>
            </w:pPr>
          </w:p>
        </w:tc>
        <w:tc>
          <w:tcPr>
            <w:tcW w:w="937" w:type="dxa"/>
            <w:vAlign w:val="center"/>
          </w:tcPr>
          <w:p w14:paraId="3FE6C448">
            <w:pPr>
              <w:jc w:val="center"/>
              <w:rPr>
                <w:rFonts w:hint="eastAsia" w:ascii="宋体" w:hAnsi="宋体" w:eastAsia="宋体" w:cs="宋体"/>
                <w:color w:val="auto"/>
                <w:highlight w:val="none"/>
              </w:rPr>
            </w:pPr>
          </w:p>
        </w:tc>
      </w:tr>
      <w:tr w14:paraId="18EC1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A01F8C7">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78B1BD3C">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55B5A9EC">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354497C7">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37F8D5A">
            <w:pPr>
              <w:jc w:val="center"/>
              <w:rPr>
                <w:rFonts w:hint="eastAsia" w:ascii="宋体" w:hAnsi="宋体" w:eastAsia="宋体" w:cs="宋体"/>
                <w:color w:val="auto"/>
                <w:highlight w:val="none"/>
              </w:rPr>
            </w:pPr>
          </w:p>
        </w:tc>
        <w:tc>
          <w:tcPr>
            <w:tcW w:w="937" w:type="dxa"/>
            <w:vAlign w:val="center"/>
          </w:tcPr>
          <w:p w14:paraId="6F5E8A49">
            <w:pPr>
              <w:jc w:val="center"/>
              <w:rPr>
                <w:rFonts w:hint="eastAsia" w:ascii="宋体" w:hAnsi="宋体" w:eastAsia="宋体" w:cs="宋体"/>
                <w:color w:val="auto"/>
                <w:highlight w:val="none"/>
              </w:rPr>
            </w:pPr>
          </w:p>
        </w:tc>
      </w:tr>
      <w:tr w14:paraId="15DBA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34017018">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6362315">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55ECB8B7">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75772762">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772ED1CF">
            <w:pPr>
              <w:jc w:val="center"/>
              <w:rPr>
                <w:rFonts w:hint="eastAsia" w:ascii="宋体" w:hAnsi="宋体" w:eastAsia="宋体" w:cs="宋体"/>
                <w:color w:val="auto"/>
                <w:highlight w:val="none"/>
              </w:rPr>
            </w:pPr>
          </w:p>
        </w:tc>
        <w:tc>
          <w:tcPr>
            <w:tcW w:w="937" w:type="dxa"/>
            <w:vAlign w:val="center"/>
          </w:tcPr>
          <w:p w14:paraId="5A33F21A">
            <w:pPr>
              <w:jc w:val="center"/>
              <w:rPr>
                <w:rFonts w:hint="eastAsia" w:ascii="宋体" w:hAnsi="宋体" w:eastAsia="宋体" w:cs="宋体"/>
                <w:color w:val="auto"/>
                <w:highlight w:val="none"/>
              </w:rPr>
            </w:pPr>
          </w:p>
        </w:tc>
      </w:tr>
      <w:tr w14:paraId="25A83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2756230E">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2E8B98B1">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3C6D9884">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5380CE1A">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0F6FA699">
            <w:pPr>
              <w:jc w:val="center"/>
              <w:rPr>
                <w:rFonts w:hint="eastAsia" w:ascii="宋体" w:hAnsi="宋体" w:eastAsia="宋体" w:cs="宋体"/>
                <w:color w:val="auto"/>
                <w:highlight w:val="none"/>
              </w:rPr>
            </w:pPr>
          </w:p>
        </w:tc>
        <w:tc>
          <w:tcPr>
            <w:tcW w:w="937" w:type="dxa"/>
            <w:vAlign w:val="center"/>
          </w:tcPr>
          <w:p w14:paraId="4956E551">
            <w:pPr>
              <w:jc w:val="center"/>
              <w:rPr>
                <w:rFonts w:hint="eastAsia" w:ascii="宋体" w:hAnsi="宋体" w:eastAsia="宋体" w:cs="宋体"/>
                <w:color w:val="auto"/>
                <w:highlight w:val="none"/>
              </w:rPr>
            </w:pPr>
          </w:p>
        </w:tc>
      </w:tr>
      <w:tr w14:paraId="75761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41038CDD">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403FE489">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6E2F24F9">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1AA500E">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1DCDFCA2">
            <w:pPr>
              <w:jc w:val="center"/>
              <w:rPr>
                <w:rFonts w:hint="eastAsia" w:ascii="宋体" w:hAnsi="宋体" w:eastAsia="宋体" w:cs="宋体"/>
                <w:color w:val="auto"/>
                <w:highlight w:val="none"/>
              </w:rPr>
            </w:pPr>
          </w:p>
        </w:tc>
        <w:tc>
          <w:tcPr>
            <w:tcW w:w="937" w:type="dxa"/>
            <w:vAlign w:val="center"/>
          </w:tcPr>
          <w:p w14:paraId="02619AA3">
            <w:pPr>
              <w:jc w:val="center"/>
              <w:rPr>
                <w:rFonts w:hint="eastAsia" w:ascii="宋体" w:hAnsi="宋体" w:eastAsia="宋体" w:cs="宋体"/>
                <w:color w:val="auto"/>
                <w:highlight w:val="none"/>
              </w:rPr>
            </w:pPr>
          </w:p>
        </w:tc>
      </w:tr>
      <w:tr w14:paraId="7B4AE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4DC92133">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380B7945">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2B381A71">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25B3ABE">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20E94EC3">
            <w:pPr>
              <w:jc w:val="center"/>
              <w:rPr>
                <w:rFonts w:hint="eastAsia" w:ascii="宋体" w:hAnsi="宋体" w:eastAsia="宋体" w:cs="宋体"/>
                <w:color w:val="auto"/>
                <w:highlight w:val="none"/>
              </w:rPr>
            </w:pPr>
          </w:p>
        </w:tc>
        <w:tc>
          <w:tcPr>
            <w:tcW w:w="937" w:type="dxa"/>
            <w:vAlign w:val="center"/>
          </w:tcPr>
          <w:p w14:paraId="317F4A1C">
            <w:pPr>
              <w:jc w:val="center"/>
              <w:rPr>
                <w:rFonts w:hint="eastAsia" w:ascii="宋体" w:hAnsi="宋体" w:eastAsia="宋体" w:cs="宋体"/>
                <w:color w:val="auto"/>
                <w:highlight w:val="none"/>
              </w:rPr>
            </w:pPr>
          </w:p>
        </w:tc>
      </w:tr>
      <w:tr w14:paraId="51A17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76" w:type="dxa"/>
            <w:noWrap/>
            <w:tcMar>
              <w:top w:w="20" w:type="dxa"/>
              <w:left w:w="20" w:type="dxa"/>
              <w:bottom w:w="0" w:type="dxa"/>
              <w:right w:w="20" w:type="dxa"/>
            </w:tcMar>
            <w:vAlign w:val="center"/>
          </w:tcPr>
          <w:p w14:paraId="02BF701B">
            <w:pPr>
              <w:jc w:val="center"/>
              <w:rPr>
                <w:rFonts w:hint="eastAsia" w:ascii="宋体" w:hAnsi="宋体" w:eastAsia="宋体" w:cs="宋体"/>
                <w:color w:val="auto"/>
                <w:highlight w:val="none"/>
              </w:rPr>
            </w:pPr>
          </w:p>
        </w:tc>
        <w:tc>
          <w:tcPr>
            <w:tcW w:w="1215" w:type="dxa"/>
            <w:noWrap/>
            <w:tcMar>
              <w:top w:w="20" w:type="dxa"/>
              <w:left w:w="20" w:type="dxa"/>
              <w:bottom w:w="0" w:type="dxa"/>
              <w:right w:w="20" w:type="dxa"/>
            </w:tcMar>
            <w:vAlign w:val="center"/>
          </w:tcPr>
          <w:p w14:paraId="053C6459">
            <w:pPr>
              <w:jc w:val="center"/>
              <w:rPr>
                <w:rFonts w:hint="eastAsia" w:ascii="宋体" w:hAnsi="宋体" w:eastAsia="宋体" w:cs="宋体"/>
                <w:color w:val="auto"/>
                <w:highlight w:val="none"/>
              </w:rPr>
            </w:pPr>
          </w:p>
        </w:tc>
        <w:tc>
          <w:tcPr>
            <w:tcW w:w="4602" w:type="dxa"/>
            <w:noWrap/>
            <w:tcMar>
              <w:top w:w="20" w:type="dxa"/>
              <w:left w:w="20" w:type="dxa"/>
              <w:bottom w:w="0" w:type="dxa"/>
              <w:right w:w="20" w:type="dxa"/>
            </w:tcMar>
            <w:vAlign w:val="center"/>
          </w:tcPr>
          <w:p w14:paraId="78E26812">
            <w:pPr>
              <w:jc w:val="center"/>
              <w:rPr>
                <w:rFonts w:hint="eastAsia" w:ascii="宋体" w:hAnsi="宋体" w:eastAsia="宋体" w:cs="宋体"/>
                <w:color w:val="auto"/>
                <w:highlight w:val="none"/>
              </w:rPr>
            </w:pPr>
          </w:p>
        </w:tc>
        <w:tc>
          <w:tcPr>
            <w:tcW w:w="799" w:type="dxa"/>
            <w:noWrap/>
            <w:tcMar>
              <w:top w:w="20" w:type="dxa"/>
              <w:left w:w="20" w:type="dxa"/>
              <w:bottom w:w="0" w:type="dxa"/>
              <w:right w:w="20" w:type="dxa"/>
            </w:tcMar>
            <w:vAlign w:val="center"/>
          </w:tcPr>
          <w:p w14:paraId="20BF8526">
            <w:pPr>
              <w:jc w:val="center"/>
              <w:rPr>
                <w:rFonts w:hint="eastAsia" w:ascii="宋体" w:hAnsi="宋体" w:eastAsia="宋体" w:cs="宋体"/>
                <w:color w:val="auto"/>
                <w:highlight w:val="none"/>
              </w:rPr>
            </w:pPr>
          </w:p>
        </w:tc>
        <w:tc>
          <w:tcPr>
            <w:tcW w:w="931" w:type="dxa"/>
            <w:noWrap/>
            <w:tcMar>
              <w:top w:w="20" w:type="dxa"/>
              <w:left w:w="20" w:type="dxa"/>
              <w:bottom w:w="0" w:type="dxa"/>
              <w:right w:w="20" w:type="dxa"/>
            </w:tcMar>
            <w:vAlign w:val="center"/>
          </w:tcPr>
          <w:p w14:paraId="6E63CEDB">
            <w:pPr>
              <w:jc w:val="center"/>
              <w:rPr>
                <w:rFonts w:hint="eastAsia" w:ascii="宋体" w:hAnsi="宋体" w:eastAsia="宋体" w:cs="宋体"/>
                <w:color w:val="auto"/>
                <w:highlight w:val="none"/>
              </w:rPr>
            </w:pPr>
          </w:p>
        </w:tc>
        <w:tc>
          <w:tcPr>
            <w:tcW w:w="937" w:type="dxa"/>
            <w:vAlign w:val="center"/>
          </w:tcPr>
          <w:p w14:paraId="06038F6A">
            <w:pPr>
              <w:jc w:val="center"/>
              <w:rPr>
                <w:rFonts w:hint="eastAsia" w:ascii="宋体" w:hAnsi="宋体" w:eastAsia="宋体" w:cs="宋体"/>
                <w:color w:val="auto"/>
                <w:highlight w:val="none"/>
              </w:rPr>
            </w:pPr>
          </w:p>
        </w:tc>
      </w:tr>
      <w:tr w14:paraId="4016E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6" w:hRule="atLeast"/>
          <w:jc w:val="center"/>
        </w:trPr>
        <w:tc>
          <w:tcPr>
            <w:tcW w:w="8223" w:type="dxa"/>
            <w:gridSpan w:val="5"/>
            <w:noWrap/>
            <w:tcMar>
              <w:top w:w="20" w:type="dxa"/>
              <w:left w:w="20" w:type="dxa"/>
              <w:bottom w:w="0" w:type="dxa"/>
              <w:right w:w="20" w:type="dxa"/>
            </w:tcMar>
            <w:vAlign w:val="center"/>
          </w:tcPr>
          <w:p w14:paraId="3BAC8D41">
            <w:pPr>
              <w:jc w:val="center"/>
              <w:rPr>
                <w:rFonts w:hint="eastAsia" w:ascii="宋体" w:hAnsi="宋体" w:eastAsia="宋体" w:cs="宋体"/>
                <w:color w:val="auto"/>
                <w:highlight w:val="none"/>
              </w:rPr>
            </w:pPr>
            <w:r>
              <w:rPr>
                <w:rFonts w:hint="eastAsia" w:ascii="宋体" w:hAnsi="宋体" w:eastAsia="宋体" w:cs="宋体"/>
                <w:color w:val="auto"/>
                <w:highlight w:val="none"/>
              </w:rPr>
              <w:t>总计</w:t>
            </w:r>
          </w:p>
        </w:tc>
        <w:tc>
          <w:tcPr>
            <w:tcW w:w="937" w:type="dxa"/>
            <w:vAlign w:val="center"/>
          </w:tcPr>
          <w:p w14:paraId="65B3DC4A">
            <w:pPr>
              <w:jc w:val="center"/>
              <w:rPr>
                <w:rFonts w:hint="eastAsia" w:ascii="宋体" w:hAnsi="宋体" w:eastAsia="宋体" w:cs="宋体"/>
                <w:color w:val="auto"/>
                <w:highlight w:val="none"/>
              </w:rPr>
            </w:pPr>
          </w:p>
        </w:tc>
      </w:tr>
    </w:tbl>
    <w:p w14:paraId="4AEA36AD">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说明：1.此表由供应商按项目情况自行列支，仅作参考。</w:t>
      </w:r>
    </w:p>
    <w:p w14:paraId="16406DE8">
      <w:pPr>
        <w:adjustRightInd w:val="0"/>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2.表格空间不足时，可自行扩展。</w:t>
      </w:r>
    </w:p>
    <w:p w14:paraId="40C515B4">
      <w:pPr>
        <w:adjustRightInd w:val="0"/>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供应商（供应商名称及公章）：</w:t>
      </w:r>
    </w:p>
    <w:p w14:paraId="63DE6B9C">
      <w:pPr>
        <w:adjustRightInd w:val="0"/>
        <w:snapToGri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法定代表人或被授权人（签字或盖章）：</w:t>
      </w:r>
    </w:p>
    <w:p w14:paraId="66D33BFA">
      <w:pPr>
        <w:adjustRightInd w:val="0"/>
        <w:snapToGrid w:val="0"/>
        <w:spacing w:line="480" w:lineRule="auto"/>
        <w:rPr>
          <w:rFonts w:hint="eastAsia" w:ascii="宋体" w:hAnsi="宋体"/>
          <w:color w:val="auto"/>
          <w:highlight w:val="none"/>
        </w:rPr>
      </w:pPr>
      <w:r>
        <w:rPr>
          <w:rFonts w:hint="eastAsia" w:ascii="宋体" w:hAnsi="宋体" w:eastAsia="宋体" w:cs="宋体"/>
          <w:color w:val="auto"/>
          <w:sz w:val="28"/>
          <w:szCs w:val="28"/>
          <w:highlight w:val="none"/>
        </w:rPr>
        <w:t>日      期：</w:t>
      </w:r>
    </w:p>
    <w:p w14:paraId="50B0CCC5">
      <w:pPr>
        <w:adjustRightInd w:val="0"/>
        <w:snapToGrid w:val="0"/>
        <w:spacing w:line="480" w:lineRule="auto"/>
        <w:rPr>
          <w:color w:val="auto"/>
          <w:sz w:val="36"/>
          <w:szCs w:val="36"/>
          <w:highlight w:val="none"/>
        </w:rPr>
        <w:sectPr>
          <w:headerReference r:id="rId4" w:type="first"/>
          <w:footerReference r:id="rId6" w:type="first"/>
          <w:footerReference r:id="rId5" w:type="default"/>
          <w:pgSz w:w="11906" w:h="16838"/>
          <w:pgMar w:top="1440" w:right="1423" w:bottom="1440" w:left="1480" w:header="850" w:footer="992" w:gutter="0"/>
          <w:pgNumType w:start="1"/>
          <w:cols w:space="0" w:num="1"/>
          <w:titlePg/>
          <w:docGrid w:type="linesAndChars" w:linePitch="395" w:charSpace="1724"/>
        </w:sectPr>
      </w:pPr>
    </w:p>
    <w:p w14:paraId="29AC9170">
      <w:pPr>
        <w:pStyle w:val="3"/>
        <w:ind w:firstLine="657"/>
        <w:jc w:val="center"/>
        <w:rPr>
          <w:rFonts w:hint="eastAsia" w:ascii="宋体" w:hAnsi="宋体" w:eastAsia="宋体" w:cs="宋体"/>
          <w:color w:val="auto"/>
          <w:highlight w:val="none"/>
        </w:rPr>
      </w:pPr>
      <w:bookmarkStart w:id="188" w:name="_Toc32367"/>
      <w:r>
        <w:rPr>
          <w:rFonts w:hint="eastAsia" w:ascii="宋体" w:hAnsi="宋体" w:eastAsia="宋体" w:cs="宋体"/>
          <w:color w:val="auto"/>
          <w:highlight w:val="none"/>
        </w:rPr>
        <w:t>第三部分  资格证明文件</w:t>
      </w:r>
      <w:bookmarkEnd w:id="188"/>
    </w:p>
    <w:p w14:paraId="5C54306E">
      <w:pPr>
        <w:spacing w:line="560" w:lineRule="exact"/>
        <w:ind w:firstLine="576"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按照招标文件第一章《投标邀请函》所列“供应商资格要求”提供各项资格证明文件，未按要求提供的，其投标文件将被视为无效文件。</w:t>
      </w:r>
    </w:p>
    <w:p w14:paraId="24D2D563">
      <w:pP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14:paraId="4751003F">
      <w:pPr>
        <w:pStyle w:val="11"/>
        <w:ind w:firstLine="0"/>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附：资质证明文件格式：</w:t>
      </w:r>
    </w:p>
    <w:p w14:paraId="09833D18">
      <w:pPr>
        <w:rPr>
          <w:rFonts w:hint="eastAsia" w:ascii="宋体" w:hAnsi="宋体" w:eastAsia="宋体" w:cs="宋体"/>
          <w:color w:val="auto"/>
          <w:highlight w:val="none"/>
        </w:rPr>
      </w:pPr>
      <w:r>
        <w:rPr>
          <w:rFonts w:hint="eastAsia" w:ascii="宋体" w:hAnsi="宋体" w:eastAsia="宋体" w:cs="宋体"/>
          <w:color w:val="auto"/>
          <w:highlight w:val="none"/>
        </w:rPr>
        <w:t>1、供应商符合《中华人民共和国政府采购法》第二十二条规定条件的承诺函</w:t>
      </w:r>
    </w:p>
    <w:p w14:paraId="0ACB6AC8">
      <w:pPr>
        <w:pStyle w:val="13"/>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致陕西万泽招标有限公司：</w:t>
      </w:r>
    </w:p>
    <w:p w14:paraId="38CC42D0">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u w:val="single"/>
        </w:rPr>
        <w:t>（公司名称）</w:t>
      </w:r>
      <w:r>
        <w:rPr>
          <w:rFonts w:hint="eastAsia" w:ascii="宋体" w:hAnsi="宋体" w:eastAsia="宋体" w:cs="宋体"/>
          <w:color w:val="auto"/>
          <w:sz w:val="24"/>
          <w:highlight w:val="none"/>
        </w:rPr>
        <w:t>参加的投标活动，现承诺：</w:t>
      </w:r>
    </w:p>
    <w:p w14:paraId="0F2BFC55">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我公司满足政府采购法第二十二条关于供应商的规定：</w:t>
      </w:r>
    </w:p>
    <w:p w14:paraId="257C0965">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22812A3B">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503DD84C">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6F9FC4A8">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（四）有依法缴纳税收的良好记录；</w:t>
      </w:r>
    </w:p>
    <w:p w14:paraId="5F485432">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74D2E30B">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595D17E1">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同时也满足本项目法律法规规章规定关于供应商的其他资格性条件，未参与本采购项目前期咨询论证，不属于禁止参加投标的供应商。</w:t>
      </w:r>
    </w:p>
    <w:p w14:paraId="6369E861">
      <w:pPr>
        <w:pStyle w:val="13"/>
        <w:spacing w:line="360" w:lineRule="auto"/>
        <w:ind w:left="0" w:leftChars="0" w:firstLine="558"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7104C2AD">
      <w:pPr>
        <w:pStyle w:val="13"/>
        <w:spacing w:line="360" w:lineRule="auto"/>
        <w:ind w:left="0" w:leftChars="0"/>
        <w:rPr>
          <w:rFonts w:hint="eastAsia" w:ascii="宋体" w:hAnsi="宋体" w:eastAsia="宋体" w:cs="宋体"/>
          <w:color w:val="auto"/>
          <w:sz w:val="24"/>
          <w:highlight w:val="none"/>
        </w:rPr>
      </w:pPr>
    </w:p>
    <w:p w14:paraId="5EAD673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（名称及盖章）</w:t>
      </w:r>
    </w:p>
    <w:p w14:paraId="3D5CEF36">
      <w:pPr>
        <w:spacing w:line="360" w:lineRule="auto"/>
        <w:rPr>
          <w:rFonts w:hint="eastAsia" w:ascii="宋体" w:hAnsi="宋体" w:eastAsia="宋体" w:cs="宋体"/>
          <w:color w:val="auto"/>
          <w:highlight w:val="none"/>
        </w:rPr>
      </w:pPr>
    </w:p>
    <w:p w14:paraId="3151C2B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法定代表人或委托代理人（签字或盖章）：</w:t>
      </w:r>
    </w:p>
    <w:p w14:paraId="28A87127">
      <w:pPr>
        <w:spacing w:line="360" w:lineRule="auto"/>
        <w:rPr>
          <w:rFonts w:hint="eastAsia" w:ascii="宋体" w:hAnsi="宋体" w:eastAsia="宋体" w:cs="宋体"/>
          <w:color w:val="auto"/>
          <w:highlight w:val="none"/>
        </w:rPr>
      </w:pPr>
    </w:p>
    <w:p w14:paraId="6109AA40">
      <w:pPr>
        <w:rPr>
          <w:rFonts w:hint="eastAsia" w:ascii="宋体" w:hAnsi="宋体" w:eastAsia="宋体" w:cs="宋体"/>
          <w:color w:val="auto"/>
          <w:sz w:val="28"/>
          <w:szCs w:val="28"/>
          <w:highlight w:val="none"/>
        </w:rPr>
      </w:pPr>
      <w:r>
        <w:rPr>
          <w:rFonts w:hint="eastAsia" w:ascii="宋体" w:hAnsi="宋体" w:eastAsia="宋体" w:cs="宋体"/>
          <w:color w:val="auto"/>
          <w:highlight w:val="none"/>
        </w:rPr>
        <w:t>日期：</w:t>
      </w:r>
      <w:r>
        <w:rPr>
          <w:rFonts w:hint="eastAsia" w:ascii="宋体" w:hAnsi="宋体" w:eastAsia="宋体" w:cs="宋体"/>
          <w:color w:val="auto"/>
          <w:sz w:val="28"/>
          <w:szCs w:val="28"/>
          <w:highlight w:val="none"/>
        </w:rPr>
        <w:br w:type="page"/>
      </w:r>
    </w:p>
    <w:p w14:paraId="4AD54539">
      <w:pPr>
        <w:pStyle w:val="16"/>
        <w:rPr>
          <w:color w:val="auto"/>
          <w:highlight w:val="none"/>
        </w:rPr>
      </w:pPr>
    </w:p>
    <w:p w14:paraId="72CD6BBA">
      <w:pPr>
        <w:pStyle w:val="101"/>
        <w:spacing w:before="197" w:after="197"/>
        <w:ind w:firstLine="579"/>
        <w:outlineLvl w:val="9"/>
        <w:rPr>
          <w:rFonts w:hint="eastAsia" w:ascii="宋体" w:hAnsi="宋体" w:eastAsia="宋体" w:cs="宋体"/>
          <w:color w:val="auto"/>
          <w:sz w:val="28"/>
          <w:szCs w:val="28"/>
          <w:highlight w:val="none"/>
        </w:rPr>
      </w:pPr>
      <w:bookmarkStart w:id="189" w:name="_Toc7442"/>
      <w:bookmarkStart w:id="190" w:name="_Toc4250"/>
      <w:bookmarkStart w:id="191" w:name="_Toc22297"/>
      <w:r>
        <w:rPr>
          <w:rFonts w:hint="eastAsia" w:ascii="宋体" w:hAnsi="宋体" w:eastAsia="宋体" w:cs="宋体"/>
          <w:color w:val="auto"/>
          <w:sz w:val="28"/>
          <w:szCs w:val="28"/>
          <w:highlight w:val="none"/>
        </w:rPr>
        <w:t>（一）</w:t>
      </w:r>
      <w:bookmarkEnd w:id="189"/>
      <w:bookmarkEnd w:id="190"/>
      <w:bookmarkEnd w:id="191"/>
      <w:r>
        <w:rPr>
          <w:rFonts w:hint="eastAsia" w:ascii="宋体" w:hAnsi="宋体" w:eastAsia="宋体" w:cs="宋体"/>
          <w:color w:val="auto"/>
          <w:sz w:val="28"/>
          <w:szCs w:val="28"/>
          <w:highlight w:val="none"/>
        </w:rPr>
        <w:t>具有独立承担民事责任能力的法人、其他组织或自然人，并出具合法有效的营业执照或事业单位法人证书等国家规定的相关证明，自然人参与的提供其身份证明</w:t>
      </w:r>
    </w:p>
    <w:p w14:paraId="4DAABE79">
      <w:pPr>
        <w:pStyle w:val="101"/>
        <w:spacing w:before="197" w:after="197"/>
        <w:ind w:firstLine="579"/>
        <w:outlineLvl w:val="9"/>
        <w:rPr>
          <w:rFonts w:hint="eastAsia" w:ascii="宋体" w:hAnsi="宋体" w:eastAsia="宋体" w:cs="宋体"/>
          <w:color w:val="auto"/>
          <w:sz w:val="28"/>
          <w:szCs w:val="28"/>
          <w:highlight w:val="none"/>
        </w:rPr>
      </w:pPr>
      <w:bookmarkStart w:id="192" w:name="_Toc24977"/>
      <w:bookmarkStart w:id="193" w:name="_Toc1260"/>
      <w:bookmarkStart w:id="194" w:name="_Toc23603"/>
      <w:r>
        <w:rPr>
          <w:rFonts w:hint="eastAsia" w:ascii="宋体" w:hAnsi="宋体" w:eastAsia="宋体" w:cs="宋体"/>
          <w:color w:val="auto"/>
          <w:sz w:val="28"/>
          <w:szCs w:val="28"/>
          <w:highlight w:val="none"/>
        </w:rPr>
        <w:t>（二）社会保障资金缴纳证明</w:t>
      </w:r>
      <w:bookmarkEnd w:id="192"/>
      <w:bookmarkEnd w:id="193"/>
      <w:bookmarkEnd w:id="194"/>
    </w:p>
    <w:p w14:paraId="2A5A0432">
      <w:pPr>
        <w:pStyle w:val="101"/>
        <w:spacing w:before="197" w:after="197"/>
        <w:ind w:firstLine="579"/>
        <w:outlineLvl w:val="9"/>
        <w:rPr>
          <w:rFonts w:hint="eastAsia" w:ascii="宋体" w:hAnsi="宋体" w:eastAsia="宋体" w:cs="宋体"/>
          <w:color w:val="auto"/>
          <w:sz w:val="28"/>
          <w:szCs w:val="28"/>
          <w:highlight w:val="none"/>
        </w:rPr>
      </w:pPr>
      <w:bookmarkStart w:id="195" w:name="_Toc3206"/>
      <w:bookmarkStart w:id="196" w:name="_Toc4494"/>
      <w:bookmarkStart w:id="197" w:name="_Toc11398"/>
      <w:r>
        <w:rPr>
          <w:rFonts w:hint="eastAsia" w:ascii="宋体" w:hAnsi="宋体" w:eastAsia="宋体" w:cs="宋体"/>
          <w:color w:val="auto"/>
          <w:sz w:val="28"/>
          <w:szCs w:val="28"/>
          <w:highlight w:val="none"/>
        </w:rPr>
        <w:t>（三）税收缴纳证明</w:t>
      </w:r>
      <w:bookmarkEnd w:id="195"/>
      <w:bookmarkEnd w:id="196"/>
      <w:bookmarkEnd w:id="197"/>
    </w:p>
    <w:p w14:paraId="5A5FBCA4">
      <w:pPr>
        <w:pStyle w:val="101"/>
        <w:spacing w:before="197" w:after="197"/>
        <w:ind w:firstLine="579"/>
        <w:outlineLvl w:val="9"/>
        <w:rPr>
          <w:rFonts w:hint="eastAsia" w:ascii="宋体" w:hAnsi="宋体" w:eastAsia="宋体" w:cs="宋体"/>
          <w:color w:val="auto"/>
          <w:sz w:val="28"/>
          <w:szCs w:val="28"/>
          <w:highlight w:val="none"/>
        </w:rPr>
      </w:pPr>
      <w:bookmarkStart w:id="198" w:name="_Toc11548"/>
      <w:bookmarkStart w:id="199" w:name="_Toc19603"/>
      <w:bookmarkStart w:id="200" w:name="_Toc20602"/>
      <w:r>
        <w:rPr>
          <w:rFonts w:hint="eastAsia" w:ascii="宋体" w:hAnsi="宋体" w:eastAsia="宋体" w:cs="宋体"/>
          <w:color w:val="auto"/>
          <w:sz w:val="28"/>
          <w:szCs w:val="28"/>
          <w:highlight w:val="none"/>
        </w:rPr>
        <w:t>（四）财务状况证明</w:t>
      </w:r>
      <w:bookmarkEnd w:id="198"/>
      <w:bookmarkEnd w:id="199"/>
      <w:bookmarkEnd w:id="200"/>
    </w:p>
    <w:p w14:paraId="25D4CE8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004AB12">
      <w:pPr>
        <w:pStyle w:val="101"/>
        <w:spacing w:before="197" w:after="197"/>
        <w:ind w:firstLine="579"/>
        <w:outlineLvl w:val="9"/>
        <w:rPr>
          <w:rFonts w:hint="eastAsia" w:ascii="宋体" w:hAnsi="宋体" w:eastAsia="宋体" w:cs="宋体"/>
          <w:color w:val="auto"/>
          <w:sz w:val="28"/>
          <w:szCs w:val="28"/>
          <w:highlight w:val="none"/>
        </w:rPr>
      </w:pPr>
      <w:bookmarkStart w:id="201" w:name="_Toc10633"/>
      <w:bookmarkStart w:id="202" w:name="_Toc23305"/>
      <w:bookmarkStart w:id="203" w:name="_Toc11276"/>
      <w:r>
        <w:rPr>
          <w:rFonts w:hint="eastAsia" w:ascii="宋体" w:hAnsi="宋体" w:eastAsia="宋体" w:cs="宋体"/>
          <w:color w:val="auto"/>
          <w:sz w:val="28"/>
          <w:szCs w:val="28"/>
          <w:highlight w:val="none"/>
        </w:rPr>
        <w:t>（五）无重大违法记录声明（按下方给定格式进行填写）</w:t>
      </w:r>
      <w:bookmarkEnd w:id="201"/>
      <w:bookmarkEnd w:id="202"/>
      <w:bookmarkEnd w:id="203"/>
    </w:p>
    <w:p w14:paraId="7E23C60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无重大违法记录声明</w:t>
      </w:r>
    </w:p>
    <w:p w14:paraId="3D71CBF2">
      <w:pPr>
        <w:snapToGrid w:val="0"/>
        <w:spacing w:line="480" w:lineRule="auto"/>
        <w:ind w:firstLine="576" w:firstLineChars="200"/>
        <w:rPr>
          <w:rFonts w:hint="eastAsia" w:ascii="宋体" w:hAnsi="宋体" w:cs="宋体"/>
          <w:color w:val="auto"/>
          <w:sz w:val="28"/>
          <w:szCs w:val="28"/>
          <w:highlight w:val="none"/>
        </w:rPr>
      </w:pPr>
    </w:p>
    <w:p w14:paraId="51A9DA0E">
      <w:pPr>
        <w:snapToGrid w:val="0"/>
        <w:spacing w:line="480" w:lineRule="auto"/>
        <w:ind w:firstLine="576"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我单位参与</w:t>
      </w:r>
      <w:r>
        <w:rPr>
          <w:rFonts w:hint="eastAsia" w:ascii="宋体" w:hAnsi="宋体" w:cs="宋体"/>
          <w:color w:val="auto"/>
          <w:sz w:val="28"/>
          <w:szCs w:val="28"/>
          <w:highlight w:val="none"/>
          <w:u w:val="single"/>
        </w:rPr>
        <w:t xml:space="preserve">陕西万泽招标有限公司 </w:t>
      </w:r>
      <w:r>
        <w:rPr>
          <w:rFonts w:hint="eastAsia" w:ascii="宋体" w:hAnsi="宋体" w:cs="宋体"/>
          <w:color w:val="auto"/>
          <w:sz w:val="28"/>
          <w:szCs w:val="28"/>
          <w:highlight w:val="none"/>
        </w:rPr>
        <w:t>组织的</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14:paraId="7C1F2E70">
      <w:pPr>
        <w:snapToGrid w:val="0"/>
        <w:spacing w:line="480" w:lineRule="auto"/>
        <w:ind w:firstLine="576"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特此声明。</w:t>
      </w:r>
    </w:p>
    <w:p w14:paraId="53457958">
      <w:pPr>
        <w:snapToGrid w:val="0"/>
        <w:spacing w:line="360" w:lineRule="auto"/>
        <w:rPr>
          <w:rFonts w:hint="eastAsia" w:hAnsi="宋体" w:cs="宋体"/>
          <w:color w:val="auto"/>
          <w:sz w:val="28"/>
          <w:szCs w:val="28"/>
          <w:highlight w:val="none"/>
        </w:rPr>
      </w:pPr>
    </w:p>
    <w:p w14:paraId="2B4D0C26">
      <w:pPr>
        <w:snapToGrid w:val="0"/>
        <w:spacing w:line="360" w:lineRule="auto"/>
        <w:rPr>
          <w:rFonts w:hint="eastAsia" w:hAnsi="宋体" w:cs="宋体"/>
          <w:color w:val="auto"/>
          <w:sz w:val="28"/>
          <w:szCs w:val="28"/>
          <w:highlight w:val="none"/>
        </w:rPr>
      </w:pPr>
      <w:r>
        <w:rPr>
          <w:rFonts w:hint="eastAsia" w:hAnsi="宋体" w:cs="宋体"/>
          <w:color w:val="auto"/>
          <w:sz w:val="28"/>
          <w:szCs w:val="28"/>
          <w:highlight w:val="none"/>
        </w:rPr>
        <w:t>供应商（单位名称及公章）：</w:t>
      </w:r>
    </w:p>
    <w:p w14:paraId="45D7C5DA">
      <w:pPr>
        <w:pStyle w:val="20"/>
        <w:spacing w:line="360" w:lineRule="auto"/>
        <w:rPr>
          <w:rFonts w:hint="eastAsia" w:hAnsi="宋体" w:cs="宋体"/>
          <w:color w:val="auto"/>
          <w:sz w:val="28"/>
          <w:szCs w:val="28"/>
          <w:highlight w:val="none"/>
        </w:rPr>
      </w:pPr>
      <w:r>
        <w:rPr>
          <w:rFonts w:hint="eastAsia" w:hAnsi="宋体" w:cs="宋体"/>
          <w:color w:val="auto"/>
          <w:sz w:val="28"/>
          <w:szCs w:val="28"/>
          <w:highlight w:val="none"/>
        </w:rPr>
        <w:t>法定代表人或被授权人（签字或盖章）：</w:t>
      </w:r>
    </w:p>
    <w:p w14:paraId="01CE10F1">
      <w:pPr>
        <w:spacing w:line="360" w:lineRule="auto"/>
        <w:jc w:val="both"/>
        <w:rPr>
          <w:rFonts w:hint="eastAsia" w:ascii="宋体" w:hAnsi="宋体" w:eastAsia="宋体" w:cs="宋体"/>
          <w:color w:val="auto"/>
          <w:sz w:val="32"/>
          <w:szCs w:val="32"/>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eastAsia="宋体" w:cs="宋体"/>
          <w:color w:val="auto"/>
          <w:sz w:val="32"/>
          <w:szCs w:val="32"/>
          <w:highlight w:val="none"/>
        </w:rPr>
        <w:br w:type="page"/>
      </w:r>
    </w:p>
    <w:p w14:paraId="596CB1BC">
      <w:pPr>
        <w:pStyle w:val="101"/>
        <w:spacing w:before="197" w:after="197"/>
        <w:ind w:firstLine="579"/>
        <w:outlineLvl w:val="9"/>
        <w:rPr>
          <w:rFonts w:hint="eastAsia" w:ascii="宋体" w:hAnsi="宋体" w:eastAsia="宋体" w:cs="宋体"/>
          <w:color w:val="auto"/>
          <w:sz w:val="28"/>
          <w:szCs w:val="28"/>
          <w:highlight w:val="none"/>
        </w:rPr>
      </w:pPr>
      <w:bookmarkStart w:id="204" w:name="_Toc32222"/>
      <w:bookmarkStart w:id="205" w:name="_Toc17421"/>
      <w:bookmarkStart w:id="206" w:name="_Toc19136"/>
      <w:r>
        <w:rPr>
          <w:rFonts w:hint="eastAsia" w:ascii="宋体" w:hAnsi="宋体" w:eastAsia="宋体" w:cs="宋体"/>
          <w:color w:val="auto"/>
          <w:sz w:val="28"/>
          <w:szCs w:val="28"/>
          <w:highlight w:val="none"/>
        </w:rPr>
        <w:t>（六）法定代表人委托授权书或身份证明（按下方给定格式进行填写）</w:t>
      </w:r>
      <w:bookmarkEnd w:id="204"/>
      <w:bookmarkEnd w:id="205"/>
      <w:bookmarkEnd w:id="206"/>
    </w:p>
    <w:p w14:paraId="39EB5E61">
      <w:pPr>
        <w:jc w:val="center"/>
        <w:rPr>
          <w:b/>
          <w:bCs/>
          <w:color w:val="auto"/>
          <w:highlight w:val="none"/>
        </w:rPr>
      </w:pPr>
      <w:r>
        <w:rPr>
          <w:rFonts w:hint="eastAsia"/>
          <w:b/>
          <w:bCs/>
          <w:color w:val="auto"/>
          <w:highlight w:val="none"/>
        </w:rPr>
        <w:t>法定代表人证明书（格式）</w:t>
      </w:r>
    </w:p>
    <w:tbl>
      <w:tblPr>
        <w:tblStyle w:val="3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14:paraId="62C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14:paraId="15907AFE">
            <w:pPr>
              <w:rPr>
                <w:color w:val="auto"/>
                <w:highlight w:val="none"/>
              </w:rPr>
            </w:pPr>
            <w:r>
              <w:rPr>
                <w:rFonts w:hint="eastAsia"/>
                <w:color w:val="auto"/>
                <w:highlight w:val="none"/>
              </w:rPr>
              <w:t>致：陕西万泽招标有限公司</w:t>
            </w:r>
          </w:p>
        </w:tc>
      </w:tr>
      <w:tr w14:paraId="2155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27BA2E22">
            <w:pPr>
              <w:rPr>
                <w:color w:val="auto"/>
                <w:highlight w:val="none"/>
              </w:rPr>
            </w:pPr>
            <w:r>
              <w:rPr>
                <w:rFonts w:hint="eastAsia"/>
                <w:color w:val="auto"/>
                <w:highlight w:val="none"/>
              </w:rPr>
              <w:t>企</w:t>
            </w:r>
          </w:p>
          <w:p w14:paraId="2C88A2DF">
            <w:pPr>
              <w:rPr>
                <w:color w:val="auto"/>
                <w:highlight w:val="none"/>
              </w:rPr>
            </w:pPr>
            <w:r>
              <w:rPr>
                <w:rFonts w:hint="eastAsia"/>
                <w:color w:val="auto"/>
                <w:highlight w:val="none"/>
              </w:rPr>
              <w:t>业</w:t>
            </w:r>
          </w:p>
          <w:p w14:paraId="10DD1AA8">
            <w:pPr>
              <w:rPr>
                <w:color w:val="auto"/>
                <w:highlight w:val="none"/>
              </w:rPr>
            </w:pPr>
            <w:r>
              <w:rPr>
                <w:rFonts w:hint="eastAsia"/>
                <w:color w:val="auto"/>
                <w:highlight w:val="none"/>
              </w:rPr>
              <w:t>法</w:t>
            </w:r>
          </w:p>
          <w:p w14:paraId="0D546A1D">
            <w:pPr>
              <w:rPr>
                <w:color w:val="auto"/>
                <w:highlight w:val="none"/>
              </w:rPr>
            </w:pPr>
            <w:r>
              <w:rPr>
                <w:rFonts w:hint="eastAsia"/>
                <w:color w:val="auto"/>
                <w:highlight w:val="none"/>
              </w:rPr>
              <w:t>人</w:t>
            </w:r>
          </w:p>
        </w:tc>
        <w:tc>
          <w:tcPr>
            <w:tcW w:w="2283" w:type="dxa"/>
            <w:vAlign w:val="center"/>
          </w:tcPr>
          <w:p w14:paraId="7A778E28">
            <w:pPr>
              <w:rPr>
                <w:color w:val="auto"/>
                <w:highlight w:val="none"/>
              </w:rPr>
            </w:pPr>
            <w:r>
              <w:rPr>
                <w:rFonts w:hint="eastAsia"/>
                <w:color w:val="auto"/>
                <w:highlight w:val="none"/>
              </w:rPr>
              <w:t>企业名称</w:t>
            </w:r>
          </w:p>
        </w:tc>
        <w:tc>
          <w:tcPr>
            <w:tcW w:w="6262" w:type="dxa"/>
            <w:gridSpan w:val="4"/>
            <w:vAlign w:val="center"/>
          </w:tcPr>
          <w:p w14:paraId="57959A80">
            <w:pPr>
              <w:rPr>
                <w:color w:val="auto"/>
                <w:highlight w:val="none"/>
              </w:rPr>
            </w:pPr>
          </w:p>
        </w:tc>
      </w:tr>
      <w:tr w14:paraId="669A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5886FA10">
            <w:pPr>
              <w:rPr>
                <w:color w:val="auto"/>
                <w:highlight w:val="none"/>
              </w:rPr>
            </w:pPr>
          </w:p>
        </w:tc>
        <w:tc>
          <w:tcPr>
            <w:tcW w:w="2283" w:type="dxa"/>
            <w:vAlign w:val="center"/>
          </w:tcPr>
          <w:p w14:paraId="4D3422E2">
            <w:pPr>
              <w:rPr>
                <w:color w:val="auto"/>
                <w:highlight w:val="none"/>
              </w:rPr>
            </w:pPr>
            <w:r>
              <w:rPr>
                <w:rFonts w:hint="eastAsia"/>
                <w:color w:val="auto"/>
                <w:highlight w:val="none"/>
              </w:rPr>
              <w:t>法定地址</w:t>
            </w:r>
          </w:p>
        </w:tc>
        <w:tc>
          <w:tcPr>
            <w:tcW w:w="6262" w:type="dxa"/>
            <w:gridSpan w:val="4"/>
            <w:vAlign w:val="center"/>
          </w:tcPr>
          <w:p w14:paraId="642B2798">
            <w:pPr>
              <w:rPr>
                <w:color w:val="auto"/>
                <w:highlight w:val="none"/>
              </w:rPr>
            </w:pPr>
          </w:p>
        </w:tc>
      </w:tr>
      <w:tr w14:paraId="58A8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5D311A7F">
            <w:pPr>
              <w:rPr>
                <w:color w:val="auto"/>
                <w:highlight w:val="none"/>
              </w:rPr>
            </w:pPr>
          </w:p>
        </w:tc>
        <w:tc>
          <w:tcPr>
            <w:tcW w:w="2283" w:type="dxa"/>
            <w:vAlign w:val="center"/>
          </w:tcPr>
          <w:p w14:paraId="3FD267E8">
            <w:pPr>
              <w:rPr>
                <w:color w:val="auto"/>
                <w:highlight w:val="none"/>
              </w:rPr>
            </w:pPr>
            <w:r>
              <w:rPr>
                <w:rFonts w:hint="eastAsia"/>
                <w:color w:val="auto"/>
                <w:highlight w:val="none"/>
              </w:rPr>
              <w:t>邮政编码</w:t>
            </w:r>
          </w:p>
        </w:tc>
        <w:tc>
          <w:tcPr>
            <w:tcW w:w="6262" w:type="dxa"/>
            <w:gridSpan w:val="4"/>
            <w:vAlign w:val="center"/>
          </w:tcPr>
          <w:p w14:paraId="05E90D18">
            <w:pPr>
              <w:rPr>
                <w:color w:val="auto"/>
                <w:highlight w:val="none"/>
              </w:rPr>
            </w:pPr>
          </w:p>
        </w:tc>
      </w:tr>
      <w:tr w14:paraId="080A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433D856B">
            <w:pPr>
              <w:rPr>
                <w:color w:val="auto"/>
                <w:highlight w:val="none"/>
              </w:rPr>
            </w:pPr>
          </w:p>
        </w:tc>
        <w:tc>
          <w:tcPr>
            <w:tcW w:w="2283" w:type="dxa"/>
            <w:vAlign w:val="center"/>
          </w:tcPr>
          <w:p w14:paraId="2A343BF4">
            <w:pPr>
              <w:rPr>
                <w:color w:val="auto"/>
                <w:highlight w:val="none"/>
              </w:rPr>
            </w:pPr>
            <w:r>
              <w:rPr>
                <w:rFonts w:hint="eastAsia"/>
                <w:color w:val="auto"/>
                <w:highlight w:val="none"/>
              </w:rPr>
              <w:t>工商登记机关</w:t>
            </w:r>
          </w:p>
        </w:tc>
        <w:tc>
          <w:tcPr>
            <w:tcW w:w="6262" w:type="dxa"/>
            <w:gridSpan w:val="4"/>
            <w:vAlign w:val="center"/>
          </w:tcPr>
          <w:p w14:paraId="30ECD090">
            <w:pPr>
              <w:rPr>
                <w:color w:val="auto"/>
                <w:highlight w:val="none"/>
              </w:rPr>
            </w:pPr>
          </w:p>
        </w:tc>
      </w:tr>
      <w:tr w14:paraId="7D68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0364E477">
            <w:pPr>
              <w:rPr>
                <w:color w:val="auto"/>
                <w:highlight w:val="none"/>
              </w:rPr>
            </w:pPr>
          </w:p>
        </w:tc>
        <w:tc>
          <w:tcPr>
            <w:tcW w:w="2283" w:type="dxa"/>
            <w:vAlign w:val="center"/>
          </w:tcPr>
          <w:p w14:paraId="509D4ADF">
            <w:pPr>
              <w:rPr>
                <w:color w:val="auto"/>
                <w:highlight w:val="none"/>
              </w:rPr>
            </w:pPr>
            <w:r>
              <w:rPr>
                <w:rFonts w:hint="eastAsia"/>
                <w:color w:val="auto"/>
                <w:highlight w:val="none"/>
              </w:rPr>
              <w:t>统一社会信用代码</w:t>
            </w:r>
          </w:p>
        </w:tc>
        <w:tc>
          <w:tcPr>
            <w:tcW w:w="6262" w:type="dxa"/>
            <w:gridSpan w:val="4"/>
            <w:vAlign w:val="center"/>
          </w:tcPr>
          <w:p w14:paraId="3D4E3C35">
            <w:pPr>
              <w:rPr>
                <w:color w:val="auto"/>
                <w:highlight w:val="none"/>
              </w:rPr>
            </w:pPr>
          </w:p>
        </w:tc>
      </w:tr>
      <w:tr w14:paraId="6C9A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2DE9E2E1">
            <w:pPr>
              <w:rPr>
                <w:color w:val="auto"/>
                <w:highlight w:val="none"/>
              </w:rPr>
            </w:pPr>
            <w:r>
              <w:rPr>
                <w:rFonts w:hint="eastAsia"/>
                <w:color w:val="auto"/>
                <w:highlight w:val="none"/>
              </w:rPr>
              <w:t>法</w:t>
            </w:r>
          </w:p>
          <w:p w14:paraId="00B197CD">
            <w:pPr>
              <w:rPr>
                <w:color w:val="auto"/>
                <w:highlight w:val="none"/>
              </w:rPr>
            </w:pPr>
            <w:r>
              <w:rPr>
                <w:rFonts w:hint="eastAsia"/>
                <w:color w:val="auto"/>
                <w:highlight w:val="none"/>
              </w:rPr>
              <w:t>定</w:t>
            </w:r>
          </w:p>
          <w:p w14:paraId="38194095">
            <w:pPr>
              <w:rPr>
                <w:color w:val="auto"/>
                <w:highlight w:val="none"/>
              </w:rPr>
            </w:pPr>
            <w:r>
              <w:rPr>
                <w:rFonts w:hint="eastAsia"/>
                <w:color w:val="auto"/>
                <w:highlight w:val="none"/>
              </w:rPr>
              <w:t>代</w:t>
            </w:r>
          </w:p>
          <w:p w14:paraId="3BCF54F2">
            <w:pPr>
              <w:rPr>
                <w:color w:val="auto"/>
                <w:highlight w:val="none"/>
              </w:rPr>
            </w:pPr>
            <w:r>
              <w:rPr>
                <w:rFonts w:hint="eastAsia"/>
                <w:color w:val="auto"/>
                <w:highlight w:val="none"/>
              </w:rPr>
              <w:t>表</w:t>
            </w:r>
          </w:p>
          <w:p w14:paraId="1BFA8B6D">
            <w:pPr>
              <w:rPr>
                <w:color w:val="auto"/>
                <w:highlight w:val="none"/>
              </w:rPr>
            </w:pPr>
            <w:r>
              <w:rPr>
                <w:rFonts w:hint="eastAsia"/>
                <w:color w:val="auto"/>
                <w:highlight w:val="none"/>
              </w:rPr>
              <w:t>人</w:t>
            </w:r>
          </w:p>
        </w:tc>
        <w:tc>
          <w:tcPr>
            <w:tcW w:w="2283" w:type="dxa"/>
            <w:vAlign w:val="center"/>
          </w:tcPr>
          <w:p w14:paraId="75C3A152">
            <w:pPr>
              <w:rPr>
                <w:color w:val="auto"/>
                <w:highlight w:val="none"/>
              </w:rPr>
            </w:pPr>
            <w:r>
              <w:rPr>
                <w:rFonts w:hint="eastAsia"/>
                <w:color w:val="auto"/>
                <w:highlight w:val="none"/>
              </w:rPr>
              <w:t>姓名</w:t>
            </w:r>
          </w:p>
        </w:tc>
        <w:tc>
          <w:tcPr>
            <w:tcW w:w="2077" w:type="dxa"/>
            <w:gridSpan w:val="2"/>
            <w:vAlign w:val="center"/>
          </w:tcPr>
          <w:p w14:paraId="6D10C6FD">
            <w:pPr>
              <w:rPr>
                <w:color w:val="auto"/>
                <w:highlight w:val="none"/>
              </w:rPr>
            </w:pPr>
          </w:p>
        </w:tc>
        <w:tc>
          <w:tcPr>
            <w:tcW w:w="2089" w:type="dxa"/>
            <w:vAlign w:val="center"/>
          </w:tcPr>
          <w:p w14:paraId="37AED005">
            <w:pPr>
              <w:rPr>
                <w:color w:val="auto"/>
                <w:highlight w:val="none"/>
              </w:rPr>
            </w:pPr>
            <w:r>
              <w:rPr>
                <w:rFonts w:hint="eastAsia"/>
                <w:color w:val="auto"/>
                <w:highlight w:val="none"/>
              </w:rPr>
              <w:t>性别</w:t>
            </w:r>
          </w:p>
        </w:tc>
        <w:tc>
          <w:tcPr>
            <w:tcW w:w="2096" w:type="dxa"/>
            <w:vAlign w:val="center"/>
          </w:tcPr>
          <w:p w14:paraId="486F3040">
            <w:pPr>
              <w:rPr>
                <w:color w:val="auto"/>
                <w:highlight w:val="none"/>
              </w:rPr>
            </w:pPr>
          </w:p>
        </w:tc>
      </w:tr>
      <w:tr w14:paraId="28ED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0B69B029">
            <w:pPr>
              <w:rPr>
                <w:color w:val="auto"/>
                <w:highlight w:val="none"/>
              </w:rPr>
            </w:pPr>
          </w:p>
        </w:tc>
        <w:tc>
          <w:tcPr>
            <w:tcW w:w="2283" w:type="dxa"/>
            <w:vAlign w:val="center"/>
          </w:tcPr>
          <w:p w14:paraId="7097DDCC">
            <w:pPr>
              <w:rPr>
                <w:color w:val="auto"/>
                <w:highlight w:val="none"/>
              </w:rPr>
            </w:pPr>
            <w:r>
              <w:rPr>
                <w:rFonts w:hint="eastAsia"/>
                <w:color w:val="auto"/>
                <w:highlight w:val="none"/>
              </w:rPr>
              <w:t>职务</w:t>
            </w:r>
          </w:p>
        </w:tc>
        <w:tc>
          <w:tcPr>
            <w:tcW w:w="2077" w:type="dxa"/>
            <w:gridSpan w:val="2"/>
            <w:vAlign w:val="center"/>
          </w:tcPr>
          <w:p w14:paraId="0D24D133">
            <w:pPr>
              <w:rPr>
                <w:color w:val="auto"/>
                <w:highlight w:val="none"/>
              </w:rPr>
            </w:pPr>
          </w:p>
        </w:tc>
        <w:tc>
          <w:tcPr>
            <w:tcW w:w="2089" w:type="dxa"/>
            <w:vAlign w:val="center"/>
          </w:tcPr>
          <w:p w14:paraId="587A4F31">
            <w:pPr>
              <w:rPr>
                <w:color w:val="auto"/>
                <w:highlight w:val="none"/>
              </w:rPr>
            </w:pPr>
            <w:r>
              <w:rPr>
                <w:rFonts w:hint="eastAsia"/>
                <w:color w:val="auto"/>
                <w:highlight w:val="none"/>
              </w:rPr>
              <w:t>联系电话</w:t>
            </w:r>
          </w:p>
        </w:tc>
        <w:tc>
          <w:tcPr>
            <w:tcW w:w="2096" w:type="dxa"/>
            <w:vAlign w:val="center"/>
          </w:tcPr>
          <w:p w14:paraId="673CF772">
            <w:pPr>
              <w:rPr>
                <w:color w:val="auto"/>
                <w:highlight w:val="none"/>
              </w:rPr>
            </w:pPr>
          </w:p>
        </w:tc>
      </w:tr>
      <w:tr w14:paraId="305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5" w:type="dxa"/>
            <w:vMerge w:val="continue"/>
            <w:vAlign w:val="center"/>
          </w:tcPr>
          <w:p w14:paraId="42D6F832">
            <w:pPr>
              <w:rPr>
                <w:color w:val="auto"/>
                <w:highlight w:val="none"/>
              </w:rPr>
            </w:pPr>
          </w:p>
        </w:tc>
        <w:tc>
          <w:tcPr>
            <w:tcW w:w="2283" w:type="dxa"/>
            <w:vAlign w:val="center"/>
          </w:tcPr>
          <w:p w14:paraId="4BFC75B2">
            <w:pPr>
              <w:rPr>
                <w:color w:val="auto"/>
                <w:highlight w:val="none"/>
              </w:rPr>
            </w:pPr>
            <w:r>
              <w:rPr>
                <w:rFonts w:hint="eastAsia"/>
                <w:color w:val="auto"/>
                <w:highlight w:val="none"/>
              </w:rPr>
              <w:t>传真</w:t>
            </w:r>
          </w:p>
        </w:tc>
        <w:tc>
          <w:tcPr>
            <w:tcW w:w="6262" w:type="dxa"/>
            <w:gridSpan w:val="4"/>
            <w:vAlign w:val="center"/>
          </w:tcPr>
          <w:p w14:paraId="2F3C1E35">
            <w:pPr>
              <w:rPr>
                <w:color w:val="auto"/>
                <w:highlight w:val="none"/>
              </w:rPr>
            </w:pPr>
          </w:p>
        </w:tc>
      </w:tr>
      <w:tr w14:paraId="2248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5" w:type="dxa"/>
            <w:vMerge w:val="restart"/>
            <w:vAlign w:val="center"/>
          </w:tcPr>
          <w:p w14:paraId="61170307">
            <w:pPr>
              <w:rPr>
                <w:color w:val="auto"/>
                <w:highlight w:val="none"/>
              </w:rPr>
            </w:pPr>
            <w:r>
              <w:rPr>
                <w:rFonts w:hint="eastAsia"/>
                <w:color w:val="auto"/>
                <w:highlight w:val="none"/>
              </w:rPr>
              <w:t>法</w:t>
            </w:r>
          </w:p>
          <w:p w14:paraId="4ADC168F">
            <w:pPr>
              <w:rPr>
                <w:color w:val="auto"/>
                <w:highlight w:val="none"/>
              </w:rPr>
            </w:pPr>
            <w:r>
              <w:rPr>
                <w:rFonts w:hint="eastAsia"/>
                <w:color w:val="auto"/>
                <w:highlight w:val="none"/>
              </w:rPr>
              <w:t>定</w:t>
            </w:r>
          </w:p>
          <w:p w14:paraId="785A3ED1">
            <w:pPr>
              <w:rPr>
                <w:color w:val="auto"/>
                <w:highlight w:val="none"/>
              </w:rPr>
            </w:pPr>
            <w:r>
              <w:rPr>
                <w:rFonts w:hint="eastAsia"/>
                <w:color w:val="auto"/>
                <w:highlight w:val="none"/>
              </w:rPr>
              <w:t>代</w:t>
            </w:r>
          </w:p>
          <w:p w14:paraId="3928D415">
            <w:pPr>
              <w:rPr>
                <w:color w:val="auto"/>
                <w:highlight w:val="none"/>
              </w:rPr>
            </w:pPr>
            <w:r>
              <w:rPr>
                <w:rFonts w:hint="eastAsia"/>
                <w:color w:val="auto"/>
                <w:highlight w:val="none"/>
              </w:rPr>
              <w:t>表</w:t>
            </w:r>
          </w:p>
          <w:p w14:paraId="6E5D02B7">
            <w:pPr>
              <w:rPr>
                <w:color w:val="auto"/>
                <w:highlight w:val="none"/>
              </w:rPr>
            </w:pPr>
            <w:r>
              <w:rPr>
                <w:rFonts w:hint="eastAsia"/>
                <w:color w:val="auto"/>
                <w:highlight w:val="none"/>
              </w:rPr>
              <w:t>人</w:t>
            </w:r>
          </w:p>
          <w:p w14:paraId="013E2590">
            <w:pPr>
              <w:rPr>
                <w:color w:val="auto"/>
                <w:highlight w:val="none"/>
              </w:rPr>
            </w:pPr>
            <w:r>
              <w:rPr>
                <w:rFonts w:hint="eastAsia"/>
                <w:color w:val="auto"/>
                <w:highlight w:val="none"/>
              </w:rPr>
              <w:t>身</w:t>
            </w:r>
          </w:p>
          <w:p w14:paraId="4833BB30">
            <w:pPr>
              <w:rPr>
                <w:color w:val="auto"/>
                <w:highlight w:val="none"/>
              </w:rPr>
            </w:pPr>
            <w:r>
              <w:rPr>
                <w:rFonts w:hint="eastAsia"/>
                <w:color w:val="auto"/>
                <w:highlight w:val="none"/>
              </w:rPr>
              <w:t>份</w:t>
            </w:r>
          </w:p>
          <w:p w14:paraId="03A0EAEC">
            <w:pPr>
              <w:rPr>
                <w:color w:val="auto"/>
                <w:highlight w:val="none"/>
              </w:rPr>
            </w:pPr>
            <w:r>
              <w:rPr>
                <w:rFonts w:hint="eastAsia"/>
                <w:color w:val="auto"/>
                <w:highlight w:val="none"/>
              </w:rPr>
              <w:t>证</w:t>
            </w:r>
          </w:p>
          <w:p w14:paraId="4F610D71">
            <w:pPr>
              <w:rPr>
                <w:color w:val="auto"/>
                <w:highlight w:val="none"/>
              </w:rPr>
            </w:pPr>
            <w:r>
              <w:rPr>
                <w:rFonts w:hint="eastAsia"/>
                <w:color w:val="auto"/>
                <w:highlight w:val="none"/>
              </w:rPr>
              <w:t>复</w:t>
            </w:r>
          </w:p>
          <w:p w14:paraId="594D7A3F">
            <w:pPr>
              <w:rPr>
                <w:color w:val="auto"/>
                <w:highlight w:val="none"/>
              </w:rPr>
            </w:pPr>
            <w:r>
              <w:rPr>
                <w:rFonts w:hint="eastAsia"/>
                <w:color w:val="auto"/>
                <w:highlight w:val="none"/>
              </w:rPr>
              <w:t>印</w:t>
            </w:r>
          </w:p>
          <w:p w14:paraId="0C57A6B2">
            <w:pPr>
              <w:rPr>
                <w:color w:val="auto"/>
                <w:highlight w:val="none"/>
              </w:rPr>
            </w:pPr>
            <w:r>
              <w:rPr>
                <w:rFonts w:hint="eastAsia"/>
                <w:color w:val="auto"/>
                <w:highlight w:val="none"/>
              </w:rPr>
              <w:t>件</w:t>
            </w:r>
          </w:p>
        </w:tc>
        <w:tc>
          <w:tcPr>
            <w:tcW w:w="4182" w:type="dxa"/>
            <w:gridSpan w:val="2"/>
            <w:vMerge w:val="restart"/>
            <w:vAlign w:val="center"/>
          </w:tcPr>
          <w:p w14:paraId="19A2AC0B">
            <w:pPr>
              <w:rPr>
                <w:color w:val="auto"/>
                <w:highlight w:val="none"/>
              </w:rPr>
            </w:pPr>
            <w:r>
              <w:rPr>
                <w:rFonts w:hint="eastAsia"/>
                <w:color w:val="auto"/>
                <w:highlight w:val="none"/>
              </w:rPr>
              <w:t>（正反面）</w:t>
            </w:r>
          </w:p>
        </w:tc>
        <w:tc>
          <w:tcPr>
            <w:tcW w:w="4363" w:type="dxa"/>
            <w:gridSpan w:val="3"/>
            <w:vAlign w:val="center"/>
          </w:tcPr>
          <w:p w14:paraId="10AEF060">
            <w:pPr>
              <w:rPr>
                <w:color w:val="auto"/>
                <w:highlight w:val="none"/>
              </w:rPr>
            </w:pPr>
            <w:r>
              <w:rPr>
                <w:rFonts w:hint="eastAsia"/>
                <w:color w:val="auto"/>
                <w:highlight w:val="none"/>
              </w:rPr>
              <w:t>法定代表人（签字或盖章）</w:t>
            </w:r>
          </w:p>
        </w:tc>
      </w:tr>
      <w:tr w14:paraId="30AC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575" w:type="dxa"/>
            <w:vMerge w:val="continue"/>
            <w:vAlign w:val="center"/>
          </w:tcPr>
          <w:p w14:paraId="49B9FCA0">
            <w:pPr>
              <w:rPr>
                <w:color w:val="auto"/>
                <w:highlight w:val="none"/>
              </w:rPr>
            </w:pPr>
          </w:p>
        </w:tc>
        <w:tc>
          <w:tcPr>
            <w:tcW w:w="4182" w:type="dxa"/>
            <w:gridSpan w:val="2"/>
            <w:vMerge w:val="continue"/>
            <w:vAlign w:val="center"/>
          </w:tcPr>
          <w:p w14:paraId="7F1D67C1">
            <w:pPr>
              <w:rPr>
                <w:color w:val="auto"/>
                <w:highlight w:val="none"/>
              </w:rPr>
            </w:pPr>
          </w:p>
        </w:tc>
        <w:tc>
          <w:tcPr>
            <w:tcW w:w="4363" w:type="dxa"/>
            <w:gridSpan w:val="3"/>
            <w:vAlign w:val="bottom"/>
          </w:tcPr>
          <w:p w14:paraId="26224AF4">
            <w:pPr>
              <w:rPr>
                <w:color w:val="auto"/>
                <w:highlight w:val="none"/>
              </w:rPr>
            </w:pPr>
            <w:r>
              <w:rPr>
                <w:rFonts w:hint="eastAsia"/>
                <w:color w:val="auto"/>
                <w:highlight w:val="none"/>
              </w:rPr>
              <w:t>（公章）</w:t>
            </w:r>
          </w:p>
          <w:p w14:paraId="0CA24597">
            <w:pPr>
              <w:rPr>
                <w:color w:val="auto"/>
                <w:highlight w:val="none"/>
              </w:rPr>
            </w:pPr>
          </w:p>
          <w:p w14:paraId="48546841">
            <w:pPr>
              <w:rPr>
                <w:color w:val="auto"/>
                <w:highlight w:val="none"/>
              </w:rPr>
            </w:pPr>
          </w:p>
          <w:p w14:paraId="69305A81">
            <w:pPr>
              <w:rPr>
                <w:color w:val="auto"/>
                <w:highlight w:val="none"/>
              </w:rPr>
            </w:pPr>
          </w:p>
          <w:p w14:paraId="7F0CFF58">
            <w:pPr>
              <w:rPr>
                <w:color w:val="auto"/>
                <w:highlight w:val="none"/>
              </w:rPr>
            </w:pPr>
          </w:p>
        </w:tc>
      </w:tr>
    </w:tbl>
    <w:p w14:paraId="71A10B8E">
      <w:pPr>
        <w:pStyle w:val="11"/>
        <w:rPr>
          <w:color w:val="auto"/>
          <w:highlight w:val="none"/>
        </w:rPr>
      </w:pPr>
    </w:p>
    <w:p w14:paraId="4A4541EB">
      <w:pPr>
        <w:rPr>
          <w:b/>
          <w:bCs/>
          <w:color w:val="auto"/>
          <w:sz w:val="28"/>
          <w:szCs w:val="28"/>
          <w:highlight w:val="none"/>
        </w:rPr>
      </w:pPr>
      <w:r>
        <w:rPr>
          <w:b/>
          <w:bCs/>
          <w:color w:val="auto"/>
          <w:sz w:val="28"/>
          <w:szCs w:val="28"/>
          <w:highlight w:val="none"/>
        </w:rPr>
        <w:br w:type="page"/>
      </w:r>
    </w:p>
    <w:p w14:paraId="5DFEAD9C">
      <w:pPr>
        <w:pageBreakBefore/>
        <w:tabs>
          <w:tab w:val="left" w:pos="210"/>
        </w:tabs>
        <w:spacing w:line="320" w:lineRule="exact"/>
        <w:ind w:firstLine="496" w:firstLineChars="200"/>
        <w:jc w:val="center"/>
        <w:rPr>
          <w:rFonts w:hint="eastAsia"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法定代表人授权委托书（格式）</w:t>
      </w:r>
    </w:p>
    <w:p w14:paraId="0E572054">
      <w:pPr>
        <w:pStyle w:val="20"/>
        <w:spacing w:line="500" w:lineRule="exact"/>
        <w:rPr>
          <w:rFonts w:hint="eastAsia" w:asciiTheme="minorEastAsia" w:hAnsiTheme="minorEastAsia" w:cstheme="minorEastAsia"/>
          <w:b/>
          <w:bCs/>
          <w:color w:val="auto"/>
          <w:sz w:val="24"/>
          <w:highlight w:val="none"/>
        </w:rPr>
      </w:pPr>
      <w:r>
        <w:rPr>
          <w:rFonts w:hint="eastAsia" w:asciiTheme="minorEastAsia" w:hAnsiTheme="minorEastAsia" w:cstheme="minorEastAsia"/>
          <w:color w:val="auto"/>
          <w:sz w:val="24"/>
          <w:highlight w:val="none"/>
        </w:rPr>
        <w:t>陕西万泽招标有限公司：</w:t>
      </w:r>
    </w:p>
    <w:p w14:paraId="3F7FE426">
      <w:pPr>
        <w:pStyle w:val="20"/>
        <w:spacing w:line="500" w:lineRule="exact"/>
        <w:ind w:firstLine="496"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本授权书声明：注册于（</w:t>
      </w:r>
      <w:r>
        <w:rPr>
          <w:rFonts w:hint="eastAsia" w:asciiTheme="minorEastAsia" w:hAnsiTheme="minorEastAsia" w:cstheme="minorEastAsia"/>
          <w:color w:val="auto"/>
          <w:sz w:val="24"/>
          <w:highlight w:val="none"/>
          <w:u w:val="single"/>
          <w:lang w:val="en-US" w:eastAsia="zh-CN"/>
        </w:rPr>
        <w:t>市场监督</w:t>
      </w:r>
      <w:r>
        <w:rPr>
          <w:rFonts w:hint="eastAsia" w:asciiTheme="minorEastAsia" w:hAnsiTheme="minorEastAsia" w:cstheme="minorEastAsia"/>
          <w:color w:val="auto"/>
          <w:sz w:val="24"/>
          <w:highlight w:val="none"/>
          <w:u w:val="single"/>
        </w:rPr>
        <w:t>管理局名称）之（委托单位全称）</w:t>
      </w:r>
      <w:r>
        <w:rPr>
          <w:rFonts w:hint="eastAsia" w:asciiTheme="minorEastAsia" w:hAnsiTheme="minorEastAsia" w:cstheme="minorEastAsia"/>
          <w:color w:val="auto"/>
          <w:sz w:val="24"/>
          <w:highlight w:val="none"/>
        </w:rPr>
        <w:t>的法定代表人</w:t>
      </w:r>
      <w:r>
        <w:rPr>
          <w:rFonts w:hint="eastAsia" w:asciiTheme="minorEastAsia" w:hAnsiTheme="minorEastAsia" w:cstheme="minorEastAsia"/>
          <w:color w:val="auto"/>
          <w:sz w:val="24"/>
          <w:highlight w:val="none"/>
          <w:u w:val="single"/>
        </w:rPr>
        <w:t>（姓名、性别）</w:t>
      </w:r>
      <w:r>
        <w:rPr>
          <w:rFonts w:hint="eastAsia" w:asciiTheme="minorEastAsia" w:hAnsiTheme="minorEastAsia" w:cstheme="minorEastAsia"/>
          <w:color w:val="auto"/>
          <w:sz w:val="24"/>
          <w:highlight w:val="none"/>
        </w:rPr>
        <w:t>授权</w:t>
      </w:r>
      <w:r>
        <w:rPr>
          <w:rFonts w:hint="eastAsia" w:asciiTheme="minorEastAsia" w:hAnsiTheme="minorEastAsia" w:cstheme="minorEastAsia"/>
          <w:color w:val="auto"/>
          <w:sz w:val="24"/>
          <w:highlight w:val="none"/>
          <w:u w:val="single"/>
        </w:rPr>
        <w:t>（被授权人姓名、性别、职务）</w:t>
      </w:r>
      <w:r>
        <w:rPr>
          <w:rFonts w:hint="eastAsia" w:asciiTheme="minorEastAsia" w:hAnsiTheme="minorEastAsia" w:cstheme="minorEastAsia"/>
          <w:color w:val="auto"/>
          <w:sz w:val="24"/>
          <w:highlight w:val="none"/>
        </w:rPr>
        <w:t>为本公司合法代理人，就贵方组织的有关</w:t>
      </w:r>
      <w:r>
        <w:rPr>
          <w:rFonts w:hint="eastAsia" w:asciiTheme="minorEastAsia" w:hAnsiTheme="minorEastAsia" w:cstheme="minorEastAsia"/>
          <w:color w:val="auto"/>
          <w:sz w:val="24"/>
          <w:highlight w:val="none"/>
          <w:u w:val="single"/>
        </w:rPr>
        <w:t>（项目名称）</w:t>
      </w:r>
      <w:r>
        <w:rPr>
          <w:rFonts w:hint="eastAsia" w:asciiTheme="minorEastAsia" w:hAnsiTheme="minorEastAsia" w:cstheme="minorEastAsia"/>
          <w:color w:val="auto"/>
          <w:sz w:val="24"/>
          <w:highlight w:val="none"/>
        </w:rPr>
        <w:t>（文件编号：____________________）的投标、洽谈、执行等具体事务，签署全部有关文件、文书、协议、合同，本公司对被授权人在本项目中的签名承担全部法律责任。</w:t>
      </w:r>
    </w:p>
    <w:p w14:paraId="28605109">
      <w:pPr>
        <w:pStyle w:val="20"/>
        <w:spacing w:line="500" w:lineRule="exact"/>
        <w:ind w:firstLine="496" w:firstLineChars="200"/>
        <w:rPr>
          <w:rFonts w:hint="eastAsia" w:asciiTheme="minorEastAsia" w:hAnsiTheme="minorEastAsia" w:cstheme="minorEastAsia"/>
          <w:color w:val="auto"/>
          <w:sz w:val="10"/>
          <w:szCs w:val="10"/>
          <w:highlight w:val="none"/>
        </w:rPr>
      </w:pPr>
      <w:r>
        <w:rPr>
          <w:rFonts w:hint="eastAsia" w:asciiTheme="minorEastAsia" w:hAnsiTheme="minorEastAsia" w:cstheme="minorEastAsia"/>
          <w:color w:val="auto"/>
          <w:sz w:val="24"/>
          <w:highlight w:val="none"/>
        </w:rPr>
        <w:t>本授权书自投标文件递交截止之日起计算有效期为_____日历日。</w:t>
      </w:r>
    </w:p>
    <w:p w14:paraId="121187D6">
      <w:pPr>
        <w:pStyle w:val="20"/>
        <w:spacing w:line="500" w:lineRule="exact"/>
        <w:ind w:firstLine="496"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单位名称：__________（公章）</w:t>
      </w:r>
    </w:p>
    <w:p w14:paraId="4594CDBF">
      <w:pPr>
        <w:pStyle w:val="20"/>
        <w:spacing w:line="500" w:lineRule="exact"/>
        <w:ind w:firstLine="496"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法定代表人（签字或盖章）：________</w:t>
      </w:r>
    </w:p>
    <w:p w14:paraId="78A5EA48">
      <w:pPr>
        <w:pStyle w:val="20"/>
        <w:spacing w:line="500" w:lineRule="exact"/>
        <w:ind w:firstLine="496"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被授权人(签字)：___________性别：_______职务：____________</w:t>
      </w:r>
    </w:p>
    <w:p w14:paraId="1019BA74">
      <w:pPr>
        <w:pStyle w:val="20"/>
        <w:spacing w:line="500" w:lineRule="exact"/>
        <w:ind w:firstLine="496" w:firstLineChars="200"/>
        <w:rPr>
          <w:rFonts w:hint="eastAsia"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联系地址：____________________</w:t>
      </w:r>
    </w:p>
    <w:p w14:paraId="4612B601">
      <w:pPr>
        <w:pStyle w:val="20"/>
        <w:spacing w:line="500" w:lineRule="exact"/>
        <w:ind w:firstLine="496" w:firstLineChars="200"/>
        <w:rPr>
          <w:rFonts w:hint="eastAsia"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联系电话：____________________传真：____________________</w:t>
      </w:r>
    </w:p>
    <w:p w14:paraId="56DD113D">
      <w:pPr>
        <w:pStyle w:val="20"/>
        <w:spacing w:line="500" w:lineRule="exact"/>
        <w:ind w:firstLine="496"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法定代表人及被授权人身份证复印件</w:t>
      </w:r>
    </w:p>
    <w:tbl>
      <w:tblPr>
        <w:tblStyle w:val="3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14:paraId="787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14:paraId="79EB38EF">
            <w:pPr>
              <w:pStyle w:val="20"/>
              <w:spacing w:line="500" w:lineRule="exact"/>
              <w:rPr>
                <w:rFonts w:hint="eastAsia" w:asciiTheme="minorEastAsia" w:hAnsiTheme="minorEastAsia" w:cstheme="minorEastAsia"/>
                <w:color w:val="auto"/>
                <w:sz w:val="24"/>
                <w:highlight w:val="none"/>
                <w:shd w:val="pct10" w:color="auto" w:fill="FFFFFF"/>
              </w:rPr>
            </w:pPr>
            <w:r>
              <w:rPr>
                <w:rFonts w:hint="eastAsia" w:asciiTheme="minorEastAsia" w:hAnsiTheme="minorEastAsia" w:cstheme="minorEastAsia"/>
                <w:color w:val="auto"/>
                <w:sz w:val="24"/>
                <w:highlight w:val="none"/>
                <w:shd w:val="pct10" w:color="auto" w:fill="FFFFFF"/>
              </w:rPr>
              <w:t>法定代表人身份证正反面复印件</w:t>
            </w:r>
          </w:p>
          <w:p w14:paraId="4FF4189E">
            <w:pPr>
              <w:pStyle w:val="20"/>
              <w:spacing w:line="500" w:lineRule="exact"/>
              <w:rPr>
                <w:rFonts w:hint="eastAsia" w:asciiTheme="minorEastAsia" w:hAnsiTheme="minorEastAsia" w:cstheme="minorEastAsia"/>
                <w:color w:val="auto"/>
                <w:sz w:val="24"/>
                <w:highlight w:val="none"/>
                <w:shd w:val="pct10" w:color="auto" w:fill="FFFFFF"/>
              </w:rPr>
            </w:pPr>
          </w:p>
        </w:tc>
        <w:tc>
          <w:tcPr>
            <w:tcW w:w="4597" w:type="dxa"/>
            <w:shd w:val="clear" w:color="auto" w:fill="D9D9D9"/>
            <w:vAlign w:val="center"/>
          </w:tcPr>
          <w:p w14:paraId="62613F89">
            <w:pPr>
              <w:pStyle w:val="20"/>
              <w:spacing w:line="500" w:lineRule="exact"/>
              <w:ind w:firstLine="496" w:firstLineChars="200"/>
              <w:rPr>
                <w:rFonts w:hint="eastAsia" w:asciiTheme="minorEastAsia" w:hAnsiTheme="minorEastAsia" w:cstheme="minorEastAsia"/>
                <w:color w:val="auto"/>
                <w:sz w:val="24"/>
                <w:highlight w:val="none"/>
                <w:shd w:val="pct10" w:color="auto" w:fill="FFFFFF"/>
              </w:rPr>
            </w:pPr>
            <w:r>
              <w:rPr>
                <w:rFonts w:hint="eastAsia" w:asciiTheme="minorEastAsia" w:hAnsiTheme="minorEastAsia" w:cstheme="minorEastAsia"/>
                <w:color w:val="auto"/>
                <w:sz w:val="24"/>
                <w:highlight w:val="none"/>
                <w:shd w:val="pct10" w:color="auto" w:fill="FFFFFF"/>
              </w:rPr>
              <w:t>被授权人身份证正反面复印件</w:t>
            </w:r>
          </w:p>
          <w:p w14:paraId="47CF5851">
            <w:pPr>
              <w:pStyle w:val="20"/>
              <w:spacing w:line="500" w:lineRule="exact"/>
              <w:ind w:firstLine="496" w:firstLineChars="200"/>
              <w:rPr>
                <w:rFonts w:hint="eastAsia" w:asciiTheme="minorEastAsia" w:hAnsiTheme="minorEastAsia" w:cstheme="minorEastAsia"/>
                <w:color w:val="auto"/>
                <w:sz w:val="24"/>
                <w:highlight w:val="none"/>
                <w:shd w:val="pct10" w:color="auto" w:fill="FFFFFF"/>
              </w:rPr>
            </w:pPr>
          </w:p>
        </w:tc>
      </w:tr>
    </w:tbl>
    <w:p w14:paraId="43F3609A">
      <w:pPr>
        <w:spacing w:line="560" w:lineRule="exact"/>
        <w:jc w:val="both"/>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t>注：授权代表参与投标的，提供授权代表开标前三个月内至少一个月的社会保险参保缴费情况证明</w:t>
      </w:r>
      <w:r>
        <w:rPr>
          <w:rFonts w:hint="eastAsia" w:ascii="宋体" w:hAnsi="宋体" w:eastAsia="宋体" w:cs="宋体"/>
          <w:color w:val="auto"/>
          <w:sz w:val="32"/>
          <w:szCs w:val="32"/>
          <w:highlight w:val="none"/>
        </w:rPr>
        <w:br w:type="page"/>
      </w:r>
    </w:p>
    <w:p w14:paraId="6ACDD7F9">
      <w:pPr>
        <w:spacing w:line="360" w:lineRule="auto"/>
        <w:ind w:firstLine="576" w:firstLineChars="200"/>
        <w:rPr>
          <w:rFonts w:hint="eastAsia" w:ascii="宋体" w:hAnsi="宋体" w:eastAsia="宋体" w:cs="宋体"/>
          <w:color w:val="auto"/>
          <w:sz w:val="28"/>
          <w:szCs w:val="28"/>
          <w:highlight w:val="none"/>
        </w:rPr>
      </w:pPr>
      <w:bookmarkStart w:id="207" w:name="_Toc4660"/>
      <w:bookmarkStart w:id="208" w:name="_Toc20610"/>
      <w:bookmarkStart w:id="209" w:name="_Toc27420"/>
      <w:r>
        <w:rPr>
          <w:rFonts w:hint="eastAsia" w:ascii="宋体" w:hAnsi="宋体" w:eastAsia="宋体" w:cs="宋体"/>
          <w:color w:val="auto"/>
          <w:sz w:val="28"/>
          <w:szCs w:val="28"/>
          <w:highlight w:val="none"/>
        </w:rPr>
        <w:t>（七）投标人应为具备国家市场监督管理总局颁发的《中华人民共和国特种设备检验检测机构核准证（综合检验机构甲类）》</w:t>
      </w:r>
      <w:r>
        <w:rPr>
          <w:rFonts w:hint="eastAsia" w:ascii="宋体" w:hAnsi="宋体" w:eastAsia="宋体" w:cs="宋体"/>
          <w:b/>
          <w:bCs/>
          <w:color w:val="auto"/>
          <w:sz w:val="28"/>
          <w:szCs w:val="28"/>
          <w:highlight w:val="none"/>
        </w:rPr>
        <w:t>或者</w:t>
      </w:r>
      <w:r>
        <w:rPr>
          <w:rFonts w:hint="eastAsia" w:ascii="宋体" w:hAnsi="宋体" w:eastAsia="宋体" w:cs="宋体"/>
          <w:color w:val="auto"/>
          <w:sz w:val="28"/>
          <w:szCs w:val="28"/>
          <w:highlight w:val="none"/>
        </w:rPr>
        <w:t>《中华人民共和国特种设备检验检测机构核准证（甲类A2级及以上检验机构）》的特种设备检验检测机构。（提供证明资料）</w:t>
      </w:r>
    </w:p>
    <w:p w14:paraId="75E3581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DB7C5F9">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（九）第一包：为保证本次监督抽查项目的公正性，投标人应当未在西安市开展机电类特种设备检验、检测工作，须提供书面声明。</w:t>
      </w:r>
    </w:p>
    <w:p w14:paraId="7E32A3E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书面声明</w:t>
      </w:r>
    </w:p>
    <w:p w14:paraId="77C74CA1">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我单位参与</w:t>
      </w:r>
      <w:r>
        <w:rPr>
          <w:rFonts w:hint="eastAsia" w:ascii="宋体" w:hAnsi="宋体" w:cs="宋体"/>
          <w:color w:val="auto"/>
          <w:sz w:val="28"/>
          <w:szCs w:val="28"/>
          <w:highlight w:val="none"/>
          <w:u w:val="single"/>
        </w:rPr>
        <w:t xml:space="preserve">陕西万泽招标有限公司 </w:t>
      </w:r>
      <w:r>
        <w:rPr>
          <w:rFonts w:hint="eastAsia" w:ascii="宋体" w:hAnsi="宋体" w:cs="宋体"/>
          <w:color w:val="auto"/>
          <w:sz w:val="28"/>
          <w:szCs w:val="28"/>
          <w:highlight w:val="none"/>
        </w:rPr>
        <w:t>组织的</w:t>
      </w:r>
      <w:r>
        <w:rPr>
          <w:rFonts w:hint="eastAsia" w:ascii="宋体" w:hAnsi="宋体" w:cs="宋体"/>
          <w:color w:val="auto"/>
          <w:sz w:val="28"/>
          <w:szCs w:val="28"/>
          <w:highlight w:val="none"/>
          <w:u w:val="single"/>
        </w:rPr>
        <w:t xml:space="preserve"> 西安市市场监督管理局2025年机电类特种设备安全质量监督抽查项目第一包</w:t>
      </w:r>
      <w:r>
        <w:rPr>
          <w:rFonts w:hint="eastAsia" w:ascii="宋体" w:hAnsi="宋体" w:cs="宋体"/>
          <w:color w:val="auto"/>
          <w:sz w:val="28"/>
          <w:szCs w:val="28"/>
          <w:highlight w:val="none"/>
        </w:rPr>
        <w:t>公开招标，我单位郑重声明：</w:t>
      </w:r>
      <w:r>
        <w:rPr>
          <w:rFonts w:hint="eastAsia" w:ascii="宋体" w:hAnsi="宋体" w:eastAsia="宋体" w:cs="宋体"/>
          <w:color w:val="auto"/>
          <w:sz w:val="28"/>
          <w:szCs w:val="28"/>
          <w:highlight w:val="none"/>
        </w:rPr>
        <w:t>我单位未在西安市开展机电类特种设备检验、检测工作。</w:t>
      </w:r>
    </w:p>
    <w:p w14:paraId="33D3A9CF">
      <w:pPr>
        <w:snapToGrid w:val="0"/>
        <w:spacing w:line="480" w:lineRule="auto"/>
        <w:ind w:firstLine="576"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特此声明。</w:t>
      </w:r>
    </w:p>
    <w:p w14:paraId="5A2644A3">
      <w:pPr>
        <w:snapToGrid w:val="0"/>
        <w:spacing w:line="360" w:lineRule="auto"/>
        <w:rPr>
          <w:rFonts w:hint="eastAsia" w:hAnsi="宋体" w:cs="宋体"/>
          <w:color w:val="auto"/>
          <w:sz w:val="28"/>
          <w:szCs w:val="28"/>
          <w:highlight w:val="none"/>
        </w:rPr>
      </w:pPr>
    </w:p>
    <w:p w14:paraId="09240446">
      <w:pPr>
        <w:snapToGrid w:val="0"/>
        <w:spacing w:line="360" w:lineRule="auto"/>
        <w:rPr>
          <w:rFonts w:hint="eastAsia" w:hAnsi="宋体" w:cs="宋体"/>
          <w:color w:val="auto"/>
          <w:sz w:val="28"/>
          <w:szCs w:val="28"/>
          <w:highlight w:val="none"/>
        </w:rPr>
      </w:pPr>
      <w:r>
        <w:rPr>
          <w:rFonts w:hint="eastAsia" w:hAnsi="宋体" w:cs="宋体"/>
          <w:color w:val="auto"/>
          <w:sz w:val="28"/>
          <w:szCs w:val="28"/>
          <w:highlight w:val="none"/>
        </w:rPr>
        <w:t>供应商（单位名称及公章）：</w:t>
      </w:r>
    </w:p>
    <w:p w14:paraId="45C4A9DA">
      <w:pPr>
        <w:pStyle w:val="20"/>
        <w:spacing w:line="360" w:lineRule="auto"/>
        <w:rPr>
          <w:rFonts w:hint="eastAsia" w:hAnsi="宋体" w:cs="宋体"/>
          <w:color w:val="auto"/>
          <w:sz w:val="28"/>
          <w:szCs w:val="28"/>
          <w:highlight w:val="none"/>
        </w:rPr>
      </w:pPr>
      <w:r>
        <w:rPr>
          <w:rFonts w:hint="eastAsia" w:hAnsi="宋体" w:cs="宋体"/>
          <w:color w:val="auto"/>
          <w:sz w:val="28"/>
          <w:szCs w:val="28"/>
          <w:highlight w:val="none"/>
        </w:rPr>
        <w:t>法定代表人或被授权人（签字或盖章）：</w:t>
      </w:r>
    </w:p>
    <w:p w14:paraId="24B4E16B">
      <w:pPr>
        <w:spacing w:line="360" w:lineRule="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4A389BD0">
      <w:pPr>
        <w:spacing w:line="360" w:lineRule="auto"/>
        <w:rPr>
          <w:rFonts w:hint="eastAsia" w:ascii="宋体" w:hAnsi="宋体" w:eastAsia="宋体" w:cs="宋体"/>
          <w:color w:val="auto"/>
          <w:sz w:val="28"/>
          <w:szCs w:val="28"/>
          <w:highlight w:val="none"/>
        </w:rPr>
      </w:pPr>
    </w:p>
    <w:p w14:paraId="78BE618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AAFCE75">
      <w:pPr>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（十）第二包：投标人须具备评审资格并提供国家级或省级市场监管部门书面认定证明或相关证明材料。（提供证明材料）</w:t>
      </w:r>
    </w:p>
    <w:p w14:paraId="05903FB1">
      <w:pPr>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（十一）第二包：投标人须声明与被抽查单位不存在资产、业务、管理等方面的利益关系。（提供书面声明）</w:t>
      </w:r>
    </w:p>
    <w:p w14:paraId="09E80CF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书面声明</w:t>
      </w:r>
    </w:p>
    <w:p w14:paraId="26464B41">
      <w:pPr>
        <w:spacing w:line="360" w:lineRule="auto"/>
        <w:ind w:firstLine="576"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我单位参与</w:t>
      </w:r>
      <w:r>
        <w:rPr>
          <w:rFonts w:hint="eastAsia" w:ascii="宋体" w:hAnsi="宋体" w:cs="宋体"/>
          <w:color w:val="auto"/>
          <w:sz w:val="28"/>
          <w:szCs w:val="28"/>
          <w:highlight w:val="none"/>
          <w:u w:val="single"/>
        </w:rPr>
        <w:t xml:space="preserve">陕西万泽招标有限公司 </w:t>
      </w:r>
      <w:r>
        <w:rPr>
          <w:rFonts w:hint="eastAsia" w:ascii="宋体" w:hAnsi="宋体" w:cs="宋体"/>
          <w:color w:val="auto"/>
          <w:sz w:val="28"/>
          <w:szCs w:val="28"/>
          <w:highlight w:val="none"/>
        </w:rPr>
        <w:t>组织的</w:t>
      </w:r>
      <w:r>
        <w:rPr>
          <w:rFonts w:hint="eastAsia" w:ascii="宋体" w:hAnsi="宋体" w:cs="宋体"/>
          <w:color w:val="auto"/>
          <w:sz w:val="28"/>
          <w:szCs w:val="28"/>
          <w:highlight w:val="none"/>
          <w:u w:val="single"/>
        </w:rPr>
        <w:t>西安市市场监督管理局2025年机电类特种设备安全质量监督抽查项目第二包</w:t>
      </w:r>
      <w:r>
        <w:rPr>
          <w:rFonts w:hint="eastAsia" w:ascii="宋体" w:hAnsi="宋体" w:cs="宋体"/>
          <w:color w:val="auto"/>
          <w:sz w:val="28"/>
          <w:szCs w:val="28"/>
          <w:highlight w:val="none"/>
        </w:rPr>
        <w:t>公开招标，我单位郑重声明：</w:t>
      </w:r>
      <w:r>
        <w:rPr>
          <w:rFonts w:hint="eastAsia" w:ascii="宋体" w:hAnsi="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我单位与被抽查单位不存在资产、业务、管理等方面的利益关系。</w:t>
      </w:r>
    </w:p>
    <w:p w14:paraId="71C1C930">
      <w:pPr>
        <w:snapToGrid w:val="0"/>
        <w:spacing w:line="480" w:lineRule="auto"/>
        <w:ind w:firstLine="576"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特此声明。</w:t>
      </w:r>
    </w:p>
    <w:p w14:paraId="325028B4">
      <w:pPr>
        <w:snapToGrid w:val="0"/>
        <w:spacing w:line="360" w:lineRule="auto"/>
        <w:rPr>
          <w:rFonts w:hint="eastAsia" w:hAnsi="宋体" w:cs="宋体"/>
          <w:color w:val="auto"/>
          <w:sz w:val="28"/>
          <w:szCs w:val="28"/>
          <w:highlight w:val="none"/>
        </w:rPr>
      </w:pPr>
    </w:p>
    <w:p w14:paraId="48365B61">
      <w:pPr>
        <w:snapToGrid w:val="0"/>
        <w:spacing w:line="360" w:lineRule="auto"/>
        <w:rPr>
          <w:rFonts w:hint="eastAsia" w:hAnsi="宋体" w:cs="宋体"/>
          <w:color w:val="auto"/>
          <w:sz w:val="28"/>
          <w:szCs w:val="28"/>
          <w:highlight w:val="none"/>
        </w:rPr>
      </w:pPr>
      <w:r>
        <w:rPr>
          <w:rFonts w:hint="eastAsia" w:hAnsi="宋体" w:cs="宋体"/>
          <w:color w:val="auto"/>
          <w:sz w:val="28"/>
          <w:szCs w:val="28"/>
          <w:highlight w:val="none"/>
        </w:rPr>
        <w:t>供应商（单位名称及公章）：</w:t>
      </w:r>
    </w:p>
    <w:p w14:paraId="685C77D8">
      <w:pPr>
        <w:pStyle w:val="20"/>
        <w:spacing w:line="360" w:lineRule="auto"/>
        <w:rPr>
          <w:rFonts w:hint="eastAsia" w:hAnsi="宋体" w:cs="宋体"/>
          <w:color w:val="auto"/>
          <w:sz w:val="28"/>
          <w:szCs w:val="28"/>
          <w:highlight w:val="none"/>
        </w:rPr>
      </w:pPr>
      <w:r>
        <w:rPr>
          <w:rFonts w:hint="eastAsia" w:hAnsi="宋体" w:cs="宋体"/>
          <w:color w:val="auto"/>
          <w:sz w:val="28"/>
          <w:szCs w:val="28"/>
          <w:highlight w:val="none"/>
        </w:rPr>
        <w:t>法定代表人或被授权人（签字或盖章）：</w:t>
      </w:r>
    </w:p>
    <w:p w14:paraId="3E6E90FB">
      <w:pPr>
        <w:spacing w:line="360" w:lineRule="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32BCBC29">
      <w:pPr>
        <w:spacing w:line="360" w:lineRule="auto"/>
        <w:jc w:val="center"/>
        <w:rPr>
          <w:rFonts w:hint="eastAsia" w:ascii="宋体" w:hAnsi="宋体" w:eastAsia="宋体" w:cs="宋体"/>
          <w:color w:val="auto"/>
          <w:sz w:val="28"/>
          <w:szCs w:val="28"/>
          <w:highlight w:val="none"/>
        </w:rPr>
      </w:pPr>
    </w:p>
    <w:p w14:paraId="0D8B359B">
      <w:pPr>
        <w:spacing w:line="360" w:lineRule="auto"/>
        <w:ind w:firstLine="576" w:firstLineChars="200"/>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（十二）本项目不接受联合体投标。</w:t>
      </w:r>
      <w:r>
        <w:rPr>
          <w:rFonts w:hint="eastAsia" w:ascii="宋体" w:hAnsi="宋体" w:eastAsia="宋体" w:cs="宋体"/>
          <w:b/>
          <w:bCs/>
          <w:color w:val="auto"/>
          <w:kern w:val="32"/>
          <w:sz w:val="28"/>
          <w:szCs w:val="28"/>
          <w:highlight w:val="none"/>
        </w:rPr>
        <w:t>（格式自拟）</w:t>
      </w:r>
    </w:p>
    <w:bookmarkEnd w:id="207"/>
    <w:bookmarkEnd w:id="208"/>
    <w:bookmarkEnd w:id="209"/>
    <w:p w14:paraId="30944471">
      <w:pPr>
        <w:rPr>
          <w:rFonts w:hint="eastAsia" w:ascii="宋体" w:hAnsi="宋体" w:eastAsia="宋体" w:cs="宋体"/>
          <w:color w:val="auto"/>
          <w:highlight w:val="none"/>
        </w:rPr>
      </w:pPr>
      <w:bookmarkStart w:id="210" w:name="_Toc5825"/>
      <w:bookmarkStart w:id="211" w:name="_Toc9106"/>
      <w:bookmarkStart w:id="212" w:name="_Toc28294"/>
      <w:bookmarkStart w:id="213" w:name="_Toc32575"/>
      <w:bookmarkStart w:id="214" w:name="_Toc30568"/>
      <w:bookmarkStart w:id="215" w:name="_Toc26570"/>
      <w:bookmarkStart w:id="216" w:name="_Toc29109"/>
      <w:bookmarkStart w:id="217" w:name="_Toc14575"/>
      <w:bookmarkStart w:id="218" w:name="_Toc18738"/>
      <w:r>
        <w:rPr>
          <w:rFonts w:hint="eastAsia" w:ascii="宋体" w:hAnsi="宋体" w:eastAsia="宋体" w:cs="宋体"/>
          <w:color w:val="auto"/>
          <w:highlight w:val="none"/>
        </w:rPr>
        <w:br w:type="page"/>
      </w:r>
    </w:p>
    <w:p w14:paraId="43126151">
      <w:pPr>
        <w:pStyle w:val="101"/>
        <w:spacing w:before="197" w:after="197"/>
        <w:ind w:firstLine="659"/>
        <w:jc w:val="center"/>
        <w:rPr>
          <w:rFonts w:hint="eastAsia" w:eastAsia="宋体"/>
          <w:color w:val="auto"/>
          <w:highlight w:val="none"/>
        </w:rPr>
      </w:pPr>
      <w:r>
        <w:rPr>
          <w:rFonts w:hint="eastAsia" w:ascii="宋体" w:hAnsi="宋体" w:eastAsia="宋体" w:cs="宋体"/>
          <w:color w:val="auto"/>
          <w:highlight w:val="none"/>
        </w:rPr>
        <w:t xml:space="preserve">第四部分  </w:t>
      </w:r>
      <w:r>
        <w:rPr>
          <w:rFonts w:hint="eastAsia" w:eastAsia="宋体"/>
          <w:color w:val="auto"/>
          <w:highlight w:val="none"/>
        </w:rPr>
        <w:t>供应商概况</w:t>
      </w:r>
      <w:bookmarkEnd w:id="210"/>
    </w:p>
    <w:tbl>
      <w:tblPr>
        <w:tblStyle w:val="9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4270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14:paraId="332C3818">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单位基本情况</w:t>
            </w:r>
          </w:p>
        </w:tc>
      </w:tr>
      <w:tr w14:paraId="3D28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7954816F">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供应商全称</w:t>
            </w:r>
          </w:p>
        </w:tc>
        <w:tc>
          <w:tcPr>
            <w:tcW w:w="6756" w:type="dxa"/>
            <w:gridSpan w:val="5"/>
          </w:tcPr>
          <w:p w14:paraId="39F6690C">
            <w:pPr>
              <w:ind w:firstLine="0"/>
              <w:jc w:val="both"/>
              <w:rPr>
                <w:rFonts w:hint="eastAsia" w:ascii="宋体" w:hAnsi="宋体" w:eastAsia="宋体" w:cs="宋体"/>
                <w:color w:val="auto"/>
                <w:kern w:val="2"/>
                <w:sz w:val="28"/>
                <w:szCs w:val="28"/>
                <w:highlight w:val="none"/>
              </w:rPr>
            </w:pPr>
          </w:p>
        </w:tc>
      </w:tr>
      <w:tr w14:paraId="7DBB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62BD218A">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注册地址</w:t>
            </w:r>
          </w:p>
        </w:tc>
        <w:tc>
          <w:tcPr>
            <w:tcW w:w="2416" w:type="dxa"/>
            <w:gridSpan w:val="2"/>
          </w:tcPr>
          <w:p w14:paraId="0CBC9E4D">
            <w:pPr>
              <w:ind w:firstLine="0"/>
              <w:jc w:val="both"/>
              <w:rPr>
                <w:rFonts w:hint="eastAsia" w:ascii="宋体" w:hAnsi="宋体" w:eastAsia="宋体" w:cs="宋体"/>
                <w:color w:val="auto"/>
                <w:kern w:val="2"/>
                <w:sz w:val="28"/>
                <w:szCs w:val="28"/>
                <w:highlight w:val="none"/>
              </w:rPr>
            </w:pPr>
          </w:p>
        </w:tc>
        <w:tc>
          <w:tcPr>
            <w:tcW w:w="1411" w:type="dxa"/>
          </w:tcPr>
          <w:p w14:paraId="3B11AA6B">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成立时间</w:t>
            </w:r>
          </w:p>
        </w:tc>
        <w:tc>
          <w:tcPr>
            <w:tcW w:w="2929" w:type="dxa"/>
            <w:gridSpan w:val="2"/>
          </w:tcPr>
          <w:p w14:paraId="2FC3986C">
            <w:pPr>
              <w:ind w:firstLine="0"/>
              <w:jc w:val="both"/>
              <w:rPr>
                <w:rFonts w:hint="eastAsia" w:ascii="宋体" w:hAnsi="宋体" w:eastAsia="宋体" w:cs="宋体"/>
                <w:color w:val="auto"/>
                <w:kern w:val="2"/>
                <w:sz w:val="28"/>
                <w:szCs w:val="28"/>
                <w:highlight w:val="none"/>
              </w:rPr>
            </w:pPr>
          </w:p>
        </w:tc>
      </w:tr>
      <w:tr w14:paraId="1051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13B967B5">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统一社会信用代码</w:t>
            </w:r>
          </w:p>
        </w:tc>
        <w:tc>
          <w:tcPr>
            <w:tcW w:w="2416" w:type="dxa"/>
            <w:gridSpan w:val="2"/>
          </w:tcPr>
          <w:p w14:paraId="4ACC41FA">
            <w:pPr>
              <w:ind w:firstLine="0"/>
              <w:jc w:val="both"/>
              <w:rPr>
                <w:rFonts w:hint="eastAsia" w:ascii="宋体" w:hAnsi="宋体" w:eastAsia="宋体" w:cs="宋体"/>
                <w:color w:val="auto"/>
                <w:kern w:val="2"/>
                <w:sz w:val="28"/>
                <w:szCs w:val="28"/>
                <w:highlight w:val="none"/>
              </w:rPr>
            </w:pPr>
          </w:p>
        </w:tc>
        <w:tc>
          <w:tcPr>
            <w:tcW w:w="1411" w:type="dxa"/>
          </w:tcPr>
          <w:p w14:paraId="190BE8A4">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单位性质</w:t>
            </w:r>
          </w:p>
        </w:tc>
        <w:tc>
          <w:tcPr>
            <w:tcW w:w="2929" w:type="dxa"/>
            <w:gridSpan w:val="2"/>
          </w:tcPr>
          <w:p w14:paraId="78E8A6BA">
            <w:pPr>
              <w:ind w:firstLine="0"/>
              <w:jc w:val="both"/>
              <w:rPr>
                <w:rFonts w:hint="eastAsia" w:ascii="宋体" w:hAnsi="宋体" w:eastAsia="宋体" w:cs="宋体"/>
                <w:color w:val="auto"/>
                <w:kern w:val="2"/>
                <w:sz w:val="28"/>
                <w:szCs w:val="28"/>
                <w:highlight w:val="none"/>
              </w:rPr>
            </w:pPr>
          </w:p>
        </w:tc>
      </w:tr>
      <w:tr w14:paraId="064F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1666EA78">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w:t>
            </w:r>
          </w:p>
          <w:p w14:paraId="053DB6B1">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（主要负责人）</w:t>
            </w:r>
          </w:p>
        </w:tc>
        <w:tc>
          <w:tcPr>
            <w:tcW w:w="2416" w:type="dxa"/>
            <w:gridSpan w:val="2"/>
          </w:tcPr>
          <w:p w14:paraId="2B966783">
            <w:pPr>
              <w:ind w:firstLine="0"/>
              <w:jc w:val="both"/>
              <w:rPr>
                <w:rFonts w:hint="eastAsia" w:ascii="宋体" w:hAnsi="宋体" w:eastAsia="宋体" w:cs="宋体"/>
                <w:color w:val="auto"/>
                <w:kern w:val="2"/>
                <w:sz w:val="28"/>
                <w:szCs w:val="28"/>
                <w:highlight w:val="none"/>
              </w:rPr>
            </w:pPr>
          </w:p>
        </w:tc>
        <w:tc>
          <w:tcPr>
            <w:tcW w:w="1411" w:type="dxa"/>
          </w:tcPr>
          <w:p w14:paraId="440DE3CE">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所属行业</w:t>
            </w:r>
          </w:p>
        </w:tc>
        <w:tc>
          <w:tcPr>
            <w:tcW w:w="2929" w:type="dxa"/>
            <w:gridSpan w:val="2"/>
          </w:tcPr>
          <w:p w14:paraId="63E94028">
            <w:pPr>
              <w:ind w:firstLine="0"/>
              <w:jc w:val="both"/>
              <w:rPr>
                <w:rFonts w:hint="eastAsia" w:ascii="宋体" w:hAnsi="宋体" w:eastAsia="宋体" w:cs="宋体"/>
                <w:color w:val="auto"/>
                <w:kern w:val="2"/>
                <w:sz w:val="28"/>
                <w:szCs w:val="28"/>
                <w:highlight w:val="none"/>
              </w:rPr>
            </w:pPr>
          </w:p>
        </w:tc>
      </w:tr>
      <w:tr w14:paraId="79E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27B3B4A7">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基本存款账户</w:t>
            </w:r>
          </w:p>
          <w:p w14:paraId="34263E97">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开户银行</w:t>
            </w:r>
          </w:p>
        </w:tc>
        <w:tc>
          <w:tcPr>
            <w:tcW w:w="2416" w:type="dxa"/>
            <w:gridSpan w:val="2"/>
          </w:tcPr>
          <w:p w14:paraId="3A3BEB1E">
            <w:pPr>
              <w:ind w:firstLine="0"/>
              <w:jc w:val="both"/>
              <w:rPr>
                <w:rFonts w:hint="eastAsia" w:ascii="宋体" w:hAnsi="宋体" w:eastAsia="宋体" w:cs="宋体"/>
                <w:color w:val="auto"/>
                <w:kern w:val="2"/>
                <w:sz w:val="28"/>
                <w:szCs w:val="28"/>
                <w:highlight w:val="none"/>
              </w:rPr>
            </w:pPr>
          </w:p>
        </w:tc>
        <w:tc>
          <w:tcPr>
            <w:tcW w:w="1411" w:type="dxa"/>
          </w:tcPr>
          <w:p w14:paraId="27B7A395">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基本存款</w:t>
            </w:r>
          </w:p>
          <w:p w14:paraId="4B0B621F">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账户账号</w:t>
            </w:r>
          </w:p>
        </w:tc>
        <w:tc>
          <w:tcPr>
            <w:tcW w:w="2929" w:type="dxa"/>
            <w:gridSpan w:val="2"/>
          </w:tcPr>
          <w:p w14:paraId="0EC014AF">
            <w:pPr>
              <w:ind w:firstLine="0"/>
              <w:jc w:val="both"/>
              <w:rPr>
                <w:rFonts w:hint="eastAsia" w:ascii="宋体" w:hAnsi="宋体" w:eastAsia="宋体" w:cs="宋体"/>
                <w:color w:val="auto"/>
                <w:kern w:val="2"/>
                <w:sz w:val="28"/>
                <w:szCs w:val="28"/>
                <w:highlight w:val="none"/>
              </w:rPr>
            </w:pPr>
          </w:p>
        </w:tc>
      </w:tr>
      <w:tr w14:paraId="4F16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0F5C0CBE">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上年度</w:t>
            </w:r>
          </w:p>
          <w:p w14:paraId="59618D4B">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营业收入*</w:t>
            </w:r>
          </w:p>
        </w:tc>
        <w:tc>
          <w:tcPr>
            <w:tcW w:w="2416" w:type="dxa"/>
            <w:gridSpan w:val="2"/>
          </w:tcPr>
          <w:p w14:paraId="0E765FE6">
            <w:pPr>
              <w:ind w:firstLine="0"/>
              <w:jc w:val="both"/>
              <w:rPr>
                <w:rFonts w:hint="eastAsia" w:ascii="宋体" w:hAnsi="宋体" w:eastAsia="宋体" w:cs="宋体"/>
                <w:color w:val="auto"/>
                <w:kern w:val="2"/>
                <w:sz w:val="28"/>
                <w:szCs w:val="28"/>
                <w:highlight w:val="none"/>
              </w:rPr>
            </w:pPr>
          </w:p>
        </w:tc>
        <w:tc>
          <w:tcPr>
            <w:tcW w:w="1411" w:type="dxa"/>
          </w:tcPr>
          <w:p w14:paraId="6E49B260">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资产总额</w:t>
            </w:r>
          </w:p>
        </w:tc>
        <w:tc>
          <w:tcPr>
            <w:tcW w:w="2929" w:type="dxa"/>
            <w:gridSpan w:val="2"/>
          </w:tcPr>
          <w:p w14:paraId="1C4CF314">
            <w:pPr>
              <w:ind w:firstLine="0"/>
              <w:jc w:val="both"/>
              <w:rPr>
                <w:rFonts w:hint="eastAsia" w:ascii="宋体" w:hAnsi="宋体" w:eastAsia="宋体" w:cs="宋体"/>
                <w:color w:val="auto"/>
                <w:kern w:val="2"/>
                <w:sz w:val="28"/>
                <w:szCs w:val="28"/>
                <w:highlight w:val="none"/>
              </w:rPr>
            </w:pPr>
          </w:p>
        </w:tc>
      </w:tr>
      <w:tr w14:paraId="4BFB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1D760D85">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经营范围</w:t>
            </w:r>
          </w:p>
        </w:tc>
        <w:tc>
          <w:tcPr>
            <w:tcW w:w="6756" w:type="dxa"/>
            <w:gridSpan w:val="5"/>
          </w:tcPr>
          <w:p w14:paraId="54F166A1">
            <w:pPr>
              <w:ind w:firstLine="0"/>
              <w:jc w:val="both"/>
              <w:rPr>
                <w:rFonts w:hint="eastAsia" w:ascii="宋体" w:hAnsi="宋体" w:eastAsia="宋体" w:cs="宋体"/>
                <w:color w:val="auto"/>
                <w:kern w:val="2"/>
                <w:sz w:val="28"/>
                <w:szCs w:val="28"/>
                <w:highlight w:val="none"/>
              </w:rPr>
            </w:pPr>
          </w:p>
        </w:tc>
      </w:tr>
      <w:tr w14:paraId="53FF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7B470FFB">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资质证书名称</w:t>
            </w:r>
          </w:p>
        </w:tc>
        <w:tc>
          <w:tcPr>
            <w:tcW w:w="2416" w:type="dxa"/>
            <w:gridSpan w:val="2"/>
          </w:tcPr>
          <w:p w14:paraId="703D1999">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证书号</w:t>
            </w:r>
          </w:p>
        </w:tc>
        <w:tc>
          <w:tcPr>
            <w:tcW w:w="1411" w:type="dxa"/>
          </w:tcPr>
          <w:p w14:paraId="730C07E0">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等级</w:t>
            </w:r>
          </w:p>
        </w:tc>
        <w:tc>
          <w:tcPr>
            <w:tcW w:w="2929" w:type="dxa"/>
            <w:gridSpan w:val="2"/>
          </w:tcPr>
          <w:p w14:paraId="2F9721F9">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类型</w:t>
            </w:r>
          </w:p>
        </w:tc>
      </w:tr>
      <w:tr w14:paraId="3633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7DCFE912">
            <w:pPr>
              <w:ind w:firstLine="0"/>
              <w:jc w:val="both"/>
              <w:rPr>
                <w:rFonts w:hint="eastAsia" w:ascii="宋体" w:hAnsi="宋体" w:eastAsia="宋体" w:cs="宋体"/>
                <w:color w:val="auto"/>
                <w:kern w:val="2"/>
                <w:sz w:val="28"/>
                <w:szCs w:val="28"/>
                <w:highlight w:val="none"/>
              </w:rPr>
            </w:pPr>
          </w:p>
        </w:tc>
        <w:tc>
          <w:tcPr>
            <w:tcW w:w="2416" w:type="dxa"/>
            <w:gridSpan w:val="2"/>
          </w:tcPr>
          <w:p w14:paraId="2C2D62FB">
            <w:pPr>
              <w:ind w:firstLine="0"/>
              <w:jc w:val="both"/>
              <w:rPr>
                <w:rFonts w:hint="eastAsia" w:ascii="宋体" w:hAnsi="宋体" w:eastAsia="宋体" w:cs="宋体"/>
                <w:color w:val="auto"/>
                <w:kern w:val="2"/>
                <w:sz w:val="28"/>
                <w:szCs w:val="28"/>
                <w:highlight w:val="none"/>
              </w:rPr>
            </w:pPr>
          </w:p>
        </w:tc>
        <w:tc>
          <w:tcPr>
            <w:tcW w:w="1411" w:type="dxa"/>
          </w:tcPr>
          <w:p w14:paraId="643B125F">
            <w:pPr>
              <w:ind w:firstLine="0"/>
              <w:jc w:val="both"/>
              <w:rPr>
                <w:rFonts w:hint="eastAsia" w:ascii="宋体" w:hAnsi="宋体" w:eastAsia="宋体" w:cs="宋体"/>
                <w:color w:val="auto"/>
                <w:kern w:val="2"/>
                <w:sz w:val="28"/>
                <w:szCs w:val="28"/>
                <w:highlight w:val="none"/>
              </w:rPr>
            </w:pPr>
          </w:p>
        </w:tc>
        <w:tc>
          <w:tcPr>
            <w:tcW w:w="2929" w:type="dxa"/>
            <w:gridSpan w:val="2"/>
          </w:tcPr>
          <w:p w14:paraId="493CA286">
            <w:pPr>
              <w:ind w:firstLine="0"/>
              <w:jc w:val="both"/>
              <w:rPr>
                <w:rFonts w:hint="eastAsia" w:ascii="宋体" w:hAnsi="宋体" w:eastAsia="宋体" w:cs="宋体"/>
                <w:color w:val="auto"/>
                <w:kern w:val="2"/>
                <w:sz w:val="28"/>
                <w:szCs w:val="28"/>
                <w:highlight w:val="none"/>
              </w:rPr>
            </w:pPr>
          </w:p>
        </w:tc>
      </w:tr>
      <w:tr w14:paraId="7B69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7BF0E45D">
            <w:pPr>
              <w:ind w:firstLine="0"/>
              <w:jc w:val="both"/>
              <w:rPr>
                <w:rFonts w:hint="eastAsia" w:ascii="宋体" w:hAnsi="宋体" w:eastAsia="宋体" w:cs="宋体"/>
                <w:color w:val="auto"/>
                <w:kern w:val="2"/>
                <w:sz w:val="28"/>
                <w:szCs w:val="28"/>
                <w:highlight w:val="none"/>
              </w:rPr>
            </w:pPr>
          </w:p>
        </w:tc>
        <w:tc>
          <w:tcPr>
            <w:tcW w:w="2416" w:type="dxa"/>
            <w:gridSpan w:val="2"/>
          </w:tcPr>
          <w:p w14:paraId="6375C33D">
            <w:pPr>
              <w:ind w:firstLine="0"/>
              <w:jc w:val="both"/>
              <w:rPr>
                <w:rFonts w:hint="eastAsia" w:ascii="宋体" w:hAnsi="宋体" w:eastAsia="宋体" w:cs="宋体"/>
                <w:color w:val="auto"/>
                <w:kern w:val="2"/>
                <w:sz w:val="28"/>
                <w:szCs w:val="28"/>
                <w:highlight w:val="none"/>
              </w:rPr>
            </w:pPr>
          </w:p>
        </w:tc>
        <w:tc>
          <w:tcPr>
            <w:tcW w:w="1411" w:type="dxa"/>
          </w:tcPr>
          <w:p w14:paraId="37CFD3F3">
            <w:pPr>
              <w:ind w:firstLine="0"/>
              <w:jc w:val="both"/>
              <w:rPr>
                <w:rFonts w:hint="eastAsia" w:ascii="宋体" w:hAnsi="宋体" w:eastAsia="宋体" w:cs="宋体"/>
                <w:color w:val="auto"/>
                <w:kern w:val="2"/>
                <w:sz w:val="28"/>
                <w:szCs w:val="28"/>
                <w:highlight w:val="none"/>
              </w:rPr>
            </w:pPr>
          </w:p>
        </w:tc>
        <w:tc>
          <w:tcPr>
            <w:tcW w:w="2929" w:type="dxa"/>
            <w:gridSpan w:val="2"/>
          </w:tcPr>
          <w:p w14:paraId="3B02F47C">
            <w:pPr>
              <w:ind w:firstLine="0"/>
              <w:jc w:val="both"/>
              <w:rPr>
                <w:rFonts w:hint="eastAsia" w:ascii="宋体" w:hAnsi="宋体" w:eastAsia="宋体" w:cs="宋体"/>
                <w:color w:val="auto"/>
                <w:kern w:val="2"/>
                <w:sz w:val="28"/>
                <w:szCs w:val="28"/>
                <w:highlight w:val="none"/>
              </w:rPr>
            </w:pPr>
          </w:p>
        </w:tc>
      </w:tr>
      <w:tr w14:paraId="12E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14:paraId="2C7801C3">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从业人员情况</w:t>
            </w:r>
          </w:p>
        </w:tc>
      </w:tr>
      <w:tr w14:paraId="19A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restart"/>
          </w:tcPr>
          <w:p w14:paraId="799E3D0D">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从业人员总数</w:t>
            </w:r>
          </w:p>
        </w:tc>
        <w:tc>
          <w:tcPr>
            <w:tcW w:w="992" w:type="dxa"/>
            <w:vMerge w:val="restart"/>
          </w:tcPr>
          <w:p w14:paraId="469926DD">
            <w:pPr>
              <w:ind w:firstLine="0"/>
              <w:jc w:val="both"/>
              <w:rPr>
                <w:rFonts w:hint="eastAsia" w:ascii="宋体" w:hAnsi="宋体" w:eastAsia="宋体" w:cs="宋体"/>
                <w:color w:val="auto"/>
                <w:kern w:val="2"/>
                <w:sz w:val="28"/>
                <w:szCs w:val="28"/>
                <w:highlight w:val="none"/>
              </w:rPr>
            </w:pPr>
          </w:p>
        </w:tc>
        <w:tc>
          <w:tcPr>
            <w:tcW w:w="1424" w:type="dxa"/>
          </w:tcPr>
          <w:p w14:paraId="7C74D1F6">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管理人员</w:t>
            </w:r>
          </w:p>
          <w:p w14:paraId="28A7B6DD">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数量</w:t>
            </w:r>
          </w:p>
        </w:tc>
        <w:tc>
          <w:tcPr>
            <w:tcW w:w="1411" w:type="dxa"/>
          </w:tcPr>
          <w:p w14:paraId="451F16B9">
            <w:pPr>
              <w:ind w:firstLine="0"/>
              <w:jc w:val="both"/>
              <w:rPr>
                <w:rFonts w:hint="eastAsia" w:ascii="宋体" w:hAnsi="宋体" w:eastAsia="宋体" w:cs="宋体"/>
                <w:color w:val="auto"/>
                <w:kern w:val="2"/>
                <w:sz w:val="28"/>
                <w:szCs w:val="28"/>
                <w:highlight w:val="none"/>
              </w:rPr>
            </w:pPr>
          </w:p>
        </w:tc>
        <w:tc>
          <w:tcPr>
            <w:tcW w:w="1464" w:type="dxa"/>
          </w:tcPr>
          <w:p w14:paraId="54B79A43">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专业技术</w:t>
            </w:r>
          </w:p>
          <w:p w14:paraId="22A5DB20">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人员数量</w:t>
            </w:r>
          </w:p>
        </w:tc>
        <w:tc>
          <w:tcPr>
            <w:tcW w:w="1465" w:type="dxa"/>
          </w:tcPr>
          <w:p w14:paraId="4FD42BD9">
            <w:pPr>
              <w:ind w:firstLine="0"/>
              <w:jc w:val="both"/>
              <w:rPr>
                <w:rFonts w:hint="eastAsia" w:ascii="宋体" w:hAnsi="宋体" w:eastAsia="宋体" w:cs="宋体"/>
                <w:color w:val="auto"/>
                <w:kern w:val="2"/>
                <w:sz w:val="28"/>
                <w:szCs w:val="28"/>
                <w:highlight w:val="none"/>
              </w:rPr>
            </w:pPr>
          </w:p>
        </w:tc>
      </w:tr>
      <w:tr w14:paraId="2AAF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continue"/>
          </w:tcPr>
          <w:p w14:paraId="1C5507E2">
            <w:pPr>
              <w:ind w:firstLine="0"/>
              <w:jc w:val="both"/>
              <w:rPr>
                <w:rFonts w:hint="eastAsia" w:ascii="宋体" w:hAnsi="宋体" w:eastAsia="宋体" w:cs="宋体"/>
                <w:color w:val="auto"/>
                <w:kern w:val="2"/>
                <w:sz w:val="28"/>
                <w:szCs w:val="28"/>
                <w:highlight w:val="none"/>
              </w:rPr>
            </w:pPr>
          </w:p>
        </w:tc>
        <w:tc>
          <w:tcPr>
            <w:tcW w:w="992" w:type="dxa"/>
            <w:vMerge w:val="continue"/>
          </w:tcPr>
          <w:p w14:paraId="051C329C">
            <w:pPr>
              <w:ind w:firstLine="0"/>
              <w:jc w:val="both"/>
              <w:rPr>
                <w:rFonts w:hint="eastAsia" w:ascii="宋体" w:hAnsi="宋体" w:eastAsia="宋体" w:cs="宋体"/>
                <w:color w:val="auto"/>
                <w:kern w:val="2"/>
                <w:sz w:val="28"/>
                <w:szCs w:val="28"/>
                <w:highlight w:val="none"/>
              </w:rPr>
            </w:pPr>
          </w:p>
        </w:tc>
        <w:tc>
          <w:tcPr>
            <w:tcW w:w="1424" w:type="dxa"/>
          </w:tcPr>
          <w:p w14:paraId="25CE456B">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残疾人</w:t>
            </w:r>
          </w:p>
          <w:p w14:paraId="7549DCEE">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数量</w:t>
            </w:r>
          </w:p>
        </w:tc>
        <w:tc>
          <w:tcPr>
            <w:tcW w:w="1411" w:type="dxa"/>
          </w:tcPr>
          <w:p w14:paraId="2DAD861B">
            <w:pPr>
              <w:ind w:firstLine="0"/>
              <w:jc w:val="both"/>
              <w:rPr>
                <w:rFonts w:hint="eastAsia" w:ascii="宋体" w:hAnsi="宋体" w:eastAsia="宋体" w:cs="宋体"/>
                <w:color w:val="auto"/>
                <w:kern w:val="2"/>
                <w:sz w:val="28"/>
                <w:szCs w:val="28"/>
                <w:highlight w:val="none"/>
              </w:rPr>
            </w:pPr>
          </w:p>
        </w:tc>
        <w:tc>
          <w:tcPr>
            <w:tcW w:w="1464" w:type="dxa"/>
          </w:tcPr>
          <w:p w14:paraId="74FE8628">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少数民族</w:t>
            </w:r>
          </w:p>
          <w:p w14:paraId="636DB041">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数量</w:t>
            </w:r>
          </w:p>
        </w:tc>
        <w:tc>
          <w:tcPr>
            <w:tcW w:w="1465" w:type="dxa"/>
          </w:tcPr>
          <w:p w14:paraId="020F940B">
            <w:pPr>
              <w:ind w:firstLine="0"/>
              <w:jc w:val="both"/>
              <w:rPr>
                <w:rFonts w:hint="eastAsia" w:ascii="宋体" w:hAnsi="宋体" w:eastAsia="宋体" w:cs="宋体"/>
                <w:color w:val="auto"/>
                <w:kern w:val="2"/>
                <w:sz w:val="28"/>
                <w:szCs w:val="28"/>
                <w:highlight w:val="none"/>
              </w:rPr>
            </w:pPr>
          </w:p>
        </w:tc>
      </w:tr>
      <w:tr w14:paraId="40FE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14:paraId="1CC80897">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存在直接控股、管理关系的相关供应商</w:t>
            </w:r>
          </w:p>
        </w:tc>
      </w:tr>
      <w:tr w14:paraId="06CB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74015EB0">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关系</w:t>
            </w:r>
          </w:p>
        </w:tc>
        <w:tc>
          <w:tcPr>
            <w:tcW w:w="6756" w:type="dxa"/>
            <w:gridSpan w:val="5"/>
          </w:tcPr>
          <w:p w14:paraId="739A701C">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供应商名称</w:t>
            </w:r>
          </w:p>
        </w:tc>
      </w:tr>
      <w:tr w14:paraId="38CF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5331B73B">
            <w:pPr>
              <w:ind w:firstLine="0"/>
              <w:jc w:val="both"/>
              <w:rPr>
                <w:rFonts w:hint="eastAsia" w:ascii="宋体" w:hAnsi="宋体" w:eastAsia="宋体" w:cs="宋体"/>
                <w:color w:val="auto"/>
                <w:kern w:val="2"/>
                <w:sz w:val="28"/>
                <w:szCs w:val="28"/>
                <w:highlight w:val="none"/>
              </w:rPr>
            </w:pPr>
          </w:p>
        </w:tc>
        <w:tc>
          <w:tcPr>
            <w:tcW w:w="6756" w:type="dxa"/>
            <w:gridSpan w:val="5"/>
          </w:tcPr>
          <w:p w14:paraId="354F2874">
            <w:pPr>
              <w:ind w:firstLine="0"/>
              <w:jc w:val="both"/>
              <w:rPr>
                <w:rFonts w:hint="eastAsia" w:ascii="宋体" w:hAnsi="宋体" w:eastAsia="宋体" w:cs="宋体"/>
                <w:color w:val="auto"/>
                <w:kern w:val="2"/>
                <w:sz w:val="28"/>
                <w:szCs w:val="28"/>
                <w:highlight w:val="none"/>
              </w:rPr>
            </w:pPr>
          </w:p>
        </w:tc>
      </w:tr>
      <w:tr w14:paraId="6A7C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12E0E56A">
            <w:pPr>
              <w:ind w:firstLine="0"/>
              <w:jc w:val="both"/>
              <w:rPr>
                <w:rFonts w:hint="eastAsia" w:ascii="宋体" w:hAnsi="宋体" w:eastAsia="宋体" w:cs="宋体"/>
                <w:color w:val="auto"/>
                <w:kern w:val="2"/>
                <w:sz w:val="28"/>
                <w:szCs w:val="28"/>
                <w:highlight w:val="none"/>
              </w:rPr>
            </w:pPr>
          </w:p>
        </w:tc>
        <w:tc>
          <w:tcPr>
            <w:tcW w:w="6756" w:type="dxa"/>
            <w:gridSpan w:val="5"/>
          </w:tcPr>
          <w:p w14:paraId="58CDCEA0">
            <w:pPr>
              <w:ind w:firstLine="0"/>
              <w:jc w:val="both"/>
              <w:rPr>
                <w:rFonts w:hint="eastAsia" w:ascii="宋体" w:hAnsi="宋体" w:eastAsia="宋体" w:cs="宋体"/>
                <w:color w:val="auto"/>
                <w:kern w:val="2"/>
                <w:sz w:val="28"/>
                <w:szCs w:val="28"/>
                <w:highlight w:val="none"/>
              </w:rPr>
            </w:pPr>
          </w:p>
        </w:tc>
      </w:tr>
      <w:tr w14:paraId="4604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14:paraId="4D600595">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说明</w:t>
            </w:r>
          </w:p>
        </w:tc>
        <w:tc>
          <w:tcPr>
            <w:tcW w:w="6756" w:type="dxa"/>
            <w:gridSpan w:val="5"/>
          </w:tcPr>
          <w:p w14:paraId="77C2F333">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1.成立时间至提交投标文件截止时间不足一年的可不填写“上年度营业收入”；</w:t>
            </w:r>
          </w:p>
          <w:p w14:paraId="0CF8F613">
            <w:pPr>
              <w:ind w:firstLine="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2.表格空间不足时，请自行扩展。</w:t>
            </w:r>
          </w:p>
        </w:tc>
      </w:tr>
    </w:tbl>
    <w:p w14:paraId="44CBA67B">
      <w:pPr>
        <w:rPr>
          <w:rFonts w:hint="eastAsia" w:ascii="宋体" w:hAnsi="宋体" w:eastAsia="宋体" w:cs="宋体"/>
          <w:color w:val="auto"/>
          <w:sz w:val="32"/>
          <w:szCs w:val="32"/>
          <w:highlight w:val="none"/>
        </w:rPr>
      </w:pPr>
    </w:p>
    <w:p w14:paraId="53BE942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145687D">
      <w:pPr>
        <w:pStyle w:val="3"/>
        <w:ind w:firstLine="657"/>
        <w:jc w:val="center"/>
        <w:rPr>
          <w:rFonts w:hint="eastAsia" w:ascii="宋体" w:hAnsi="宋体" w:eastAsia="宋体" w:cs="宋体"/>
          <w:color w:val="auto"/>
          <w:highlight w:val="none"/>
        </w:rPr>
      </w:pPr>
      <w:bookmarkStart w:id="219" w:name="_Toc26526"/>
      <w:r>
        <w:rPr>
          <w:rFonts w:hint="eastAsia" w:ascii="宋体" w:hAnsi="宋体" w:eastAsia="宋体" w:cs="宋体"/>
          <w:color w:val="auto"/>
          <w:highlight w:val="none"/>
        </w:rPr>
        <w:t xml:space="preserve">第五部分  </w:t>
      </w:r>
      <w:bookmarkEnd w:id="211"/>
      <w:bookmarkEnd w:id="212"/>
      <w:bookmarkEnd w:id="213"/>
      <w:bookmarkEnd w:id="214"/>
      <w:r>
        <w:rPr>
          <w:rFonts w:hint="eastAsia" w:ascii="宋体" w:hAnsi="宋体" w:eastAsia="宋体" w:cs="宋体"/>
          <w:color w:val="auto"/>
          <w:highlight w:val="none"/>
        </w:rPr>
        <w:t>商务和技术响应偏离表</w:t>
      </w:r>
      <w:bookmarkEnd w:id="219"/>
    </w:p>
    <w:p w14:paraId="6EC66D95">
      <w:pPr>
        <w:kinsoku w:val="0"/>
        <w:spacing w:line="480" w:lineRule="auto"/>
        <w:ind w:left="1269" w:hanging="1267" w:hangingChars="44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表1、商务响应偏差表</w:t>
      </w:r>
    </w:p>
    <w:tbl>
      <w:tblPr>
        <w:tblStyle w:val="3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25"/>
        <w:gridCol w:w="1740"/>
        <w:gridCol w:w="2755"/>
        <w:gridCol w:w="1550"/>
      </w:tblGrid>
      <w:tr w14:paraId="476E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8" w:type="dxa"/>
            <w:vAlign w:val="center"/>
          </w:tcPr>
          <w:p w14:paraId="4D66D5BA">
            <w:pPr>
              <w:pStyle w:val="20"/>
              <w:spacing w:line="480" w:lineRule="auto"/>
              <w:jc w:val="center"/>
              <w:rPr>
                <w:rFonts w:hint="eastAsia" w:hAnsi="宋体" w:eastAsia="宋体" w:cs="宋体"/>
                <w:color w:val="auto"/>
                <w:sz w:val="24"/>
                <w:highlight w:val="none"/>
              </w:rPr>
            </w:pPr>
            <w:r>
              <w:rPr>
                <w:rFonts w:hint="eastAsia" w:hAnsi="宋体" w:eastAsia="宋体" w:cs="宋体"/>
                <w:color w:val="auto"/>
                <w:sz w:val="24"/>
                <w:highlight w:val="none"/>
              </w:rPr>
              <w:t>序号</w:t>
            </w:r>
          </w:p>
        </w:tc>
        <w:tc>
          <w:tcPr>
            <w:tcW w:w="1425" w:type="dxa"/>
            <w:vAlign w:val="center"/>
          </w:tcPr>
          <w:p w14:paraId="7D223049">
            <w:pPr>
              <w:pStyle w:val="20"/>
              <w:spacing w:line="480" w:lineRule="auto"/>
              <w:rPr>
                <w:rFonts w:hint="eastAsia" w:hAnsi="宋体" w:eastAsia="宋体" w:cs="宋体"/>
                <w:color w:val="auto"/>
                <w:sz w:val="24"/>
                <w:highlight w:val="none"/>
              </w:rPr>
            </w:pPr>
            <w:r>
              <w:rPr>
                <w:rFonts w:hint="eastAsia" w:hAnsi="宋体" w:eastAsia="宋体" w:cs="宋体"/>
                <w:color w:val="auto"/>
                <w:sz w:val="24"/>
                <w:highlight w:val="none"/>
              </w:rPr>
              <w:t xml:space="preserve"> 商务条款</w:t>
            </w:r>
          </w:p>
        </w:tc>
        <w:tc>
          <w:tcPr>
            <w:tcW w:w="1740" w:type="dxa"/>
            <w:vAlign w:val="center"/>
          </w:tcPr>
          <w:p w14:paraId="23A35A0E">
            <w:pPr>
              <w:pStyle w:val="20"/>
              <w:spacing w:line="480" w:lineRule="auto"/>
              <w:rPr>
                <w:rFonts w:hint="eastAsia" w:hAnsi="宋体" w:eastAsia="宋体" w:cs="宋体"/>
                <w:color w:val="auto"/>
                <w:sz w:val="24"/>
                <w:highlight w:val="none"/>
              </w:rPr>
            </w:pPr>
            <w:r>
              <w:rPr>
                <w:rFonts w:hint="eastAsia" w:hAnsi="宋体" w:eastAsia="宋体" w:cs="宋体"/>
                <w:color w:val="auto"/>
                <w:sz w:val="24"/>
                <w:highlight w:val="none"/>
              </w:rPr>
              <w:t>商务要求内容</w:t>
            </w:r>
          </w:p>
        </w:tc>
        <w:tc>
          <w:tcPr>
            <w:tcW w:w="2755" w:type="dxa"/>
            <w:vAlign w:val="center"/>
          </w:tcPr>
          <w:p w14:paraId="4CC2968A">
            <w:pPr>
              <w:pStyle w:val="20"/>
              <w:spacing w:line="480" w:lineRule="auto"/>
              <w:rPr>
                <w:rFonts w:hint="eastAsia" w:hAnsi="宋体" w:eastAsia="宋体" w:cs="宋体"/>
                <w:color w:val="auto"/>
                <w:sz w:val="24"/>
                <w:highlight w:val="none"/>
              </w:rPr>
            </w:pPr>
            <w:r>
              <w:rPr>
                <w:rFonts w:hint="eastAsia" w:hAnsi="宋体" w:eastAsia="宋体" w:cs="宋体"/>
                <w:color w:val="auto"/>
                <w:sz w:val="24"/>
                <w:highlight w:val="none"/>
              </w:rPr>
              <w:t>响应文件响应商务内容</w:t>
            </w:r>
          </w:p>
        </w:tc>
        <w:tc>
          <w:tcPr>
            <w:tcW w:w="1550" w:type="dxa"/>
            <w:vAlign w:val="center"/>
          </w:tcPr>
          <w:p w14:paraId="60160299">
            <w:pPr>
              <w:pStyle w:val="20"/>
              <w:spacing w:line="480" w:lineRule="auto"/>
              <w:jc w:val="center"/>
              <w:rPr>
                <w:rFonts w:hint="eastAsia" w:hAnsi="宋体" w:eastAsia="宋体" w:cs="宋体"/>
                <w:color w:val="auto"/>
                <w:sz w:val="24"/>
                <w:highlight w:val="none"/>
              </w:rPr>
            </w:pPr>
            <w:r>
              <w:rPr>
                <w:rFonts w:hint="eastAsia" w:hAnsi="宋体" w:eastAsia="宋体" w:cs="宋体"/>
                <w:color w:val="auto"/>
                <w:sz w:val="24"/>
                <w:highlight w:val="none"/>
              </w:rPr>
              <w:t>偏离说明</w:t>
            </w:r>
          </w:p>
        </w:tc>
      </w:tr>
      <w:tr w14:paraId="24E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78EE754B">
            <w:pPr>
              <w:pStyle w:val="20"/>
              <w:spacing w:line="480" w:lineRule="auto"/>
              <w:ind w:firstLine="496" w:firstLineChars="200"/>
              <w:rPr>
                <w:rFonts w:hint="eastAsia" w:hAnsi="宋体" w:eastAsia="宋体" w:cs="宋体"/>
                <w:color w:val="auto"/>
                <w:sz w:val="24"/>
                <w:highlight w:val="none"/>
              </w:rPr>
            </w:pPr>
          </w:p>
        </w:tc>
        <w:tc>
          <w:tcPr>
            <w:tcW w:w="1425" w:type="dxa"/>
          </w:tcPr>
          <w:p w14:paraId="6F16C856">
            <w:pPr>
              <w:pStyle w:val="20"/>
              <w:spacing w:line="480" w:lineRule="auto"/>
              <w:ind w:firstLine="496" w:firstLineChars="200"/>
              <w:rPr>
                <w:rFonts w:hint="eastAsia" w:hAnsi="宋体" w:eastAsia="宋体" w:cs="宋体"/>
                <w:color w:val="auto"/>
                <w:sz w:val="24"/>
                <w:highlight w:val="none"/>
              </w:rPr>
            </w:pPr>
          </w:p>
        </w:tc>
        <w:tc>
          <w:tcPr>
            <w:tcW w:w="1740" w:type="dxa"/>
            <w:vAlign w:val="center"/>
          </w:tcPr>
          <w:p w14:paraId="58108274">
            <w:pPr>
              <w:pStyle w:val="20"/>
              <w:spacing w:line="480" w:lineRule="auto"/>
              <w:ind w:firstLine="496" w:firstLineChars="200"/>
              <w:rPr>
                <w:rFonts w:hint="eastAsia" w:hAnsi="宋体" w:eastAsia="宋体" w:cs="宋体"/>
                <w:color w:val="auto"/>
                <w:sz w:val="24"/>
                <w:highlight w:val="none"/>
              </w:rPr>
            </w:pPr>
          </w:p>
        </w:tc>
        <w:tc>
          <w:tcPr>
            <w:tcW w:w="2755" w:type="dxa"/>
            <w:vAlign w:val="center"/>
          </w:tcPr>
          <w:p w14:paraId="0C6975AF">
            <w:pPr>
              <w:pStyle w:val="20"/>
              <w:spacing w:line="480" w:lineRule="auto"/>
              <w:ind w:firstLine="496" w:firstLineChars="200"/>
              <w:rPr>
                <w:rFonts w:hint="eastAsia" w:hAnsi="宋体" w:eastAsia="宋体" w:cs="宋体"/>
                <w:color w:val="auto"/>
                <w:sz w:val="24"/>
                <w:highlight w:val="none"/>
              </w:rPr>
            </w:pPr>
          </w:p>
        </w:tc>
        <w:tc>
          <w:tcPr>
            <w:tcW w:w="1550" w:type="dxa"/>
            <w:vAlign w:val="center"/>
          </w:tcPr>
          <w:p w14:paraId="44D4705F">
            <w:pPr>
              <w:pStyle w:val="20"/>
              <w:spacing w:line="480" w:lineRule="auto"/>
              <w:ind w:firstLine="496" w:firstLineChars="200"/>
              <w:rPr>
                <w:rFonts w:hint="eastAsia" w:hAnsi="宋体" w:eastAsia="宋体" w:cs="宋体"/>
                <w:color w:val="auto"/>
                <w:sz w:val="24"/>
                <w:highlight w:val="none"/>
              </w:rPr>
            </w:pPr>
          </w:p>
        </w:tc>
      </w:tr>
      <w:tr w14:paraId="4305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6D1860B0">
            <w:pPr>
              <w:pStyle w:val="20"/>
              <w:spacing w:line="480" w:lineRule="auto"/>
              <w:ind w:firstLine="496" w:firstLineChars="200"/>
              <w:rPr>
                <w:rFonts w:hint="eastAsia" w:hAnsi="宋体" w:eastAsia="宋体" w:cs="宋体"/>
                <w:color w:val="auto"/>
                <w:sz w:val="24"/>
                <w:highlight w:val="none"/>
              </w:rPr>
            </w:pPr>
          </w:p>
        </w:tc>
        <w:tc>
          <w:tcPr>
            <w:tcW w:w="1425" w:type="dxa"/>
          </w:tcPr>
          <w:p w14:paraId="5B424023">
            <w:pPr>
              <w:pStyle w:val="20"/>
              <w:spacing w:line="480" w:lineRule="auto"/>
              <w:ind w:firstLine="496" w:firstLineChars="200"/>
              <w:rPr>
                <w:rFonts w:hint="eastAsia" w:hAnsi="宋体" w:eastAsia="宋体" w:cs="宋体"/>
                <w:color w:val="auto"/>
                <w:sz w:val="24"/>
                <w:highlight w:val="none"/>
              </w:rPr>
            </w:pPr>
          </w:p>
        </w:tc>
        <w:tc>
          <w:tcPr>
            <w:tcW w:w="1740" w:type="dxa"/>
          </w:tcPr>
          <w:p w14:paraId="17A376D4">
            <w:pPr>
              <w:pStyle w:val="20"/>
              <w:spacing w:line="480" w:lineRule="auto"/>
              <w:ind w:firstLine="496" w:firstLineChars="200"/>
              <w:rPr>
                <w:rFonts w:hint="eastAsia" w:hAnsi="宋体" w:eastAsia="宋体" w:cs="宋体"/>
                <w:color w:val="auto"/>
                <w:sz w:val="24"/>
                <w:highlight w:val="none"/>
              </w:rPr>
            </w:pPr>
          </w:p>
        </w:tc>
        <w:tc>
          <w:tcPr>
            <w:tcW w:w="2755" w:type="dxa"/>
          </w:tcPr>
          <w:p w14:paraId="75125D02">
            <w:pPr>
              <w:pStyle w:val="20"/>
              <w:spacing w:line="480" w:lineRule="auto"/>
              <w:ind w:firstLine="496" w:firstLineChars="200"/>
              <w:rPr>
                <w:rFonts w:hint="eastAsia" w:hAnsi="宋体" w:eastAsia="宋体" w:cs="宋体"/>
                <w:color w:val="auto"/>
                <w:sz w:val="24"/>
                <w:highlight w:val="none"/>
              </w:rPr>
            </w:pPr>
          </w:p>
        </w:tc>
        <w:tc>
          <w:tcPr>
            <w:tcW w:w="1550" w:type="dxa"/>
          </w:tcPr>
          <w:p w14:paraId="5C870631">
            <w:pPr>
              <w:pStyle w:val="20"/>
              <w:spacing w:line="480" w:lineRule="auto"/>
              <w:ind w:firstLine="496" w:firstLineChars="200"/>
              <w:rPr>
                <w:rFonts w:hint="eastAsia" w:hAnsi="宋体" w:eastAsia="宋体" w:cs="宋体"/>
                <w:color w:val="auto"/>
                <w:sz w:val="24"/>
                <w:highlight w:val="none"/>
              </w:rPr>
            </w:pPr>
          </w:p>
        </w:tc>
      </w:tr>
      <w:tr w14:paraId="1E02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43E77D93">
            <w:pPr>
              <w:pStyle w:val="20"/>
              <w:spacing w:line="480" w:lineRule="auto"/>
              <w:ind w:firstLine="496" w:firstLineChars="200"/>
              <w:rPr>
                <w:rFonts w:hint="eastAsia" w:hAnsi="宋体" w:eastAsia="宋体" w:cs="宋体"/>
                <w:color w:val="auto"/>
                <w:sz w:val="24"/>
                <w:highlight w:val="none"/>
              </w:rPr>
            </w:pPr>
          </w:p>
        </w:tc>
        <w:tc>
          <w:tcPr>
            <w:tcW w:w="1425" w:type="dxa"/>
          </w:tcPr>
          <w:p w14:paraId="22C9388F">
            <w:pPr>
              <w:pStyle w:val="20"/>
              <w:spacing w:line="480" w:lineRule="auto"/>
              <w:ind w:firstLine="496" w:firstLineChars="200"/>
              <w:rPr>
                <w:rFonts w:hint="eastAsia" w:hAnsi="宋体" w:eastAsia="宋体" w:cs="宋体"/>
                <w:color w:val="auto"/>
                <w:sz w:val="24"/>
                <w:highlight w:val="none"/>
              </w:rPr>
            </w:pPr>
          </w:p>
        </w:tc>
        <w:tc>
          <w:tcPr>
            <w:tcW w:w="1740" w:type="dxa"/>
          </w:tcPr>
          <w:p w14:paraId="1C8B9CB8">
            <w:pPr>
              <w:pStyle w:val="20"/>
              <w:spacing w:line="480" w:lineRule="auto"/>
              <w:ind w:firstLine="496" w:firstLineChars="200"/>
              <w:rPr>
                <w:rFonts w:hint="eastAsia" w:hAnsi="宋体" w:eastAsia="宋体" w:cs="宋体"/>
                <w:color w:val="auto"/>
                <w:sz w:val="24"/>
                <w:highlight w:val="none"/>
              </w:rPr>
            </w:pPr>
          </w:p>
        </w:tc>
        <w:tc>
          <w:tcPr>
            <w:tcW w:w="2755" w:type="dxa"/>
          </w:tcPr>
          <w:p w14:paraId="3307FF5C">
            <w:pPr>
              <w:pStyle w:val="20"/>
              <w:spacing w:line="480" w:lineRule="auto"/>
              <w:ind w:firstLine="496" w:firstLineChars="200"/>
              <w:rPr>
                <w:rFonts w:hint="eastAsia" w:hAnsi="宋体" w:eastAsia="宋体" w:cs="宋体"/>
                <w:color w:val="auto"/>
                <w:sz w:val="24"/>
                <w:highlight w:val="none"/>
              </w:rPr>
            </w:pPr>
          </w:p>
        </w:tc>
        <w:tc>
          <w:tcPr>
            <w:tcW w:w="1550" w:type="dxa"/>
          </w:tcPr>
          <w:p w14:paraId="54DC2EF5">
            <w:pPr>
              <w:pStyle w:val="20"/>
              <w:spacing w:line="480" w:lineRule="auto"/>
              <w:ind w:firstLine="496" w:firstLineChars="200"/>
              <w:rPr>
                <w:rFonts w:hint="eastAsia" w:hAnsi="宋体" w:eastAsia="宋体" w:cs="宋体"/>
                <w:color w:val="auto"/>
                <w:sz w:val="24"/>
                <w:highlight w:val="none"/>
              </w:rPr>
            </w:pPr>
          </w:p>
        </w:tc>
      </w:tr>
      <w:tr w14:paraId="7625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5A198A7B">
            <w:pPr>
              <w:pStyle w:val="20"/>
              <w:spacing w:line="480" w:lineRule="auto"/>
              <w:ind w:firstLine="496" w:firstLineChars="200"/>
              <w:rPr>
                <w:rFonts w:hint="eastAsia" w:hAnsi="宋体" w:eastAsia="宋体" w:cs="宋体"/>
                <w:color w:val="auto"/>
                <w:sz w:val="24"/>
                <w:highlight w:val="none"/>
              </w:rPr>
            </w:pPr>
          </w:p>
        </w:tc>
        <w:tc>
          <w:tcPr>
            <w:tcW w:w="1425" w:type="dxa"/>
          </w:tcPr>
          <w:p w14:paraId="20E283DA">
            <w:pPr>
              <w:pStyle w:val="20"/>
              <w:spacing w:line="480" w:lineRule="auto"/>
              <w:ind w:firstLine="496" w:firstLineChars="200"/>
              <w:rPr>
                <w:rFonts w:hint="eastAsia" w:hAnsi="宋体" w:eastAsia="宋体" w:cs="宋体"/>
                <w:color w:val="auto"/>
                <w:sz w:val="24"/>
                <w:highlight w:val="none"/>
              </w:rPr>
            </w:pPr>
          </w:p>
        </w:tc>
        <w:tc>
          <w:tcPr>
            <w:tcW w:w="1740" w:type="dxa"/>
          </w:tcPr>
          <w:p w14:paraId="2CE8FCA4">
            <w:pPr>
              <w:pStyle w:val="20"/>
              <w:spacing w:line="480" w:lineRule="auto"/>
              <w:ind w:firstLine="496" w:firstLineChars="200"/>
              <w:rPr>
                <w:rFonts w:hint="eastAsia" w:hAnsi="宋体" w:eastAsia="宋体" w:cs="宋体"/>
                <w:color w:val="auto"/>
                <w:sz w:val="24"/>
                <w:highlight w:val="none"/>
              </w:rPr>
            </w:pPr>
          </w:p>
        </w:tc>
        <w:tc>
          <w:tcPr>
            <w:tcW w:w="2755" w:type="dxa"/>
          </w:tcPr>
          <w:p w14:paraId="0130ED22">
            <w:pPr>
              <w:pStyle w:val="20"/>
              <w:spacing w:line="480" w:lineRule="auto"/>
              <w:ind w:firstLine="496" w:firstLineChars="200"/>
              <w:rPr>
                <w:rFonts w:hint="eastAsia" w:hAnsi="宋体" w:eastAsia="宋体" w:cs="宋体"/>
                <w:color w:val="auto"/>
                <w:sz w:val="24"/>
                <w:highlight w:val="none"/>
              </w:rPr>
            </w:pPr>
          </w:p>
        </w:tc>
        <w:tc>
          <w:tcPr>
            <w:tcW w:w="1550" w:type="dxa"/>
          </w:tcPr>
          <w:p w14:paraId="4D05E4C0">
            <w:pPr>
              <w:pStyle w:val="20"/>
              <w:spacing w:line="480" w:lineRule="auto"/>
              <w:ind w:firstLine="496" w:firstLineChars="200"/>
              <w:rPr>
                <w:rFonts w:hint="eastAsia" w:hAnsi="宋体" w:eastAsia="宋体" w:cs="宋体"/>
                <w:color w:val="auto"/>
                <w:sz w:val="24"/>
                <w:highlight w:val="none"/>
              </w:rPr>
            </w:pPr>
          </w:p>
        </w:tc>
      </w:tr>
      <w:tr w14:paraId="5BB8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194B5CE7">
            <w:pPr>
              <w:pStyle w:val="20"/>
              <w:spacing w:line="480" w:lineRule="auto"/>
              <w:ind w:firstLine="496" w:firstLineChars="200"/>
              <w:rPr>
                <w:rFonts w:hint="eastAsia" w:hAnsi="宋体" w:eastAsia="宋体" w:cs="宋体"/>
                <w:color w:val="auto"/>
                <w:sz w:val="24"/>
                <w:highlight w:val="none"/>
              </w:rPr>
            </w:pPr>
          </w:p>
        </w:tc>
        <w:tc>
          <w:tcPr>
            <w:tcW w:w="1425" w:type="dxa"/>
          </w:tcPr>
          <w:p w14:paraId="7B37CFD3">
            <w:pPr>
              <w:pStyle w:val="20"/>
              <w:spacing w:line="480" w:lineRule="auto"/>
              <w:ind w:firstLine="496" w:firstLineChars="200"/>
              <w:rPr>
                <w:rFonts w:hint="eastAsia" w:hAnsi="宋体" w:eastAsia="宋体" w:cs="宋体"/>
                <w:color w:val="auto"/>
                <w:sz w:val="24"/>
                <w:highlight w:val="none"/>
              </w:rPr>
            </w:pPr>
          </w:p>
        </w:tc>
        <w:tc>
          <w:tcPr>
            <w:tcW w:w="1740" w:type="dxa"/>
          </w:tcPr>
          <w:p w14:paraId="272CBD8D">
            <w:pPr>
              <w:pStyle w:val="20"/>
              <w:spacing w:line="480" w:lineRule="auto"/>
              <w:ind w:firstLine="496" w:firstLineChars="200"/>
              <w:rPr>
                <w:rFonts w:hint="eastAsia" w:hAnsi="宋体" w:eastAsia="宋体" w:cs="宋体"/>
                <w:color w:val="auto"/>
                <w:sz w:val="24"/>
                <w:highlight w:val="none"/>
              </w:rPr>
            </w:pPr>
          </w:p>
        </w:tc>
        <w:tc>
          <w:tcPr>
            <w:tcW w:w="2755" w:type="dxa"/>
          </w:tcPr>
          <w:p w14:paraId="7A709346">
            <w:pPr>
              <w:pStyle w:val="20"/>
              <w:spacing w:line="480" w:lineRule="auto"/>
              <w:ind w:firstLine="496" w:firstLineChars="200"/>
              <w:rPr>
                <w:rFonts w:hint="eastAsia" w:hAnsi="宋体" w:eastAsia="宋体" w:cs="宋体"/>
                <w:color w:val="auto"/>
                <w:sz w:val="24"/>
                <w:highlight w:val="none"/>
              </w:rPr>
            </w:pPr>
          </w:p>
        </w:tc>
        <w:tc>
          <w:tcPr>
            <w:tcW w:w="1550" w:type="dxa"/>
          </w:tcPr>
          <w:p w14:paraId="4BCEE874">
            <w:pPr>
              <w:pStyle w:val="20"/>
              <w:spacing w:line="480" w:lineRule="auto"/>
              <w:ind w:firstLine="496" w:firstLineChars="200"/>
              <w:rPr>
                <w:rFonts w:hint="eastAsia" w:hAnsi="宋体" w:eastAsia="宋体" w:cs="宋体"/>
                <w:color w:val="auto"/>
                <w:sz w:val="24"/>
                <w:highlight w:val="none"/>
              </w:rPr>
            </w:pPr>
          </w:p>
        </w:tc>
      </w:tr>
      <w:tr w14:paraId="1B32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14:paraId="50FC823C">
            <w:pPr>
              <w:pStyle w:val="20"/>
              <w:spacing w:line="480" w:lineRule="auto"/>
              <w:ind w:firstLine="496" w:firstLineChars="200"/>
              <w:rPr>
                <w:rFonts w:hint="eastAsia" w:hAnsi="宋体" w:eastAsia="宋体" w:cs="宋体"/>
                <w:color w:val="auto"/>
                <w:sz w:val="24"/>
                <w:highlight w:val="none"/>
              </w:rPr>
            </w:pPr>
          </w:p>
        </w:tc>
        <w:tc>
          <w:tcPr>
            <w:tcW w:w="1425" w:type="dxa"/>
          </w:tcPr>
          <w:p w14:paraId="021D10E4">
            <w:pPr>
              <w:pStyle w:val="20"/>
              <w:spacing w:line="480" w:lineRule="auto"/>
              <w:ind w:firstLine="496" w:firstLineChars="200"/>
              <w:rPr>
                <w:rFonts w:hint="eastAsia" w:hAnsi="宋体" w:eastAsia="宋体" w:cs="宋体"/>
                <w:color w:val="auto"/>
                <w:sz w:val="24"/>
                <w:highlight w:val="none"/>
              </w:rPr>
            </w:pPr>
          </w:p>
        </w:tc>
        <w:tc>
          <w:tcPr>
            <w:tcW w:w="1740" w:type="dxa"/>
          </w:tcPr>
          <w:p w14:paraId="301DAD2E">
            <w:pPr>
              <w:pStyle w:val="20"/>
              <w:spacing w:line="480" w:lineRule="auto"/>
              <w:ind w:firstLine="496" w:firstLineChars="200"/>
              <w:rPr>
                <w:rFonts w:hint="eastAsia" w:hAnsi="宋体" w:eastAsia="宋体" w:cs="宋体"/>
                <w:color w:val="auto"/>
                <w:sz w:val="24"/>
                <w:highlight w:val="none"/>
              </w:rPr>
            </w:pPr>
          </w:p>
        </w:tc>
        <w:tc>
          <w:tcPr>
            <w:tcW w:w="2755" w:type="dxa"/>
          </w:tcPr>
          <w:p w14:paraId="7D8999F2">
            <w:pPr>
              <w:pStyle w:val="20"/>
              <w:spacing w:line="480" w:lineRule="auto"/>
              <w:ind w:firstLine="496" w:firstLineChars="200"/>
              <w:rPr>
                <w:rFonts w:hint="eastAsia" w:hAnsi="宋体" w:eastAsia="宋体" w:cs="宋体"/>
                <w:color w:val="auto"/>
                <w:sz w:val="24"/>
                <w:highlight w:val="none"/>
              </w:rPr>
            </w:pPr>
          </w:p>
        </w:tc>
        <w:tc>
          <w:tcPr>
            <w:tcW w:w="1550" w:type="dxa"/>
          </w:tcPr>
          <w:p w14:paraId="22E3E0C3">
            <w:pPr>
              <w:pStyle w:val="20"/>
              <w:spacing w:line="480" w:lineRule="auto"/>
              <w:ind w:firstLine="496" w:firstLineChars="200"/>
              <w:rPr>
                <w:rFonts w:hint="eastAsia" w:hAnsi="宋体" w:eastAsia="宋体" w:cs="宋体"/>
                <w:color w:val="auto"/>
                <w:sz w:val="24"/>
                <w:highlight w:val="none"/>
              </w:rPr>
            </w:pPr>
          </w:p>
        </w:tc>
      </w:tr>
      <w:tr w14:paraId="4A4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8" w:type="dxa"/>
          </w:tcPr>
          <w:p w14:paraId="75783C25">
            <w:pPr>
              <w:pStyle w:val="20"/>
              <w:spacing w:line="480" w:lineRule="auto"/>
              <w:ind w:firstLine="496" w:firstLineChars="200"/>
              <w:rPr>
                <w:rFonts w:hint="eastAsia" w:hAnsi="宋体" w:eastAsia="宋体" w:cs="宋体"/>
                <w:color w:val="auto"/>
                <w:sz w:val="24"/>
                <w:highlight w:val="none"/>
              </w:rPr>
            </w:pPr>
          </w:p>
        </w:tc>
        <w:tc>
          <w:tcPr>
            <w:tcW w:w="1425" w:type="dxa"/>
          </w:tcPr>
          <w:p w14:paraId="20A847C3">
            <w:pPr>
              <w:pStyle w:val="20"/>
              <w:spacing w:line="480" w:lineRule="auto"/>
              <w:ind w:firstLine="496" w:firstLineChars="200"/>
              <w:rPr>
                <w:rFonts w:hint="eastAsia" w:hAnsi="宋体" w:eastAsia="宋体" w:cs="宋体"/>
                <w:color w:val="auto"/>
                <w:sz w:val="24"/>
                <w:highlight w:val="none"/>
              </w:rPr>
            </w:pPr>
          </w:p>
        </w:tc>
        <w:tc>
          <w:tcPr>
            <w:tcW w:w="1740" w:type="dxa"/>
          </w:tcPr>
          <w:p w14:paraId="72D5C21A">
            <w:pPr>
              <w:pStyle w:val="20"/>
              <w:spacing w:line="480" w:lineRule="auto"/>
              <w:ind w:firstLine="496" w:firstLineChars="200"/>
              <w:rPr>
                <w:rFonts w:hint="eastAsia" w:hAnsi="宋体" w:eastAsia="宋体" w:cs="宋体"/>
                <w:color w:val="auto"/>
                <w:sz w:val="24"/>
                <w:highlight w:val="none"/>
              </w:rPr>
            </w:pPr>
          </w:p>
        </w:tc>
        <w:tc>
          <w:tcPr>
            <w:tcW w:w="2755" w:type="dxa"/>
          </w:tcPr>
          <w:p w14:paraId="0D845D7A">
            <w:pPr>
              <w:pStyle w:val="20"/>
              <w:spacing w:line="480" w:lineRule="auto"/>
              <w:ind w:firstLine="496" w:firstLineChars="200"/>
              <w:rPr>
                <w:rFonts w:hint="eastAsia" w:hAnsi="宋体" w:eastAsia="宋体" w:cs="宋体"/>
                <w:color w:val="auto"/>
                <w:sz w:val="24"/>
                <w:highlight w:val="none"/>
              </w:rPr>
            </w:pPr>
          </w:p>
        </w:tc>
        <w:tc>
          <w:tcPr>
            <w:tcW w:w="1550" w:type="dxa"/>
          </w:tcPr>
          <w:p w14:paraId="2A02D8E1">
            <w:pPr>
              <w:pStyle w:val="20"/>
              <w:spacing w:line="480" w:lineRule="auto"/>
              <w:ind w:firstLine="496" w:firstLineChars="200"/>
              <w:rPr>
                <w:rFonts w:hint="eastAsia" w:hAnsi="宋体" w:eastAsia="宋体" w:cs="宋体"/>
                <w:color w:val="auto"/>
                <w:sz w:val="24"/>
                <w:highlight w:val="none"/>
              </w:rPr>
            </w:pPr>
          </w:p>
        </w:tc>
      </w:tr>
    </w:tbl>
    <w:p w14:paraId="1F3687BF">
      <w:pPr>
        <w:pStyle w:val="11"/>
        <w:spacing w:line="360" w:lineRule="auto"/>
        <w:ind w:left="140" w:firstLine="0"/>
        <w:rPr>
          <w:rFonts w:hint="eastAsia" w:ascii="宋体" w:hAnsi="宋体" w:cs="宋体"/>
          <w:b/>
          <w:bCs/>
          <w:color w:val="auto"/>
          <w:highlight w:val="none"/>
        </w:rPr>
      </w:pPr>
      <w:r>
        <w:rPr>
          <w:rFonts w:hint="eastAsia" w:ascii="宋体" w:hAnsi="宋体" w:cs="宋体"/>
          <w:b/>
          <w:bCs/>
          <w:color w:val="auto"/>
          <w:highlight w:val="none"/>
        </w:rPr>
        <w:t>1、本表须按“第三章招标内容及要求”中所列商务条款进行比较和响应；</w:t>
      </w:r>
    </w:p>
    <w:p w14:paraId="0A0269EE">
      <w:pPr>
        <w:pStyle w:val="11"/>
        <w:spacing w:line="360" w:lineRule="auto"/>
        <w:ind w:firstLine="248" w:firstLineChars="100"/>
        <w:rPr>
          <w:rFonts w:hint="eastAsia" w:ascii="宋体" w:hAnsi="宋体" w:cs="宋体"/>
          <w:b/>
          <w:bCs/>
          <w:color w:val="auto"/>
          <w:highlight w:val="none"/>
        </w:rPr>
      </w:pPr>
      <w:r>
        <w:rPr>
          <w:rFonts w:hint="eastAsia" w:ascii="宋体" w:hAnsi="宋体" w:cs="宋体"/>
          <w:b/>
          <w:bCs/>
          <w:color w:val="auto"/>
          <w:highlight w:val="none"/>
        </w:rPr>
        <w:t>2、该表必须按照招标文件要求逐条如实填写，根据情况在“偏离情况”项填写正偏离或负偏离或无偏离，在“说明”项填写正偏离或负偏离原因。</w:t>
      </w:r>
    </w:p>
    <w:p w14:paraId="19A68423">
      <w:pPr>
        <w:pStyle w:val="11"/>
        <w:spacing w:line="360" w:lineRule="auto"/>
        <w:ind w:left="140" w:firstLine="0"/>
        <w:rPr>
          <w:rFonts w:hint="eastAsia" w:ascii="宋体" w:hAnsi="宋体" w:cs="宋体"/>
          <w:b/>
          <w:bCs/>
          <w:color w:val="auto"/>
          <w:highlight w:val="none"/>
        </w:rPr>
      </w:pPr>
      <w:r>
        <w:rPr>
          <w:rFonts w:hint="eastAsia" w:ascii="宋体" w:hAnsi="宋体" w:cs="宋体"/>
          <w:b/>
          <w:bCs/>
          <w:color w:val="auto"/>
          <w:highlight w:val="none"/>
        </w:rPr>
        <w:t>3、该表可扩展。商务条款不允许负偏离；</w:t>
      </w:r>
    </w:p>
    <w:p w14:paraId="242800CB">
      <w:pPr>
        <w:adjustRightInd w:val="0"/>
        <w:snapToGrid w:val="0"/>
        <w:spacing w:line="480" w:lineRule="auto"/>
        <w:rPr>
          <w:rFonts w:hint="eastAsia" w:ascii="宋体" w:hAnsi="宋体" w:cs="宋体"/>
          <w:color w:val="auto"/>
          <w:highlight w:val="none"/>
          <w:u w:val="single"/>
        </w:rPr>
      </w:pPr>
      <w:r>
        <w:rPr>
          <w:rFonts w:hint="eastAsia" w:ascii="宋体" w:hAnsi="宋体" w:cs="宋体"/>
          <w:color w:val="auto"/>
          <w:highlight w:val="none"/>
        </w:rPr>
        <w:t>供应商（单位名称及公章）：</w:t>
      </w:r>
    </w:p>
    <w:p w14:paraId="2DB32990">
      <w:pPr>
        <w:adjustRightInd w:val="0"/>
        <w:snapToGrid w:val="0"/>
        <w:spacing w:line="480" w:lineRule="auto"/>
        <w:rPr>
          <w:rFonts w:hint="eastAsia" w:ascii="宋体" w:hAnsi="宋体" w:cs="宋体"/>
          <w:color w:val="auto"/>
          <w:highlight w:val="none"/>
        </w:rPr>
      </w:pPr>
      <w:r>
        <w:rPr>
          <w:rFonts w:hint="eastAsia" w:ascii="宋体" w:hAnsi="宋体" w:cs="宋体"/>
          <w:color w:val="auto"/>
          <w:highlight w:val="none"/>
        </w:rPr>
        <w:t>法定代表人或被授权人（签字或盖章）：</w:t>
      </w:r>
    </w:p>
    <w:p w14:paraId="4D4E4D88">
      <w:pPr>
        <w:adjustRightInd w:val="0"/>
        <w:snapToGrid w:val="0"/>
        <w:spacing w:line="480" w:lineRule="auto"/>
        <w:rPr>
          <w:rFonts w:hint="eastAsia" w:ascii="宋体" w:hAnsi="宋体"/>
          <w:color w:val="auto"/>
          <w:highlight w:val="none"/>
        </w:rPr>
        <w:sectPr>
          <w:pgSz w:w="11906" w:h="16838"/>
          <w:pgMar w:top="1440" w:right="1083" w:bottom="1440" w:left="1083" w:header="850" w:footer="992" w:gutter="0"/>
          <w:cols w:space="0" w:num="1"/>
          <w:titlePg/>
          <w:docGrid w:type="linesAndChars" w:linePitch="395" w:charSpace="1724"/>
        </w:sectPr>
      </w:pPr>
      <w:r>
        <w:rPr>
          <w:rFonts w:hint="eastAsia" w:ascii="宋体" w:hAnsi="宋体" w:cs="宋体"/>
          <w:color w:val="auto"/>
          <w:highlight w:val="none"/>
        </w:rPr>
        <w:t>日    期：年月日</w:t>
      </w:r>
    </w:p>
    <w:p w14:paraId="50013A8A">
      <w:pPr>
        <w:rPr>
          <w:rFonts w:hint="eastAsia" w:ascii="宋体" w:hAnsi="宋体" w:cs="宋体"/>
          <w:color w:val="auto"/>
          <w:highlight w:val="none"/>
        </w:rPr>
      </w:pPr>
      <w:r>
        <w:rPr>
          <w:rFonts w:hint="eastAsia" w:asciiTheme="minorEastAsia" w:hAnsiTheme="minorEastAsia" w:cstheme="minorEastAsia"/>
          <w:color w:val="auto"/>
          <w:sz w:val="28"/>
          <w:szCs w:val="28"/>
          <w:highlight w:val="none"/>
        </w:rPr>
        <w:t>表2、服务响应偏差表</w:t>
      </w:r>
    </w:p>
    <w:tbl>
      <w:tblPr>
        <w:tblStyle w:val="3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05"/>
        <w:gridCol w:w="2385"/>
        <w:gridCol w:w="1755"/>
        <w:gridCol w:w="1485"/>
      </w:tblGrid>
      <w:tr w14:paraId="0F14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13" w:type="dxa"/>
            <w:vAlign w:val="center"/>
          </w:tcPr>
          <w:p w14:paraId="5A2F9BB2">
            <w:pPr>
              <w:pStyle w:val="20"/>
              <w:spacing w:line="480" w:lineRule="auto"/>
              <w:jc w:val="center"/>
              <w:rPr>
                <w:rFonts w:hint="eastAsia" w:hAnsi="宋体" w:eastAsia="宋体" w:cs="宋体"/>
                <w:color w:val="auto"/>
                <w:sz w:val="24"/>
                <w:highlight w:val="none"/>
              </w:rPr>
            </w:pPr>
            <w:r>
              <w:rPr>
                <w:rFonts w:hint="eastAsia" w:hAnsi="宋体" w:eastAsia="宋体" w:cs="宋体"/>
                <w:color w:val="auto"/>
                <w:sz w:val="24"/>
                <w:highlight w:val="none"/>
              </w:rPr>
              <w:t>序号</w:t>
            </w:r>
          </w:p>
        </w:tc>
        <w:tc>
          <w:tcPr>
            <w:tcW w:w="2205" w:type="dxa"/>
            <w:vAlign w:val="center"/>
          </w:tcPr>
          <w:p w14:paraId="6F74D427">
            <w:pPr>
              <w:pStyle w:val="20"/>
              <w:spacing w:line="480" w:lineRule="auto"/>
              <w:rPr>
                <w:rFonts w:hint="eastAsia" w:hAnsi="宋体" w:eastAsia="宋体" w:cs="宋体"/>
                <w:color w:val="auto"/>
                <w:sz w:val="24"/>
                <w:highlight w:val="none"/>
              </w:rPr>
            </w:pPr>
            <w:r>
              <w:rPr>
                <w:rFonts w:hint="eastAsia" w:hAnsi="宋体" w:eastAsia="宋体" w:cs="宋体"/>
                <w:color w:val="auto"/>
                <w:sz w:val="24"/>
                <w:highlight w:val="none"/>
              </w:rPr>
              <w:t>招标文件服务要求</w:t>
            </w:r>
          </w:p>
        </w:tc>
        <w:tc>
          <w:tcPr>
            <w:tcW w:w="2385" w:type="dxa"/>
            <w:vAlign w:val="center"/>
          </w:tcPr>
          <w:p w14:paraId="6FFBC9DC">
            <w:pPr>
              <w:pStyle w:val="20"/>
              <w:spacing w:line="480" w:lineRule="auto"/>
              <w:ind w:firstLine="496" w:firstLineChars="200"/>
              <w:rPr>
                <w:rFonts w:hint="eastAsia" w:hAnsi="宋体" w:eastAsia="宋体" w:cs="宋体"/>
                <w:color w:val="auto"/>
                <w:sz w:val="24"/>
                <w:highlight w:val="none"/>
              </w:rPr>
            </w:pPr>
            <w:r>
              <w:rPr>
                <w:rFonts w:hint="eastAsia" w:hAnsi="宋体" w:eastAsia="宋体" w:cs="宋体"/>
                <w:color w:val="auto"/>
                <w:sz w:val="24"/>
                <w:highlight w:val="none"/>
              </w:rPr>
              <w:t>投标文件</w:t>
            </w:r>
          </w:p>
          <w:p w14:paraId="297BFA21">
            <w:pPr>
              <w:pStyle w:val="20"/>
              <w:spacing w:line="480" w:lineRule="auto"/>
              <w:ind w:firstLine="496" w:firstLineChars="200"/>
              <w:rPr>
                <w:rFonts w:hint="eastAsia" w:hAnsi="宋体" w:eastAsia="宋体" w:cs="宋体"/>
                <w:color w:val="auto"/>
                <w:sz w:val="24"/>
                <w:highlight w:val="none"/>
              </w:rPr>
            </w:pPr>
            <w:r>
              <w:rPr>
                <w:rFonts w:hint="eastAsia" w:hAnsi="宋体" w:eastAsia="宋体" w:cs="宋体"/>
                <w:color w:val="auto"/>
                <w:sz w:val="24"/>
                <w:highlight w:val="none"/>
              </w:rPr>
              <w:t>响应内容</w:t>
            </w:r>
          </w:p>
        </w:tc>
        <w:tc>
          <w:tcPr>
            <w:tcW w:w="1755" w:type="dxa"/>
            <w:vAlign w:val="center"/>
          </w:tcPr>
          <w:p w14:paraId="14378B8C">
            <w:pPr>
              <w:pStyle w:val="20"/>
              <w:spacing w:line="480" w:lineRule="auto"/>
              <w:jc w:val="center"/>
              <w:rPr>
                <w:rFonts w:hint="eastAsia" w:hAnsi="宋体" w:eastAsia="宋体" w:cs="宋体"/>
                <w:color w:val="auto"/>
                <w:sz w:val="24"/>
                <w:highlight w:val="none"/>
              </w:rPr>
            </w:pPr>
            <w:r>
              <w:rPr>
                <w:rFonts w:hint="eastAsia" w:hAnsi="宋体" w:eastAsia="宋体" w:cs="宋体"/>
                <w:color w:val="auto"/>
                <w:sz w:val="24"/>
                <w:highlight w:val="none"/>
              </w:rPr>
              <w:t xml:space="preserve"> 偏差说明</w:t>
            </w:r>
          </w:p>
        </w:tc>
        <w:tc>
          <w:tcPr>
            <w:tcW w:w="1485" w:type="dxa"/>
            <w:vAlign w:val="center"/>
          </w:tcPr>
          <w:p w14:paraId="31F13F3F">
            <w:pPr>
              <w:pStyle w:val="20"/>
              <w:spacing w:line="480" w:lineRule="auto"/>
              <w:jc w:val="center"/>
              <w:rPr>
                <w:rFonts w:hint="eastAsia" w:hAnsi="宋体" w:eastAsia="宋体" w:cs="宋体"/>
                <w:color w:val="auto"/>
                <w:sz w:val="24"/>
                <w:highlight w:val="none"/>
              </w:rPr>
            </w:pPr>
            <w:r>
              <w:rPr>
                <w:rFonts w:hint="eastAsia" w:hAnsi="宋体" w:eastAsia="宋体" w:cs="宋体"/>
                <w:color w:val="auto"/>
                <w:sz w:val="24"/>
                <w:highlight w:val="none"/>
              </w:rPr>
              <w:t>备注</w:t>
            </w:r>
          </w:p>
        </w:tc>
      </w:tr>
      <w:tr w14:paraId="6458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0F907F45">
            <w:pPr>
              <w:pStyle w:val="20"/>
              <w:spacing w:line="480" w:lineRule="auto"/>
              <w:ind w:firstLine="496" w:firstLineChars="200"/>
              <w:rPr>
                <w:rFonts w:hint="eastAsia" w:hAnsi="宋体" w:eastAsia="宋体" w:cs="宋体"/>
                <w:color w:val="auto"/>
                <w:sz w:val="24"/>
                <w:highlight w:val="none"/>
              </w:rPr>
            </w:pPr>
          </w:p>
        </w:tc>
        <w:tc>
          <w:tcPr>
            <w:tcW w:w="2205" w:type="dxa"/>
            <w:vAlign w:val="center"/>
          </w:tcPr>
          <w:p w14:paraId="356F2EBE">
            <w:pPr>
              <w:pStyle w:val="20"/>
              <w:spacing w:line="480" w:lineRule="auto"/>
              <w:ind w:firstLine="496" w:firstLineChars="200"/>
              <w:rPr>
                <w:rFonts w:hint="eastAsia" w:hAnsi="宋体" w:eastAsia="宋体" w:cs="宋体"/>
                <w:color w:val="auto"/>
                <w:sz w:val="24"/>
                <w:highlight w:val="none"/>
              </w:rPr>
            </w:pPr>
          </w:p>
        </w:tc>
        <w:tc>
          <w:tcPr>
            <w:tcW w:w="2385" w:type="dxa"/>
            <w:vAlign w:val="center"/>
          </w:tcPr>
          <w:p w14:paraId="0560FD1A">
            <w:pPr>
              <w:pStyle w:val="20"/>
              <w:spacing w:line="480" w:lineRule="auto"/>
              <w:ind w:firstLine="496" w:firstLineChars="200"/>
              <w:rPr>
                <w:rFonts w:hint="eastAsia" w:hAnsi="宋体" w:eastAsia="宋体" w:cs="宋体"/>
                <w:color w:val="auto"/>
                <w:sz w:val="24"/>
                <w:highlight w:val="none"/>
              </w:rPr>
            </w:pPr>
          </w:p>
        </w:tc>
        <w:tc>
          <w:tcPr>
            <w:tcW w:w="1755" w:type="dxa"/>
            <w:vAlign w:val="center"/>
          </w:tcPr>
          <w:p w14:paraId="74DA8C42">
            <w:pPr>
              <w:pStyle w:val="20"/>
              <w:spacing w:line="480" w:lineRule="auto"/>
              <w:ind w:firstLine="496" w:firstLineChars="200"/>
              <w:rPr>
                <w:rFonts w:hint="eastAsia" w:hAnsi="宋体" w:eastAsia="宋体" w:cs="宋体"/>
                <w:color w:val="auto"/>
                <w:sz w:val="24"/>
                <w:highlight w:val="none"/>
              </w:rPr>
            </w:pPr>
          </w:p>
        </w:tc>
        <w:tc>
          <w:tcPr>
            <w:tcW w:w="1485" w:type="dxa"/>
            <w:vAlign w:val="center"/>
          </w:tcPr>
          <w:p w14:paraId="7F43BA8E">
            <w:pPr>
              <w:pStyle w:val="20"/>
              <w:spacing w:line="480" w:lineRule="auto"/>
              <w:ind w:firstLine="496" w:firstLineChars="200"/>
              <w:rPr>
                <w:rFonts w:hint="eastAsia" w:hAnsi="宋体" w:eastAsia="宋体" w:cs="宋体"/>
                <w:color w:val="auto"/>
                <w:sz w:val="24"/>
                <w:highlight w:val="none"/>
              </w:rPr>
            </w:pPr>
          </w:p>
        </w:tc>
      </w:tr>
      <w:tr w14:paraId="729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40996144">
            <w:pPr>
              <w:pStyle w:val="20"/>
              <w:spacing w:line="480" w:lineRule="auto"/>
              <w:ind w:firstLine="496" w:firstLineChars="200"/>
              <w:rPr>
                <w:rFonts w:hint="eastAsia" w:hAnsi="宋体" w:eastAsia="宋体" w:cs="宋体"/>
                <w:color w:val="auto"/>
                <w:sz w:val="24"/>
                <w:highlight w:val="none"/>
              </w:rPr>
            </w:pPr>
          </w:p>
        </w:tc>
        <w:tc>
          <w:tcPr>
            <w:tcW w:w="2205" w:type="dxa"/>
          </w:tcPr>
          <w:p w14:paraId="57354D29">
            <w:pPr>
              <w:pStyle w:val="20"/>
              <w:spacing w:line="480" w:lineRule="auto"/>
              <w:ind w:firstLine="496" w:firstLineChars="200"/>
              <w:rPr>
                <w:rFonts w:hint="eastAsia" w:hAnsi="宋体" w:eastAsia="宋体" w:cs="宋体"/>
                <w:color w:val="auto"/>
                <w:sz w:val="24"/>
                <w:highlight w:val="none"/>
              </w:rPr>
            </w:pPr>
          </w:p>
        </w:tc>
        <w:tc>
          <w:tcPr>
            <w:tcW w:w="2385" w:type="dxa"/>
          </w:tcPr>
          <w:p w14:paraId="32DE0778">
            <w:pPr>
              <w:pStyle w:val="20"/>
              <w:spacing w:line="480" w:lineRule="auto"/>
              <w:ind w:firstLine="496" w:firstLineChars="200"/>
              <w:rPr>
                <w:rFonts w:hint="eastAsia" w:hAnsi="宋体" w:eastAsia="宋体" w:cs="宋体"/>
                <w:color w:val="auto"/>
                <w:sz w:val="24"/>
                <w:highlight w:val="none"/>
              </w:rPr>
            </w:pPr>
          </w:p>
        </w:tc>
        <w:tc>
          <w:tcPr>
            <w:tcW w:w="1755" w:type="dxa"/>
          </w:tcPr>
          <w:p w14:paraId="0AD15DD0">
            <w:pPr>
              <w:pStyle w:val="20"/>
              <w:spacing w:line="480" w:lineRule="auto"/>
              <w:ind w:firstLine="496" w:firstLineChars="200"/>
              <w:rPr>
                <w:rFonts w:hint="eastAsia" w:hAnsi="宋体" w:eastAsia="宋体" w:cs="宋体"/>
                <w:color w:val="auto"/>
                <w:sz w:val="24"/>
                <w:highlight w:val="none"/>
              </w:rPr>
            </w:pPr>
          </w:p>
        </w:tc>
        <w:tc>
          <w:tcPr>
            <w:tcW w:w="1485" w:type="dxa"/>
          </w:tcPr>
          <w:p w14:paraId="1D08B886">
            <w:pPr>
              <w:pStyle w:val="20"/>
              <w:spacing w:line="480" w:lineRule="auto"/>
              <w:ind w:firstLine="496" w:firstLineChars="200"/>
              <w:rPr>
                <w:rFonts w:hint="eastAsia" w:hAnsi="宋体" w:eastAsia="宋体" w:cs="宋体"/>
                <w:color w:val="auto"/>
                <w:sz w:val="24"/>
                <w:highlight w:val="none"/>
              </w:rPr>
            </w:pPr>
          </w:p>
        </w:tc>
      </w:tr>
      <w:tr w14:paraId="0E9D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5BA8DEAC">
            <w:pPr>
              <w:pStyle w:val="20"/>
              <w:spacing w:line="480" w:lineRule="auto"/>
              <w:ind w:firstLine="496" w:firstLineChars="200"/>
              <w:rPr>
                <w:rFonts w:hint="eastAsia" w:hAnsi="宋体" w:eastAsia="宋体" w:cs="宋体"/>
                <w:color w:val="auto"/>
                <w:sz w:val="24"/>
                <w:highlight w:val="none"/>
              </w:rPr>
            </w:pPr>
          </w:p>
        </w:tc>
        <w:tc>
          <w:tcPr>
            <w:tcW w:w="2205" w:type="dxa"/>
          </w:tcPr>
          <w:p w14:paraId="7873407A">
            <w:pPr>
              <w:pStyle w:val="20"/>
              <w:spacing w:line="480" w:lineRule="auto"/>
              <w:ind w:firstLine="496" w:firstLineChars="200"/>
              <w:rPr>
                <w:rFonts w:hint="eastAsia" w:hAnsi="宋体" w:eastAsia="宋体" w:cs="宋体"/>
                <w:color w:val="auto"/>
                <w:sz w:val="24"/>
                <w:highlight w:val="none"/>
              </w:rPr>
            </w:pPr>
          </w:p>
        </w:tc>
        <w:tc>
          <w:tcPr>
            <w:tcW w:w="2385" w:type="dxa"/>
          </w:tcPr>
          <w:p w14:paraId="787D79E9">
            <w:pPr>
              <w:pStyle w:val="20"/>
              <w:spacing w:line="480" w:lineRule="auto"/>
              <w:ind w:firstLine="496" w:firstLineChars="200"/>
              <w:rPr>
                <w:rFonts w:hint="eastAsia" w:hAnsi="宋体" w:eastAsia="宋体" w:cs="宋体"/>
                <w:color w:val="auto"/>
                <w:sz w:val="24"/>
                <w:highlight w:val="none"/>
              </w:rPr>
            </w:pPr>
          </w:p>
        </w:tc>
        <w:tc>
          <w:tcPr>
            <w:tcW w:w="1755" w:type="dxa"/>
          </w:tcPr>
          <w:p w14:paraId="00BAC793">
            <w:pPr>
              <w:pStyle w:val="20"/>
              <w:spacing w:line="480" w:lineRule="auto"/>
              <w:ind w:firstLine="496" w:firstLineChars="200"/>
              <w:rPr>
                <w:rFonts w:hint="eastAsia" w:hAnsi="宋体" w:eastAsia="宋体" w:cs="宋体"/>
                <w:color w:val="auto"/>
                <w:sz w:val="24"/>
                <w:highlight w:val="none"/>
              </w:rPr>
            </w:pPr>
          </w:p>
        </w:tc>
        <w:tc>
          <w:tcPr>
            <w:tcW w:w="1485" w:type="dxa"/>
          </w:tcPr>
          <w:p w14:paraId="1887037C">
            <w:pPr>
              <w:pStyle w:val="20"/>
              <w:spacing w:line="480" w:lineRule="auto"/>
              <w:ind w:firstLine="496" w:firstLineChars="200"/>
              <w:rPr>
                <w:rFonts w:hint="eastAsia" w:hAnsi="宋体" w:eastAsia="宋体" w:cs="宋体"/>
                <w:color w:val="auto"/>
                <w:sz w:val="24"/>
                <w:highlight w:val="none"/>
              </w:rPr>
            </w:pPr>
          </w:p>
        </w:tc>
      </w:tr>
      <w:tr w14:paraId="4709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46411689">
            <w:pPr>
              <w:pStyle w:val="20"/>
              <w:spacing w:line="480" w:lineRule="auto"/>
              <w:ind w:firstLine="496" w:firstLineChars="200"/>
              <w:rPr>
                <w:rFonts w:hint="eastAsia" w:hAnsi="宋体" w:eastAsia="宋体" w:cs="宋体"/>
                <w:color w:val="auto"/>
                <w:sz w:val="24"/>
                <w:highlight w:val="none"/>
              </w:rPr>
            </w:pPr>
          </w:p>
        </w:tc>
        <w:tc>
          <w:tcPr>
            <w:tcW w:w="2205" w:type="dxa"/>
          </w:tcPr>
          <w:p w14:paraId="4A0A56A8">
            <w:pPr>
              <w:pStyle w:val="20"/>
              <w:spacing w:line="480" w:lineRule="auto"/>
              <w:ind w:firstLine="496" w:firstLineChars="200"/>
              <w:rPr>
                <w:rFonts w:hint="eastAsia" w:hAnsi="宋体" w:eastAsia="宋体" w:cs="宋体"/>
                <w:color w:val="auto"/>
                <w:sz w:val="24"/>
                <w:highlight w:val="none"/>
              </w:rPr>
            </w:pPr>
          </w:p>
        </w:tc>
        <w:tc>
          <w:tcPr>
            <w:tcW w:w="2385" w:type="dxa"/>
          </w:tcPr>
          <w:p w14:paraId="09AB34C4">
            <w:pPr>
              <w:pStyle w:val="20"/>
              <w:spacing w:line="480" w:lineRule="auto"/>
              <w:ind w:firstLine="496" w:firstLineChars="200"/>
              <w:rPr>
                <w:rFonts w:hint="eastAsia" w:hAnsi="宋体" w:eastAsia="宋体" w:cs="宋体"/>
                <w:color w:val="auto"/>
                <w:sz w:val="24"/>
                <w:highlight w:val="none"/>
              </w:rPr>
            </w:pPr>
          </w:p>
        </w:tc>
        <w:tc>
          <w:tcPr>
            <w:tcW w:w="1755" w:type="dxa"/>
          </w:tcPr>
          <w:p w14:paraId="0813EC7E">
            <w:pPr>
              <w:pStyle w:val="20"/>
              <w:spacing w:line="480" w:lineRule="auto"/>
              <w:ind w:firstLine="496" w:firstLineChars="200"/>
              <w:rPr>
                <w:rFonts w:hint="eastAsia" w:hAnsi="宋体" w:eastAsia="宋体" w:cs="宋体"/>
                <w:color w:val="auto"/>
                <w:sz w:val="24"/>
                <w:highlight w:val="none"/>
              </w:rPr>
            </w:pPr>
          </w:p>
        </w:tc>
        <w:tc>
          <w:tcPr>
            <w:tcW w:w="1485" w:type="dxa"/>
          </w:tcPr>
          <w:p w14:paraId="7F645478">
            <w:pPr>
              <w:pStyle w:val="20"/>
              <w:spacing w:line="480" w:lineRule="auto"/>
              <w:ind w:firstLine="496" w:firstLineChars="200"/>
              <w:rPr>
                <w:rFonts w:hint="eastAsia" w:hAnsi="宋体" w:eastAsia="宋体" w:cs="宋体"/>
                <w:color w:val="auto"/>
                <w:sz w:val="24"/>
                <w:highlight w:val="none"/>
              </w:rPr>
            </w:pPr>
          </w:p>
        </w:tc>
      </w:tr>
      <w:tr w14:paraId="0645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5028617F">
            <w:pPr>
              <w:pStyle w:val="20"/>
              <w:spacing w:line="480" w:lineRule="auto"/>
              <w:ind w:firstLine="496" w:firstLineChars="200"/>
              <w:rPr>
                <w:rFonts w:hint="eastAsia" w:hAnsi="宋体" w:eastAsia="宋体" w:cs="宋体"/>
                <w:color w:val="auto"/>
                <w:sz w:val="24"/>
                <w:highlight w:val="none"/>
              </w:rPr>
            </w:pPr>
          </w:p>
        </w:tc>
        <w:tc>
          <w:tcPr>
            <w:tcW w:w="2205" w:type="dxa"/>
          </w:tcPr>
          <w:p w14:paraId="38312A71">
            <w:pPr>
              <w:pStyle w:val="20"/>
              <w:spacing w:line="480" w:lineRule="auto"/>
              <w:ind w:firstLine="496" w:firstLineChars="200"/>
              <w:rPr>
                <w:rFonts w:hint="eastAsia" w:hAnsi="宋体" w:eastAsia="宋体" w:cs="宋体"/>
                <w:color w:val="auto"/>
                <w:sz w:val="24"/>
                <w:highlight w:val="none"/>
              </w:rPr>
            </w:pPr>
          </w:p>
        </w:tc>
        <w:tc>
          <w:tcPr>
            <w:tcW w:w="2385" w:type="dxa"/>
          </w:tcPr>
          <w:p w14:paraId="5135FAB4">
            <w:pPr>
              <w:pStyle w:val="20"/>
              <w:spacing w:line="480" w:lineRule="auto"/>
              <w:ind w:firstLine="496" w:firstLineChars="200"/>
              <w:rPr>
                <w:rFonts w:hint="eastAsia" w:hAnsi="宋体" w:eastAsia="宋体" w:cs="宋体"/>
                <w:color w:val="auto"/>
                <w:sz w:val="24"/>
                <w:highlight w:val="none"/>
              </w:rPr>
            </w:pPr>
          </w:p>
        </w:tc>
        <w:tc>
          <w:tcPr>
            <w:tcW w:w="1755" w:type="dxa"/>
          </w:tcPr>
          <w:p w14:paraId="1EDFBA70">
            <w:pPr>
              <w:pStyle w:val="20"/>
              <w:spacing w:line="480" w:lineRule="auto"/>
              <w:ind w:firstLine="496" w:firstLineChars="200"/>
              <w:rPr>
                <w:rFonts w:hint="eastAsia" w:hAnsi="宋体" w:eastAsia="宋体" w:cs="宋体"/>
                <w:color w:val="auto"/>
                <w:sz w:val="24"/>
                <w:highlight w:val="none"/>
              </w:rPr>
            </w:pPr>
          </w:p>
        </w:tc>
        <w:tc>
          <w:tcPr>
            <w:tcW w:w="1485" w:type="dxa"/>
          </w:tcPr>
          <w:p w14:paraId="08001583">
            <w:pPr>
              <w:pStyle w:val="20"/>
              <w:spacing w:line="480" w:lineRule="auto"/>
              <w:ind w:firstLine="496" w:firstLineChars="200"/>
              <w:rPr>
                <w:rFonts w:hint="eastAsia" w:hAnsi="宋体" w:eastAsia="宋体" w:cs="宋体"/>
                <w:color w:val="auto"/>
                <w:sz w:val="24"/>
                <w:highlight w:val="none"/>
              </w:rPr>
            </w:pPr>
          </w:p>
        </w:tc>
      </w:tr>
      <w:tr w14:paraId="7F97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429F3723">
            <w:pPr>
              <w:pStyle w:val="20"/>
              <w:spacing w:line="480" w:lineRule="auto"/>
              <w:ind w:firstLine="496" w:firstLineChars="200"/>
              <w:rPr>
                <w:rFonts w:hint="eastAsia" w:hAnsi="宋体" w:eastAsia="宋体" w:cs="宋体"/>
                <w:color w:val="auto"/>
                <w:sz w:val="24"/>
                <w:highlight w:val="none"/>
              </w:rPr>
            </w:pPr>
          </w:p>
        </w:tc>
        <w:tc>
          <w:tcPr>
            <w:tcW w:w="2205" w:type="dxa"/>
          </w:tcPr>
          <w:p w14:paraId="7113064A">
            <w:pPr>
              <w:pStyle w:val="20"/>
              <w:spacing w:line="480" w:lineRule="auto"/>
              <w:ind w:firstLine="496" w:firstLineChars="200"/>
              <w:rPr>
                <w:rFonts w:hint="eastAsia" w:hAnsi="宋体" w:eastAsia="宋体" w:cs="宋体"/>
                <w:color w:val="auto"/>
                <w:sz w:val="24"/>
                <w:highlight w:val="none"/>
              </w:rPr>
            </w:pPr>
          </w:p>
        </w:tc>
        <w:tc>
          <w:tcPr>
            <w:tcW w:w="2385" w:type="dxa"/>
          </w:tcPr>
          <w:p w14:paraId="01E53727">
            <w:pPr>
              <w:pStyle w:val="20"/>
              <w:spacing w:line="480" w:lineRule="auto"/>
              <w:ind w:firstLine="496" w:firstLineChars="200"/>
              <w:rPr>
                <w:rFonts w:hint="eastAsia" w:hAnsi="宋体" w:eastAsia="宋体" w:cs="宋体"/>
                <w:color w:val="auto"/>
                <w:sz w:val="24"/>
                <w:highlight w:val="none"/>
              </w:rPr>
            </w:pPr>
          </w:p>
        </w:tc>
        <w:tc>
          <w:tcPr>
            <w:tcW w:w="1755" w:type="dxa"/>
          </w:tcPr>
          <w:p w14:paraId="518186CB">
            <w:pPr>
              <w:pStyle w:val="20"/>
              <w:spacing w:line="480" w:lineRule="auto"/>
              <w:ind w:firstLine="496" w:firstLineChars="200"/>
              <w:rPr>
                <w:rFonts w:hint="eastAsia" w:hAnsi="宋体" w:eastAsia="宋体" w:cs="宋体"/>
                <w:color w:val="auto"/>
                <w:sz w:val="24"/>
                <w:highlight w:val="none"/>
              </w:rPr>
            </w:pPr>
          </w:p>
        </w:tc>
        <w:tc>
          <w:tcPr>
            <w:tcW w:w="1485" w:type="dxa"/>
          </w:tcPr>
          <w:p w14:paraId="711CF95B">
            <w:pPr>
              <w:pStyle w:val="20"/>
              <w:spacing w:line="480" w:lineRule="auto"/>
              <w:ind w:firstLine="496" w:firstLineChars="200"/>
              <w:rPr>
                <w:rFonts w:hint="eastAsia" w:hAnsi="宋体" w:eastAsia="宋体" w:cs="宋体"/>
                <w:color w:val="auto"/>
                <w:sz w:val="24"/>
                <w:highlight w:val="none"/>
              </w:rPr>
            </w:pPr>
          </w:p>
        </w:tc>
      </w:tr>
      <w:tr w14:paraId="2682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14:paraId="5EEFDDAC">
            <w:pPr>
              <w:pStyle w:val="20"/>
              <w:spacing w:line="480" w:lineRule="auto"/>
              <w:ind w:firstLine="496" w:firstLineChars="200"/>
              <w:rPr>
                <w:rFonts w:hint="eastAsia" w:hAnsi="宋体" w:eastAsia="宋体" w:cs="宋体"/>
                <w:color w:val="auto"/>
                <w:sz w:val="24"/>
                <w:highlight w:val="none"/>
              </w:rPr>
            </w:pPr>
          </w:p>
        </w:tc>
        <w:tc>
          <w:tcPr>
            <w:tcW w:w="2205" w:type="dxa"/>
          </w:tcPr>
          <w:p w14:paraId="33180965">
            <w:pPr>
              <w:pStyle w:val="20"/>
              <w:spacing w:line="480" w:lineRule="auto"/>
              <w:ind w:firstLine="496" w:firstLineChars="200"/>
              <w:rPr>
                <w:rFonts w:hint="eastAsia" w:hAnsi="宋体" w:eastAsia="宋体" w:cs="宋体"/>
                <w:color w:val="auto"/>
                <w:sz w:val="24"/>
                <w:highlight w:val="none"/>
              </w:rPr>
            </w:pPr>
          </w:p>
        </w:tc>
        <w:tc>
          <w:tcPr>
            <w:tcW w:w="2385" w:type="dxa"/>
          </w:tcPr>
          <w:p w14:paraId="3C2D2F79">
            <w:pPr>
              <w:pStyle w:val="20"/>
              <w:spacing w:line="480" w:lineRule="auto"/>
              <w:ind w:firstLine="496" w:firstLineChars="200"/>
              <w:rPr>
                <w:rFonts w:hint="eastAsia" w:hAnsi="宋体" w:eastAsia="宋体" w:cs="宋体"/>
                <w:color w:val="auto"/>
                <w:sz w:val="24"/>
                <w:highlight w:val="none"/>
              </w:rPr>
            </w:pPr>
          </w:p>
        </w:tc>
        <w:tc>
          <w:tcPr>
            <w:tcW w:w="1755" w:type="dxa"/>
          </w:tcPr>
          <w:p w14:paraId="2C830F3F">
            <w:pPr>
              <w:pStyle w:val="20"/>
              <w:spacing w:line="480" w:lineRule="auto"/>
              <w:ind w:firstLine="496" w:firstLineChars="200"/>
              <w:rPr>
                <w:rFonts w:hint="eastAsia" w:hAnsi="宋体" w:eastAsia="宋体" w:cs="宋体"/>
                <w:color w:val="auto"/>
                <w:sz w:val="24"/>
                <w:highlight w:val="none"/>
              </w:rPr>
            </w:pPr>
          </w:p>
        </w:tc>
        <w:tc>
          <w:tcPr>
            <w:tcW w:w="1485" w:type="dxa"/>
          </w:tcPr>
          <w:p w14:paraId="3AECB902">
            <w:pPr>
              <w:pStyle w:val="20"/>
              <w:spacing w:line="480" w:lineRule="auto"/>
              <w:ind w:firstLine="496" w:firstLineChars="200"/>
              <w:rPr>
                <w:rFonts w:hint="eastAsia" w:hAnsi="宋体" w:eastAsia="宋体" w:cs="宋体"/>
                <w:color w:val="auto"/>
                <w:sz w:val="24"/>
                <w:highlight w:val="none"/>
              </w:rPr>
            </w:pPr>
          </w:p>
        </w:tc>
      </w:tr>
      <w:tr w14:paraId="6F58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3" w:type="dxa"/>
          </w:tcPr>
          <w:p w14:paraId="6E39C6CC">
            <w:pPr>
              <w:pStyle w:val="20"/>
              <w:spacing w:line="480" w:lineRule="auto"/>
              <w:ind w:firstLine="496" w:firstLineChars="200"/>
              <w:rPr>
                <w:rFonts w:hint="eastAsia" w:hAnsi="宋体" w:eastAsia="宋体" w:cs="宋体"/>
                <w:color w:val="auto"/>
                <w:sz w:val="24"/>
                <w:highlight w:val="none"/>
              </w:rPr>
            </w:pPr>
          </w:p>
        </w:tc>
        <w:tc>
          <w:tcPr>
            <w:tcW w:w="2205" w:type="dxa"/>
          </w:tcPr>
          <w:p w14:paraId="398C8376">
            <w:pPr>
              <w:pStyle w:val="20"/>
              <w:spacing w:line="480" w:lineRule="auto"/>
              <w:ind w:firstLine="496" w:firstLineChars="200"/>
              <w:rPr>
                <w:rFonts w:hint="eastAsia" w:hAnsi="宋体" w:eastAsia="宋体" w:cs="宋体"/>
                <w:color w:val="auto"/>
                <w:sz w:val="24"/>
                <w:highlight w:val="none"/>
              </w:rPr>
            </w:pPr>
          </w:p>
        </w:tc>
        <w:tc>
          <w:tcPr>
            <w:tcW w:w="2385" w:type="dxa"/>
          </w:tcPr>
          <w:p w14:paraId="5E9C0960">
            <w:pPr>
              <w:pStyle w:val="20"/>
              <w:spacing w:line="480" w:lineRule="auto"/>
              <w:ind w:firstLine="496" w:firstLineChars="200"/>
              <w:rPr>
                <w:rFonts w:hint="eastAsia" w:hAnsi="宋体" w:eastAsia="宋体" w:cs="宋体"/>
                <w:color w:val="auto"/>
                <w:sz w:val="24"/>
                <w:highlight w:val="none"/>
              </w:rPr>
            </w:pPr>
          </w:p>
        </w:tc>
        <w:tc>
          <w:tcPr>
            <w:tcW w:w="1755" w:type="dxa"/>
          </w:tcPr>
          <w:p w14:paraId="23209AF8">
            <w:pPr>
              <w:pStyle w:val="20"/>
              <w:spacing w:line="480" w:lineRule="auto"/>
              <w:ind w:firstLine="496" w:firstLineChars="200"/>
              <w:rPr>
                <w:rFonts w:hint="eastAsia" w:hAnsi="宋体" w:eastAsia="宋体" w:cs="宋体"/>
                <w:color w:val="auto"/>
                <w:sz w:val="24"/>
                <w:highlight w:val="none"/>
              </w:rPr>
            </w:pPr>
          </w:p>
        </w:tc>
        <w:tc>
          <w:tcPr>
            <w:tcW w:w="1485" w:type="dxa"/>
          </w:tcPr>
          <w:p w14:paraId="34E5CF92">
            <w:pPr>
              <w:pStyle w:val="20"/>
              <w:spacing w:line="480" w:lineRule="auto"/>
              <w:ind w:firstLine="496" w:firstLineChars="200"/>
              <w:rPr>
                <w:rFonts w:hint="eastAsia" w:hAnsi="宋体" w:eastAsia="宋体" w:cs="宋体"/>
                <w:color w:val="auto"/>
                <w:sz w:val="24"/>
                <w:highlight w:val="none"/>
              </w:rPr>
            </w:pPr>
          </w:p>
        </w:tc>
      </w:tr>
    </w:tbl>
    <w:p w14:paraId="40715082">
      <w:pPr>
        <w:pStyle w:val="11"/>
        <w:spacing w:line="360" w:lineRule="auto"/>
        <w:ind w:left="140" w:firstLine="0"/>
        <w:rPr>
          <w:rFonts w:hint="eastAsia" w:ascii="宋体" w:hAnsi="宋体" w:cs="宋体"/>
          <w:b/>
          <w:bCs/>
          <w:color w:val="auto"/>
          <w:highlight w:val="none"/>
        </w:rPr>
      </w:pPr>
      <w:r>
        <w:rPr>
          <w:rFonts w:hint="eastAsia" w:ascii="宋体" w:hAnsi="宋体" w:cs="宋体"/>
          <w:b/>
          <w:bCs/>
          <w:color w:val="auto"/>
          <w:highlight w:val="none"/>
        </w:rPr>
        <w:t>1、本表须按“第三章招标内容及要求”中所列内容、数量、要求以及具体内容和方法要求等进行比较和响应；</w:t>
      </w:r>
    </w:p>
    <w:p w14:paraId="562A5987">
      <w:pPr>
        <w:pStyle w:val="11"/>
        <w:spacing w:line="360" w:lineRule="auto"/>
        <w:ind w:left="140" w:firstLine="0"/>
        <w:rPr>
          <w:rFonts w:hint="eastAsia" w:ascii="宋体" w:hAnsi="宋体" w:cs="宋体"/>
          <w:color w:val="auto"/>
          <w:highlight w:val="none"/>
        </w:rPr>
      </w:pPr>
      <w:r>
        <w:rPr>
          <w:rFonts w:hint="eastAsia" w:ascii="宋体" w:hAnsi="宋体" w:cs="宋体"/>
          <w:b/>
          <w:bCs/>
          <w:color w:val="auto"/>
          <w:highlight w:val="none"/>
        </w:rPr>
        <w:t>2、该表必须按照招标文件要求逐条如实填写，根据情况在“偏离情况”项填写正偏离或负偏离或无偏离，在“说明”项填写正偏离或负偏离原因。</w:t>
      </w:r>
    </w:p>
    <w:p w14:paraId="31B962C4">
      <w:pPr>
        <w:pStyle w:val="11"/>
        <w:spacing w:line="360" w:lineRule="auto"/>
        <w:ind w:left="140" w:firstLine="0"/>
        <w:rPr>
          <w:rFonts w:hint="eastAsia" w:ascii="宋体" w:hAnsi="宋体" w:cs="宋体"/>
          <w:color w:val="auto"/>
          <w:highlight w:val="none"/>
        </w:rPr>
      </w:pPr>
      <w:r>
        <w:rPr>
          <w:rFonts w:hint="eastAsia" w:ascii="宋体" w:hAnsi="宋体" w:cs="宋体"/>
          <w:b/>
          <w:bCs/>
          <w:color w:val="auto"/>
          <w:highlight w:val="none"/>
        </w:rPr>
        <w:t>3、该表可扩展。</w:t>
      </w:r>
    </w:p>
    <w:p w14:paraId="300EC110">
      <w:pPr>
        <w:adjustRightInd w:val="0"/>
        <w:snapToGrid w:val="0"/>
        <w:spacing w:line="480" w:lineRule="auto"/>
        <w:rPr>
          <w:rFonts w:hint="eastAsia" w:asciiTheme="minorEastAsia" w:hAnsiTheme="minorEastAsia" w:cstheme="minorEastAsia"/>
          <w:color w:val="auto"/>
          <w:highlight w:val="none"/>
        </w:rPr>
      </w:pPr>
    </w:p>
    <w:p w14:paraId="41113DB5">
      <w:pPr>
        <w:adjustRightInd w:val="0"/>
        <w:snapToGrid w:val="0"/>
        <w:spacing w:line="480" w:lineRule="auto"/>
        <w:rPr>
          <w:rFonts w:hint="eastAsia" w:asciiTheme="minorEastAsia" w:hAnsiTheme="minorEastAsia" w:cstheme="minorEastAsia"/>
          <w:color w:val="auto"/>
          <w:highlight w:val="none"/>
          <w:u w:val="single"/>
        </w:rPr>
      </w:pPr>
      <w:r>
        <w:rPr>
          <w:rFonts w:hint="eastAsia" w:asciiTheme="minorEastAsia" w:hAnsiTheme="minorEastAsia" w:cstheme="minorEastAsia"/>
          <w:color w:val="auto"/>
          <w:highlight w:val="none"/>
        </w:rPr>
        <w:t>供应商（单位名称及公章）：</w:t>
      </w:r>
    </w:p>
    <w:p w14:paraId="4D7919C0">
      <w:pPr>
        <w:adjustRightInd w:val="0"/>
        <w:snapToGrid w:val="0"/>
        <w:spacing w:line="480" w:lineRule="auto"/>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法定代表人或被授权人（签字或盖章）：</w:t>
      </w:r>
    </w:p>
    <w:p w14:paraId="39DDC227">
      <w:pPr>
        <w:adjustRightInd w:val="0"/>
        <w:snapToGrid w:val="0"/>
        <w:spacing w:line="480" w:lineRule="auto"/>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日    期：年月日</w:t>
      </w:r>
    </w:p>
    <w:bookmarkEnd w:id="215"/>
    <w:bookmarkEnd w:id="216"/>
    <w:bookmarkEnd w:id="217"/>
    <w:bookmarkEnd w:id="218"/>
    <w:p w14:paraId="0B6E1F1F">
      <w:pPr>
        <w:pStyle w:val="3"/>
        <w:spacing w:before="395" w:beforeLines="100" w:after="592" w:afterLines="150" w:line="500" w:lineRule="exact"/>
        <w:ind w:firstLine="657"/>
        <w:jc w:val="center"/>
        <w:rPr>
          <w:rFonts w:hint="eastAsia" w:asciiTheme="minorEastAsia" w:hAnsiTheme="minorEastAsia" w:eastAsiaTheme="minorEastAsia" w:cstheme="minorEastAsia"/>
          <w:color w:val="auto"/>
          <w:highlight w:val="none"/>
        </w:rPr>
      </w:pPr>
      <w:bookmarkStart w:id="220" w:name="_Toc24830"/>
      <w:bookmarkStart w:id="221" w:name="_Toc258"/>
      <w:bookmarkStart w:id="222" w:name="_Toc12270"/>
      <w:r>
        <w:rPr>
          <w:rFonts w:hint="eastAsia" w:asciiTheme="minorEastAsia" w:hAnsiTheme="minorEastAsia" w:eastAsiaTheme="minorEastAsia" w:cstheme="minorEastAsia"/>
          <w:color w:val="auto"/>
          <w:highlight w:val="none"/>
        </w:rPr>
        <w:t xml:space="preserve">第六部分  </w:t>
      </w:r>
      <w:bookmarkEnd w:id="220"/>
      <w:bookmarkEnd w:id="221"/>
      <w:r>
        <w:rPr>
          <w:rFonts w:hint="eastAsia" w:asciiTheme="minorEastAsia" w:hAnsiTheme="minorEastAsia" w:eastAsiaTheme="minorEastAsia" w:cstheme="minorEastAsia"/>
          <w:color w:val="auto"/>
          <w:highlight w:val="none"/>
        </w:rPr>
        <w:t>服务方案</w:t>
      </w:r>
      <w:bookmarkEnd w:id="222"/>
    </w:p>
    <w:p w14:paraId="1AACB0A5">
      <w:pPr>
        <w:spacing w:line="480" w:lineRule="auto"/>
        <w:rPr>
          <w:rFonts w:hint="eastAsia" w:asciiTheme="minorEastAsia" w:hAnsiTheme="minorEastAsia" w:cstheme="minorEastAsia"/>
          <w:color w:val="auto"/>
          <w:highlight w:val="none"/>
        </w:rPr>
      </w:pPr>
      <w:r>
        <w:rPr>
          <w:rFonts w:hint="eastAsia"/>
          <w:b/>
          <w:bCs/>
          <w:color w:val="auto"/>
          <w:highlight w:val="none"/>
        </w:rPr>
        <w:t>供应商可根据评审办法自行编写，格式不限；</w:t>
      </w:r>
    </w:p>
    <w:p w14:paraId="6E016F3F">
      <w:pPr>
        <w:jc w:val="both"/>
        <w:rPr>
          <w:rFonts w:hint="eastAsia" w:asciiTheme="minorEastAsia" w:hAnsiTheme="minorEastAsia" w:cstheme="minorEastAsia"/>
          <w:color w:val="auto"/>
          <w:highlight w:val="none"/>
        </w:rPr>
      </w:pPr>
    </w:p>
    <w:p w14:paraId="4815C4C3">
      <w:pPr>
        <w:rPr>
          <w:color w:val="auto"/>
          <w:highlight w:val="none"/>
        </w:rPr>
      </w:pPr>
    </w:p>
    <w:p w14:paraId="062A56DE">
      <w:pPr>
        <w:rPr>
          <w:rFonts w:hint="eastAsia"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br w:type="page"/>
      </w:r>
    </w:p>
    <w:p w14:paraId="215336F3">
      <w:pPr>
        <w:pStyle w:val="3"/>
        <w:numPr>
          <w:ilvl w:val="0"/>
          <w:numId w:val="4"/>
        </w:numPr>
        <w:ind w:firstLine="657"/>
        <w:jc w:val="center"/>
        <w:rPr>
          <w:rFonts w:hint="eastAsia" w:ascii="宋体" w:hAnsi="宋体" w:eastAsia="宋体" w:cs="宋体"/>
          <w:color w:val="auto"/>
          <w:highlight w:val="none"/>
        </w:rPr>
      </w:pPr>
      <w:bookmarkStart w:id="223" w:name="_Toc25334"/>
      <w:bookmarkStart w:id="224" w:name="_Toc6020"/>
      <w:bookmarkStart w:id="225" w:name="_Toc3034"/>
      <w:bookmarkStart w:id="226" w:name="_Toc11540"/>
      <w:bookmarkStart w:id="227" w:name="_Toc24882"/>
      <w:bookmarkStart w:id="228" w:name="_Toc12793"/>
      <w:bookmarkStart w:id="229" w:name="_Toc30983"/>
      <w:bookmarkStart w:id="230" w:name="_Toc8494"/>
      <w:bookmarkStart w:id="231" w:name="_Toc11410"/>
      <w:r>
        <w:rPr>
          <w:rFonts w:hint="eastAsia" w:ascii="宋体" w:hAnsi="宋体" w:eastAsia="宋体" w:cs="宋体"/>
          <w:color w:val="auto"/>
          <w:highlight w:val="none"/>
        </w:rPr>
        <w:t xml:space="preserve">  技术支持资料</w:t>
      </w:r>
      <w:bookmarkEnd w:id="223"/>
    </w:p>
    <w:p w14:paraId="106FD9E1">
      <w:pPr>
        <w:spacing w:line="480" w:lineRule="auto"/>
        <w:rPr>
          <w:rFonts w:hint="eastAsia" w:asciiTheme="minorEastAsia" w:hAnsiTheme="minorEastAsia" w:cstheme="minorEastAsia"/>
          <w:color w:val="auto"/>
          <w:highlight w:val="none"/>
        </w:rPr>
      </w:pPr>
      <w:r>
        <w:rPr>
          <w:rFonts w:hint="eastAsia"/>
          <w:b/>
          <w:bCs/>
          <w:color w:val="auto"/>
          <w:highlight w:val="none"/>
        </w:rPr>
        <w:t>供应商可根据评审办法自行编写，格式不限；</w:t>
      </w:r>
    </w:p>
    <w:p w14:paraId="2E0638CC">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FBDBC75">
      <w:pPr>
        <w:pStyle w:val="3"/>
        <w:numPr>
          <w:ilvl w:val="0"/>
          <w:numId w:val="4"/>
        </w:numPr>
        <w:ind w:firstLine="657"/>
        <w:jc w:val="center"/>
        <w:rPr>
          <w:rFonts w:hint="eastAsia" w:ascii="宋体" w:hAnsi="宋体" w:eastAsia="宋体" w:cs="宋体"/>
          <w:color w:val="auto"/>
          <w:highlight w:val="none"/>
        </w:rPr>
      </w:pPr>
      <w:bookmarkStart w:id="232" w:name="_Toc12259"/>
      <w:r>
        <w:rPr>
          <w:rFonts w:hint="eastAsia" w:ascii="宋体" w:hAnsi="宋体" w:eastAsia="宋体" w:cs="宋体"/>
          <w:color w:val="auto"/>
          <w:highlight w:val="none"/>
        </w:rPr>
        <w:t xml:space="preserve">  供应商业绩一览表</w:t>
      </w:r>
      <w:bookmarkEnd w:id="224"/>
      <w:bookmarkEnd w:id="225"/>
      <w:bookmarkEnd w:id="226"/>
      <w:bookmarkEnd w:id="227"/>
      <w:bookmarkEnd w:id="232"/>
    </w:p>
    <w:p w14:paraId="6CF39FE1">
      <w:pPr>
        <w:rPr>
          <w:rFonts w:hint="eastAsia" w:asciiTheme="minorEastAsia" w:hAnsiTheme="minorEastAsia" w:cstheme="minorEastAsia"/>
          <w:color w:val="auto"/>
          <w:highlight w:val="none"/>
        </w:rPr>
      </w:pPr>
    </w:p>
    <w:tbl>
      <w:tblPr>
        <w:tblStyle w:val="33"/>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14:paraId="700C0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14:paraId="59497099">
            <w:pPr>
              <w:spacing w:line="400" w:lineRule="exact"/>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年份</w:t>
            </w:r>
          </w:p>
        </w:tc>
        <w:tc>
          <w:tcPr>
            <w:tcW w:w="1508" w:type="dxa"/>
            <w:vAlign w:val="center"/>
          </w:tcPr>
          <w:p w14:paraId="71719324">
            <w:pPr>
              <w:spacing w:line="400" w:lineRule="exact"/>
              <w:jc w:val="center"/>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用户名称</w:t>
            </w:r>
          </w:p>
        </w:tc>
        <w:tc>
          <w:tcPr>
            <w:tcW w:w="1382" w:type="dxa"/>
            <w:vAlign w:val="center"/>
          </w:tcPr>
          <w:p w14:paraId="2D26CC0F">
            <w:pPr>
              <w:spacing w:line="400" w:lineRule="exact"/>
              <w:jc w:val="center"/>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项目名称</w:t>
            </w:r>
          </w:p>
        </w:tc>
        <w:tc>
          <w:tcPr>
            <w:tcW w:w="1399" w:type="dxa"/>
            <w:vAlign w:val="center"/>
          </w:tcPr>
          <w:p w14:paraId="446F1837">
            <w:pPr>
              <w:spacing w:line="400" w:lineRule="exact"/>
              <w:jc w:val="center"/>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完成时间</w:t>
            </w:r>
          </w:p>
        </w:tc>
        <w:tc>
          <w:tcPr>
            <w:tcW w:w="1485" w:type="dxa"/>
            <w:vAlign w:val="center"/>
          </w:tcPr>
          <w:p w14:paraId="7500DBBB">
            <w:pPr>
              <w:spacing w:line="400" w:lineRule="exact"/>
              <w:ind w:firstLine="124" w:firstLineChars="50"/>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合同金额</w:t>
            </w:r>
          </w:p>
        </w:tc>
        <w:tc>
          <w:tcPr>
            <w:tcW w:w="1576" w:type="dxa"/>
            <w:tcBorders>
              <w:right w:val="single" w:color="auto" w:sz="4" w:space="0"/>
            </w:tcBorders>
            <w:vAlign w:val="center"/>
          </w:tcPr>
          <w:p w14:paraId="3CFA8866">
            <w:pPr>
              <w:spacing w:line="400" w:lineRule="exact"/>
              <w:ind w:left="241" w:hanging="239" w:hangingChars="97"/>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完成项目质量</w:t>
            </w:r>
          </w:p>
        </w:tc>
        <w:tc>
          <w:tcPr>
            <w:tcW w:w="1096" w:type="dxa"/>
            <w:tcBorders>
              <w:left w:val="single" w:color="auto" w:sz="4" w:space="0"/>
            </w:tcBorders>
            <w:vAlign w:val="center"/>
          </w:tcPr>
          <w:p w14:paraId="724F8772">
            <w:pPr>
              <w:spacing w:line="400" w:lineRule="exact"/>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备注</w:t>
            </w:r>
          </w:p>
        </w:tc>
      </w:tr>
      <w:tr w14:paraId="639A2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1907A4B5">
            <w:pPr>
              <w:spacing w:line="400" w:lineRule="exact"/>
              <w:jc w:val="center"/>
              <w:rPr>
                <w:rFonts w:hint="eastAsia" w:asciiTheme="minorEastAsia" w:hAnsiTheme="minorEastAsia" w:cstheme="minorEastAsia"/>
                <w:bCs/>
                <w:color w:val="auto"/>
                <w:highlight w:val="none"/>
              </w:rPr>
            </w:pPr>
          </w:p>
        </w:tc>
        <w:tc>
          <w:tcPr>
            <w:tcW w:w="1508" w:type="dxa"/>
            <w:vAlign w:val="center"/>
          </w:tcPr>
          <w:p w14:paraId="554670D2">
            <w:pPr>
              <w:spacing w:line="400" w:lineRule="exact"/>
              <w:jc w:val="center"/>
              <w:rPr>
                <w:rFonts w:hint="eastAsia" w:asciiTheme="minorEastAsia" w:hAnsiTheme="minorEastAsia" w:cstheme="minorEastAsia"/>
                <w:bCs/>
                <w:color w:val="auto"/>
                <w:highlight w:val="none"/>
              </w:rPr>
            </w:pPr>
          </w:p>
        </w:tc>
        <w:tc>
          <w:tcPr>
            <w:tcW w:w="1382" w:type="dxa"/>
            <w:vAlign w:val="center"/>
          </w:tcPr>
          <w:p w14:paraId="0A63038E">
            <w:pPr>
              <w:spacing w:line="400" w:lineRule="exact"/>
              <w:jc w:val="center"/>
              <w:rPr>
                <w:rFonts w:hint="eastAsia" w:asciiTheme="minorEastAsia" w:hAnsiTheme="minorEastAsia" w:cstheme="minorEastAsia"/>
                <w:bCs/>
                <w:color w:val="auto"/>
                <w:highlight w:val="none"/>
              </w:rPr>
            </w:pPr>
          </w:p>
        </w:tc>
        <w:tc>
          <w:tcPr>
            <w:tcW w:w="1399" w:type="dxa"/>
            <w:vAlign w:val="center"/>
          </w:tcPr>
          <w:p w14:paraId="138C1B35">
            <w:pPr>
              <w:spacing w:line="400" w:lineRule="exact"/>
              <w:jc w:val="center"/>
              <w:rPr>
                <w:rFonts w:hint="eastAsia" w:asciiTheme="minorEastAsia" w:hAnsiTheme="minorEastAsia" w:cstheme="minorEastAsia"/>
                <w:bCs/>
                <w:color w:val="auto"/>
                <w:highlight w:val="none"/>
              </w:rPr>
            </w:pPr>
          </w:p>
        </w:tc>
        <w:tc>
          <w:tcPr>
            <w:tcW w:w="1485" w:type="dxa"/>
            <w:vAlign w:val="center"/>
          </w:tcPr>
          <w:p w14:paraId="00FC71B6">
            <w:pPr>
              <w:spacing w:line="400" w:lineRule="exact"/>
              <w:jc w:val="center"/>
              <w:rPr>
                <w:rFonts w:hint="eastAsia" w:asciiTheme="minorEastAsia" w:hAnsiTheme="minorEastAsia" w:cstheme="minorEastAsia"/>
                <w:bCs/>
                <w:color w:val="auto"/>
                <w:highlight w:val="none"/>
              </w:rPr>
            </w:pPr>
          </w:p>
        </w:tc>
        <w:tc>
          <w:tcPr>
            <w:tcW w:w="1576" w:type="dxa"/>
            <w:tcBorders>
              <w:right w:val="single" w:color="auto" w:sz="4" w:space="0"/>
            </w:tcBorders>
            <w:vAlign w:val="center"/>
          </w:tcPr>
          <w:p w14:paraId="6FA30218">
            <w:pPr>
              <w:spacing w:line="400" w:lineRule="exact"/>
              <w:jc w:val="center"/>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5B944EA6">
            <w:pPr>
              <w:spacing w:line="400" w:lineRule="exact"/>
              <w:jc w:val="center"/>
              <w:rPr>
                <w:rFonts w:hint="eastAsia" w:asciiTheme="minorEastAsia" w:hAnsiTheme="minorEastAsia" w:cstheme="minorEastAsia"/>
                <w:bCs/>
                <w:color w:val="auto"/>
                <w:highlight w:val="none"/>
              </w:rPr>
            </w:pPr>
          </w:p>
        </w:tc>
      </w:tr>
      <w:tr w14:paraId="6FDF8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2CA2FC7D">
            <w:pPr>
              <w:spacing w:line="400" w:lineRule="exact"/>
              <w:jc w:val="center"/>
              <w:rPr>
                <w:rFonts w:hint="eastAsia" w:asciiTheme="minorEastAsia" w:hAnsiTheme="minorEastAsia" w:cstheme="minorEastAsia"/>
                <w:bCs/>
                <w:color w:val="auto"/>
                <w:highlight w:val="none"/>
              </w:rPr>
            </w:pPr>
          </w:p>
        </w:tc>
        <w:tc>
          <w:tcPr>
            <w:tcW w:w="1508" w:type="dxa"/>
            <w:vAlign w:val="center"/>
          </w:tcPr>
          <w:p w14:paraId="03BD11D1">
            <w:pPr>
              <w:spacing w:line="400" w:lineRule="exact"/>
              <w:jc w:val="center"/>
              <w:rPr>
                <w:rFonts w:hint="eastAsia" w:asciiTheme="minorEastAsia" w:hAnsiTheme="minorEastAsia" w:cstheme="minorEastAsia"/>
                <w:bCs/>
                <w:color w:val="auto"/>
                <w:highlight w:val="none"/>
              </w:rPr>
            </w:pPr>
          </w:p>
        </w:tc>
        <w:tc>
          <w:tcPr>
            <w:tcW w:w="1382" w:type="dxa"/>
            <w:vAlign w:val="center"/>
          </w:tcPr>
          <w:p w14:paraId="07614091">
            <w:pPr>
              <w:spacing w:line="400" w:lineRule="exact"/>
              <w:jc w:val="center"/>
              <w:rPr>
                <w:rFonts w:hint="eastAsia" w:asciiTheme="minorEastAsia" w:hAnsiTheme="minorEastAsia" w:cstheme="minorEastAsia"/>
                <w:bCs/>
                <w:color w:val="auto"/>
                <w:highlight w:val="none"/>
              </w:rPr>
            </w:pPr>
          </w:p>
        </w:tc>
        <w:tc>
          <w:tcPr>
            <w:tcW w:w="1399" w:type="dxa"/>
            <w:vAlign w:val="center"/>
          </w:tcPr>
          <w:p w14:paraId="38F6B2A6">
            <w:pPr>
              <w:spacing w:line="400" w:lineRule="exact"/>
              <w:jc w:val="center"/>
              <w:rPr>
                <w:rFonts w:hint="eastAsia" w:asciiTheme="minorEastAsia" w:hAnsiTheme="minorEastAsia" w:cstheme="minorEastAsia"/>
                <w:bCs/>
                <w:color w:val="auto"/>
                <w:highlight w:val="none"/>
              </w:rPr>
            </w:pPr>
          </w:p>
        </w:tc>
        <w:tc>
          <w:tcPr>
            <w:tcW w:w="1485" w:type="dxa"/>
            <w:vAlign w:val="center"/>
          </w:tcPr>
          <w:p w14:paraId="6B305814">
            <w:pPr>
              <w:spacing w:line="400" w:lineRule="exact"/>
              <w:jc w:val="center"/>
              <w:rPr>
                <w:rFonts w:hint="eastAsia" w:asciiTheme="minorEastAsia" w:hAnsiTheme="minorEastAsia" w:cstheme="minorEastAsia"/>
                <w:bCs/>
                <w:color w:val="auto"/>
                <w:highlight w:val="none"/>
              </w:rPr>
            </w:pPr>
          </w:p>
        </w:tc>
        <w:tc>
          <w:tcPr>
            <w:tcW w:w="1576" w:type="dxa"/>
            <w:tcBorders>
              <w:right w:val="single" w:color="auto" w:sz="4" w:space="0"/>
            </w:tcBorders>
            <w:vAlign w:val="center"/>
          </w:tcPr>
          <w:p w14:paraId="38AFE5EF">
            <w:pPr>
              <w:spacing w:line="400" w:lineRule="exact"/>
              <w:jc w:val="center"/>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4F14E69A">
            <w:pPr>
              <w:spacing w:line="400" w:lineRule="exact"/>
              <w:jc w:val="center"/>
              <w:rPr>
                <w:rFonts w:hint="eastAsia" w:asciiTheme="minorEastAsia" w:hAnsiTheme="minorEastAsia" w:cstheme="minorEastAsia"/>
                <w:bCs/>
                <w:color w:val="auto"/>
                <w:highlight w:val="none"/>
              </w:rPr>
            </w:pPr>
          </w:p>
        </w:tc>
      </w:tr>
      <w:tr w14:paraId="6E5E2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6D5FEB63">
            <w:pPr>
              <w:spacing w:line="400" w:lineRule="exact"/>
              <w:jc w:val="center"/>
              <w:rPr>
                <w:rFonts w:hint="eastAsia" w:asciiTheme="minorEastAsia" w:hAnsiTheme="minorEastAsia" w:cstheme="minorEastAsia"/>
                <w:bCs/>
                <w:color w:val="auto"/>
                <w:highlight w:val="none"/>
              </w:rPr>
            </w:pPr>
          </w:p>
        </w:tc>
        <w:tc>
          <w:tcPr>
            <w:tcW w:w="1508" w:type="dxa"/>
            <w:vAlign w:val="center"/>
          </w:tcPr>
          <w:p w14:paraId="13D6139A">
            <w:pPr>
              <w:spacing w:line="400" w:lineRule="exact"/>
              <w:jc w:val="center"/>
              <w:rPr>
                <w:rFonts w:hint="eastAsia" w:asciiTheme="minorEastAsia" w:hAnsiTheme="minorEastAsia" w:cstheme="minorEastAsia"/>
                <w:bCs/>
                <w:color w:val="auto"/>
                <w:highlight w:val="none"/>
              </w:rPr>
            </w:pPr>
          </w:p>
        </w:tc>
        <w:tc>
          <w:tcPr>
            <w:tcW w:w="1382" w:type="dxa"/>
            <w:vAlign w:val="center"/>
          </w:tcPr>
          <w:p w14:paraId="16BABE4F">
            <w:pPr>
              <w:spacing w:line="400" w:lineRule="exact"/>
              <w:jc w:val="center"/>
              <w:rPr>
                <w:rFonts w:hint="eastAsia" w:asciiTheme="minorEastAsia" w:hAnsiTheme="minorEastAsia" w:cstheme="minorEastAsia"/>
                <w:bCs/>
                <w:color w:val="auto"/>
                <w:highlight w:val="none"/>
              </w:rPr>
            </w:pPr>
          </w:p>
        </w:tc>
        <w:tc>
          <w:tcPr>
            <w:tcW w:w="1399" w:type="dxa"/>
            <w:vAlign w:val="center"/>
          </w:tcPr>
          <w:p w14:paraId="15239B7E">
            <w:pPr>
              <w:spacing w:line="400" w:lineRule="exact"/>
              <w:jc w:val="center"/>
              <w:rPr>
                <w:rFonts w:hint="eastAsia" w:asciiTheme="minorEastAsia" w:hAnsiTheme="minorEastAsia" w:cstheme="minorEastAsia"/>
                <w:bCs/>
                <w:color w:val="auto"/>
                <w:highlight w:val="none"/>
              </w:rPr>
            </w:pPr>
          </w:p>
        </w:tc>
        <w:tc>
          <w:tcPr>
            <w:tcW w:w="1485" w:type="dxa"/>
            <w:vAlign w:val="center"/>
          </w:tcPr>
          <w:p w14:paraId="1210EC7F">
            <w:pPr>
              <w:spacing w:line="400" w:lineRule="exact"/>
              <w:jc w:val="center"/>
              <w:rPr>
                <w:rFonts w:hint="eastAsia" w:asciiTheme="minorEastAsia" w:hAnsiTheme="minorEastAsia" w:cstheme="minorEastAsia"/>
                <w:bCs/>
                <w:color w:val="auto"/>
                <w:highlight w:val="none"/>
              </w:rPr>
            </w:pPr>
          </w:p>
        </w:tc>
        <w:tc>
          <w:tcPr>
            <w:tcW w:w="1576" w:type="dxa"/>
            <w:tcBorders>
              <w:right w:val="single" w:color="auto" w:sz="4" w:space="0"/>
            </w:tcBorders>
            <w:vAlign w:val="center"/>
          </w:tcPr>
          <w:p w14:paraId="2E4D6EB3">
            <w:pPr>
              <w:spacing w:line="400" w:lineRule="exact"/>
              <w:jc w:val="center"/>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6B9C8318">
            <w:pPr>
              <w:spacing w:line="400" w:lineRule="exact"/>
              <w:jc w:val="center"/>
              <w:rPr>
                <w:rFonts w:hint="eastAsia" w:asciiTheme="minorEastAsia" w:hAnsiTheme="minorEastAsia" w:cstheme="minorEastAsia"/>
                <w:bCs/>
                <w:color w:val="auto"/>
                <w:highlight w:val="none"/>
              </w:rPr>
            </w:pPr>
          </w:p>
        </w:tc>
      </w:tr>
      <w:tr w14:paraId="0C0F1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2D10F1B0">
            <w:pPr>
              <w:spacing w:line="400" w:lineRule="exact"/>
              <w:jc w:val="center"/>
              <w:rPr>
                <w:rFonts w:hint="eastAsia" w:asciiTheme="minorEastAsia" w:hAnsiTheme="minorEastAsia" w:cstheme="minorEastAsia"/>
                <w:bCs/>
                <w:color w:val="auto"/>
                <w:highlight w:val="none"/>
              </w:rPr>
            </w:pPr>
          </w:p>
        </w:tc>
        <w:tc>
          <w:tcPr>
            <w:tcW w:w="1508" w:type="dxa"/>
            <w:tcBorders>
              <w:right w:val="single" w:color="auto" w:sz="4" w:space="0"/>
            </w:tcBorders>
            <w:vAlign w:val="center"/>
          </w:tcPr>
          <w:p w14:paraId="7E14C3C7">
            <w:pPr>
              <w:spacing w:line="400" w:lineRule="exact"/>
              <w:jc w:val="center"/>
              <w:rPr>
                <w:rFonts w:hint="eastAsia" w:asciiTheme="minorEastAsia" w:hAnsiTheme="minorEastAsia" w:cstheme="minorEastAsia"/>
                <w:bCs/>
                <w:color w:val="auto"/>
                <w:highlight w:val="none"/>
              </w:rPr>
            </w:pPr>
          </w:p>
        </w:tc>
        <w:tc>
          <w:tcPr>
            <w:tcW w:w="1382" w:type="dxa"/>
            <w:tcBorders>
              <w:left w:val="single" w:color="auto" w:sz="4" w:space="0"/>
            </w:tcBorders>
            <w:vAlign w:val="center"/>
          </w:tcPr>
          <w:p w14:paraId="7DA79722">
            <w:pPr>
              <w:spacing w:line="400" w:lineRule="exact"/>
              <w:jc w:val="center"/>
              <w:rPr>
                <w:rFonts w:hint="eastAsia" w:asciiTheme="minorEastAsia" w:hAnsiTheme="minorEastAsia" w:cstheme="minorEastAsia"/>
                <w:bCs/>
                <w:color w:val="auto"/>
                <w:highlight w:val="none"/>
              </w:rPr>
            </w:pPr>
          </w:p>
        </w:tc>
        <w:tc>
          <w:tcPr>
            <w:tcW w:w="1399" w:type="dxa"/>
            <w:vAlign w:val="center"/>
          </w:tcPr>
          <w:p w14:paraId="215DFEA5">
            <w:pPr>
              <w:spacing w:line="400" w:lineRule="exact"/>
              <w:jc w:val="center"/>
              <w:rPr>
                <w:rFonts w:hint="eastAsia" w:asciiTheme="minorEastAsia" w:hAnsiTheme="minorEastAsia" w:cstheme="minorEastAsia"/>
                <w:bCs/>
                <w:color w:val="auto"/>
                <w:highlight w:val="none"/>
              </w:rPr>
            </w:pPr>
          </w:p>
        </w:tc>
        <w:tc>
          <w:tcPr>
            <w:tcW w:w="1485" w:type="dxa"/>
            <w:vAlign w:val="center"/>
          </w:tcPr>
          <w:p w14:paraId="2DFECD32">
            <w:pPr>
              <w:spacing w:line="400" w:lineRule="exact"/>
              <w:jc w:val="center"/>
              <w:rPr>
                <w:rFonts w:hint="eastAsia" w:asciiTheme="minorEastAsia" w:hAnsiTheme="minorEastAsia" w:cstheme="minorEastAsia"/>
                <w:bCs/>
                <w:color w:val="auto"/>
                <w:highlight w:val="none"/>
              </w:rPr>
            </w:pPr>
          </w:p>
        </w:tc>
        <w:tc>
          <w:tcPr>
            <w:tcW w:w="1576" w:type="dxa"/>
            <w:tcBorders>
              <w:right w:val="single" w:color="auto" w:sz="4" w:space="0"/>
            </w:tcBorders>
            <w:vAlign w:val="center"/>
          </w:tcPr>
          <w:p w14:paraId="2312B50F">
            <w:pPr>
              <w:spacing w:line="400" w:lineRule="exact"/>
              <w:jc w:val="center"/>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1FB8B547">
            <w:pPr>
              <w:spacing w:line="400" w:lineRule="exact"/>
              <w:jc w:val="center"/>
              <w:rPr>
                <w:rFonts w:hint="eastAsia" w:asciiTheme="minorEastAsia" w:hAnsiTheme="minorEastAsia" w:cstheme="minorEastAsia"/>
                <w:bCs/>
                <w:color w:val="auto"/>
                <w:highlight w:val="none"/>
              </w:rPr>
            </w:pPr>
          </w:p>
        </w:tc>
      </w:tr>
      <w:tr w14:paraId="3BCC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3A763CFD">
            <w:pPr>
              <w:spacing w:line="400" w:lineRule="exact"/>
              <w:rPr>
                <w:rFonts w:hint="eastAsia" w:asciiTheme="minorEastAsia" w:hAnsiTheme="minorEastAsia" w:cstheme="minorEastAsia"/>
                <w:bCs/>
                <w:color w:val="auto"/>
                <w:highlight w:val="none"/>
              </w:rPr>
            </w:pPr>
          </w:p>
        </w:tc>
        <w:tc>
          <w:tcPr>
            <w:tcW w:w="1508" w:type="dxa"/>
            <w:tcBorders>
              <w:left w:val="single" w:color="auto" w:sz="4" w:space="0"/>
              <w:right w:val="single" w:color="auto" w:sz="4" w:space="0"/>
            </w:tcBorders>
            <w:vAlign w:val="center"/>
          </w:tcPr>
          <w:p w14:paraId="650E8AE0">
            <w:pPr>
              <w:spacing w:line="400" w:lineRule="exact"/>
              <w:rPr>
                <w:rFonts w:hint="eastAsia" w:asciiTheme="minorEastAsia" w:hAnsiTheme="minorEastAsia" w:cstheme="minorEastAsia"/>
                <w:bCs/>
                <w:color w:val="auto"/>
                <w:highlight w:val="none"/>
              </w:rPr>
            </w:pPr>
          </w:p>
        </w:tc>
        <w:tc>
          <w:tcPr>
            <w:tcW w:w="1382" w:type="dxa"/>
            <w:tcBorders>
              <w:left w:val="single" w:color="auto" w:sz="4" w:space="0"/>
              <w:right w:val="single" w:color="auto" w:sz="4" w:space="0"/>
            </w:tcBorders>
            <w:vAlign w:val="center"/>
          </w:tcPr>
          <w:p w14:paraId="79F2B2D3">
            <w:pPr>
              <w:spacing w:line="400" w:lineRule="exact"/>
              <w:rPr>
                <w:rFonts w:hint="eastAsia" w:asciiTheme="minorEastAsia" w:hAnsiTheme="minorEastAsia" w:cstheme="minorEastAsia"/>
                <w:bCs/>
                <w:color w:val="auto"/>
                <w:highlight w:val="none"/>
              </w:rPr>
            </w:pPr>
          </w:p>
        </w:tc>
        <w:tc>
          <w:tcPr>
            <w:tcW w:w="1399" w:type="dxa"/>
            <w:tcBorders>
              <w:left w:val="single" w:color="auto" w:sz="4" w:space="0"/>
              <w:right w:val="single" w:color="auto" w:sz="4" w:space="0"/>
            </w:tcBorders>
            <w:vAlign w:val="center"/>
          </w:tcPr>
          <w:p w14:paraId="6EC347BA">
            <w:pPr>
              <w:spacing w:line="400" w:lineRule="exact"/>
              <w:rPr>
                <w:rFonts w:hint="eastAsia" w:asciiTheme="minorEastAsia" w:hAnsiTheme="minorEastAsia" w:cstheme="minorEastAsia"/>
                <w:bCs/>
                <w:color w:val="auto"/>
                <w:highlight w:val="none"/>
              </w:rPr>
            </w:pPr>
          </w:p>
        </w:tc>
        <w:tc>
          <w:tcPr>
            <w:tcW w:w="1485" w:type="dxa"/>
            <w:tcBorders>
              <w:left w:val="single" w:color="auto" w:sz="4" w:space="0"/>
              <w:right w:val="single" w:color="auto" w:sz="4" w:space="0"/>
            </w:tcBorders>
            <w:vAlign w:val="center"/>
          </w:tcPr>
          <w:p w14:paraId="54A3AD2B">
            <w:pPr>
              <w:spacing w:line="400" w:lineRule="exact"/>
              <w:rPr>
                <w:rFonts w:hint="eastAsia" w:asciiTheme="minorEastAsia" w:hAnsiTheme="minorEastAsia" w:cstheme="minorEastAsia"/>
                <w:bCs/>
                <w:color w:val="auto"/>
                <w:highlight w:val="none"/>
              </w:rPr>
            </w:pPr>
          </w:p>
        </w:tc>
        <w:tc>
          <w:tcPr>
            <w:tcW w:w="1576" w:type="dxa"/>
            <w:tcBorders>
              <w:left w:val="single" w:color="auto" w:sz="4" w:space="0"/>
              <w:right w:val="single" w:color="auto" w:sz="4" w:space="0"/>
            </w:tcBorders>
            <w:vAlign w:val="center"/>
          </w:tcPr>
          <w:p w14:paraId="26373B8A">
            <w:pPr>
              <w:spacing w:line="400" w:lineRule="exact"/>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2FF3ECB5">
            <w:pPr>
              <w:spacing w:line="400" w:lineRule="exact"/>
              <w:rPr>
                <w:rFonts w:hint="eastAsia" w:asciiTheme="minorEastAsia" w:hAnsiTheme="minorEastAsia" w:cstheme="minorEastAsia"/>
                <w:bCs/>
                <w:color w:val="auto"/>
                <w:highlight w:val="none"/>
              </w:rPr>
            </w:pPr>
          </w:p>
        </w:tc>
      </w:tr>
      <w:tr w14:paraId="0AB73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36CFA05C">
            <w:pPr>
              <w:spacing w:line="400" w:lineRule="exact"/>
              <w:rPr>
                <w:rFonts w:hint="eastAsia" w:asciiTheme="minorEastAsia" w:hAnsiTheme="minorEastAsia" w:cstheme="minorEastAsia"/>
                <w:bCs/>
                <w:color w:val="auto"/>
                <w:highlight w:val="none"/>
              </w:rPr>
            </w:pPr>
          </w:p>
        </w:tc>
        <w:tc>
          <w:tcPr>
            <w:tcW w:w="1508" w:type="dxa"/>
            <w:vAlign w:val="center"/>
          </w:tcPr>
          <w:p w14:paraId="5647AAAF">
            <w:pPr>
              <w:spacing w:line="400" w:lineRule="exact"/>
              <w:rPr>
                <w:rFonts w:hint="eastAsia" w:asciiTheme="minorEastAsia" w:hAnsiTheme="minorEastAsia" w:cstheme="minorEastAsia"/>
                <w:bCs/>
                <w:color w:val="auto"/>
                <w:highlight w:val="none"/>
              </w:rPr>
            </w:pPr>
          </w:p>
        </w:tc>
        <w:tc>
          <w:tcPr>
            <w:tcW w:w="1382" w:type="dxa"/>
            <w:vAlign w:val="center"/>
          </w:tcPr>
          <w:p w14:paraId="166BDD6F">
            <w:pPr>
              <w:spacing w:line="400" w:lineRule="exact"/>
              <w:rPr>
                <w:rFonts w:hint="eastAsia" w:asciiTheme="minorEastAsia" w:hAnsiTheme="minorEastAsia" w:cstheme="minorEastAsia"/>
                <w:bCs/>
                <w:color w:val="auto"/>
                <w:highlight w:val="none"/>
              </w:rPr>
            </w:pPr>
          </w:p>
        </w:tc>
        <w:tc>
          <w:tcPr>
            <w:tcW w:w="1399" w:type="dxa"/>
            <w:vAlign w:val="center"/>
          </w:tcPr>
          <w:p w14:paraId="431AA758">
            <w:pPr>
              <w:spacing w:line="400" w:lineRule="exact"/>
              <w:rPr>
                <w:rFonts w:hint="eastAsia" w:asciiTheme="minorEastAsia" w:hAnsiTheme="minorEastAsia" w:cstheme="minorEastAsia"/>
                <w:bCs/>
                <w:color w:val="auto"/>
                <w:highlight w:val="none"/>
              </w:rPr>
            </w:pPr>
          </w:p>
        </w:tc>
        <w:tc>
          <w:tcPr>
            <w:tcW w:w="1485" w:type="dxa"/>
            <w:tcBorders>
              <w:right w:val="single" w:color="auto" w:sz="4" w:space="0"/>
            </w:tcBorders>
            <w:vAlign w:val="center"/>
          </w:tcPr>
          <w:p w14:paraId="7092A166">
            <w:pPr>
              <w:spacing w:line="400" w:lineRule="exact"/>
              <w:rPr>
                <w:rFonts w:hint="eastAsia" w:asciiTheme="minorEastAsia" w:hAnsiTheme="minorEastAsia" w:cstheme="minorEastAsia"/>
                <w:bCs/>
                <w:color w:val="auto"/>
                <w:highlight w:val="none"/>
              </w:rPr>
            </w:pPr>
          </w:p>
        </w:tc>
        <w:tc>
          <w:tcPr>
            <w:tcW w:w="1576" w:type="dxa"/>
            <w:tcBorders>
              <w:left w:val="single" w:color="auto" w:sz="4" w:space="0"/>
              <w:right w:val="single" w:color="auto" w:sz="4" w:space="0"/>
            </w:tcBorders>
            <w:vAlign w:val="center"/>
          </w:tcPr>
          <w:p w14:paraId="4446BC5E">
            <w:pPr>
              <w:spacing w:line="400" w:lineRule="exact"/>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68B534CB">
            <w:pPr>
              <w:spacing w:line="400" w:lineRule="exact"/>
              <w:rPr>
                <w:rFonts w:hint="eastAsia" w:asciiTheme="minorEastAsia" w:hAnsiTheme="minorEastAsia" w:cstheme="minorEastAsia"/>
                <w:bCs/>
                <w:color w:val="auto"/>
                <w:highlight w:val="none"/>
              </w:rPr>
            </w:pPr>
          </w:p>
        </w:tc>
      </w:tr>
      <w:tr w14:paraId="5E6D2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14:paraId="31C5BA04">
            <w:pPr>
              <w:spacing w:line="400" w:lineRule="exact"/>
              <w:jc w:val="center"/>
              <w:rPr>
                <w:rFonts w:hint="eastAsia" w:asciiTheme="minorEastAsia" w:hAnsiTheme="minorEastAsia" w:cstheme="minorEastAsia"/>
                <w:bCs/>
                <w:color w:val="auto"/>
                <w:highlight w:val="none"/>
              </w:rPr>
            </w:pPr>
          </w:p>
        </w:tc>
        <w:tc>
          <w:tcPr>
            <w:tcW w:w="1508" w:type="dxa"/>
            <w:vAlign w:val="center"/>
          </w:tcPr>
          <w:p w14:paraId="097DFC14">
            <w:pPr>
              <w:spacing w:line="400" w:lineRule="exact"/>
              <w:jc w:val="center"/>
              <w:rPr>
                <w:rFonts w:hint="eastAsia" w:asciiTheme="minorEastAsia" w:hAnsiTheme="minorEastAsia" w:cstheme="minorEastAsia"/>
                <w:bCs/>
                <w:color w:val="auto"/>
                <w:highlight w:val="none"/>
              </w:rPr>
            </w:pPr>
          </w:p>
        </w:tc>
        <w:tc>
          <w:tcPr>
            <w:tcW w:w="1382" w:type="dxa"/>
            <w:vAlign w:val="center"/>
          </w:tcPr>
          <w:p w14:paraId="413C4FD3">
            <w:pPr>
              <w:spacing w:line="400" w:lineRule="exact"/>
              <w:jc w:val="center"/>
              <w:rPr>
                <w:rFonts w:hint="eastAsia" w:asciiTheme="minorEastAsia" w:hAnsiTheme="minorEastAsia" w:cstheme="minorEastAsia"/>
                <w:bCs/>
                <w:color w:val="auto"/>
                <w:highlight w:val="none"/>
              </w:rPr>
            </w:pPr>
          </w:p>
        </w:tc>
        <w:tc>
          <w:tcPr>
            <w:tcW w:w="1399" w:type="dxa"/>
            <w:vAlign w:val="center"/>
          </w:tcPr>
          <w:p w14:paraId="41CF3336">
            <w:pPr>
              <w:spacing w:line="400" w:lineRule="exact"/>
              <w:jc w:val="center"/>
              <w:rPr>
                <w:rFonts w:hint="eastAsia" w:asciiTheme="minorEastAsia" w:hAnsiTheme="minorEastAsia" w:cstheme="minorEastAsia"/>
                <w:bCs/>
                <w:color w:val="auto"/>
                <w:highlight w:val="none"/>
              </w:rPr>
            </w:pPr>
          </w:p>
        </w:tc>
        <w:tc>
          <w:tcPr>
            <w:tcW w:w="1485" w:type="dxa"/>
            <w:tcBorders>
              <w:right w:val="single" w:color="auto" w:sz="4" w:space="0"/>
            </w:tcBorders>
            <w:vAlign w:val="center"/>
          </w:tcPr>
          <w:p w14:paraId="44EC6520">
            <w:pPr>
              <w:spacing w:line="400" w:lineRule="exact"/>
              <w:jc w:val="center"/>
              <w:rPr>
                <w:rFonts w:hint="eastAsia" w:asciiTheme="minorEastAsia" w:hAnsiTheme="minorEastAsia" w:cstheme="minorEastAsia"/>
                <w:bCs/>
                <w:color w:val="auto"/>
                <w:highlight w:val="none"/>
              </w:rPr>
            </w:pPr>
          </w:p>
        </w:tc>
        <w:tc>
          <w:tcPr>
            <w:tcW w:w="1576" w:type="dxa"/>
            <w:tcBorders>
              <w:left w:val="single" w:color="auto" w:sz="4" w:space="0"/>
              <w:right w:val="single" w:color="auto" w:sz="4" w:space="0"/>
            </w:tcBorders>
            <w:vAlign w:val="center"/>
          </w:tcPr>
          <w:p w14:paraId="3BF0538B">
            <w:pPr>
              <w:spacing w:line="400" w:lineRule="exact"/>
              <w:jc w:val="center"/>
              <w:rPr>
                <w:rFonts w:hint="eastAsia" w:asciiTheme="minorEastAsia" w:hAnsiTheme="minorEastAsia" w:cstheme="minorEastAsia"/>
                <w:bCs/>
                <w:color w:val="auto"/>
                <w:highlight w:val="none"/>
              </w:rPr>
            </w:pPr>
          </w:p>
        </w:tc>
        <w:tc>
          <w:tcPr>
            <w:tcW w:w="1096" w:type="dxa"/>
            <w:tcBorders>
              <w:left w:val="single" w:color="auto" w:sz="4" w:space="0"/>
            </w:tcBorders>
            <w:vAlign w:val="center"/>
          </w:tcPr>
          <w:p w14:paraId="0DC1C9F3">
            <w:pPr>
              <w:spacing w:line="400" w:lineRule="exact"/>
              <w:jc w:val="center"/>
              <w:rPr>
                <w:rFonts w:hint="eastAsia" w:asciiTheme="minorEastAsia" w:hAnsiTheme="minorEastAsia" w:cstheme="minorEastAsia"/>
                <w:bCs/>
                <w:color w:val="auto"/>
                <w:highlight w:val="none"/>
              </w:rPr>
            </w:pPr>
          </w:p>
        </w:tc>
      </w:tr>
    </w:tbl>
    <w:p w14:paraId="70AC6D7B">
      <w:pPr>
        <w:spacing w:line="360" w:lineRule="auto"/>
        <w:rPr>
          <w:rFonts w:hint="eastAsia" w:asciiTheme="minorEastAsia" w:hAnsiTheme="minorEastAsia" w:cstheme="minorEastAsia"/>
          <w:color w:val="auto"/>
          <w:highlight w:val="none"/>
          <w:lang w:eastAsia="zh-CN"/>
        </w:rPr>
      </w:pPr>
      <w:r>
        <w:rPr>
          <w:rFonts w:hint="eastAsia" w:asciiTheme="minorEastAsia" w:hAnsiTheme="minorEastAsia" w:cstheme="minorEastAsia"/>
          <w:color w:val="auto"/>
          <w:highlight w:val="none"/>
        </w:rPr>
        <w:t xml:space="preserve"> 注：供应商根据〖评审要素及分值一览表〗</w:t>
      </w:r>
      <w:r>
        <w:rPr>
          <w:rFonts w:hint="eastAsia" w:asciiTheme="minorEastAsia" w:hAnsiTheme="minorEastAsia" w:cstheme="minorEastAsia"/>
          <w:color w:val="auto"/>
          <w:highlight w:val="none"/>
          <w:lang w:val="en-US" w:eastAsia="zh-CN"/>
        </w:rPr>
        <w:t>相关要求提供。</w:t>
      </w:r>
    </w:p>
    <w:p w14:paraId="646C8DDD">
      <w:pPr>
        <w:spacing w:line="360" w:lineRule="auto"/>
        <w:rPr>
          <w:rFonts w:hint="eastAsia" w:asciiTheme="minorEastAsia" w:hAnsiTheme="minorEastAsia" w:cstheme="minorEastAsia"/>
          <w:color w:val="auto"/>
          <w:highlight w:val="none"/>
        </w:rPr>
      </w:pPr>
    </w:p>
    <w:p w14:paraId="7233F775">
      <w:pPr>
        <w:spacing w:line="360" w:lineRule="auto"/>
        <w:rPr>
          <w:rFonts w:hint="eastAsia" w:asciiTheme="minorEastAsia" w:hAnsiTheme="minorEastAsia" w:cstheme="minorEastAsia"/>
          <w:color w:val="auto"/>
          <w:highlight w:val="none"/>
        </w:rPr>
      </w:pPr>
    </w:p>
    <w:p w14:paraId="4EA933D2">
      <w:pPr>
        <w:adjustRightInd w:val="0"/>
        <w:spacing w:line="600" w:lineRule="auto"/>
        <w:rPr>
          <w:rFonts w:hint="eastAsia" w:asciiTheme="minorEastAsia" w:hAnsiTheme="minorEastAsia" w:cstheme="minorEastAsia"/>
          <w:bCs/>
          <w:color w:val="auto"/>
          <w:highlight w:val="none"/>
          <w:u w:val="single"/>
        </w:rPr>
      </w:pPr>
      <w:r>
        <w:rPr>
          <w:rFonts w:hint="eastAsia" w:asciiTheme="minorEastAsia" w:hAnsiTheme="minorEastAsia" w:cstheme="minorEastAsia"/>
          <w:bCs/>
          <w:color w:val="auto"/>
          <w:highlight w:val="none"/>
        </w:rPr>
        <w:t>供应商名称：</w:t>
      </w:r>
      <w:r>
        <w:rPr>
          <w:rFonts w:hint="eastAsia" w:asciiTheme="minorEastAsia" w:hAnsiTheme="minorEastAsia" w:cstheme="minorEastAsia"/>
          <w:bCs/>
          <w:color w:val="auto"/>
          <w:highlight w:val="none"/>
          <w:u w:val="single"/>
        </w:rPr>
        <w:t xml:space="preserve">              （全称及公章）</w:t>
      </w:r>
    </w:p>
    <w:p w14:paraId="4C35E3EB">
      <w:pPr>
        <w:adjustRightInd w:val="0"/>
        <w:snapToGrid w:val="0"/>
        <w:spacing w:line="600" w:lineRule="auto"/>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法定代表人或被授权人（签字或盖章）：</w:t>
      </w:r>
    </w:p>
    <w:p w14:paraId="4A758609">
      <w:pPr>
        <w:adjustRightInd w:val="0"/>
        <w:snapToGrid w:val="0"/>
        <w:spacing w:line="600" w:lineRule="auto"/>
        <w:rPr>
          <w:rFonts w:hint="eastAsia" w:asciiTheme="minorEastAsia" w:hAnsiTheme="minorEastAsia" w:cstheme="minorEastAsia"/>
          <w:color w:val="auto"/>
          <w:sz w:val="36"/>
          <w:szCs w:val="36"/>
          <w:highlight w:val="none"/>
        </w:rPr>
      </w:pPr>
      <w:r>
        <w:rPr>
          <w:rFonts w:hint="eastAsia" w:asciiTheme="minorEastAsia" w:hAnsiTheme="minorEastAsia" w:cstheme="minorEastAsia"/>
          <w:bCs/>
          <w:color w:val="auto"/>
          <w:highlight w:val="none"/>
        </w:rPr>
        <w:t xml:space="preserve">日    </w:t>
      </w:r>
      <w:r>
        <w:rPr>
          <w:rFonts w:hint="eastAsia" w:asciiTheme="minorEastAsia" w:hAnsiTheme="minorEastAsia" w:cstheme="minorEastAsia"/>
          <w:color w:val="auto"/>
          <w:highlight w:val="none"/>
        </w:rPr>
        <w:t xml:space="preserve">期:                   </w:t>
      </w:r>
      <w:bookmarkEnd w:id="228"/>
      <w:bookmarkEnd w:id="229"/>
      <w:bookmarkEnd w:id="230"/>
      <w:bookmarkEnd w:id="231"/>
    </w:p>
    <w:p w14:paraId="19A3F50B">
      <w:pPr>
        <w:rPr>
          <w:color w:val="auto"/>
          <w:highlight w:val="none"/>
        </w:rPr>
      </w:pPr>
      <w:r>
        <w:rPr>
          <w:color w:val="auto"/>
          <w:highlight w:val="none"/>
        </w:rPr>
        <w:br w:type="page"/>
      </w:r>
    </w:p>
    <w:p w14:paraId="41FC5E71">
      <w:pPr>
        <w:pStyle w:val="3"/>
        <w:ind w:firstLine="657"/>
        <w:rPr>
          <w:rFonts w:hint="eastAsia" w:ascii="宋体" w:hAnsi="宋体" w:eastAsia="宋体" w:cs="宋体"/>
          <w:color w:val="auto"/>
          <w:highlight w:val="none"/>
        </w:rPr>
      </w:pPr>
      <w:bookmarkStart w:id="233" w:name="_Toc23432"/>
      <w:bookmarkStart w:id="234" w:name="_Toc29034"/>
      <w:bookmarkStart w:id="235" w:name="_Toc14659"/>
      <w:bookmarkStart w:id="236" w:name="_Toc22400"/>
      <w:bookmarkStart w:id="237" w:name="_Toc9666"/>
      <w:bookmarkStart w:id="238" w:name="_Toc18894"/>
      <w:r>
        <w:rPr>
          <w:rFonts w:hint="eastAsia" w:ascii="宋体" w:hAnsi="宋体" w:eastAsia="宋体" w:cs="宋体"/>
          <w:color w:val="auto"/>
          <w:highlight w:val="none"/>
        </w:rPr>
        <w:t>第九部分  供应商认为有必要说明的其他问题</w:t>
      </w:r>
      <w:bookmarkEnd w:id="233"/>
      <w:bookmarkEnd w:id="234"/>
      <w:bookmarkEnd w:id="235"/>
      <w:bookmarkEnd w:id="236"/>
      <w:bookmarkEnd w:id="237"/>
      <w:bookmarkEnd w:id="238"/>
    </w:p>
    <w:p w14:paraId="09BFFEC7">
      <w:pPr>
        <w:rPr>
          <w:rFonts w:hint="eastAsia" w:asciiTheme="minorEastAsia" w:hAnsiTheme="minorEastAsia" w:cstheme="minorEastAsia"/>
          <w:color w:val="auto"/>
          <w:highlight w:val="none"/>
        </w:rPr>
      </w:pPr>
    </w:p>
    <w:p w14:paraId="259DD716">
      <w:pPr>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供应商认为有必要提供的其他证明文件</w:t>
      </w:r>
    </w:p>
    <w:p w14:paraId="335122B6">
      <w:pPr>
        <w:rPr>
          <w:color w:val="auto"/>
          <w:highlight w:val="none"/>
        </w:rPr>
      </w:pPr>
      <w:r>
        <w:rPr>
          <w:color w:val="auto"/>
          <w:highlight w:val="none"/>
        </w:rPr>
        <w:br w:type="page"/>
      </w:r>
    </w:p>
    <w:p w14:paraId="4AAD710A">
      <w:pPr>
        <w:pStyle w:val="3"/>
        <w:ind w:firstLine="0" w:firstLineChars="0"/>
        <w:rPr>
          <w:rFonts w:hint="eastAsia" w:ascii="宋体" w:hAnsi="宋体" w:eastAsia="宋体" w:cs="宋体"/>
          <w:b/>
          <w:bCs/>
          <w:color w:val="auto"/>
          <w:highlight w:val="none"/>
        </w:rPr>
      </w:pPr>
      <w:bookmarkStart w:id="239" w:name="_Toc8177"/>
      <w:bookmarkStart w:id="240" w:name="_Toc9607"/>
      <w:bookmarkStart w:id="241" w:name="_Toc7273"/>
      <w:bookmarkStart w:id="242" w:name="_Toc22501"/>
      <w:bookmarkStart w:id="243" w:name="_Toc9757"/>
      <w:bookmarkStart w:id="244" w:name="_Toc22866"/>
      <w:bookmarkStart w:id="245" w:name="_Toc20129"/>
      <w:r>
        <w:rPr>
          <w:rFonts w:hint="eastAsia" w:ascii="宋体" w:hAnsi="宋体" w:eastAsia="宋体" w:cs="宋体"/>
          <w:b/>
          <w:bCs/>
          <w:color w:val="auto"/>
          <w:highlight w:val="none"/>
        </w:rPr>
        <w:t>第十部分</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供应商参加政府采购活动承诺书</w:t>
      </w:r>
    </w:p>
    <w:p w14:paraId="7AD66D10">
      <w:pPr>
        <w:pStyle w:val="20"/>
        <w:rPr>
          <w:rFonts w:hint="eastAsia" w:hAnsi="宋体" w:eastAsia="宋体" w:cs="宋体"/>
          <w:color w:val="auto"/>
          <w:highlight w:val="none"/>
        </w:rPr>
      </w:pPr>
    </w:p>
    <w:p w14:paraId="0F22F640">
      <w:pPr>
        <w:pStyle w:val="20"/>
        <w:ind w:firstLine="288" w:firstLineChars="100"/>
        <w:jc w:val="center"/>
        <w:rPr>
          <w:rFonts w:hint="eastAsia" w:hAnsi="宋体" w:eastAsia="宋体" w:cs="宋体"/>
          <w:b/>
          <w:bCs/>
          <w:color w:val="auto"/>
          <w:sz w:val="28"/>
          <w:szCs w:val="28"/>
          <w:highlight w:val="none"/>
        </w:rPr>
      </w:pPr>
      <w:r>
        <w:rPr>
          <w:rFonts w:hint="eastAsia" w:hAnsi="宋体" w:eastAsia="宋体" w:cs="宋体"/>
          <w:b/>
          <w:bCs/>
          <w:color w:val="auto"/>
          <w:sz w:val="28"/>
          <w:szCs w:val="28"/>
          <w:highlight w:val="none"/>
        </w:rPr>
        <w:t>陕西省政府采购供应商拒绝政府采购领域商业贿赂承诺书</w:t>
      </w:r>
    </w:p>
    <w:p w14:paraId="4B4DBD68">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为响应党中央、国务院关于治理政府采购领域商业贿赂行为的号召，我公司在此庄严承诺：</w:t>
      </w:r>
    </w:p>
    <w:p w14:paraId="0068158D">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1、在参与政府采购活动中遵纪守法、诚信经营、公平竞标。</w:t>
      </w:r>
    </w:p>
    <w:p w14:paraId="340F82BD">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2、不向政府采购人、代理机构和政府采购评审专家进行任何形式的商业贿赂以谋取交易机会。</w:t>
      </w:r>
    </w:p>
    <w:p w14:paraId="52174F32">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3、不向政府代理机构和采购人提供虚假资质文件或采用虚假应标方式参与政府采购市场竞争并谋取中标、成交。</w:t>
      </w:r>
    </w:p>
    <w:p w14:paraId="634624C7">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4、不采取“围标、陪标”等商业欺诈手段获得政府采购订单。</w:t>
      </w:r>
    </w:p>
    <w:p w14:paraId="14FDCA8D">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5、不采取不正当手段诋毁、排挤其它供货商。</w:t>
      </w:r>
    </w:p>
    <w:p w14:paraId="6750380C">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6、不在提供商品和服务时“偷梁换柱、以次充好”损害采购人的合法权益。</w:t>
      </w:r>
    </w:p>
    <w:p w14:paraId="0B830060">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7、不与采购人、代理机构政府采购评审专家或其它供应商恶意串通，进行质疑和投诉，维护政府采购市场秩序。</w:t>
      </w:r>
    </w:p>
    <w:p w14:paraId="3BB21873">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8、尊重和接受政府采购监督管理部门的监督和政府代理机构招标采购要求，承担因违约行为给采购人造成的损失。</w:t>
      </w:r>
    </w:p>
    <w:p w14:paraId="3A60C8BF">
      <w:pPr>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9、不发生其它有悖于政府采购公开、公平、公正和诚信原则的行为。</w:t>
      </w:r>
    </w:p>
    <w:p w14:paraId="2E02207A">
      <w:pPr>
        <w:adjustRightInd w:val="0"/>
        <w:snapToGrid w:val="0"/>
        <w:spacing w:line="500" w:lineRule="exact"/>
        <w:ind w:firstLine="576"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供应商（单位名称及公章）：</w:t>
      </w:r>
      <w:r>
        <w:rPr>
          <w:rFonts w:hint="eastAsia" w:ascii="宋体" w:hAnsi="宋体" w:eastAsia="宋体" w:cs="宋体"/>
          <w:color w:val="auto"/>
          <w:sz w:val="28"/>
          <w:szCs w:val="28"/>
          <w:highlight w:val="none"/>
          <w:u w:val="single"/>
        </w:rPr>
        <w:t xml:space="preserve">                  </w:t>
      </w:r>
    </w:p>
    <w:p w14:paraId="22A4C10A">
      <w:pPr>
        <w:snapToGrid w:val="0"/>
        <w:spacing w:line="500" w:lineRule="exact"/>
        <w:ind w:firstLine="576"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法定代表人/被授权人（签字）：</w:t>
      </w:r>
      <w:r>
        <w:rPr>
          <w:rFonts w:hint="eastAsia" w:ascii="宋体" w:hAnsi="宋体" w:eastAsia="宋体" w:cs="宋体"/>
          <w:color w:val="auto"/>
          <w:sz w:val="28"/>
          <w:szCs w:val="28"/>
          <w:highlight w:val="none"/>
          <w:u w:val="single"/>
        </w:rPr>
        <w:t xml:space="preserve">               </w:t>
      </w:r>
    </w:p>
    <w:p w14:paraId="258E5282">
      <w:pPr>
        <w:snapToGrid w:val="0"/>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single"/>
        </w:rPr>
        <w:t xml:space="preserve">                          </w:t>
      </w:r>
    </w:p>
    <w:p w14:paraId="60000FB4">
      <w:pPr>
        <w:snapToGrid w:val="0"/>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供应商：（盖章）</w:t>
      </w:r>
      <w:r>
        <w:rPr>
          <w:rFonts w:hint="eastAsia" w:ascii="宋体" w:hAnsi="宋体" w:eastAsia="宋体" w:cs="宋体"/>
          <w:color w:val="auto"/>
          <w:sz w:val="28"/>
          <w:szCs w:val="28"/>
          <w:highlight w:val="none"/>
          <w:u w:val="single"/>
        </w:rPr>
        <w:t xml:space="preserve">                </w:t>
      </w:r>
    </w:p>
    <w:p w14:paraId="7D675B5B">
      <w:pPr>
        <w:snapToGrid w:val="0"/>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0128B2A4">
      <w:pPr>
        <w:snapToGrid w:val="0"/>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电话： </w:t>
      </w:r>
      <w:r>
        <w:rPr>
          <w:rFonts w:hint="eastAsia" w:ascii="宋体" w:hAnsi="宋体" w:eastAsia="宋体" w:cs="宋体"/>
          <w:color w:val="auto"/>
          <w:sz w:val="28"/>
          <w:szCs w:val="28"/>
          <w:highlight w:val="none"/>
          <w:u w:val="single"/>
        </w:rPr>
        <w:t xml:space="preserve">                         </w:t>
      </w:r>
    </w:p>
    <w:p w14:paraId="1159E55E">
      <w:pPr>
        <w:snapToGrid w:val="0"/>
        <w:spacing w:line="500" w:lineRule="exact"/>
        <w:ind w:firstLine="576"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0C10BEF">
      <w:pPr>
        <w:pStyle w:val="3"/>
        <w:adjustRightInd w:val="0"/>
        <w:spacing w:line="416" w:lineRule="atLeast"/>
        <w:ind w:firstLine="657"/>
        <w:jc w:val="center"/>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附件一、中小企业申明</w:t>
      </w:r>
      <w:bookmarkEnd w:id="239"/>
      <w:bookmarkEnd w:id="240"/>
      <w:bookmarkEnd w:id="241"/>
      <w:bookmarkEnd w:id="242"/>
      <w:bookmarkEnd w:id="243"/>
      <w:bookmarkEnd w:id="244"/>
      <w:bookmarkEnd w:id="245"/>
    </w:p>
    <w:p w14:paraId="48F3AB6D">
      <w:pPr>
        <w:rPr>
          <w:rFonts w:hint="eastAsia" w:asciiTheme="minorEastAsia" w:hAnsiTheme="minorEastAsia" w:cstheme="minorEastAsia"/>
          <w:color w:val="auto"/>
          <w:highlight w:val="none"/>
        </w:rPr>
      </w:pPr>
    </w:p>
    <w:p w14:paraId="47043D6E">
      <w:pPr>
        <w:spacing w:line="588" w:lineRule="exact"/>
        <w:ind w:firstLine="520" w:firstLineChars="200"/>
        <w:rPr>
          <w:rFonts w:hint="eastAsia" w:ascii="宋体" w:hAnsi="宋体"/>
          <w:color w:val="auto"/>
          <w:spacing w:val="6"/>
          <w:highlight w:val="none"/>
        </w:rPr>
      </w:pPr>
      <w:bookmarkStart w:id="246" w:name="_Toc30503"/>
      <w:bookmarkStart w:id="247" w:name="_Toc3198"/>
      <w:bookmarkStart w:id="248" w:name="_Toc15467"/>
      <w:bookmarkStart w:id="249" w:name="_Toc11556"/>
      <w:bookmarkStart w:id="250" w:name="_Toc11130"/>
      <w:r>
        <w:rPr>
          <w:rFonts w:hint="eastAsia" w:ascii="宋体" w:hAnsi="宋体"/>
          <w:color w:val="auto"/>
          <w:spacing w:val="6"/>
          <w:highlight w:val="none"/>
        </w:rPr>
        <w:t>根据《政府采购促进中小企业发展管理办法》（财库〔2020〕46号）的规定，由供应商自行声明并对真实性负责。如有虚假，将依法承担相应责任。</w:t>
      </w:r>
    </w:p>
    <w:p w14:paraId="08B56DB8">
      <w:pPr>
        <w:spacing w:line="360" w:lineRule="auto"/>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中小企业声明函</w:t>
      </w:r>
    </w:p>
    <w:p w14:paraId="333EEDA2">
      <w:pPr>
        <w:pStyle w:val="18"/>
        <w:spacing w:before="55" w:line="360" w:lineRule="auto"/>
        <w:ind w:right="415" w:firstLine="640"/>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highlight w:val="none"/>
          <w:u w:val="single"/>
        </w:rPr>
        <w:t>（单位名称）</w:t>
      </w:r>
      <w:r>
        <w:rPr>
          <w:rFonts w:hint="eastAsia" w:ascii="宋体" w:hAnsi="宋体" w:eastAsia="宋体" w:cs="宋体"/>
          <w:color w:val="auto"/>
          <w:spacing w:val="6"/>
          <w:kern w:val="2"/>
          <w:sz w:val="24"/>
          <w:highlight w:val="none"/>
        </w:rPr>
        <w:t>的</w:t>
      </w:r>
      <w:r>
        <w:rPr>
          <w:rFonts w:hint="eastAsia" w:ascii="宋体" w:hAnsi="宋体" w:eastAsia="宋体" w:cs="宋体"/>
          <w:color w:val="auto"/>
          <w:spacing w:val="6"/>
          <w:kern w:val="2"/>
          <w:sz w:val="24"/>
          <w:highlight w:val="none"/>
          <w:u w:val="single"/>
        </w:rPr>
        <w:t>（项目名称）</w:t>
      </w:r>
      <w:r>
        <w:rPr>
          <w:rFonts w:hint="eastAsia" w:ascii="宋体" w:hAnsi="宋体" w:eastAsia="宋体" w:cs="宋体"/>
          <w:color w:val="auto"/>
          <w:spacing w:val="6"/>
          <w:kern w:val="2"/>
          <w:sz w:val="24"/>
          <w:highlight w:val="none"/>
        </w:rPr>
        <w:t>采购活动，服务全部由符合政策要求的中小企业承接）。相关企业（含联合体中的中小企业、签订分包意向协议的中小企业）的具体情况如下：</w:t>
      </w:r>
    </w:p>
    <w:p w14:paraId="102F25C3">
      <w:pPr>
        <w:pStyle w:val="77"/>
        <w:numPr>
          <w:ilvl w:val="0"/>
          <w:numId w:val="5"/>
        </w:numPr>
        <w:tabs>
          <w:tab w:val="left" w:pos="1183"/>
          <w:tab w:val="left" w:pos="1484"/>
          <w:tab w:val="left" w:pos="4662"/>
          <w:tab w:val="left" w:pos="6903"/>
        </w:tabs>
        <w:spacing w:line="360" w:lineRule="auto"/>
        <w:ind w:right="169" w:firstLine="655"/>
        <w:rPr>
          <w:rFonts w:hint="eastAsia" w:ascii="宋体" w:hAnsi="宋体" w:eastAsia="宋体" w:cs="宋体"/>
          <w:color w:val="auto"/>
          <w:spacing w:val="6"/>
          <w:kern w:val="2"/>
          <w:highlight w:val="none"/>
        </w:rPr>
      </w:pPr>
      <w:r>
        <w:rPr>
          <w:rFonts w:hint="eastAsia" w:ascii="宋体" w:hAnsi="宋体" w:eastAsia="宋体" w:cs="宋体"/>
          <w:color w:val="auto"/>
          <w:spacing w:val="6"/>
          <w:kern w:val="2"/>
          <w:highlight w:val="none"/>
          <w:u w:val="single"/>
        </w:rPr>
        <w:t xml:space="preserve">（ 标 的 名 称 ） </w:t>
      </w:r>
      <w:r>
        <w:rPr>
          <w:rFonts w:hint="eastAsia" w:ascii="宋体" w:hAnsi="宋体" w:eastAsia="宋体" w:cs="宋体"/>
          <w:color w:val="auto"/>
          <w:spacing w:val="6"/>
          <w:kern w:val="2"/>
          <w:highlight w:val="none"/>
        </w:rPr>
        <w:t xml:space="preserve">， 属 于 </w:t>
      </w:r>
      <w:r>
        <w:rPr>
          <w:rFonts w:hint="eastAsia" w:ascii="宋体" w:hAnsi="宋体" w:eastAsia="宋体" w:cs="宋体"/>
          <w:color w:val="auto"/>
          <w:spacing w:val="6"/>
          <w:kern w:val="2"/>
          <w:highlight w:val="none"/>
          <w:u w:val="single"/>
        </w:rPr>
        <w:t xml:space="preserve">（采购文件中明确的所属行业） </w:t>
      </w:r>
      <w:r>
        <w:rPr>
          <w:rFonts w:hint="eastAsia" w:ascii="宋体" w:hAnsi="宋体" w:eastAsia="宋体" w:cs="宋体"/>
          <w:color w:val="auto"/>
          <w:spacing w:val="6"/>
          <w:kern w:val="2"/>
          <w:highlight w:val="none"/>
        </w:rPr>
        <w:t>行业；承建（承接）企业为</w:t>
      </w:r>
      <w:r>
        <w:rPr>
          <w:rFonts w:hint="eastAsia" w:ascii="宋体" w:hAnsi="宋体" w:eastAsia="宋体" w:cs="宋体"/>
          <w:color w:val="auto"/>
          <w:spacing w:val="6"/>
          <w:kern w:val="2"/>
          <w:highlight w:val="none"/>
          <w:u w:val="single"/>
        </w:rPr>
        <w:t>（企业名称）</w:t>
      </w:r>
      <w:r>
        <w:rPr>
          <w:rFonts w:hint="eastAsia" w:ascii="宋体" w:hAnsi="宋体" w:eastAsia="宋体" w:cs="宋体"/>
          <w:color w:val="auto"/>
          <w:spacing w:val="6"/>
          <w:kern w:val="2"/>
          <w:highlight w:val="none"/>
        </w:rPr>
        <w:t>，从业人员</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人，营业收入为</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万元，资产总额为</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万元，属于</w:t>
      </w:r>
      <w:r>
        <w:rPr>
          <w:rFonts w:hint="eastAsia" w:ascii="宋体" w:hAnsi="宋体" w:eastAsia="宋体" w:cs="宋体"/>
          <w:color w:val="auto"/>
          <w:spacing w:val="6"/>
          <w:kern w:val="2"/>
          <w:highlight w:val="none"/>
          <w:u w:val="single"/>
        </w:rPr>
        <w:t>（中型企业、小型企业、微型企业）</w:t>
      </w:r>
      <w:r>
        <w:rPr>
          <w:rFonts w:hint="eastAsia" w:ascii="宋体" w:hAnsi="宋体" w:eastAsia="宋体" w:cs="宋体"/>
          <w:color w:val="auto"/>
          <w:spacing w:val="6"/>
          <w:kern w:val="2"/>
          <w:highlight w:val="none"/>
        </w:rPr>
        <w:t>；</w:t>
      </w:r>
    </w:p>
    <w:p w14:paraId="7BC86F5F">
      <w:pPr>
        <w:pStyle w:val="77"/>
        <w:numPr>
          <w:ilvl w:val="0"/>
          <w:numId w:val="5"/>
        </w:numPr>
        <w:tabs>
          <w:tab w:val="left" w:pos="1183"/>
          <w:tab w:val="left" w:pos="1484"/>
          <w:tab w:val="left" w:pos="4662"/>
          <w:tab w:val="left" w:pos="6903"/>
        </w:tabs>
        <w:spacing w:line="360" w:lineRule="auto"/>
        <w:ind w:right="169" w:firstLine="655"/>
        <w:rPr>
          <w:rFonts w:hint="eastAsia" w:ascii="宋体" w:hAnsi="宋体" w:eastAsia="宋体" w:cs="宋体"/>
          <w:color w:val="auto"/>
          <w:spacing w:val="6"/>
          <w:kern w:val="2"/>
          <w:highlight w:val="none"/>
        </w:rPr>
      </w:pPr>
      <w:r>
        <w:rPr>
          <w:rFonts w:hint="eastAsia" w:ascii="宋体" w:hAnsi="宋体" w:eastAsia="宋体" w:cs="宋体"/>
          <w:color w:val="auto"/>
          <w:spacing w:val="6"/>
          <w:kern w:val="2"/>
          <w:highlight w:val="none"/>
          <w:u w:val="single"/>
        </w:rPr>
        <w:t xml:space="preserve">（ 标 的 名 称 ） </w:t>
      </w:r>
      <w:r>
        <w:rPr>
          <w:rFonts w:hint="eastAsia" w:ascii="宋体" w:hAnsi="宋体" w:eastAsia="宋体" w:cs="宋体"/>
          <w:color w:val="auto"/>
          <w:spacing w:val="6"/>
          <w:kern w:val="2"/>
          <w:highlight w:val="none"/>
        </w:rPr>
        <w:t xml:space="preserve">， 属 于 </w:t>
      </w:r>
      <w:r>
        <w:rPr>
          <w:rFonts w:hint="eastAsia" w:ascii="宋体" w:hAnsi="宋体" w:eastAsia="宋体" w:cs="宋体"/>
          <w:color w:val="auto"/>
          <w:spacing w:val="6"/>
          <w:kern w:val="2"/>
          <w:highlight w:val="none"/>
          <w:u w:val="single"/>
        </w:rPr>
        <w:t xml:space="preserve">（采购文件中明确的所属行业） </w:t>
      </w:r>
      <w:r>
        <w:rPr>
          <w:rFonts w:hint="eastAsia" w:ascii="宋体" w:hAnsi="宋体" w:eastAsia="宋体" w:cs="宋体"/>
          <w:color w:val="auto"/>
          <w:spacing w:val="6"/>
          <w:kern w:val="2"/>
          <w:highlight w:val="none"/>
        </w:rPr>
        <w:t>行业；承建（承接）企业为</w:t>
      </w:r>
      <w:r>
        <w:rPr>
          <w:rFonts w:hint="eastAsia" w:ascii="宋体" w:hAnsi="宋体" w:eastAsia="宋体" w:cs="宋体"/>
          <w:color w:val="auto"/>
          <w:spacing w:val="6"/>
          <w:kern w:val="2"/>
          <w:highlight w:val="none"/>
          <w:u w:val="single"/>
        </w:rPr>
        <w:t>（企业名称）</w:t>
      </w:r>
      <w:r>
        <w:rPr>
          <w:rFonts w:hint="eastAsia" w:ascii="宋体" w:hAnsi="宋体" w:eastAsia="宋体" w:cs="宋体"/>
          <w:color w:val="auto"/>
          <w:spacing w:val="6"/>
          <w:kern w:val="2"/>
          <w:highlight w:val="none"/>
        </w:rPr>
        <w:t>，从业人员</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人，营业收入为</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万元，资产总额为</w:t>
      </w:r>
      <w:r>
        <w:rPr>
          <w:rFonts w:hint="eastAsia" w:ascii="宋体" w:hAnsi="宋体" w:eastAsia="宋体" w:cs="宋体"/>
          <w:color w:val="auto"/>
          <w:spacing w:val="6"/>
          <w:kern w:val="2"/>
          <w:highlight w:val="none"/>
          <w:u w:val="single"/>
        </w:rPr>
        <w:tab/>
      </w:r>
      <w:r>
        <w:rPr>
          <w:rFonts w:hint="eastAsia" w:ascii="宋体" w:hAnsi="宋体" w:eastAsia="宋体" w:cs="宋体"/>
          <w:color w:val="auto"/>
          <w:spacing w:val="6"/>
          <w:kern w:val="2"/>
          <w:highlight w:val="none"/>
        </w:rPr>
        <w:t>万元，属于</w:t>
      </w:r>
      <w:r>
        <w:rPr>
          <w:rFonts w:hint="eastAsia" w:ascii="宋体" w:hAnsi="宋体" w:eastAsia="宋体" w:cs="宋体"/>
          <w:color w:val="auto"/>
          <w:spacing w:val="6"/>
          <w:kern w:val="2"/>
          <w:highlight w:val="none"/>
          <w:u w:val="single"/>
        </w:rPr>
        <w:t>（中型企业、小型企业、微型企业）</w:t>
      </w:r>
      <w:r>
        <w:rPr>
          <w:rFonts w:hint="eastAsia" w:ascii="宋体" w:hAnsi="宋体" w:eastAsia="宋体" w:cs="宋体"/>
          <w:color w:val="auto"/>
          <w:spacing w:val="6"/>
          <w:kern w:val="2"/>
          <w:highlight w:val="none"/>
        </w:rPr>
        <w:t>；</w:t>
      </w:r>
    </w:p>
    <w:p w14:paraId="53657EEE">
      <w:pPr>
        <w:pStyle w:val="18"/>
        <w:spacing w:line="360" w:lineRule="auto"/>
        <w:ind w:left="860"/>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w:t>
      </w:r>
    </w:p>
    <w:p w14:paraId="77C34E31">
      <w:pPr>
        <w:pStyle w:val="18"/>
        <w:spacing w:before="105" w:line="360" w:lineRule="auto"/>
        <w:ind w:right="417" w:firstLine="645"/>
        <w:jc w:val="both"/>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以上企业，不属于大企业的分支机构，不存在控股股东为大企业的情形，也不存在与大企业的负责人为同一人的情形。</w:t>
      </w:r>
    </w:p>
    <w:p w14:paraId="1A9BB6EC">
      <w:pPr>
        <w:pStyle w:val="18"/>
        <w:spacing w:line="360" w:lineRule="auto"/>
        <w:ind w:right="372" w:firstLine="645"/>
        <w:rPr>
          <w:rFonts w:hint="eastAsia" w:ascii="宋体" w:hAnsi="宋体" w:eastAsia="宋体" w:cs="宋体"/>
          <w:color w:val="auto"/>
          <w:spacing w:val="6"/>
          <w:kern w:val="2"/>
          <w:sz w:val="24"/>
          <w:highlight w:val="none"/>
        </w:rPr>
      </w:pPr>
      <w:r>
        <w:rPr>
          <w:rFonts w:hint="eastAsia" w:ascii="宋体" w:hAnsi="宋体" w:eastAsia="宋体" w:cs="宋体"/>
          <w:color w:val="auto"/>
          <w:spacing w:val="6"/>
          <w:kern w:val="2"/>
          <w:sz w:val="24"/>
          <w:highlight w:val="none"/>
        </w:rPr>
        <w:t>本企业对上述声明内容的真实性负责。如有虚假，将依法承担相应责任。</w:t>
      </w:r>
    </w:p>
    <w:p w14:paraId="62C53ECB">
      <w:pPr>
        <w:pStyle w:val="18"/>
        <w:spacing w:line="360" w:lineRule="auto"/>
        <w:ind w:right="375" w:firstLine="6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备注：本项目属于其他未列明行业</w:t>
      </w:r>
    </w:p>
    <w:p w14:paraId="4406E164">
      <w:pPr>
        <w:spacing w:line="360" w:lineRule="auto"/>
        <w:rPr>
          <w:rFonts w:hint="eastAsia" w:ascii="宋体" w:hAnsi="宋体" w:eastAsia="宋体" w:cs="宋体"/>
          <w:color w:val="auto"/>
          <w:spacing w:val="6"/>
          <w:kern w:val="2"/>
          <w:highlight w:val="none"/>
        </w:rPr>
      </w:pPr>
      <w:r>
        <w:rPr>
          <w:rFonts w:hint="eastAsia" w:ascii="宋体" w:hAnsi="宋体" w:eastAsia="宋体" w:cs="宋体"/>
          <w:color w:val="auto"/>
          <w:spacing w:val="6"/>
          <w:kern w:val="2"/>
          <w:highlight w:val="none"/>
        </w:rPr>
        <w:t>企业名称（盖章）：</w:t>
      </w:r>
    </w:p>
    <w:p w14:paraId="57018587">
      <w:pPr>
        <w:spacing w:line="360" w:lineRule="auto"/>
        <w:rPr>
          <w:rFonts w:hint="eastAsia" w:ascii="宋体" w:hAnsi="宋体" w:eastAsia="宋体" w:cs="宋体"/>
          <w:color w:val="auto"/>
          <w:spacing w:val="6"/>
          <w:highlight w:val="none"/>
        </w:rPr>
        <w:sectPr>
          <w:headerReference r:id="rId7" w:type="default"/>
          <w:footerReference r:id="rId8" w:type="default"/>
          <w:pgSz w:w="11906" w:h="16838"/>
          <w:pgMar w:top="1440" w:right="1803" w:bottom="1440" w:left="1803" w:header="850" w:footer="992" w:gutter="0"/>
          <w:cols w:space="0" w:num="1"/>
          <w:titlePg/>
          <w:docGrid w:type="linesAndChars" w:linePitch="395" w:charSpace="1724"/>
        </w:sectPr>
      </w:pPr>
      <w:r>
        <w:rPr>
          <w:rFonts w:hint="eastAsia" w:ascii="宋体" w:hAnsi="宋体" w:eastAsia="宋体" w:cs="宋体"/>
          <w:color w:val="auto"/>
          <w:spacing w:val="6"/>
          <w:kern w:val="2"/>
          <w:highlight w:val="none"/>
        </w:rPr>
        <w:t>日期：</w:t>
      </w:r>
    </w:p>
    <w:bookmarkEnd w:id="246"/>
    <w:bookmarkEnd w:id="247"/>
    <w:bookmarkEnd w:id="248"/>
    <w:bookmarkEnd w:id="249"/>
    <w:bookmarkEnd w:id="250"/>
    <w:p w14:paraId="706C81D4">
      <w:pPr>
        <w:pStyle w:val="3"/>
        <w:adjustRightInd w:val="0"/>
        <w:spacing w:line="416" w:lineRule="atLeast"/>
        <w:jc w:val="center"/>
        <w:textAlignment w:val="baseline"/>
        <w:rPr>
          <w:rFonts w:hint="eastAsia" w:asciiTheme="minorEastAsia" w:hAnsiTheme="minorEastAsia" w:eastAsiaTheme="minorEastAsia" w:cstheme="minorEastAsia"/>
          <w:color w:val="auto"/>
          <w:highlight w:val="none"/>
        </w:rPr>
      </w:pPr>
      <w:bookmarkStart w:id="251" w:name="_Toc14587"/>
      <w:bookmarkStart w:id="252" w:name="_Toc21174"/>
      <w:bookmarkStart w:id="253" w:name="_Toc30803"/>
      <w:bookmarkStart w:id="254" w:name="_Toc21466"/>
      <w:r>
        <w:rPr>
          <w:rFonts w:hint="eastAsia" w:asciiTheme="minorEastAsia" w:hAnsiTheme="minorEastAsia" w:eastAsiaTheme="minorEastAsia" w:cstheme="minorEastAsia"/>
          <w:color w:val="auto"/>
          <w:highlight w:val="none"/>
        </w:rPr>
        <w:t>附件二、残疾人福利性单位声明</w:t>
      </w:r>
      <w:bookmarkEnd w:id="251"/>
      <w:bookmarkEnd w:id="252"/>
      <w:bookmarkEnd w:id="253"/>
      <w:bookmarkEnd w:id="254"/>
    </w:p>
    <w:p w14:paraId="0DBD908A">
      <w:pPr>
        <w:spacing w:line="588" w:lineRule="exact"/>
        <w:ind w:firstLine="504" w:firstLineChars="200"/>
        <w:rPr>
          <w:rFonts w:hint="eastAsia" w:ascii="宋体" w:hAnsi="宋体" w:cs="宋体"/>
          <w:color w:val="auto"/>
          <w:spacing w:val="6"/>
          <w:highlight w:val="none"/>
        </w:rPr>
      </w:pPr>
      <w:r>
        <w:rPr>
          <w:rFonts w:hint="eastAsia" w:ascii="宋体" w:hAnsi="宋体" w:cs="宋体"/>
          <w:color w:val="auto"/>
          <w:spacing w:val="6"/>
          <w:highlight w:val="none"/>
        </w:rPr>
        <w:t>根据《三部门联合发布关于促进残疾人就业政府采购政策的通知》（财库〔2017〕141号）的规定，由供应商自行申明，并对申明真实性负责。如有虚假，将依法承担相应责任。</w:t>
      </w:r>
    </w:p>
    <w:p w14:paraId="3C5EAE9D">
      <w:pPr>
        <w:rPr>
          <w:rFonts w:hint="eastAsia" w:ascii="宋体" w:hAnsi="宋体" w:cs="宋体"/>
          <w:color w:val="auto"/>
          <w:highlight w:val="none"/>
        </w:rPr>
      </w:pPr>
    </w:p>
    <w:p w14:paraId="175D8485">
      <w:pPr>
        <w:pStyle w:val="3"/>
        <w:adjustRightInd w:val="0"/>
        <w:spacing w:line="416" w:lineRule="atLeast"/>
        <w:jc w:val="center"/>
        <w:textAlignment w:val="baseline"/>
        <w:rPr>
          <w:rFonts w:hint="eastAsia" w:asciiTheme="minorEastAsia" w:hAnsiTheme="minorEastAsia" w:eastAsiaTheme="minorEastAsia" w:cstheme="minorEastAsia"/>
          <w:color w:val="auto"/>
          <w:highlight w:val="none"/>
        </w:rPr>
      </w:pPr>
      <w:bookmarkStart w:id="255" w:name="_Toc13075"/>
      <w:bookmarkStart w:id="256" w:name="_Toc26193"/>
      <w:bookmarkStart w:id="257" w:name="_Toc27385"/>
      <w:bookmarkStart w:id="258" w:name="_Toc23635"/>
      <w:bookmarkStart w:id="259" w:name="_Toc13817"/>
      <w:bookmarkStart w:id="260" w:name="_Toc2723"/>
      <w:bookmarkStart w:id="261" w:name="_Toc3053"/>
      <w:r>
        <w:rPr>
          <w:rFonts w:hint="eastAsia" w:asciiTheme="minorEastAsia" w:hAnsiTheme="minorEastAsia" w:eastAsiaTheme="minorEastAsia" w:cstheme="minorEastAsia"/>
          <w:color w:val="auto"/>
          <w:highlight w:val="none"/>
        </w:rPr>
        <w:t>附件三、监狱企业证明文件</w:t>
      </w:r>
      <w:bookmarkEnd w:id="255"/>
      <w:bookmarkEnd w:id="256"/>
      <w:bookmarkEnd w:id="257"/>
      <w:bookmarkEnd w:id="258"/>
      <w:bookmarkEnd w:id="259"/>
      <w:bookmarkEnd w:id="260"/>
      <w:bookmarkEnd w:id="261"/>
    </w:p>
    <w:p w14:paraId="79B1A0BA">
      <w:pPr>
        <w:rPr>
          <w:rFonts w:hint="eastAsia" w:ascii="宋体" w:hAnsi="宋体" w:cs="宋体"/>
          <w:color w:val="auto"/>
          <w:highlight w:val="none"/>
        </w:rPr>
      </w:pPr>
    </w:p>
    <w:p w14:paraId="2E700B8A">
      <w:pPr>
        <w:snapToGrid w:val="0"/>
        <w:spacing w:line="480" w:lineRule="auto"/>
        <w:ind w:firstLine="504" w:firstLineChars="200"/>
        <w:rPr>
          <w:rFonts w:hint="eastAsia" w:ascii="宋体" w:hAnsi="宋体" w:cs="宋体"/>
          <w:b/>
          <w:bCs/>
          <w:color w:val="auto"/>
          <w:spacing w:val="48"/>
          <w:sz w:val="72"/>
          <w:szCs w:val="72"/>
          <w:highlight w:val="none"/>
        </w:rPr>
      </w:pPr>
      <w:r>
        <w:rPr>
          <w:rFonts w:hint="eastAsia" w:ascii="宋体" w:hAnsi="宋体" w:cs="宋体"/>
          <w:color w:val="auto"/>
          <w:spacing w:val="6"/>
          <w:highlight w:val="none"/>
        </w:rPr>
        <w:t>说明：根据</w:t>
      </w:r>
      <w:r>
        <w:rPr>
          <w:rFonts w:hint="eastAsia" w:ascii="宋体" w:hAnsi="宋体" w:cs="宋体"/>
          <w:color w:val="auto"/>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1B776C4D">
      <w:pPr>
        <w:pStyle w:val="3"/>
        <w:adjustRightInd w:val="0"/>
        <w:spacing w:line="416" w:lineRule="atLeast"/>
        <w:textAlignment w:val="baseline"/>
        <w:rPr>
          <w:rFonts w:hint="eastAsia" w:asciiTheme="minorEastAsia" w:hAnsiTheme="minorEastAsia" w:eastAsiaTheme="minorEastAsia" w:cstheme="minorEastAsia"/>
          <w:color w:val="auto"/>
          <w:highlight w:val="none"/>
        </w:rPr>
      </w:pPr>
      <w:bookmarkStart w:id="262" w:name="_Toc11969"/>
      <w:bookmarkStart w:id="263" w:name="_Toc2126"/>
      <w:bookmarkStart w:id="264" w:name="_Toc563"/>
      <w:bookmarkStart w:id="265" w:name="_Toc13122"/>
      <w:bookmarkStart w:id="266" w:name="_Toc18799"/>
      <w:bookmarkStart w:id="267" w:name="_Toc22654"/>
      <w:bookmarkStart w:id="268" w:name="_Toc29084"/>
      <w:bookmarkStart w:id="269" w:name="_Toc15754"/>
      <w:bookmarkStart w:id="270" w:name="_Toc3267"/>
      <w:bookmarkStart w:id="271" w:name="_Toc23930"/>
      <w:bookmarkStart w:id="272" w:name="_Toc13303"/>
      <w:r>
        <w:rPr>
          <w:rFonts w:hint="eastAsia" w:asciiTheme="minorEastAsia" w:hAnsiTheme="minorEastAsia" w:eastAsiaTheme="minorEastAsia" w:cstheme="minorEastAsia"/>
          <w:color w:val="auto"/>
          <w:highlight w:val="none"/>
        </w:rPr>
        <w:t>附件四、“节能产品”，“环境标志产品”证明材料</w:t>
      </w:r>
      <w:bookmarkEnd w:id="262"/>
      <w:bookmarkEnd w:id="263"/>
      <w:bookmarkEnd w:id="264"/>
      <w:bookmarkEnd w:id="265"/>
      <w:bookmarkEnd w:id="266"/>
      <w:bookmarkEnd w:id="267"/>
      <w:bookmarkEnd w:id="268"/>
      <w:bookmarkEnd w:id="269"/>
      <w:bookmarkEnd w:id="270"/>
      <w:bookmarkEnd w:id="271"/>
      <w:bookmarkEnd w:id="272"/>
    </w:p>
    <w:p w14:paraId="4F827E2B">
      <w:pPr>
        <w:spacing w:line="360" w:lineRule="auto"/>
        <w:ind w:firstLine="504" w:firstLineChars="200"/>
        <w:rPr>
          <w:rFonts w:hint="eastAsia" w:ascii="宋体" w:hAnsi="宋体" w:cs="宋体"/>
          <w:color w:val="auto"/>
          <w:spacing w:val="6"/>
          <w:highlight w:val="none"/>
        </w:rPr>
      </w:pPr>
      <w:r>
        <w:rPr>
          <w:rFonts w:hint="eastAsia" w:ascii="宋体" w:hAnsi="宋体" w:cs="宋体"/>
          <w:color w:val="auto"/>
          <w:spacing w:val="6"/>
          <w:highlight w:val="none"/>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14:paraId="5C2F1A4D">
      <w:pPr>
        <w:spacing w:line="360" w:lineRule="auto"/>
        <w:ind w:left="480" w:leftChars="200"/>
        <w:rPr>
          <w:rFonts w:hint="eastAsia" w:ascii="宋体" w:hAnsi="宋体" w:cs="宋体"/>
          <w:color w:val="auto"/>
          <w:highlight w:val="none"/>
        </w:rPr>
      </w:pPr>
      <w:r>
        <w:rPr>
          <w:rFonts w:hint="eastAsia" w:ascii="宋体" w:hAnsi="宋体" w:cs="宋体"/>
          <w:color w:val="auto"/>
          <w:highlight w:val="none"/>
        </w:rPr>
        <w:t>2、未按照上述要求提供的，评审时不予以考虑。</w:t>
      </w:r>
    </w:p>
    <w:p w14:paraId="1610DE48">
      <w:pPr>
        <w:spacing w:line="360" w:lineRule="auto"/>
        <w:ind w:left="480" w:leftChars="200"/>
        <w:rPr>
          <w:rFonts w:hint="eastAsia" w:ascii="宋体" w:hAnsi="宋体" w:cs="宋体"/>
          <w:color w:val="auto"/>
          <w:highlight w:val="none"/>
        </w:rPr>
      </w:pPr>
    </w:p>
    <w:p w14:paraId="202C2F9F">
      <w:pPr>
        <w:spacing w:line="360" w:lineRule="auto"/>
        <w:ind w:left="480" w:leftChars="200"/>
        <w:rPr>
          <w:rFonts w:hint="eastAsia" w:asciiTheme="minorEastAsia" w:hAnsiTheme="minorEastAsia" w:cstheme="minorEastAsia"/>
          <w:color w:val="auto"/>
          <w:highlight w:val="none"/>
        </w:rPr>
      </w:pPr>
    </w:p>
    <w:p w14:paraId="5A2BBAD4">
      <w:pPr>
        <w:snapToGrid w:val="0"/>
        <w:spacing w:line="360" w:lineRule="auto"/>
        <w:ind w:firstLine="480" w:firstLineChars="200"/>
        <w:rPr>
          <w:rFonts w:hint="eastAsia" w:asciiTheme="minorEastAsia" w:hAnsiTheme="minorEastAsia" w:cstheme="minorEastAsia"/>
          <w:color w:val="auto"/>
          <w:highlight w:val="none"/>
        </w:rPr>
      </w:pPr>
    </w:p>
    <w:p w14:paraId="5AAB4F93">
      <w:pPr>
        <w:rPr>
          <w:rFonts w:hint="eastAsia" w:asciiTheme="minorEastAsia" w:hAnsiTheme="minorEastAsia" w:cstheme="minorEastAsia"/>
          <w:color w:val="auto"/>
          <w:highlight w:val="none"/>
        </w:rPr>
      </w:pPr>
      <w:bookmarkStart w:id="273" w:name="_Toc364"/>
      <w:bookmarkStart w:id="274" w:name="_Toc4757"/>
      <w:bookmarkStart w:id="275" w:name="_Toc654"/>
      <w:bookmarkStart w:id="276" w:name="_Toc5338"/>
      <w:bookmarkStart w:id="277" w:name="_Toc3159"/>
      <w:bookmarkStart w:id="278" w:name="_Toc11924"/>
      <w:r>
        <w:rPr>
          <w:rFonts w:hint="eastAsia" w:asciiTheme="minorEastAsia" w:hAnsiTheme="minorEastAsia" w:cstheme="minorEastAsia"/>
          <w:color w:val="auto"/>
          <w:highlight w:val="none"/>
        </w:rPr>
        <w:br w:type="page"/>
      </w:r>
    </w:p>
    <w:bookmarkEnd w:id="273"/>
    <w:p w14:paraId="79189E34">
      <w:pPr>
        <w:pStyle w:val="3"/>
        <w:adjustRightInd w:val="0"/>
        <w:spacing w:line="416" w:lineRule="atLeast"/>
        <w:ind w:firstLine="0" w:firstLineChars="0"/>
        <w:textAlignment w:val="baseline"/>
        <w:rPr>
          <w:rFonts w:hint="eastAsia" w:asciiTheme="minorEastAsia" w:hAnsiTheme="minorEastAsia" w:eastAsiaTheme="minorEastAsia" w:cstheme="minorEastAsia"/>
          <w:color w:val="auto"/>
          <w:highlight w:val="none"/>
        </w:rPr>
      </w:pPr>
      <w:bookmarkStart w:id="279" w:name="_Toc14935"/>
      <w:r>
        <w:rPr>
          <w:rFonts w:hint="eastAsia" w:asciiTheme="minorEastAsia" w:hAnsiTheme="minorEastAsia" w:eastAsiaTheme="minorEastAsia" w:cstheme="minorEastAsia"/>
          <w:color w:val="auto"/>
          <w:highlight w:val="none"/>
        </w:rPr>
        <w:t>附件五、质疑函样本</w:t>
      </w:r>
      <w:bookmarkEnd w:id="279"/>
    </w:p>
    <w:p w14:paraId="407A2EFF">
      <w:pPr>
        <w:adjustRightInd w:val="0"/>
        <w:spacing w:line="416" w:lineRule="atLeast"/>
        <w:textAlignment w:val="baseline"/>
        <w:rPr>
          <w:rFonts w:hint="eastAsia" w:asciiTheme="minorEastAsia" w:hAnsiTheme="minorEastAsia" w:cstheme="minorEastAsia"/>
          <w:bCs/>
          <w:color w:val="auto"/>
          <w:sz w:val="22"/>
          <w:szCs w:val="22"/>
          <w:highlight w:val="none"/>
        </w:rPr>
      </w:pPr>
      <w:r>
        <w:rPr>
          <w:rFonts w:hint="eastAsia" w:asciiTheme="minorEastAsia" w:hAnsiTheme="minorEastAsia" w:cstheme="minorEastAsia"/>
          <w:bCs/>
          <w:color w:val="auto"/>
          <w:sz w:val="22"/>
          <w:szCs w:val="22"/>
          <w:highlight w:val="none"/>
        </w:rPr>
        <w:t>一、质疑供应商基本信息</w:t>
      </w:r>
    </w:p>
    <w:p w14:paraId="2A69BB17">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质疑供应商：                                        </w:t>
      </w:r>
    </w:p>
    <w:p w14:paraId="353B1BA7">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地址：                          邮编：                                                   </w:t>
      </w:r>
    </w:p>
    <w:p w14:paraId="37A09548">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联系人：                      联系电话：                              </w:t>
      </w:r>
    </w:p>
    <w:p w14:paraId="268BCD2A">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授权代表：                                          </w:t>
      </w:r>
    </w:p>
    <w:p w14:paraId="5C4A8E36">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联系电话：                                            </w:t>
      </w:r>
    </w:p>
    <w:p w14:paraId="333E922C">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地址：                         邮编：                                                </w:t>
      </w:r>
    </w:p>
    <w:p w14:paraId="027A72B0">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二、质疑项目基本情况</w:t>
      </w:r>
    </w:p>
    <w:p w14:paraId="2E8E6F1A">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质疑项目的名称：                                      </w:t>
      </w:r>
    </w:p>
    <w:p w14:paraId="294915E3">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质疑项目的编号：               ：                 </w:t>
      </w:r>
    </w:p>
    <w:p w14:paraId="73D95CFC">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采购人名称：                                         </w:t>
      </w:r>
    </w:p>
    <w:p w14:paraId="74D1203C">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采购文件获取日期：                                           </w:t>
      </w:r>
    </w:p>
    <w:p w14:paraId="15CEA532">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三、质疑事项具体内容</w:t>
      </w:r>
    </w:p>
    <w:p w14:paraId="33A42B55">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质疑事项1：                                         </w:t>
      </w:r>
    </w:p>
    <w:p w14:paraId="3C1F3040">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事实依据：                                                                                               </w:t>
      </w:r>
    </w:p>
    <w:p w14:paraId="138ACEF6">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法律依据：                                                                                               </w:t>
      </w:r>
    </w:p>
    <w:p w14:paraId="4F326053">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质疑事项2</w:t>
      </w:r>
    </w:p>
    <w:p w14:paraId="5AA62964">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四、与质疑事项相关的质疑请求</w:t>
      </w:r>
    </w:p>
    <w:p w14:paraId="338EC7FB">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请求：                                               </w:t>
      </w:r>
    </w:p>
    <w:p w14:paraId="079ABC2F">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签字(签章)：                   公章：                      </w:t>
      </w:r>
    </w:p>
    <w:p w14:paraId="5631FBF0">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日期：    </w:t>
      </w:r>
    </w:p>
    <w:p w14:paraId="569B0E1D">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质疑函制作说明：</w:t>
      </w:r>
    </w:p>
    <w:p w14:paraId="157945E8">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1.供应商提出质疑时，应提交质疑函和必要的证明材料。</w:t>
      </w:r>
    </w:p>
    <w:p w14:paraId="687B80D0">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0999DB">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3.质疑供应商若对项目的某一分包进行质疑，质疑函中应列明具体分包。</w:t>
      </w:r>
    </w:p>
    <w:p w14:paraId="3C604EC9">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4.质疑函的质疑事项应具体、明确，并有必要的事实依据和法律依据。</w:t>
      </w:r>
    </w:p>
    <w:p w14:paraId="55BB41E5">
      <w:pPr>
        <w:keepNext/>
        <w:keepLines/>
        <w:adjustRightInd w:val="0"/>
        <w:spacing w:line="416" w:lineRule="atLeast"/>
        <w:textAlignment w:val="baseline"/>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5.质疑函的质疑请求应与质疑事项相关。</w:t>
      </w:r>
    </w:p>
    <w:p w14:paraId="0BDBD5F8">
      <w:pPr>
        <w:rPr>
          <w:rFonts w:hint="eastAsia" w:asciiTheme="minorEastAsia" w:hAnsiTheme="minorEastAsia" w:cstheme="minorEastAsia"/>
          <w:color w:val="auto"/>
          <w:highlight w:val="none"/>
        </w:rPr>
      </w:pPr>
      <w:r>
        <w:rPr>
          <w:rFonts w:hint="eastAsia" w:asciiTheme="minorEastAsia" w:hAnsiTheme="minorEastAsia" w:cstheme="minorEastAsia"/>
          <w:bCs/>
          <w:color w:val="auto"/>
          <w:highlight w:val="none"/>
        </w:rPr>
        <w:t>6.质疑供应商为自然人的，质疑函应由本人签字；质疑供应商为法人或者其他组织的，质疑函应由法定代表人、主要负责人，或者其授权代表签字或者盖章，并加盖公章。</w:t>
      </w:r>
    </w:p>
    <w:bookmarkEnd w:id="274"/>
    <w:bookmarkEnd w:id="275"/>
    <w:bookmarkEnd w:id="276"/>
    <w:bookmarkEnd w:id="277"/>
    <w:bookmarkEnd w:id="278"/>
    <w:p w14:paraId="0BAC5487">
      <w:pPr>
        <w:rPr>
          <w:rFonts w:hint="eastAsia" w:asciiTheme="minorEastAsia" w:hAnsiTheme="minorEastAsia" w:cstheme="minorEastAsia"/>
          <w:b/>
          <w:bCs/>
          <w:color w:val="auto"/>
          <w:spacing w:val="48"/>
          <w:sz w:val="72"/>
          <w:szCs w:val="72"/>
          <w:highlight w:val="none"/>
        </w:rPr>
      </w:pPr>
      <w:r>
        <w:rPr>
          <w:rFonts w:hint="eastAsia" w:asciiTheme="minorEastAsia" w:hAnsiTheme="minorEastAsia" w:cstheme="minorEastAsia"/>
          <w:b/>
          <w:bCs/>
          <w:color w:val="auto"/>
          <w:spacing w:val="48"/>
          <w:sz w:val="72"/>
          <w:szCs w:val="72"/>
          <w:highlight w:val="none"/>
        </w:rPr>
        <w:br w:type="page"/>
      </w:r>
    </w:p>
    <w:p w14:paraId="6D3372D1">
      <w:pPr>
        <w:rPr>
          <w:rFonts w:hint="eastAsia" w:asciiTheme="minorEastAsia" w:hAnsiTheme="minorEastAsia" w:cstheme="minorEastAsia"/>
          <w:color w:val="auto"/>
          <w:sz w:val="72"/>
          <w:szCs w:val="72"/>
          <w:highlight w:val="none"/>
        </w:rPr>
      </w:pPr>
      <w:r>
        <w:rPr>
          <w:rFonts w:hint="eastAsia" w:asciiTheme="minorEastAsia" w:hAnsiTheme="minorEastAsia" w:cstheme="minorEastAsia"/>
          <w:b/>
          <w:bCs/>
          <w:color w:val="auto"/>
          <w:spacing w:val="48"/>
          <w:sz w:val="72"/>
          <w:szCs w:val="72"/>
          <w:highlight w:val="none"/>
        </w:rPr>
        <w:t>公平</w:t>
      </w:r>
    </w:p>
    <w:p w14:paraId="69C8A978">
      <w:pPr>
        <w:rPr>
          <w:rFonts w:hint="eastAsia" w:asciiTheme="minorEastAsia" w:hAnsiTheme="minorEastAsia" w:cstheme="minorEastAsia"/>
          <w:color w:val="auto"/>
          <w:sz w:val="72"/>
          <w:szCs w:val="72"/>
          <w:highlight w:val="none"/>
        </w:rPr>
      </w:pPr>
    </w:p>
    <w:p w14:paraId="521A5003">
      <w:pPr>
        <w:jc w:val="center"/>
        <w:rPr>
          <w:rFonts w:hint="eastAsia" w:asciiTheme="minorEastAsia" w:hAnsiTheme="minorEastAsia" w:cstheme="minorEastAsia"/>
          <w:b/>
          <w:bCs/>
          <w:color w:val="auto"/>
          <w:spacing w:val="48"/>
          <w:sz w:val="72"/>
          <w:szCs w:val="72"/>
          <w:highlight w:val="none"/>
        </w:rPr>
      </w:pPr>
    </w:p>
    <w:p w14:paraId="567C60C0">
      <w:pPr>
        <w:jc w:val="center"/>
        <w:rPr>
          <w:rFonts w:hint="eastAsia" w:asciiTheme="minorEastAsia" w:hAnsiTheme="minorEastAsia" w:cstheme="minorEastAsia"/>
          <w:b/>
          <w:bCs/>
          <w:color w:val="auto"/>
          <w:spacing w:val="48"/>
          <w:sz w:val="72"/>
          <w:szCs w:val="72"/>
          <w:highlight w:val="none"/>
        </w:rPr>
      </w:pPr>
      <w:r>
        <w:rPr>
          <w:rFonts w:hint="eastAsia" w:asciiTheme="minorEastAsia" w:hAnsiTheme="minorEastAsia" w:cstheme="minorEastAsia"/>
          <w:b/>
          <w:bCs/>
          <w:color w:val="auto"/>
          <w:spacing w:val="48"/>
          <w:sz w:val="72"/>
          <w:szCs w:val="72"/>
          <w:highlight w:val="none"/>
        </w:rPr>
        <w:t>公正</w:t>
      </w:r>
    </w:p>
    <w:p w14:paraId="7C988189">
      <w:pPr>
        <w:rPr>
          <w:rFonts w:hint="eastAsia" w:asciiTheme="minorEastAsia" w:hAnsiTheme="minorEastAsia" w:cstheme="minorEastAsia"/>
          <w:b/>
          <w:bCs/>
          <w:color w:val="auto"/>
          <w:spacing w:val="48"/>
          <w:sz w:val="72"/>
          <w:szCs w:val="72"/>
          <w:highlight w:val="none"/>
        </w:rPr>
      </w:pPr>
    </w:p>
    <w:p w14:paraId="01AE522B">
      <w:pPr>
        <w:rPr>
          <w:rFonts w:hint="eastAsia" w:asciiTheme="minorEastAsia" w:hAnsiTheme="minorEastAsia" w:cstheme="minorEastAsia"/>
          <w:b/>
          <w:bCs/>
          <w:color w:val="auto"/>
          <w:spacing w:val="48"/>
          <w:sz w:val="72"/>
          <w:szCs w:val="72"/>
          <w:highlight w:val="none"/>
        </w:rPr>
      </w:pPr>
    </w:p>
    <w:p w14:paraId="1792F698">
      <w:pPr>
        <w:jc w:val="right"/>
        <w:rPr>
          <w:rFonts w:hint="eastAsia" w:asciiTheme="minorEastAsia" w:hAnsiTheme="minorEastAsia" w:cstheme="minorEastAsia"/>
          <w:b/>
          <w:bCs/>
          <w:color w:val="auto"/>
          <w:spacing w:val="48"/>
          <w:sz w:val="72"/>
          <w:szCs w:val="72"/>
          <w:highlight w:val="none"/>
        </w:rPr>
      </w:pPr>
      <w:r>
        <w:rPr>
          <w:rFonts w:hint="eastAsia" w:asciiTheme="minorEastAsia" w:hAnsiTheme="minorEastAsia" w:cstheme="minorEastAsia"/>
          <w:b/>
          <w:bCs/>
          <w:color w:val="auto"/>
          <w:spacing w:val="48"/>
          <w:sz w:val="72"/>
          <w:szCs w:val="72"/>
          <w:highlight w:val="none"/>
        </w:rPr>
        <w:t>公开</w:t>
      </w:r>
    </w:p>
    <w:p w14:paraId="7C0AD6D2">
      <w:pPr>
        <w:jc w:val="right"/>
        <w:rPr>
          <w:rFonts w:hint="eastAsia" w:asciiTheme="minorEastAsia" w:hAnsiTheme="minorEastAsia" w:cstheme="minorEastAsia"/>
          <w:b/>
          <w:bCs/>
          <w:color w:val="auto"/>
          <w:spacing w:val="48"/>
          <w:sz w:val="32"/>
          <w:szCs w:val="32"/>
          <w:highlight w:val="none"/>
        </w:rPr>
      </w:pPr>
    </w:p>
    <w:p w14:paraId="46E03092">
      <w:pPr>
        <w:ind w:firstLine="1059" w:firstLineChars="353"/>
        <w:rPr>
          <w:rFonts w:hint="eastAsia" w:asciiTheme="minorEastAsia" w:hAnsiTheme="minorEastAsia" w:cstheme="minorEastAsia"/>
          <w:b/>
          <w:bCs/>
          <w:color w:val="auto"/>
          <w:sz w:val="30"/>
          <w:szCs w:val="30"/>
          <w:highlight w:val="none"/>
        </w:rPr>
      </w:pPr>
    </w:p>
    <w:p w14:paraId="21B43BAA">
      <w:pPr>
        <w:ind w:firstLine="1059" w:firstLineChars="353"/>
        <w:rPr>
          <w:rFonts w:hint="eastAsia" w:asciiTheme="minorEastAsia" w:hAnsiTheme="minorEastAsia" w:cstheme="minorEastAsia"/>
          <w:b/>
          <w:bCs/>
          <w:color w:val="auto"/>
          <w:sz w:val="30"/>
          <w:szCs w:val="30"/>
          <w:highlight w:val="none"/>
        </w:rPr>
      </w:pPr>
    </w:p>
    <w:p w14:paraId="1A61AE72">
      <w:pPr>
        <w:rPr>
          <w:rFonts w:hint="eastAsia" w:asciiTheme="minorEastAsia" w:hAnsiTheme="minorEastAsia" w:cstheme="minorEastAsia"/>
          <w:b/>
          <w:bCs/>
          <w:color w:val="auto"/>
          <w:sz w:val="30"/>
          <w:szCs w:val="30"/>
          <w:highlight w:val="none"/>
        </w:rPr>
      </w:pPr>
    </w:p>
    <w:p w14:paraId="306DFC0B">
      <w:pPr>
        <w:rPr>
          <w:rFonts w:hint="eastAsia" w:asciiTheme="minorEastAsia" w:hAnsiTheme="minorEastAsia" w:cstheme="minorEastAsia"/>
          <w:b/>
          <w:bCs/>
          <w:color w:val="auto"/>
          <w:sz w:val="30"/>
          <w:szCs w:val="30"/>
          <w:highlight w:val="none"/>
        </w:rPr>
      </w:pPr>
    </w:p>
    <w:p w14:paraId="066B076B">
      <w:pPr>
        <w:rPr>
          <w:rFonts w:hint="eastAsia"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rPr>
        <w:t>企业名称：陕西万泽招标有限公司</w:t>
      </w:r>
    </w:p>
    <w:p w14:paraId="53084A0B">
      <w:pPr>
        <w:rPr>
          <w:rFonts w:hint="eastAsia"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rPr>
        <w:t>地    址：西安市雁塔区唐延路35号旺座现代城C座2504</w:t>
      </w:r>
    </w:p>
    <w:p w14:paraId="000D6E5A">
      <w:pPr>
        <w:rPr>
          <w:rFonts w:hint="eastAsia"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rPr>
        <w:t>邮政编码：710065</w:t>
      </w:r>
    </w:p>
    <w:p w14:paraId="1E4F2AD2">
      <w:pPr>
        <w:rPr>
          <w:rFonts w:hint="eastAsia"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rPr>
        <w:t>电    话：029-88319689</w:t>
      </w:r>
    </w:p>
    <w:p w14:paraId="5E2A6FA3">
      <w:pPr>
        <w:spacing w:line="560" w:lineRule="exact"/>
        <w:rPr>
          <w:rFonts w:hint="eastAsia" w:ascii="宋体" w:hAnsi="宋体" w:eastAsia="宋体" w:cs="宋体"/>
          <w:color w:val="auto"/>
          <w:sz w:val="32"/>
          <w:szCs w:val="32"/>
          <w:highlight w:val="none"/>
        </w:rPr>
      </w:pPr>
      <w:r>
        <w:rPr>
          <w:rFonts w:hint="eastAsia" w:asciiTheme="minorEastAsia" w:hAnsiTheme="minorEastAsia" w:cstheme="minorEastAsia"/>
          <w:b/>
          <w:bCs/>
          <w:color w:val="auto"/>
          <w:sz w:val="30"/>
          <w:szCs w:val="30"/>
          <w:highlight w:val="none"/>
        </w:rPr>
        <w:t>传    真：029-88319689</w:t>
      </w:r>
    </w:p>
    <w:sectPr>
      <w:headerReference r:id="rId9" w:type="default"/>
      <w:footerReference r:id="rId11" w:type="default"/>
      <w:headerReference r:id="rId10" w:type="even"/>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EE6A">
    <w:pPr>
      <w:pStyle w:val="24"/>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D738BB">
                          <w:pPr>
                            <w:pStyle w:val="24"/>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9D738BB">
                    <w:pPr>
                      <w:pStyle w:val="24"/>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537B">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40E29">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CC40E29">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7991">
    <w:pPr>
      <w:pStyle w:val="24"/>
      <w:tabs>
        <w:tab w:val="center" w:pos="4150"/>
        <w:tab w:val="right" w:pos="8420"/>
        <w:tab w:val="clear" w:pos="4153"/>
      </w:tabs>
      <w:rPr>
        <w:rFonts w:hint="eastAsia"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17BC3">
                          <w:pPr>
                            <w:pStyle w:val="24"/>
                          </w:pPr>
                          <w:r>
                            <w:t xml:space="preserve">第 </w:t>
                          </w:r>
                          <w:r>
                            <w:fldChar w:fldCharType="begin"/>
                          </w:r>
                          <w:r>
                            <w:instrText xml:space="preserve"> PAGE  \* MERGEFORMAT </w:instrText>
                          </w:r>
                          <w:r>
                            <w:fldChar w:fldCharType="separate"/>
                          </w:r>
                          <w:r>
                            <w:t>121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2F17BC3">
                    <w:pPr>
                      <w:pStyle w:val="24"/>
                    </w:pPr>
                    <w:r>
                      <w:t xml:space="preserve">第 </w:t>
                    </w:r>
                    <w:r>
                      <w:fldChar w:fldCharType="begin"/>
                    </w:r>
                    <w:r>
                      <w:instrText xml:space="preserve"> PAGE  \* MERGEFORMAT </w:instrText>
                    </w:r>
                    <w:r>
                      <w:fldChar w:fldCharType="separate"/>
                    </w:r>
                    <w:r>
                      <w:t>121</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A563">
    <w:pPr>
      <w:pStyle w:val="24"/>
      <w:tabs>
        <w:tab w:val="center" w:pos="4150"/>
        <w:tab w:val="right" w:pos="8420"/>
        <w:tab w:val="clear" w:pos="4153"/>
      </w:tabs>
      <w:rPr>
        <w:rFonts w:hint="eastAsia"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B4DFAF">
                          <w:pPr>
                            <w:pStyle w:val="24"/>
                          </w:pPr>
                          <w:r>
                            <w:t xml:space="preserve">第 </w:t>
                          </w:r>
                          <w:r>
                            <w:fldChar w:fldCharType="begin"/>
                          </w:r>
                          <w:r>
                            <w:instrText xml:space="preserve"> PAGE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4B4DFAF">
                    <w:pPr>
                      <w:pStyle w:val="24"/>
                    </w:pPr>
                    <w:r>
                      <w:t xml:space="preserve">第 </w:t>
                    </w:r>
                    <w:r>
                      <w:fldChar w:fldCharType="begin"/>
                    </w:r>
                    <w:r>
                      <w:instrText xml:space="preserve"> PAGE  \* MERGEFORMAT </w:instrText>
                    </w:r>
                    <w:r>
                      <w:fldChar w:fldCharType="separate"/>
                    </w:r>
                    <w:r>
                      <w:t>125</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6BE7">
    <w:pPr>
      <w:adjustRightInd w:val="0"/>
      <w:snapToGrid w:val="0"/>
      <w:spacing w:line="360" w:lineRule="auto"/>
    </w:pPr>
    <w:r>
      <w:rPr>
        <w:rFonts w:hint="eastAsia" w:ascii="宋体"/>
        <w:sz w:val="15"/>
        <w:szCs w:val="15"/>
        <w:u w:val="single"/>
      </w:rPr>
      <w:t>西安市市场监督管理局2025年机电类特种设备安全质量监督抽查项目                                      SXWZ2025ZB-SGLJ-070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8E50">
    <w:pPr>
      <w:adjustRightInd w:val="0"/>
      <w:snapToGrid w:val="0"/>
      <w:spacing w:line="360" w:lineRule="auto"/>
    </w:pPr>
    <w:r>
      <w:rPr>
        <w:rFonts w:hint="eastAsia" w:ascii="宋体"/>
        <w:sz w:val="15"/>
        <w:szCs w:val="15"/>
        <w:u w:val="single"/>
      </w:rPr>
      <w:t>西安市市场监督管理局2025年机电类特种设备安全质量监督抽查项目                             SXWZ2025ZB-SGLJ-070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B7BE">
    <w:pPr>
      <w:adjustRightInd w:val="0"/>
      <w:snapToGrid w:val="0"/>
      <w:spacing w:line="360" w:lineRule="auto"/>
      <w:rPr>
        <w:rFonts w:ascii="宋体"/>
        <w:sz w:val="15"/>
        <w:szCs w:val="15"/>
        <w:highlight w:val="yellow"/>
        <w:u w:val="single"/>
      </w:rPr>
    </w:pPr>
    <w:r>
      <w:rPr>
        <w:rFonts w:hint="eastAsia" w:ascii="宋体"/>
        <w:sz w:val="15"/>
        <w:szCs w:val="15"/>
        <w:u w:val="single"/>
      </w:rPr>
      <w:t>西安市市场监督管理局2025年机电类特种设备安全质量监督抽查项目                           SXWZ2025ZB-SGLJ-070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F077">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310D">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60D05"/>
    <w:multiLevelType w:val="singleLevel"/>
    <w:tmpl w:val="C8560D05"/>
    <w:lvl w:ilvl="0" w:tentative="0">
      <w:start w:val="2"/>
      <w:numFmt w:val="chineseCounting"/>
      <w:suff w:val="space"/>
      <w:lvlText w:val="第%1部分"/>
      <w:lvlJc w:val="left"/>
      <w:rPr>
        <w:rFonts w:hint="eastAsia"/>
      </w:rPr>
    </w:lvl>
  </w:abstractNum>
  <w:abstractNum w:abstractNumId="1">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221C489B"/>
    <w:multiLevelType w:val="singleLevel"/>
    <w:tmpl w:val="221C489B"/>
    <w:lvl w:ilvl="0" w:tentative="0">
      <w:start w:val="2"/>
      <w:numFmt w:val="chineseCounting"/>
      <w:suff w:val="nothing"/>
      <w:lvlText w:val="%1、"/>
      <w:lvlJc w:val="left"/>
      <w:rPr>
        <w:rFonts w:hint="eastAsia"/>
      </w:rPr>
    </w:lvl>
  </w:abstractNum>
  <w:abstractNum w:abstractNumId="3">
    <w:nsid w:val="61B69AB7"/>
    <w:multiLevelType w:val="singleLevel"/>
    <w:tmpl w:val="61B69AB7"/>
    <w:lvl w:ilvl="0" w:tentative="0">
      <w:start w:val="7"/>
      <w:numFmt w:val="chineseCounting"/>
      <w:suff w:val="space"/>
      <w:lvlText w:val="第%1部分"/>
      <w:lvlJc w:val="left"/>
      <w:rPr>
        <w:rFonts w:hint="eastAsia"/>
      </w:rPr>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1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WVkN2M4ZTI1N2JjNmQ4YmNjNWNjZDFkZmVkOD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1785D"/>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528"/>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138E"/>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0729"/>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09E"/>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4D8B"/>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2432"/>
    <w:rsid w:val="00373AE9"/>
    <w:rsid w:val="00374506"/>
    <w:rsid w:val="0037495D"/>
    <w:rsid w:val="003752C8"/>
    <w:rsid w:val="0037531B"/>
    <w:rsid w:val="00375819"/>
    <w:rsid w:val="00375C89"/>
    <w:rsid w:val="00376DAF"/>
    <w:rsid w:val="0037713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375D"/>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6ACC"/>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4F7A"/>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1DE"/>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084E"/>
    <w:rsid w:val="00642CB1"/>
    <w:rsid w:val="006431A9"/>
    <w:rsid w:val="006460E3"/>
    <w:rsid w:val="006466DF"/>
    <w:rsid w:val="00646A42"/>
    <w:rsid w:val="006518D0"/>
    <w:rsid w:val="00652393"/>
    <w:rsid w:val="00656003"/>
    <w:rsid w:val="00657150"/>
    <w:rsid w:val="006571DD"/>
    <w:rsid w:val="0065774D"/>
    <w:rsid w:val="0065792C"/>
    <w:rsid w:val="00660149"/>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2ECA"/>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3761C"/>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695E"/>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601"/>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6EB"/>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1059"/>
    <w:rsid w:val="00BE41BE"/>
    <w:rsid w:val="00BE4EBB"/>
    <w:rsid w:val="00BE5A62"/>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04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3B7"/>
    <w:rsid w:val="00D50781"/>
    <w:rsid w:val="00D51C08"/>
    <w:rsid w:val="00D51F3E"/>
    <w:rsid w:val="00D55D74"/>
    <w:rsid w:val="00D568D6"/>
    <w:rsid w:val="00D613B2"/>
    <w:rsid w:val="00D61D4F"/>
    <w:rsid w:val="00D62526"/>
    <w:rsid w:val="00D65B3B"/>
    <w:rsid w:val="00D6655A"/>
    <w:rsid w:val="00D71065"/>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3715"/>
    <w:rsid w:val="00DA3EA5"/>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26B4"/>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4EC7"/>
    <w:rsid w:val="00ED56C1"/>
    <w:rsid w:val="00ED7D80"/>
    <w:rsid w:val="00EE1F49"/>
    <w:rsid w:val="00EE1F87"/>
    <w:rsid w:val="00EE2A62"/>
    <w:rsid w:val="00EE3720"/>
    <w:rsid w:val="00EE3F92"/>
    <w:rsid w:val="00EE7634"/>
    <w:rsid w:val="00EF271D"/>
    <w:rsid w:val="00EF4228"/>
    <w:rsid w:val="00EF473E"/>
    <w:rsid w:val="00EF4DC8"/>
    <w:rsid w:val="00EF659E"/>
    <w:rsid w:val="00EF6A13"/>
    <w:rsid w:val="00EF6F24"/>
    <w:rsid w:val="00F001C6"/>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6B7"/>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3A1A"/>
    <w:rsid w:val="00FF756F"/>
    <w:rsid w:val="01174F9A"/>
    <w:rsid w:val="013B2B96"/>
    <w:rsid w:val="014D0B1B"/>
    <w:rsid w:val="01B11FA1"/>
    <w:rsid w:val="01CB2F5B"/>
    <w:rsid w:val="01E054EB"/>
    <w:rsid w:val="020E2058"/>
    <w:rsid w:val="02816CCE"/>
    <w:rsid w:val="03220D30"/>
    <w:rsid w:val="03912F41"/>
    <w:rsid w:val="03A82039"/>
    <w:rsid w:val="03E5503B"/>
    <w:rsid w:val="044955CA"/>
    <w:rsid w:val="04640655"/>
    <w:rsid w:val="04ED41A7"/>
    <w:rsid w:val="053E0EA6"/>
    <w:rsid w:val="054B5371"/>
    <w:rsid w:val="05654685"/>
    <w:rsid w:val="05AA653C"/>
    <w:rsid w:val="05B31D8A"/>
    <w:rsid w:val="05E27A84"/>
    <w:rsid w:val="062E4A77"/>
    <w:rsid w:val="06BC6527"/>
    <w:rsid w:val="06DA4BFF"/>
    <w:rsid w:val="072D11D3"/>
    <w:rsid w:val="075E75DE"/>
    <w:rsid w:val="076B40FA"/>
    <w:rsid w:val="07A33243"/>
    <w:rsid w:val="07F10452"/>
    <w:rsid w:val="07F817E1"/>
    <w:rsid w:val="0831084F"/>
    <w:rsid w:val="08365E65"/>
    <w:rsid w:val="084D1E2B"/>
    <w:rsid w:val="0854278F"/>
    <w:rsid w:val="08F8136C"/>
    <w:rsid w:val="090065B6"/>
    <w:rsid w:val="090D12BC"/>
    <w:rsid w:val="097C4C0A"/>
    <w:rsid w:val="09945539"/>
    <w:rsid w:val="099F4887"/>
    <w:rsid w:val="09E10052"/>
    <w:rsid w:val="09E71B0D"/>
    <w:rsid w:val="0A3665F0"/>
    <w:rsid w:val="0A6F1B02"/>
    <w:rsid w:val="0AB539B9"/>
    <w:rsid w:val="0B5847B0"/>
    <w:rsid w:val="0C0D15D3"/>
    <w:rsid w:val="0CBF0B1F"/>
    <w:rsid w:val="0CDB522D"/>
    <w:rsid w:val="0CF12CA2"/>
    <w:rsid w:val="0D166265"/>
    <w:rsid w:val="0D6A2B09"/>
    <w:rsid w:val="0E2055ED"/>
    <w:rsid w:val="0E576B35"/>
    <w:rsid w:val="0EEA5BFB"/>
    <w:rsid w:val="0F182768"/>
    <w:rsid w:val="0F185481"/>
    <w:rsid w:val="0F2E4223"/>
    <w:rsid w:val="0F601A19"/>
    <w:rsid w:val="0F917E25"/>
    <w:rsid w:val="0FC30926"/>
    <w:rsid w:val="0FD91EF8"/>
    <w:rsid w:val="10702130"/>
    <w:rsid w:val="10D12BCF"/>
    <w:rsid w:val="114867E1"/>
    <w:rsid w:val="115832F0"/>
    <w:rsid w:val="1178129C"/>
    <w:rsid w:val="11D64215"/>
    <w:rsid w:val="121F3E0E"/>
    <w:rsid w:val="12A85BB1"/>
    <w:rsid w:val="131F7E9C"/>
    <w:rsid w:val="13A97E33"/>
    <w:rsid w:val="13C46A1B"/>
    <w:rsid w:val="13F82B68"/>
    <w:rsid w:val="142C083F"/>
    <w:rsid w:val="144933C4"/>
    <w:rsid w:val="148D32B1"/>
    <w:rsid w:val="15264D8E"/>
    <w:rsid w:val="15565D98"/>
    <w:rsid w:val="155E4C4D"/>
    <w:rsid w:val="15B900D5"/>
    <w:rsid w:val="15DE18EA"/>
    <w:rsid w:val="15FA4CA7"/>
    <w:rsid w:val="165E3335"/>
    <w:rsid w:val="166444E5"/>
    <w:rsid w:val="166B13D0"/>
    <w:rsid w:val="1706734A"/>
    <w:rsid w:val="17080368"/>
    <w:rsid w:val="1821268E"/>
    <w:rsid w:val="18384FC6"/>
    <w:rsid w:val="18700F1F"/>
    <w:rsid w:val="18A64941"/>
    <w:rsid w:val="18BA4890"/>
    <w:rsid w:val="191F1353"/>
    <w:rsid w:val="192817FA"/>
    <w:rsid w:val="19742C91"/>
    <w:rsid w:val="19FF6931"/>
    <w:rsid w:val="1A18361C"/>
    <w:rsid w:val="1A4268EB"/>
    <w:rsid w:val="1A584361"/>
    <w:rsid w:val="1A872120"/>
    <w:rsid w:val="1AD4799A"/>
    <w:rsid w:val="1AF760BA"/>
    <w:rsid w:val="1B1A7868"/>
    <w:rsid w:val="1B321584"/>
    <w:rsid w:val="1B965141"/>
    <w:rsid w:val="1BF272C9"/>
    <w:rsid w:val="1BF63E31"/>
    <w:rsid w:val="1C2269D4"/>
    <w:rsid w:val="1C5172BA"/>
    <w:rsid w:val="1C6963B1"/>
    <w:rsid w:val="1C856F63"/>
    <w:rsid w:val="1C9D7E91"/>
    <w:rsid w:val="1CE95744"/>
    <w:rsid w:val="1D0556B9"/>
    <w:rsid w:val="1DA33B45"/>
    <w:rsid w:val="1DAA6C81"/>
    <w:rsid w:val="1DBF734C"/>
    <w:rsid w:val="1DC55869"/>
    <w:rsid w:val="1DC835AB"/>
    <w:rsid w:val="1E430E84"/>
    <w:rsid w:val="1E7159F1"/>
    <w:rsid w:val="1E7B23CC"/>
    <w:rsid w:val="1E9659FE"/>
    <w:rsid w:val="1EA52CC6"/>
    <w:rsid w:val="1EAC07D7"/>
    <w:rsid w:val="1EBF675C"/>
    <w:rsid w:val="1ECB3353"/>
    <w:rsid w:val="1EE6018D"/>
    <w:rsid w:val="1EE61F3B"/>
    <w:rsid w:val="1F016D75"/>
    <w:rsid w:val="1F321241"/>
    <w:rsid w:val="1F460C2C"/>
    <w:rsid w:val="1F4E7AE0"/>
    <w:rsid w:val="1F8E612F"/>
    <w:rsid w:val="1FC14756"/>
    <w:rsid w:val="200F54C2"/>
    <w:rsid w:val="20294D97"/>
    <w:rsid w:val="207E61A3"/>
    <w:rsid w:val="21055C64"/>
    <w:rsid w:val="21093CBF"/>
    <w:rsid w:val="211A20DA"/>
    <w:rsid w:val="2144119B"/>
    <w:rsid w:val="214617C3"/>
    <w:rsid w:val="21674E89"/>
    <w:rsid w:val="21997739"/>
    <w:rsid w:val="21D267A7"/>
    <w:rsid w:val="221768AF"/>
    <w:rsid w:val="222B4109"/>
    <w:rsid w:val="22A85759"/>
    <w:rsid w:val="234E3C1E"/>
    <w:rsid w:val="23627FFE"/>
    <w:rsid w:val="23BD5235"/>
    <w:rsid w:val="23F073B8"/>
    <w:rsid w:val="24311EAA"/>
    <w:rsid w:val="244D65B8"/>
    <w:rsid w:val="246650C5"/>
    <w:rsid w:val="24B86128"/>
    <w:rsid w:val="24D9609E"/>
    <w:rsid w:val="250F7D12"/>
    <w:rsid w:val="25180974"/>
    <w:rsid w:val="25493224"/>
    <w:rsid w:val="256A4F48"/>
    <w:rsid w:val="256E4A38"/>
    <w:rsid w:val="257B7155"/>
    <w:rsid w:val="2580476C"/>
    <w:rsid w:val="25836BE3"/>
    <w:rsid w:val="25A0096A"/>
    <w:rsid w:val="25E22D30"/>
    <w:rsid w:val="25F413E1"/>
    <w:rsid w:val="26284BE7"/>
    <w:rsid w:val="267047E0"/>
    <w:rsid w:val="269A40AE"/>
    <w:rsid w:val="26C441AF"/>
    <w:rsid w:val="26FB22FC"/>
    <w:rsid w:val="27264C48"/>
    <w:rsid w:val="274F0899"/>
    <w:rsid w:val="275B0FEC"/>
    <w:rsid w:val="278C389C"/>
    <w:rsid w:val="27A02EA3"/>
    <w:rsid w:val="27B4772F"/>
    <w:rsid w:val="27B74703"/>
    <w:rsid w:val="27D05536"/>
    <w:rsid w:val="27E27A70"/>
    <w:rsid w:val="281C077C"/>
    <w:rsid w:val="283F090E"/>
    <w:rsid w:val="284D6B87"/>
    <w:rsid w:val="285A5566"/>
    <w:rsid w:val="28612632"/>
    <w:rsid w:val="286A1913"/>
    <w:rsid w:val="28792F45"/>
    <w:rsid w:val="28B23166"/>
    <w:rsid w:val="28FB48E2"/>
    <w:rsid w:val="298C7B83"/>
    <w:rsid w:val="29A053DC"/>
    <w:rsid w:val="29AC3D81"/>
    <w:rsid w:val="29B33362"/>
    <w:rsid w:val="2A21651D"/>
    <w:rsid w:val="2A3C060F"/>
    <w:rsid w:val="2A9211C9"/>
    <w:rsid w:val="2AA50EFC"/>
    <w:rsid w:val="2ABA24CE"/>
    <w:rsid w:val="2AF94DA4"/>
    <w:rsid w:val="2B0B4934"/>
    <w:rsid w:val="2B4E0D8A"/>
    <w:rsid w:val="2BCA4992"/>
    <w:rsid w:val="2BCF3D57"/>
    <w:rsid w:val="2BCF4DA0"/>
    <w:rsid w:val="2C1005F7"/>
    <w:rsid w:val="2C772424"/>
    <w:rsid w:val="2C7768C8"/>
    <w:rsid w:val="2CB35427"/>
    <w:rsid w:val="2CDA6E57"/>
    <w:rsid w:val="2CE13D42"/>
    <w:rsid w:val="2D393B7E"/>
    <w:rsid w:val="2D9D235F"/>
    <w:rsid w:val="2DED016F"/>
    <w:rsid w:val="2DF45CF7"/>
    <w:rsid w:val="2E0E500A"/>
    <w:rsid w:val="2E141EF5"/>
    <w:rsid w:val="2E41718E"/>
    <w:rsid w:val="2E425517"/>
    <w:rsid w:val="2E6B4140"/>
    <w:rsid w:val="2E861045"/>
    <w:rsid w:val="2EFA558F"/>
    <w:rsid w:val="2F2D14C0"/>
    <w:rsid w:val="2F34284F"/>
    <w:rsid w:val="2F792957"/>
    <w:rsid w:val="30240B15"/>
    <w:rsid w:val="30997731"/>
    <w:rsid w:val="309A0DD7"/>
    <w:rsid w:val="30B74016"/>
    <w:rsid w:val="30D2231F"/>
    <w:rsid w:val="30E6401D"/>
    <w:rsid w:val="3106646D"/>
    <w:rsid w:val="31BB1005"/>
    <w:rsid w:val="31ED4F37"/>
    <w:rsid w:val="31F369F1"/>
    <w:rsid w:val="31FE7144"/>
    <w:rsid w:val="32132BEF"/>
    <w:rsid w:val="324F5BF1"/>
    <w:rsid w:val="332D5F33"/>
    <w:rsid w:val="33487797"/>
    <w:rsid w:val="334B63B9"/>
    <w:rsid w:val="3353526D"/>
    <w:rsid w:val="335740A1"/>
    <w:rsid w:val="335F00B6"/>
    <w:rsid w:val="336D632F"/>
    <w:rsid w:val="3393088E"/>
    <w:rsid w:val="339715FE"/>
    <w:rsid w:val="339935C8"/>
    <w:rsid w:val="33A4663C"/>
    <w:rsid w:val="33C21891"/>
    <w:rsid w:val="33EB36F8"/>
    <w:rsid w:val="34386694"/>
    <w:rsid w:val="344572AC"/>
    <w:rsid w:val="346F5DE2"/>
    <w:rsid w:val="34D81ECE"/>
    <w:rsid w:val="34D83C7C"/>
    <w:rsid w:val="34DD74E5"/>
    <w:rsid w:val="350E3B42"/>
    <w:rsid w:val="35101668"/>
    <w:rsid w:val="351D48F1"/>
    <w:rsid w:val="3522139B"/>
    <w:rsid w:val="358E07DF"/>
    <w:rsid w:val="35B04BF9"/>
    <w:rsid w:val="35D24411"/>
    <w:rsid w:val="3604312D"/>
    <w:rsid w:val="361C228F"/>
    <w:rsid w:val="36372C24"/>
    <w:rsid w:val="36453593"/>
    <w:rsid w:val="365442FF"/>
    <w:rsid w:val="36A04C6E"/>
    <w:rsid w:val="36FB1EA4"/>
    <w:rsid w:val="371F3DE4"/>
    <w:rsid w:val="37E33064"/>
    <w:rsid w:val="38157395"/>
    <w:rsid w:val="386A72E1"/>
    <w:rsid w:val="388F4F9A"/>
    <w:rsid w:val="38A84DDA"/>
    <w:rsid w:val="38BE2EEF"/>
    <w:rsid w:val="38F512A1"/>
    <w:rsid w:val="39505C16"/>
    <w:rsid w:val="395A7356"/>
    <w:rsid w:val="39B73932"/>
    <w:rsid w:val="3A3F654C"/>
    <w:rsid w:val="3A410516"/>
    <w:rsid w:val="3ACF2D06"/>
    <w:rsid w:val="3AE3337B"/>
    <w:rsid w:val="3AEF1D20"/>
    <w:rsid w:val="3B1F05D3"/>
    <w:rsid w:val="3BBF7944"/>
    <w:rsid w:val="3BC06818"/>
    <w:rsid w:val="3C3C0F95"/>
    <w:rsid w:val="3C5E53AF"/>
    <w:rsid w:val="3CB66F99"/>
    <w:rsid w:val="3CBB45AF"/>
    <w:rsid w:val="3D70539A"/>
    <w:rsid w:val="3E0C2BE9"/>
    <w:rsid w:val="3E5325C6"/>
    <w:rsid w:val="3E594080"/>
    <w:rsid w:val="3E6B3DB3"/>
    <w:rsid w:val="3ED32EAF"/>
    <w:rsid w:val="3EE15E23"/>
    <w:rsid w:val="3EE576C2"/>
    <w:rsid w:val="3F0A456A"/>
    <w:rsid w:val="3F80388E"/>
    <w:rsid w:val="3F8A0269"/>
    <w:rsid w:val="3FB05F21"/>
    <w:rsid w:val="3FB15BEC"/>
    <w:rsid w:val="3FE3596A"/>
    <w:rsid w:val="4041301D"/>
    <w:rsid w:val="405C7E57"/>
    <w:rsid w:val="40721429"/>
    <w:rsid w:val="413D35A4"/>
    <w:rsid w:val="41410DFB"/>
    <w:rsid w:val="414D59F2"/>
    <w:rsid w:val="4182569C"/>
    <w:rsid w:val="41AC096A"/>
    <w:rsid w:val="41F10F70"/>
    <w:rsid w:val="42383FAC"/>
    <w:rsid w:val="42611755"/>
    <w:rsid w:val="42C121F4"/>
    <w:rsid w:val="42DF08CC"/>
    <w:rsid w:val="42EF6D61"/>
    <w:rsid w:val="431B5DA8"/>
    <w:rsid w:val="43572B58"/>
    <w:rsid w:val="43621F51"/>
    <w:rsid w:val="436C6603"/>
    <w:rsid w:val="43B65AD0"/>
    <w:rsid w:val="43B92B1D"/>
    <w:rsid w:val="43E837B0"/>
    <w:rsid w:val="442C5D93"/>
    <w:rsid w:val="44421112"/>
    <w:rsid w:val="449F6565"/>
    <w:rsid w:val="45140D01"/>
    <w:rsid w:val="45D65FB6"/>
    <w:rsid w:val="45F043FE"/>
    <w:rsid w:val="460348D1"/>
    <w:rsid w:val="465C2905"/>
    <w:rsid w:val="46CE4EDF"/>
    <w:rsid w:val="471274C2"/>
    <w:rsid w:val="474B4782"/>
    <w:rsid w:val="47947ED7"/>
    <w:rsid w:val="47B40579"/>
    <w:rsid w:val="48147269"/>
    <w:rsid w:val="4820176A"/>
    <w:rsid w:val="48384D06"/>
    <w:rsid w:val="488F069E"/>
    <w:rsid w:val="48A71E8C"/>
    <w:rsid w:val="494D658F"/>
    <w:rsid w:val="49667651"/>
    <w:rsid w:val="49AC016B"/>
    <w:rsid w:val="49C12AD9"/>
    <w:rsid w:val="49C777B9"/>
    <w:rsid w:val="49FE5ADB"/>
    <w:rsid w:val="4A383E16"/>
    <w:rsid w:val="4A7D10F6"/>
    <w:rsid w:val="4AA06B93"/>
    <w:rsid w:val="4AA50F89"/>
    <w:rsid w:val="4AB10DA0"/>
    <w:rsid w:val="4ACA1E61"/>
    <w:rsid w:val="4AE271AB"/>
    <w:rsid w:val="4B02784D"/>
    <w:rsid w:val="4B217CD3"/>
    <w:rsid w:val="4B221C9D"/>
    <w:rsid w:val="4B46598C"/>
    <w:rsid w:val="4B683B54"/>
    <w:rsid w:val="4BAB1C93"/>
    <w:rsid w:val="4BB84BE5"/>
    <w:rsid w:val="4BCA036B"/>
    <w:rsid w:val="4BCB5E91"/>
    <w:rsid w:val="4BD9235C"/>
    <w:rsid w:val="4BDB2578"/>
    <w:rsid w:val="4C8449BE"/>
    <w:rsid w:val="4D342033"/>
    <w:rsid w:val="4E181682"/>
    <w:rsid w:val="4EAA4484"/>
    <w:rsid w:val="4EAD5D22"/>
    <w:rsid w:val="4F0F62E7"/>
    <w:rsid w:val="4F9273F2"/>
    <w:rsid w:val="4FD10381"/>
    <w:rsid w:val="502838B2"/>
    <w:rsid w:val="506B19F1"/>
    <w:rsid w:val="506D39BB"/>
    <w:rsid w:val="50CA4969"/>
    <w:rsid w:val="50E023DF"/>
    <w:rsid w:val="50FB0FC7"/>
    <w:rsid w:val="512D3306"/>
    <w:rsid w:val="5187285A"/>
    <w:rsid w:val="51F223CA"/>
    <w:rsid w:val="52067C23"/>
    <w:rsid w:val="521C7446"/>
    <w:rsid w:val="521F0CE5"/>
    <w:rsid w:val="52976ACD"/>
    <w:rsid w:val="52E77A54"/>
    <w:rsid w:val="52EC506B"/>
    <w:rsid w:val="52FB52AE"/>
    <w:rsid w:val="53223693"/>
    <w:rsid w:val="5329683C"/>
    <w:rsid w:val="538928BA"/>
    <w:rsid w:val="53AE0572"/>
    <w:rsid w:val="53D02297"/>
    <w:rsid w:val="53E21FCA"/>
    <w:rsid w:val="54837309"/>
    <w:rsid w:val="549E05E7"/>
    <w:rsid w:val="54A454D1"/>
    <w:rsid w:val="54D65388"/>
    <w:rsid w:val="55006BAB"/>
    <w:rsid w:val="556709D9"/>
    <w:rsid w:val="55D818D6"/>
    <w:rsid w:val="56603417"/>
    <w:rsid w:val="56804CAE"/>
    <w:rsid w:val="569021B1"/>
    <w:rsid w:val="56D54068"/>
    <w:rsid w:val="57030BD5"/>
    <w:rsid w:val="57222642"/>
    <w:rsid w:val="5748483A"/>
    <w:rsid w:val="57536629"/>
    <w:rsid w:val="57544F8D"/>
    <w:rsid w:val="57560D05"/>
    <w:rsid w:val="57B343A9"/>
    <w:rsid w:val="57EF1159"/>
    <w:rsid w:val="58AC1B04"/>
    <w:rsid w:val="58FA1B64"/>
    <w:rsid w:val="59282B75"/>
    <w:rsid w:val="596F4300"/>
    <w:rsid w:val="597162CA"/>
    <w:rsid w:val="598549C6"/>
    <w:rsid w:val="598C6815"/>
    <w:rsid w:val="59CD7278"/>
    <w:rsid w:val="5A47702B"/>
    <w:rsid w:val="5A5A1606"/>
    <w:rsid w:val="5A8042EB"/>
    <w:rsid w:val="5AA93841"/>
    <w:rsid w:val="5AC62645"/>
    <w:rsid w:val="5AD559EF"/>
    <w:rsid w:val="5AD7215D"/>
    <w:rsid w:val="5B4672E2"/>
    <w:rsid w:val="5B5C4D58"/>
    <w:rsid w:val="5BAD65B3"/>
    <w:rsid w:val="5BE30FD5"/>
    <w:rsid w:val="5BFE299D"/>
    <w:rsid w:val="5C71213D"/>
    <w:rsid w:val="5CA2679A"/>
    <w:rsid w:val="5CA644DC"/>
    <w:rsid w:val="5CC130C4"/>
    <w:rsid w:val="5CDC4797"/>
    <w:rsid w:val="5D3C2062"/>
    <w:rsid w:val="5D577585"/>
    <w:rsid w:val="5D641CA2"/>
    <w:rsid w:val="5E0A099B"/>
    <w:rsid w:val="5ECB1C68"/>
    <w:rsid w:val="5ECE7D1A"/>
    <w:rsid w:val="5EE438A9"/>
    <w:rsid w:val="5F2B6F1B"/>
    <w:rsid w:val="5F441D8B"/>
    <w:rsid w:val="5F5A7800"/>
    <w:rsid w:val="5F6917F1"/>
    <w:rsid w:val="5F797C86"/>
    <w:rsid w:val="5F7F7267"/>
    <w:rsid w:val="60251BBC"/>
    <w:rsid w:val="604007A4"/>
    <w:rsid w:val="604F4E8B"/>
    <w:rsid w:val="606D5311"/>
    <w:rsid w:val="60730B79"/>
    <w:rsid w:val="61942726"/>
    <w:rsid w:val="619F774C"/>
    <w:rsid w:val="61B01959"/>
    <w:rsid w:val="621E2D67"/>
    <w:rsid w:val="62DD4DCD"/>
    <w:rsid w:val="630A5099"/>
    <w:rsid w:val="63302D52"/>
    <w:rsid w:val="634B7B8C"/>
    <w:rsid w:val="6370314E"/>
    <w:rsid w:val="63780255"/>
    <w:rsid w:val="63E678B4"/>
    <w:rsid w:val="644B7717"/>
    <w:rsid w:val="6497295D"/>
    <w:rsid w:val="649C61C5"/>
    <w:rsid w:val="64AA2690"/>
    <w:rsid w:val="64DB4F3F"/>
    <w:rsid w:val="6546685C"/>
    <w:rsid w:val="65496236"/>
    <w:rsid w:val="65D67B2F"/>
    <w:rsid w:val="65FC33BF"/>
    <w:rsid w:val="66430FEE"/>
    <w:rsid w:val="668D2E4E"/>
    <w:rsid w:val="66B772E6"/>
    <w:rsid w:val="67073DC9"/>
    <w:rsid w:val="671604B0"/>
    <w:rsid w:val="674A015A"/>
    <w:rsid w:val="679C70BD"/>
    <w:rsid w:val="67BE4CCD"/>
    <w:rsid w:val="68466B73"/>
    <w:rsid w:val="68955405"/>
    <w:rsid w:val="689C6793"/>
    <w:rsid w:val="68F95D7A"/>
    <w:rsid w:val="69205616"/>
    <w:rsid w:val="693115D2"/>
    <w:rsid w:val="6942558D"/>
    <w:rsid w:val="696F20FA"/>
    <w:rsid w:val="69894C51"/>
    <w:rsid w:val="69C67F6C"/>
    <w:rsid w:val="69CC12FA"/>
    <w:rsid w:val="6A576E16"/>
    <w:rsid w:val="6A7654C6"/>
    <w:rsid w:val="6AA70556"/>
    <w:rsid w:val="6AE0505D"/>
    <w:rsid w:val="6AE54422"/>
    <w:rsid w:val="6AF4560B"/>
    <w:rsid w:val="6B0574A6"/>
    <w:rsid w:val="6B3C75C9"/>
    <w:rsid w:val="6B453112"/>
    <w:rsid w:val="6BDB5825"/>
    <w:rsid w:val="6BE4292B"/>
    <w:rsid w:val="6C07661A"/>
    <w:rsid w:val="6C4E46B2"/>
    <w:rsid w:val="6C6B7C6F"/>
    <w:rsid w:val="6C6D0B73"/>
    <w:rsid w:val="6C735A5D"/>
    <w:rsid w:val="6CA16A6E"/>
    <w:rsid w:val="6D350F65"/>
    <w:rsid w:val="6D3B47CD"/>
    <w:rsid w:val="6DC01176"/>
    <w:rsid w:val="6DC14534"/>
    <w:rsid w:val="6E5518BE"/>
    <w:rsid w:val="6EA002F2"/>
    <w:rsid w:val="6F4162E7"/>
    <w:rsid w:val="6F4436E1"/>
    <w:rsid w:val="6F4B0F13"/>
    <w:rsid w:val="6F75656A"/>
    <w:rsid w:val="6FCD1928"/>
    <w:rsid w:val="70383246"/>
    <w:rsid w:val="703A6FBE"/>
    <w:rsid w:val="70983CE4"/>
    <w:rsid w:val="70A94143"/>
    <w:rsid w:val="70CE5958"/>
    <w:rsid w:val="70DC0075"/>
    <w:rsid w:val="70E909E4"/>
    <w:rsid w:val="70EB650A"/>
    <w:rsid w:val="70F33611"/>
    <w:rsid w:val="711C4915"/>
    <w:rsid w:val="71341C5F"/>
    <w:rsid w:val="71BF425E"/>
    <w:rsid w:val="71CC633B"/>
    <w:rsid w:val="72345C8F"/>
    <w:rsid w:val="725D4F25"/>
    <w:rsid w:val="729F75AC"/>
    <w:rsid w:val="734168B5"/>
    <w:rsid w:val="73796D39"/>
    <w:rsid w:val="737E5413"/>
    <w:rsid w:val="73E7745D"/>
    <w:rsid w:val="73EB6821"/>
    <w:rsid w:val="74994CCD"/>
    <w:rsid w:val="74B530B7"/>
    <w:rsid w:val="75B74C0D"/>
    <w:rsid w:val="75BE41ED"/>
    <w:rsid w:val="766528BB"/>
    <w:rsid w:val="767B0330"/>
    <w:rsid w:val="76A553AD"/>
    <w:rsid w:val="76C43A85"/>
    <w:rsid w:val="76CF58C2"/>
    <w:rsid w:val="77613082"/>
    <w:rsid w:val="77A92C7B"/>
    <w:rsid w:val="7803238B"/>
    <w:rsid w:val="781F6A99"/>
    <w:rsid w:val="786D1EFA"/>
    <w:rsid w:val="78B95140"/>
    <w:rsid w:val="78DD0E2E"/>
    <w:rsid w:val="78E81581"/>
    <w:rsid w:val="791B013F"/>
    <w:rsid w:val="794B18B1"/>
    <w:rsid w:val="79960FDD"/>
    <w:rsid w:val="79CD2C51"/>
    <w:rsid w:val="79D42231"/>
    <w:rsid w:val="79FF5CD3"/>
    <w:rsid w:val="7A293BFF"/>
    <w:rsid w:val="7A2A01BC"/>
    <w:rsid w:val="7A456C8B"/>
    <w:rsid w:val="7A847EE8"/>
    <w:rsid w:val="7B022DCE"/>
    <w:rsid w:val="7B0D52CF"/>
    <w:rsid w:val="7B450F0D"/>
    <w:rsid w:val="7B910F06"/>
    <w:rsid w:val="7B9F686F"/>
    <w:rsid w:val="7BB67714"/>
    <w:rsid w:val="7BC938EC"/>
    <w:rsid w:val="7BD77DB7"/>
    <w:rsid w:val="7C042B76"/>
    <w:rsid w:val="7C2A325D"/>
    <w:rsid w:val="7C6C2355"/>
    <w:rsid w:val="7C99506C"/>
    <w:rsid w:val="7CAE58D3"/>
    <w:rsid w:val="7CE420E4"/>
    <w:rsid w:val="7D052701"/>
    <w:rsid w:val="7DC0487A"/>
    <w:rsid w:val="7DC4436B"/>
    <w:rsid w:val="7DEE53A4"/>
    <w:rsid w:val="7E046E5D"/>
    <w:rsid w:val="7E33329E"/>
    <w:rsid w:val="7E51393A"/>
    <w:rsid w:val="7E573431"/>
    <w:rsid w:val="7F271055"/>
    <w:rsid w:val="7F9D70F1"/>
    <w:rsid w:val="7FAA57E2"/>
    <w:rsid w:val="7FCE7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5"/>
    <w:autoRedefine/>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66"/>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67"/>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68"/>
    <w:autoRedefine/>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9"/>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70"/>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1"/>
    <w:autoRedefine/>
    <w:semiHidden/>
    <w:unhideWhenUsed/>
    <w:qFormat/>
    <w:uiPriority w:val="9"/>
    <w:pPr>
      <w:numPr>
        <w:ilvl w:val="6"/>
        <w:numId w:val="1"/>
      </w:numPr>
      <w:spacing w:before="240" w:after="60"/>
      <w:outlineLvl w:val="6"/>
    </w:pPr>
  </w:style>
  <w:style w:type="paragraph" w:styleId="9">
    <w:name w:val="heading 8"/>
    <w:basedOn w:val="1"/>
    <w:next w:val="1"/>
    <w:link w:val="72"/>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3"/>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qFormat/>
    <w:uiPriority w:val="99"/>
    <w:pPr>
      <w:ind w:firstLine="420"/>
    </w:pPr>
  </w:style>
  <w:style w:type="paragraph" w:styleId="12">
    <w:name w:val="Body Text First Indent 2"/>
    <w:basedOn w:val="13"/>
    <w:next w:val="11"/>
    <w:autoRedefine/>
    <w:qFormat/>
    <w:uiPriority w:val="0"/>
    <w:pPr>
      <w:ind w:firstLine="420"/>
    </w:pPr>
  </w:style>
  <w:style w:type="paragraph" w:styleId="13">
    <w:name w:val="Body Text Indent"/>
    <w:basedOn w:val="1"/>
    <w:link w:val="116"/>
    <w:autoRedefine/>
    <w:qFormat/>
    <w:uiPriority w:val="0"/>
    <w:pPr>
      <w:spacing w:after="120"/>
      <w:ind w:left="420" w:leftChars="200"/>
    </w:pPr>
    <w:rPr>
      <w:sz w:val="20"/>
    </w:rPr>
  </w:style>
  <w:style w:type="paragraph" w:styleId="14">
    <w:name w:val="caption"/>
    <w:basedOn w:val="1"/>
    <w:next w:val="1"/>
    <w:autoRedefine/>
    <w:semiHidden/>
    <w:unhideWhenUsed/>
    <w:qFormat/>
    <w:uiPriority w:val="35"/>
    <w:rPr>
      <w:rFonts w:eastAsia="黑体" w:asciiTheme="majorHAnsi" w:hAnsiTheme="majorHAnsi" w:cstheme="majorBidi"/>
      <w:sz w:val="20"/>
      <w:szCs w:val="20"/>
    </w:rPr>
  </w:style>
  <w:style w:type="paragraph" w:styleId="15">
    <w:name w:val="Document Map"/>
    <w:basedOn w:val="1"/>
    <w:link w:val="97"/>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toa heading"/>
    <w:basedOn w:val="1"/>
    <w:next w:val="1"/>
    <w:autoRedefine/>
    <w:qFormat/>
    <w:uiPriority w:val="0"/>
    <w:pPr>
      <w:spacing w:before="120"/>
    </w:pPr>
    <w:rPr>
      <w:rFonts w:ascii="Arial" w:hAnsi="Arial" w:cs="Arial"/>
    </w:rPr>
  </w:style>
  <w:style w:type="paragraph" w:styleId="17">
    <w:name w:val="annotation text"/>
    <w:basedOn w:val="1"/>
    <w:link w:val="89"/>
    <w:autoRedefine/>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w:basedOn w:val="1"/>
    <w:next w:val="1"/>
    <w:autoRedefine/>
    <w:qFormat/>
    <w:uiPriority w:val="99"/>
    <w:rPr>
      <w:sz w:val="20"/>
    </w:rPr>
  </w:style>
  <w:style w:type="paragraph" w:styleId="19">
    <w:name w:val="toc 3"/>
    <w:basedOn w:val="1"/>
    <w:next w:val="1"/>
    <w:autoRedefine/>
    <w:semiHidden/>
    <w:unhideWhenUsed/>
    <w:qFormat/>
    <w:uiPriority w:val="39"/>
    <w:pPr>
      <w:ind w:left="840" w:leftChars="400"/>
    </w:pPr>
  </w:style>
  <w:style w:type="paragraph" w:styleId="20">
    <w:name w:val="Plain Text"/>
    <w:basedOn w:val="1"/>
    <w:autoRedefine/>
    <w:qFormat/>
    <w:uiPriority w:val="99"/>
    <w:pPr>
      <w:spacing w:line="324" w:lineRule="auto"/>
    </w:pPr>
    <w:rPr>
      <w:rFonts w:ascii="宋体" w:hAnsi="Courier New"/>
      <w:sz w:val="20"/>
    </w:rPr>
  </w:style>
  <w:style w:type="paragraph" w:styleId="21">
    <w:name w:val="Date"/>
    <w:basedOn w:val="1"/>
    <w:next w:val="1"/>
    <w:link w:val="62"/>
    <w:autoRedefine/>
    <w:semiHidden/>
    <w:unhideWhenUsed/>
    <w:qFormat/>
    <w:uiPriority w:val="99"/>
    <w:pPr>
      <w:ind w:left="100" w:leftChars="2500"/>
    </w:pPr>
  </w:style>
  <w:style w:type="paragraph" w:styleId="22">
    <w:name w:val="Body Text Indent 2"/>
    <w:basedOn w:val="1"/>
    <w:autoRedefine/>
    <w:unhideWhenUsed/>
    <w:qFormat/>
    <w:uiPriority w:val="0"/>
    <w:pPr>
      <w:spacing w:after="120" w:line="480" w:lineRule="auto"/>
      <w:ind w:left="420" w:leftChars="200"/>
    </w:pPr>
  </w:style>
  <w:style w:type="paragraph" w:styleId="23">
    <w:name w:val="Balloon Text"/>
    <w:basedOn w:val="1"/>
    <w:link w:val="88"/>
    <w:autoRedefine/>
    <w:semiHidden/>
    <w:unhideWhenUsed/>
    <w:qFormat/>
    <w:uiPriority w:val="99"/>
    <w:rPr>
      <w:sz w:val="18"/>
      <w:szCs w:val="18"/>
    </w:rPr>
  </w:style>
  <w:style w:type="paragraph" w:styleId="24">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6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pPr>
      <w:spacing w:beforeLines="100" w:afterLines="100"/>
    </w:pPr>
    <w:rPr>
      <w:rFonts w:ascii="Calibri" w:hAnsi="Calibri" w:eastAsia="宋体"/>
      <w:kern w:val="32"/>
      <w:sz w:val="32"/>
    </w:rPr>
  </w:style>
  <w:style w:type="paragraph" w:styleId="27">
    <w:name w:val="Subtitle"/>
    <w:basedOn w:val="1"/>
    <w:next w:val="1"/>
    <w:link w:val="75"/>
    <w:autoRedefine/>
    <w:qFormat/>
    <w:uiPriority w:val="11"/>
    <w:pPr>
      <w:keepNext/>
      <w:spacing w:beforeLines="50" w:afterLines="50"/>
      <w:jc w:val="center"/>
      <w:outlineLvl w:val="1"/>
    </w:pPr>
    <w:rPr>
      <w:rFonts w:ascii="Calibri" w:hAnsi="Calibri" w:eastAsia="黑体" w:cstheme="majorBidi"/>
      <w:sz w:val="32"/>
    </w:rPr>
  </w:style>
  <w:style w:type="paragraph" w:styleId="28">
    <w:name w:val="toc 2"/>
    <w:basedOn w:val="1"/>
    <w:next w:val="1"/>
    <w:autoRedefine/>
    <w:semiHidden/>
    <w:unhideWhenUsed/>
    <w:qFormat/>
    <w:uiPriority w:val="39"/>
    <w:pPr>
      <w:ind w:left="420" w:leftChars="200"/>
    </w:pPr>
  </w:style>
  <w:style w:type="paragraph" w:styleId="29">
    <w:name w:val="Normal (Web)"/>
    <w:basedOn w:val="1"/>
    <w:autoRedefine/>
    <w:qFormat/>
    <w:uiPriority w:val="99"/>
    <w:pPr>
      <w:spacing w:before="100" w:beforeAutospacing="1" w:after="100" w:afterAutospacing="1"/>
    </w:pPr>
    <w:rPr>
      <w:rFonts w:ascii="宋体" w:hAnsi="宋体" w:cs="宋体"/>
    </w:rPr>
  </w:style>
  <w:style w:type="paragraph" w:styleId="30">
    <w:name w:val="Title"/>
    <w:basedOn w:val="1"/>
    <w:next w:val="1"/>
    <w:link w:val="74"/>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7"/>
    <w:next w:val="17"/>
    <w:link w:val="96"/>
    <w:autoRedefine/>
    <w:semiHidden/>
    <w:unhideWhenUsed/>
    <w:qFormat/>
    <w:uiPriority w:val="99"/>
    <w:rPr>
      <w:b/>
      <w:bCs/>
    </w:rPr>
  </w:style>
  <w:style w:type="paragraph" w:styleId="32">
    <w:name w:val="Body Text First Indent"/>
    <w:basedOn w:val="18"/>
    <w:autoRedefine/>
    <w:qFormat/>
    <w:uiPriority w:val="0"/>
    <w:pPr>
      <w:spacing w:line="300" w:lineRule="auto"/>
      <w:ind w:firstLine="602"/>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autoRedefine/>
    <w:qFormat/>
    <w:uiPriority w:val="20"/>
    <w:rPr>
      <w:rFonts w:asciiTheme="minorHAnsi" w:hAnsiTheme="minorHAnsi"/>
      <w:b/>
      <w:i/>
      <w:iCs/>
    </w:rPr>
  </w:style>
  <w:style w:type="character" w:styleId="40">
    <w:name w:val="Hyperlink"/>
    <w:basedOn w:val="35"/>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5"/>
    <w:autoRedefine/>
    <w:semiHidden/>
    <w:unhideWhenUsed/>
    <w:qFormat/>
    <w:uiPriority w:val="99"/>
    <w:rPr>
      <w:sz w:val="21"/>
      <w:szCs w:val="21"/>
    </w:rPr>
  </w:style>
  <w:style w:type="paragraph" w:customStyle="1" w:styleId="42">
    <w:name w:val="※封面大标题"/>
    <w:basedOn w:val="1"/>
    <w:next w:val="1"/>
    <w:autoRedefine/>
    <w:qFormat/>
    <w:uiPriority w:val="0"/>
    <w:pPr>
      <w:jc w:val="center"/>
    </w:pPr>
    <w:rPr>
      <w:rFonts w:ascii="华文中宋" w:hAnsi="华文中宋" w:eastAsia="华文中宋"/>
      <w:sz w:val="96"/>
      <w:szCs w:val="96"/>
    </w:rPr>
  </w:style>
  <w:style w:type="paragraph" w:customStyle="1" w:styleId="43">
    <w:name w:val="※封面题颌"/>
    <w:basedOn w:val="1"/>
    <w:next w:val="1"/>
    <w:autoRedefine/>
    <w:qFormat/>
    <w:uiPriority w:val="0"/>
    <w:pPr>
      <w:jc w:val="center"/>
    </w:pPr>
    <w:rPr>
      <w:rFonts w:ascii="Calibri Light" w:hAnsi="Calibri Light" w:eastAsia="华文仿宋"/>
      <w:sz w:val="36"/>
      <w:szCs w:val="36"/>
    </w:rPr>
  </w:style>
  <w:style w:type="paragraph" w:customStyle="1" w:styleId="44">
    <w:name w:val="※封面题眉"/>
    <w:basedOn w:val="1"/>
    <w:next w:val="42"/>
    <w:autoRedefine/>
    <w:qFormat/>
    <w:uiPriority w:val="0"/>
    <w:pPr>
      <w:jc w:val="center"/>
    </w:pPr>
    <w:rPr>
      <w:rFonts w:ascii="华文仿宋" w:hAnsi="华文仿宋" w:eastAsia="华文仿宋"/>
      <w:sz w:val="52"/>
      <w:szCs w:val="28"/>
    </w:rPr>
  </w:style>
  <w:style w:type="paragraph" w:customStyle="1" w:styleId="45">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6">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7">
    <w:name w:val="※目录（主）"/>
    <w:basedOn w:val="1"/>
    <w:autoRedefine/>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0">
    <w:name w:val="※小标题 一"/>
    <w:basedOn w:val="49"/>
    <w:next w:val="49"/>
    <w:autoRedefine/>
    <w:qFormat/>
    <w:uiPriority w:val="0"/>
    <w:pPr>
      <w:spacing w:before="120" w:line="240" w:lineRule="auto"/>
      <w:outlineLvl w:val="2"/>
    </w:pPr>
    <w:rPr>
      <w:b/>
      <w:color w:val="203864" w:themeColor="accent5" w:themeShade="80"/>
      <w:sz w:val="32"/>
    </w:rPr>
  </w:style>
  <w:style w:type="paragraph" w:customStyle="1" w:styleId="51">
    <w:name w:val="※小标题（1）"/>
    <w:basedOn w:val="1"/>
    <w:next w:val="4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2">
    <w:name w:val="※小标题（一）"/>
    <w:basedOn w:val="1"/>
    <w:next w:val="4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3">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4">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5">
    <w:name w:val="※页眉"/>
    <w:basedOn w:val="49"/>
    <w:autoRedefine/>
    <w:qFormat/>
    <w:uiPriority w:val="0"/>
    <w:pPr>
      <w:pBdr>
        <w:bottom w:val="single" w:color="auto" w:sz="4" w:space="1"/>
      </w:pBdr>
      <w:spacing w:line="240" w:lineRule="atLeast"/>
      <w:jc w:val="right"/>
    </w:pPr>
    <w:rPr>
      <w:rFonts w:ascii="宋体" w:hAnsi="宋体" w:eastAsia="宋体"/>
      <w:sz w:val="18"/>
    </w:rPr>
  </w:style>
  <w:style w:type="paragraph" w:customStyle="1" w:styleId="56">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7">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58">
    <w:name w:val="※章节标题（第Z部分分项）"/>
    <w:basedOn w:val="57"/>
    <w:autoRedefine/>
    <w:qFormat/>
    <w:uiPriority w:val="0"/>
    <w:pPr>
      <w:outlineLvl w:val="2"/>
    </w:pPr>
  </w:style>
  <w:style w:type="paragraph" w:customStyle="1" w:styleId="59">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0">
    <w:name w:val="※正文（缩进2）"/>
    <w:basedOn w:val="49"/>
    <w:autoRedefine/>
    <w:qFormat/>
    <w:uiPriority w:val="0"/>
    <w:pPr>
      <w:ind w:firstLine="200" w:firstLineChars="200"/>
    </w:pPr>
  </w:style>
  <w:style w:type="paragraph" w:customStyle="1" w:styleId="61">
    <w:name w:val="※正文（缩进4）"/>
    <w:basedOn w:val="49"/>
    <w:autoRedefine/>
    <w:qFormat/>
    <w:uiPriority w:val="0"/>
    <w:pPr>
      <w:ind w:firstLine="400" w:firstLineChars="400"/>
    </w:pPr>
  </w:style>
  <w:style w:type="character" w:customStyle="1" w:styleId="62">
    <w:name w:val="日期 字符"/>
    <w:basedOn w:val="35"/>
    <w:link w:val="21"/>
    <w:autoRedefine/>
    <w:semiHidden/>
    <w:qFormat/>
    <w:uiPriority w:val="99"/>
    <w:rPr>
      <w:rFonts w:ascii="华文仿宋" w:hAnsi="华文仿宋" w:eastAsia="华文仿宋"/>
      <w:sz w:val="28"/>
      <w:szCs w:val="28"/>
    </w:rPr>
  </w:style>
  <w:style w:type="character" w:customStyle="1" w:styleId="63">
    <w:name w:val="页眉 字符"/>
    <w:basedOn w:val="35"/>
    <w:link w:val="25"/>
    <w:autoRedefine/>
    <w:qFormat/>
    <w:uiPriority w:val="0"/>
    <w:rPr>
      <w:rFonts w:ascii="华文仿宋" w:hAnsi="华文仿宋" w:eastAsia="华文仿宋"/>
      <w:sz w:val="18"/>
      <w:szCs w:val="18"/>
    </w:rPr>
  </w:style>
  <w:style w:type="character" w:customStyle="1" w:styleId="64">
    <w:name w:val="页脚 字符"/>
    <w:basedOn w:val="35"/>
    <w:link w:val="24"/>
    <w:autoRedefine/>
    <w:qFormat/>
    <w:uiPriority w:val="99"/>
    <w:rPr>
      <w:rFonts w:ascii="华文仿宋" w:hAnsi="华文仿宋" w:eastAsia="华文仿宋"/>
      <w:sz w:val="18"/>
      <w:szCs w:val="18"/>
    </w:rPr>
  </w:style>
  <w:style w:type="character" w:customStyle="1" w:styleId="65">
    <w:name w:val="标题 1 字符"/>
    <w:basedOn w:val="35"/>
    <w:link w:val="2"/>
    <w:autoRedefine/>
    <w:qFormat/>
    <w:uiPriority w:val="9"/>
    <w:rPr>
      <w:rFonts w:ascii="方正小标宋_GBK" w:hAnsi="仿宋" w:eastAsia="方正小标宋_GBK"/>
      <w:sz w:val="44"/>
      <w:szCs w:val="44"/>
    </w:rPr>
  </w:style>
  <w:style w:type="character" w:customStyle="1" w:styleId="66">
    <w:name w:val="标题 2 字符"/>
    <w:basedOn w:val="35"/>
    <w:link w:val="3"/>
    <w:autoRedefine/>
    <w:qFormat/>
    <w:uiPriority w:val="9"/>
    <w:rPr>
      <w:rFonts w:ascii="楷体" w:hAnsi="楷体" w:eastAsia="黑体"/>
      <w:sz w:val="32"/>
      <w:szCs w:val="32"/>
    </w:rPr>
  </w:style>
  <w:style w:type="character" w:customStyle="1" w:styleId="67">
    <w:name w:val="标题 3 字符"/>
    <w:basedOn w:val="35"/>
    <w:link w:val="4"/>
    <w:autoRedefine/>
    <w:qFormat/>
    <w:uiPriority w:val="9"/>
    <w:rPr>
      <w:rFonts w:ascii="方正小标宋_GBK" w:hAnsi="仿宋" w:eastAsia="方正小标宋_GBK"/>
      <w:sz w:val="36"/>
      <w:szCs w:val="36"/>
    </w:rPr>
  </w:style>
  <w:style w:type="character" w:customStyle="1" w:styleId="68">
    <w:name w:val="标题 4 字符"/>
    <w:basedOn w:val="35"/>
    <w:link w:val="5"/>
    <w:autoRedefine/>
    <w:semiHidden/>
    <w:qFormat/>
    <w:uiPriority w:val="9"/>
    <w:rPr>
      <w:rFonts w:cstheme="majorBidi"/>
      <w:b/>
      <w:bCs/>
      <w:sz w:val="28"/>
      <w:szCs w:val="28"/>
    </w:rPr>
  </w:style>
  <w:style w:type="character" w:customStyle="1" w:styleId="69">
    <w:name w:val="标题 5 字符"/>
    <w:basedOn w:val="35"/>
    <w:link w:val="6"/>
    <w:autoRedefine/>
    <w:semiHidden/>
    <w:qFormat/>
    <w:uiPriority w:val="9"/>
    <w:rPr>
      <w:b/>
      <w:bCs/>
      <w:i/>
      <w:iCs/>
      <w:sz w:val="26"/>
      <w:szCs w:val="26"/>
    </w:rPr>
  </w:style>
  <w:style w:type="character" w:customStyle="1" w:styleId="70">
    <w:name w:val="标题 6 字符"/>
    <w:basedOn w:val="35"/>
    <w:link w:val="7"/>
    <w:autoRedefine/>
    <w:semiHidden/>
    <w:qFormat/>
    <w:uiPriority w:val="9"/>
    <w:rPr>
      <w:rFonts w:cstheme="majorBidi"/>
      <w:b/>
      <w:bCs/>
    </w:rPr>
  </w:style>
  <w:style w:type="character" w:customStyle="1" w:styleId="71">
    <w:name w:val="标题 7 字符"/>
    <w:basedOn w:val="35"/>
    <w:link w:val="8"/>
    <w:autoRedefine/>
    <w:semiHidden/>
    <w:qFormat/>
    <w:uiPriority w:val="9"/>
    <w:rPr>
      <w:sz w:val="24"/>
      <w:szCs w:val="24"/>
    </w:rPr>
  </w:style>
  <w:style w:type="character" w:customStyle="1" w:styleId="72">
    <w:name w:val="标题 8 字符"/>
    <w:basedOn w:val="35"/>
    <w:link w:val="9"/>
    <w:autoRedefine/>
    <w:semiHidden/>
    <w:qFormat/>
    <w:uiPriority w:val="9"/>
    <w:rPr>
      <w:rFonts w:cstheme="majorBidi"/>
      <w:i/>
      <w:iCs/>
      <w:sz w:val="24"/>
      <w:szCs w:val="24"/>
    </w:rPr>
  </w:style>
  <w:style w:type="character" w:customStyle="1" w:styleId="73">
    <w:name w:val="标题 9 字符"/>
    <w:basedOn w:val="35"/>
    <w:link w:val="10"/>
    <w:autoRedefine/>
    <w:semiHidden/>
    <w:qFormat/>
    <w:uiPriority w:val="9"/>
    <w:rPr>
      <w:rFonts w:asciiTheme="majorHAnsi" w:hAnsiTheme="majorHAnsi" w:eastAsiaTheme="majorEastAsia" w:cstheme="majorBidi"/>
    </w:rPr>
  </w:style>
  <w:style w:type="character" w:customStyle="1" w:styleId="74">
    <w:name w:val="标题 字符"/>
    <w:basedOn w:val="35"/>
    <w:link w:val="30"/>
    <w:autoRedefine/>
    <w:qFormat/>
    <w:uiPriority w:val="10"/>
    <w:rPr>
      <w:rFonts w:asciiTheme="majorHAnsi" w:hAnsiTheme="majorHAnsi" w:eastAsiaTheme="majorEastAsia" w:cstheme="majorBidi"/>
      <w:b/>
      <w:bCs/>
      <w:kern w:val="28"/>
      <w:sz w:val="32"/>
      <w:szCs w:val="32"/>
    </w:rPr>
  </w:style>
  <w:style w:type="character" w:customStyle="1" w:styleId="75">
    <w:name w:val="副标题 字符"/>
    <w:basedOn w:val="35"/>
    <w:link w:val="27"/>
    <w:autoRedefine/>
    <w:qFormat/>
    <w:uiPriority w:val="11"/>
    <w:rPr>
      <w:rFonts w:ascii="Calibri" w:hAnsi="Calibri" w:eastAsia="黑体" w:cstheme="majorBidi"/>
      <w:sz w:val="32"/>
      <w:szCs w:val="24"/>
    </w:rPr>
  </w:style>
  <w:style w:type="paragraph" w:styleId="76">
    <w:name w:val="No Spacing"/>
    <w:basedOn w:val="1"/>
    <w:autoRedefine/>
    <w:qFormat/>
    <w:uiPriority w:val="1"/>
    <w:rPr>
      <w:szCs w:val="32"/>
    </w:rPr>
  </w:style>
  <w:style w:type="paragraph" w:styleId="77">
    <w:name w:val="List Paragraph"/>
    <w:basedOn w:val="1"/>
    <w:autoRedefine/>
    <w:qFormat/>
    <w:uiPriority w:val="0"/>
    <w:pPr>
      <w:ind w:left="720"/>
      <w:contextualSpacing/>
    </w:pPr>
  </w:style>
  <w:style w:type="paragraph" w:styleId="78">
    <w:name w:val="Quote"/>
    <w:basedOn w:val="1"/>
    <w:next w:val="1"/>
    <w:link w:val="79"/>
    <w:autoRedefine/>
    <w:qFormat/>
    <w:uiPriority w:val="29"/>
    <w:rPr>
      <w:i/>
    </w:rPr>
  </w:style>
  <w:style w:type="character" w:customStyle="1" w:styleId="79">
    <w:name w:val="引用 字符"/>
    <w:basedOn w:val="35"/>
    <w:link w:val="78"/>
    <w:autoRedefine/>
    <w:qFormat/>
    <w:uiPriority w:val="29"/>
    <w:rPr>
      <w:i/>
      <w:sz w:val="24"/>
      <w:szCs w:val="24"/>
    </w:rPr>
  </w:style>
  <w:style w:type="paragraph" w:styleId="80">
    <w:name w:val="Intense Quote"/>
    <w:basedOn w:val="1"/>
    <w:next w:val="1"/>
    <w:link w:val="81"/>
    <w:autoRedefine/>
    <w:qFormat/>
    <w:uiPriority w:val="30"/>
    <w:pPr>
      <w:ind w:left="720" w:right="720"/>
    </w:pPr>
    <w:rPr>
      <w:b/>
      <w:i/>
      <w:szCs w:val="22"/>
    </w:rPr>
  </w:style>
  <w:style w:type="character" w:customStyle="1" w:styleId="81">
    <w:name w:val="明显引用 字符"/>
    <w:basedOn w:val="35"/>
    <w:link w:val="80"/>
    <w:autoRedefine/>
    <w:qFormat/>
    <w:uiPriority w:val="30"/>
    <w:rPr>
      <w:b/>
      <w:i/>
      <w:sz w:val="24"/>
    </w:rPr>
  </w:style>
  <w:style w:type="character" w:customStyle="1" w:styleId="82">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3">
    <w:name w:val="明显强调1"/>
    <w:basedOn w:val="35"/>
    <w:autoRedefine/>
    <w:qFormat/>
    <w:uiPriority w:val="21"/>
    <w:rPr>
      <w:b/>
      <w:i/>
      <w:sz w:val="24"/>
      <w:szCs w:val="24"/>
      <w:u w:val="single"/>
    </w:rPr>
  </w:style>
  <w:style w:type="character" w:customStyle="1" w:styleId="84">
    <w:name w:val="不明显参考1"/>
    <w:basedOn w:val="35"/>
    <w:autoRedefine/>
    <w:qFormat/>
    <w:uiPriority w:val="31"/>
    <w:rPr>
      <w:sz w:val="24"/>
      <w:szCs w:val="24"/>
      <w:u w:val="single"/>
    </w:rPr>
  </w:style>
  <w:style w:type="character" w:customStyle="1" w:styleId="85">
    <w:name w:val="明显参考1"/>
    <w:basedOn w:val="35"/>
    <w:autoRedefine/>
    <w:qFormat/>
    <w:uiPriority w:val="32"/>
    <w:rPr>
      <w:b/>
      <w:sz w:val="24"/>
      <w:u w:val="single"/>
    </w:rPr>
  </w:style>
  <w:style w:type="character" w:customStyle="1" w:styleId="86">
    <w:name w:val="书籍标题1"/>
    <w:basedOn w:val="35"/>
    <w:autoRedefine/>
    <w:qFormat/>
    <w:uiPriority w:val="33"/>
    <w:rPr>
      <w:rFonts w:asciiTheme="majorHAnsi" w:hAnsiTheme="majorHAnsi" w:eastAsiaTheme="majorEastAsia"/>
      <w:b/>
      <w:i/>
      <w:sz w:val="24"/>
      <w:szCs w:val="24"/>
    </w:rPr>
  </w:style>
  <w:style w:type="paragraph" w:customStyle="1" w:styleId="87">
    <w:name w:val="TOC 标题1"/>
    <w:basedOn w:val="2"/>
    <w:next w:val="1"/>
    <w:autoRedefine/>
    <w:semiHidden/>
    <w:unhideWhenUsed/>
    <w:qFormat/>
    <w:uiPriority w:val="39"/>
    <w:pPr>
      <w:outlineLvl w:val="9"/>
    </w:pPr>
  </w:style>
  <w:style w:type="character" w:customStyle="1" w:styleId="88">
    <w:name w:val="批注框文本 字符"/>
    <w:basedOn w:val="35"/>
    <w:link w:val="23"/>
    <w:autoRedefine/>
    <w:semiHidden/>
    <w:qFormat/>
    <w:uiPriority w:val="99"/>
    <w:rPr>
      <w:sz w:val="18"/>
      <w:szCs w:val="18"/>
    </w:rPr>
  </w:style>
  <w:style w:type="character" w:customStyle="1" w:styleId="89">
    <w:name w:val="批注文字 字符"/>
    <w:basedOn w:val="35"/>
    <w:link w:val="17"/>
    <w:autoRedefine/>
    <w:qFormat/>
    <w:uiPriority w:val="99"/>
    <w:rPr>
      <w:rFonts w:ascii="Calibri Light" w:hAnsi="Calibri Light" w:eastAsia="华文仿宋" w:cs="Calibri Light"/>
      <w:kern w:val="2"/>
      <w:sz w:val="28"/>
      <w:szCs w:val="28"/>
    </w:rPr>
  </w:style>
  <w:style w:type="paragraph" w:customStyle="1" w:styleId="90">
    <w:name w:val="@正文"/>
    <w:basedOn w:val="4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1">
    <w:name w:val="@一级小标题"/>
    <w:basedOn w:val="1"/>
    <w:next w:val="90"/>
    <w:autoRedefine/>
    <w:qFormat/>
    <w:uiPriority w:val="0"/>
    <w:pPr>
      <w:keepNext/>
      <w:spacing w:before="120" w:after="60"/>
      <w:outlineLvl w:val="2"/>
    </w:pPr>
    <w:rPr>
      <w:rFonts w:ascii="Calibri" w:hAnsi="Calibri" w:eastAsia="黑体"/>
      <w:kern w:val="28"/>
      <w:sz w:val="28"/>
    </w:rPr>
  </w:style>
  <w:style w:type="paragraph" w:customStyle="1" w:styleId="92">
    <w:name w:val="@标题"/>
    <w:basedOn w:val="1"/>
    <w:next w:val="90"/>
    <w:autoRedefine/>
    <w:qFormat/>
    <w:uiPriority w:val="0"/>
    <w:pPr>
      <w:keepNext/>
      <w:spacing w:beforeLines="50" w:afterLines="50"/>
      <w:jc w:val="center"/>
      <w:outlineLvl w:val="1"/>
    </w:pPr>
    <w:rPr>
      <w:rFonts w:ascii="Calibri" w:hAnsi="Calibri" w:eastAsia="黑体"/>
      <w:kern w:val="32"/>
      <w:sz w:val="32"/>
    </w:rPr>
  </w:style>
  <w:style w:type="table" w:customStyle="1" w:styleId="93">
    <w:name w:val="网格型1"/>
    <w:basedOn w:val="33"/>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页眉 Char1"/>
    <w:basedOn w:val="35"/>
    <w:autoRedefine/>
    <w:semiHidden/>
    <w:qFormat/>
    <w:uiPriority w:val="99"/>
    <w:rPr>
      <w:rFonts w:cs="Calibri Light"/>
      <w:sz w:val="18"/>
      <w:szCs w:val="18"/>
    </w:rPr>
  </w:style>
  <w:style w:type="character" w:customStyle="1" w:styleId="95">
    <w:name w:val="页脚 Char1"/>
    <w:basedOn w:val="35"/>
    <w:autoRedefine/>
    <w:semiHidden/>
    <w:qFormat/>
    <w:uiPriority w:val="99"/>
    <w:rPr>
      <w:rFonts w:cs="Calibri Light"/>
      <w:sz w:val="18"/>
      <w:szCs w:val="18"/>
    </w:rPr>
  </w:style>
  <w:style w:type="character" w:customStyle="1" w:styleId="96">
    <w:name w:val="批注主题 字符"/>
    <w:basedOn w:val="89"/>
    <w:link w:val="31"/>
    <w:autoRedefine/>
    <w:semiHidden/>
    <w:qFormat/>
    <w:uiPriority w:val="99"/>
    <w:rPr>
      <w:rFonts w:ascii="Calibri Light" w:hAnsi="Calibri Light" w:eastAsia="华文仿宋" w:cs="Calibri Light"/>
      <w:b/>
      <w:bCs/>
      <w:kern w:val="2"/>
      <w:sz w:val="28"/>
      <w:szCs w:val="28"/>
    </w:rPr>
  </w:style>
  <w:style w:type="character" w:customStyle="1" w:styleId="97">
    <w:name w:val="文档结构图 字符"/>
    <w:basedOn w:val="35"/>
    <w:link w:val="15"/>
    <w:autoRedefine/>
    <w:semiHidden/>
    <w:qFormat/>
    <w:uiPriority w:val="99"/>
    <w:rPr>
      <w:rFonts w:ascii="宋体" w:hAnsi="Calibri Light" w:eastAsia="宋体" w:cs="Calibri Light"/>
      <w:kern w:val="2"/>
      <w:sz w:val="18"/>
      <w:szCs w:val="18"/>
    </w:rPr>
  </w:style>
  <w:style w:type="character" w:styleId="98">
    <w:name w:val="Placeholder Text"/>
    <w:basedOn w:val="35"/>
    <w:autoRedefine/>
    <w:semiHidden/>
    <w:qFormat/>
    <w:uiPriority w:val="99"/>
    <w:rPr>
      <w:color w:val="808080"/>
    </w:rPr>
  </w:style>
  <w:style w:type="character" w:customStyle="1" w:styleId="99">
    <w:name w:val="未处理的提及1"/>
    <w:basedOn w:val="35"/>
    <w:autoRedefine/>
    <w:semiHidden/>
    <w:unhideWhenUsed/>
    <w:qFormat/>
    <w:uiPriority w:val="99"/>
    <w:rPr>
      <w:color w:val="605E5C"/>
      <w:shd w:val="clear" w:color="auto" w:fill="E1DFDD"/>
    </w:rPr>
  </w:style>
  <w:style w:type="paragraph" w:customStyle="1" w:styleId="100">
    <w:name w:val="样式1"/>
    <w:basedOn w:val="4"/>
    <w:link w:val="102"/>
    <w:autoRedefine/>
    <w:qFormat/>
    <w:uiPriority w:val="0"/>
    <w:pPr>
      <w:jc w:val="left"/>
    </w:pPr>
    <w:rPr>
      <w:rFonts w:eastAsia="楷体"/>
      <w:sz w:val="32"/>
    </w:rPr>
  </w:style>
  <w:style w:type="paragraph" w:customStyle="1" w:styleId="101">
    <w:name w:val="样式2"/>
    <w:basedOn w:val="92"/>
    <w:link w:val="104"/>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2">
    <w:name w:val="样式1 字符"/>
    <w:basedOn w:val="66"/>
    <w:link w:val="100"/>
    <w:autoRedefine/>
    <w:qFormat/>
    <w:uiPriority w:val="0"/>
    <w:rPr>
      <w:rFonts w:ascii="方正小标宋_GBK" w:hAnsi="仿宋" w:eastAsia="楷体"/>
      <w:sz w:val="32"/>
      <w:szCs w:val="36"/>
    </w:rPr>
  </w:style>
  <w:style w:type="paragraph" w:customStyle="1" w:styleId="103">
    <w:name w:val="样式3"/>
    <w:basedOn w:val="1"/>
    <w:link w:val="105"/>
    <w:autoRedefine/>
    <w:qFormat/>
    <w:uiPriority w:val="0"/>
    <w:pPr>
      <w:spacing w:line="560" w:lineRule="exact"/>
      <w:jc w:val="center"/>
    </w:pPr>
    <w:rPr>
      <w:rFonts w:ascii="方正小标宋_GBK" w:hAnsi="仿宋" w:eastAsia="方正小标宋_GBK"/>
      <w:sz w:val="36"/>
      <w:szCs w:val="36"/>
    </w:rPr>
  </w:style>
  <w:style w:type="character" w:customStyle="1" w:styleId="104">
    <w:name w:val="样式2 字符"/>
    <w:basedOn w:val="35"/>
    <w:link w:val="101"/>
    <w:autoRedefine/>
    <w:qFormat/>
    <w:uiPriority w:val="0"/>
    <w:rPr>
      <w:rFonts w:ascii="仿宋_GB2312" w:hAnsi="仿宋" w:eastAsia="仿宋_GB2312"/>
      <w:b/>
      <w:bCs/>
      <w:kern w:val="32"/>
      <w:sz w:val="32"/>
      <w:szCs w:val="32"/>
    </w:rPr>
  </w:style>
  <w:style w:type="character" w:customStyle="1" w:styleId="105">
    <w:name w:val="样式3 字符"/>
    <w:basedOn w:val="35"/>
    <w:link w:val="103"/>
    <w:autoRedefine/>
    <w:qFormat/>
    <w:uiPriority w:val="0"/>
    <w:rPr>
      <w:rFonts w:ascii="方正小标宋_GBK" w:hAnsi="仿宋" w:eastAsia="方正小标宋_GBK"/>
      <w:sz w:val="36"/>
      <w:szCs w:val="36"/>
    </w:rPr>
  </w:style>
  <w:style w:type="paragraph" w:customStyle="1" w:styleId="106">
    <w:name w:val="无间隔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7">
    <w:name w:val="Table Paragraph"/>
    <w:basedOn w:val="1"/>
    <w:autoRedefine/>
    <w:qFormat/>
    <w:uiPriority w:val="1"/>
  </w:style>
  <w:style w:type="paragraph" w:customStyle="1" w:styleId="108">
    <w:name w:val="纯文本1"/>
    <w:basedOn w:val="1"/>
    <w:autoRedefine/>
    <w:qFormat/>
    <w:uiPriority w:val="0"/>
    <w:rPr>
      <w:rFonts w:ascii="宋体" w:hAnsi="Courier New" w:eastAsia="宋体"/>
      <w:szCs w:val="22"/>
    </w:rPr>
  </w:style>
  <w:style w:type="paragraph" w:customStyle="1" w:styleId="109">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10">
    <w:name w:val="WPSOffice手动目录 1"/>
    <w:autoRedefine/>
    <w:qFormat/>
    <w:uiPriority w:val="0"/>
    <w:rPr>
      <w:rFonts w:ascii="Times New Roman" w:hAnsi="Times New Roman" w:eastAsia="宋体" w:cs="Times New Roman"/>
      <w:lang w:val="en-US" w:eastAsia="zh-CN" w:bidi="ar-SA"/>
    </w:rPr>
  </w:style>
  <w:style w:type="paragraph" w:customStyle="1" w:styleId="11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3">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114">
    <w:name w:val="Normal_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15">
    <w:name w:val="Normal_9"/>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116">
    <w:name w:val="正文文本缩进 字符"/>
    <w:link w:val="13"/>
    <w:autoRedefine/>
    <w:qFormat/>
    <w:uiPriority w:val="0"/>
    <w:rPr>
      <w:rFonts w:asciiTheme="minorHAnsi" w:hAnsiTheme="minorHAnsi" w:eastAsiaTheme="minorEastAsia"/>
      <w:szCs w:val="24"/>
    </w:rPr>
  </w:style>
  <w:style w:type="paragraph" w:customStyle="1" w:styleId="117">
    <w:name w:val="_Style 39"/>
    <w:basedOn w:val="1"/>
    <w:next w:val="1"/>
    <w:qFormat/>
    <w:uiPriority w:val="0"/>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A2093-0F0B-401D-BAA8-F648C883A13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150</Pages>
  <Words>17647</Words>
  <Characters>19394</Characters>
  <Lines>651</Lines>
  <Paragraphs>183</Paragraphs>
  <TotalTime>8</TotalTime>
  <ScaleCrop>false</ScaleCrop>
  <LinksUpToDate>false</LinksUpToDate>
  <CharactersWithSpaces>19528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邱阳阳</cp:lastModifiedBy>
  <cp:lastPrinted>2025-05-07T09:16:00Z</cp:lastPrinted>
  <dcterms:modified xsi:type="dcterms:W3CDTF">2025-05-09T02:59:08Z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2159839897AF4A42AA6BFEE1FDA9ADA0_13</vt:lpwstr>
  </property>
  <property fmtid="{D5CDD505-2E9C-101B-9397-08002B2CF9AE}" pid="4" name="KSOTemplateDocerSaveRecord">
    <vt:lpwstr>eyJoZGlkIjoiZWZmNWMzNWFmMTRmNzhiNTcwMDlmMTFlMWQyNjhmOTMiLCJ1c2VySWQiOiIyNjYzODAzOTMifQ==</vt:lpwstr>
  </property>
</Properties>
</file>