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E54E">
      <w:pPr>
        <w:numPr>
          <w:ilvl w:val="0"/>
          <w:numId w:val="0"/>
        </w:numPr>
        <w:adjustRightInd w:val="0"/>
        <w:snapToGrid w:val="0"/>
        <w:spacing w:line="576" w:lineRule="exact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43158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（一）工程名称:京昆高速服务区110KV、330KV电力线路迁移(灵沼段)清表及垃圾外运项目</w:t>
      </w:r>
    </w:p>
    <w:p w14:paraId="5407192B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）项目概况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以及实施范围</w:t>
      </w:r>
    </w:p>
    <w:p w14:paraId="3EE2EF90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京昆高速公路灵沼服务区南北两侧用地红线范围内的建筑垃圾、堆积垃圾、苗木等地面附着物进行清理，按照建设要求清理挖至所需高程，并将场平后相应垃圾清运至城管执法部门指定的垃圾消纳场，使项目用地达到自然平整后场地采用绿网覆盖。</w:t>
      </w:r>
    </w:p>
    <w:p w14:paraId="2A21DBA7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（三）项目预算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274689.08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"/>
        </w:rPr>
        <w:t>,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最高限价274689.08元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。</w:t>
      </w:r>
    </w:p>
    <w:p w14:paraId="2E11B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执行的法律法规、技术规范</w:t>
      </w:r>
    </w:p>
    <w:p w14:paraId="1F418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执行的法律法规、技术规范包括但不限于以下规定、规范、标准：</w:t>
      </w:r>
    </w:p>
    <w:p w14:paraId="5511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《中华人民共和国安全生产法》</w:t>
      </w:r>
    </w:p>
    <w:p w14:paraId="4D70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《建设工程安全生产管理条例》</w:t>
      </w:r>
    </w:p>
    <w:p w14:paraId="065B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《西安市扬尘污染防治条例》</w:t>
      </w:r>
    </w:p>
    <w:p w14:paraId="60707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《西安市建筑垃圾管理办法》</w:t>
      </w:r>
    </w:p>
    <w:p w14:paraId="49E07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《西安高新区治污减霾网格化管理工作实施方案》</w:t>
      </w:r>
    </w:p>
    <w:p w14:paraId="7B4CA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质量标准：符合国家现行有关施工质量验收规范“合格”要求。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具体要求如下：</w:t>
      </w:r>
    </w:p>
    <w:p w14:paraId="14E8F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1）工程质量标准、规范:执行国家、省、市现行的相关规定及标准文件。</w:t>
      </w:r>
    </w:p>
    <w:p w14:paraId="5314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）项目范围内的垃圾清运全部采用机械清运的施工方法，严禁人工清运。</w:t>
      </w:r>
    </w:p>
    <w:p w14:paraId="0007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至现有地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米完成场地平整。</w:t>
      </w:r>
    </w:p>
    <w:p w14:paraId="24F9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清表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产生的全部垃圾，严格按照城市管理部门指定的运输路线和倾倒场地清运，不得冒尖装栽、不得沿路抛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3F1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垃圾清运最终达到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场地平整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，现场无任何遗留物（最后以采购人、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、第三方监理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共同验收合格，签字确认为准）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137A7C72">
      <w:pPr>
        <w:pStyle w:val="6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（五）工期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合同签订之日起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个日历日内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完成。</w:t>
      </w:r>
    </w:p>
    <w:p w14:paraId="60991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高新区灵沼街道沣秦路以西、正太路以东、京昆高速公路灵沼服务区南北两侧。</w:t>
      </w:r>
    </w:p>
    <w:p w14:paraId="4695006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工程量清单（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工程量最终结算时以实际发生工程量据实结算；）</w:t>
      </w:r>
    </w:p>
    <w:tbl>
      <w:tblPr>
        <w:tblStyle w:val="8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28"/>
        <w:gridCol w:w="1154"/>
        <w:gridCol w:w="1841"/>
        <w:gridCol w:w="2507"/>
      </w:tblGrid>
      <w:tr w14:paraId="71FA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7" w:type="pct"/>
            <w:noWrap w:val="0"/>
            <w:vAlign w:val="center"/>
          </w:tcPr>
          <w:p w14:paraId="71798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250" w:type="pct"/>
            <w:noWrap w:val="0"/>
            <w:vAlign w:val="center"/>
          </w:tcPr>
          <w:p w14:paraId="0B2CB7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清单项目</w:t>
            </w:r>
          </w:p>
        </w:tc>
        <w:tc>
          <w:tcPr>
            <w:tcW w:w="678" w:type="pct"/>
            <w:noWrap w:val="0"/>
            <w:vAlign w:val="center"/>
          </w:tcPr>
          <w:p w14:paraId="3EB9E7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081" w:type="pct"/>
            <w:noWrap w:val="0"/>
            <w:vAlign w:val="center"/>
          </w:tcPr>
          <w:p w14:paraId="0A6AD1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工程量</w:t>
            </w:r>
          </w:p>
        </w:tc>
        <w:tc>
          <w:tcPr>
            <w:tcW w:w="1472" w:type="pct"/>
            <w:noWrap w:val="0"/>
            <w:vAlign w:val="top"/>
          </w:tcPr>
          <w:p w14:paraId="5452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单价最高限价</w:t>
            </w:r>
          </w:p>
          <w:p w14:paraId="0A7768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（元）</w:t>
            </w:r>
          </w:p>
        </w:tc>
      </w:tr>
      <w:tr w14:paraId="2698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7" w:type="pct"/>
            <w:noWrap w:val="0"/>
            <w:vAlign w:val="top"/>
          </w:tcPr>
          <w:p w14:paraId="7ED08FC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  <w:noWrap w:val="0"/>
            <w:vAlign w:val="top"/>
          </w:tcPr>
          <w:p w14:paraId="604299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清表及垃圾清运</w:t>
            </w:r>
          </w:p>
        </w:tc>
        <w:tc>
          <w:tcPr>
            <w:tcW w:w="678" w:type="pct"/>
            <w:noWrap w:val="0"/>
            <w:vAlign w:val="top"/>
          </w:tcPr>
          <w:p w14:paraId="280ACF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m³</w:t>
            </w:r>
          </w:p>
        </w:tc>
        <w:tc>
          <w:tcPr>
            <w:tcW w:w="1081" w:type="pct"/>
            <w:noWrap w:val="0"/>
            <w:vAlign w:val="center"/>
          </w:tcPr>
          <w:p w14:paraId="4EA9ED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2747.99</w:t>
            </w:r>
          </w:p>
        </w:tc>
        <w:tc>
          <w:tcPr>
            <w:tcW w:w="1472" w:type="pct"/>
            <w:noWrap w:val="0"/>
            <w:vAlign w:val="center"/>
          </w:tcPr>
          <w:p w14:paraId="464B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99.96</w:t>
            </w:r>
          </w:p>
        </w:tc>
      </w:tr>
    </w:tbl>
    <w:p w14:paraId="60FBB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八）其他要求</w:t>
      </w:r>
    </w:p>
    <w:p w14:paraId="7185B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《西安市扬尘污染防治条例》本次清表应考虑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治污减霾和降尘费用；</w:t>
      </w:r>
    </w:p>
    <w:p w14:paraId="20BE2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2.对可能发生的零星工程，应适当考虑相应机械台班；</w:t>
      </w:r>
    </w:p>
    <w:p w14:paraId="6AC25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3.因施工范围较大，为保证施工安全有序进行，应派驻专人看管现场。</w:t>
      </w:r>
    </w:p>
    <w:p w14:paraId="106F74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50CE"/>
    <w:rsid w:val="0C4848B0"/>
    <w:rsid w:val="3E1E037D"/>
    <w:rsid w:val="535C50CE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645"/>
    </w:pPr>
    <w:rPr>
      <w:rFonts w:ascii="楷体_GB2312" w:eastAsia="楷体_GB2312"/>
      <w:sz w:val="32"/>
    </w:rPr>
  </w:style>
  <w:style w:type="paragraph" w:styleId="5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1">
    <w:name w:val="标题 2 Char"/>
    <w:link w:val="4"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2072</Words>
  <Characters>2908</Characters>
  <Lines>0</Lines>
  <Paragraphs>0</Paragraphs>
  <TotalTime>0</TotalTime>
  <ScaleCrop>false</ScaleCrop>
  <LinksUpToDate>false</LinksUpToDate>
  <CharactersWithSpaces>2998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2025-06-03T10:00:00Z</dcterms:created>
  <dc:creator>陕西华采招标有限公司</dc:creator>
  <cp:lastModifiedBy>陕西华采招标有限公司</cp:lastModifiedBy>
  <dcterms:modified xsi:type="dcterms:W3CDTF">2025-06-04T07:13:16Z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7C848E7151494337A1E24DF224AF53DD_11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