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714CA">
      <w:pPr>
        <w:pStyle w:val="9"/>
        <w:rPr>
          <w:rFonts w:hint="eastAsia" w:eastAsiaTheme="minorEastAsia"/>
          <w:lang w:eastAsia="zh-CN"/>
        </w:rPr>
      </w:pPr>
      <w:r>
        <w:t>标的名称：</w:t>
      </w:r>
      <w:r>
        <w:rPr>
          <w:rFonts w:hint="eastAsia"/>
          <w:lang w:eastAsia="zh-CN"/>
        </w:rPr>
        <w:t>信息系统等级保护测评</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646"/>
        <w:gridCol w:w="7065"/>
      </w:tblGrid>
      <w:tr w14:paraId="78E97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tcPr>
          <w:p w14:paraId="72F0A7B9">
            <w:pPr>
              <w:pStyle w:val="9"/>
            </w:pPr>
            <w:r>
              <w:t>参数性质</w:t>
            </w:r>
          </w:p>
        </w:tc>
        <w:tc>
          <w:tcPr>
            <w:tcW w:w="646" w:type="dxa"/>
          </w:tcPr>
          <w:p w14:paraId="4B1EA04F">
            <w:pPr>
              <w:pStyle w:val="9"/>
            </w:pPr>
            <w:r>
              <w:t>序号</w:t>
            </w:r>
          </w:p>
        </w:tc>
        <w:tc>
          <w:tcPr>
            <w:tcW w:w="7005" w:type="dxa"/>
          </w:tcPr>
          <w:p w14:paraId="7DC9D647">
            <w:pPr>
              <w:pStyle w:val="9"/>
            </w:pPr>
            <w:r>
              <w:t>技术参数与性能指标</w:t>
            </w:r>
          </w:p>
        </w:tc>
      </w:tr>
      <w:tr w14:paraId="6AFFF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tcPr>
          <w:p w14:paraId="3EB87578"/>
        </w:tc>
        <w:tc>
          <w:tcPr>
            <w:tcW w:w="646" w:type="dxa"/>
          </w:tcPr>
          <w:p w14:paraId="254391F8">
            <w:pPr>
              <w:pStyle w:val="9"/>
            </w:pPr>
            <w:r>
              <w:t>1</w:t>
            </w:r>
          </w:p>
        </w:tc>
        <w:tc>
          <w:tcPr>
            <w:tcW w:w="7005" w:type="dxa"/>
          </w:tcPr>
          <w:p w14:paraId="2FA567A2">
            <w:pPr>
              <w:pStyle w:val="9"/>
              <w:keepNext w:val="0"/>
              <w:keepLines w:val="0"/>
              <w:pageBreakBefore w:val="0"/>
              <w:widowControl w:val="0"/>
              <w:shd w:val="clear" w:color="auto" w:fill="auto"/>
              <w:kinsoku/>
              <w:wordWrap/>
              <w:overflowPunct/>
              <w:topLinePunct w:val="0"/>
              <w:autoSpaceDE/>
              <w:autoSpaceDN/>
              <w:bidi w:val="0"/>
              <w:adjustRightInd/>
              <w:snapToGrid/>
              <w:textAlignment w:val="auto"/>
              <w:rPr>
                <w:rFonts w:hint="eastAsia" w:ascii="宋体" w:hAnsi="宋体" w:eastAsia="宋体" w:cs="宋体"/>
                <w:b/>
                <w:bCs/>
                <w:sz w:val="21"/>
                <w:szCs w:val="21"/>
                <w:lang w:val="en-US" w:eastAsia="zh-CN"/>
              </w:rPr>
            </w:pPr>
            <w:bookmarkStart w:id="0" w:name="_Toc21903"/>
            <w:bookmarkStart w:id="1" w:name="_Toc26720"/>
            <w:bookmarkStart w:id="2" w:name="_Toc29211"/>
            <w:bookmarkStart w:id="3" w:name="_Toc14996"/>
            <w:r>
              <w:rPr>
                <w:rFonts w:hint="eastAsia" w:ascii="宋体" w:hAnsi="宋体" w:eastAsia="宋体" w:cs="宋体"/>
                <w:b/>
                <w:bCs/>
                <w:sz w:val="21"/>
                <w:szCs w:val="21"/>
                <w:lang w:val="en-US" w:eastAsia="zh-CN"/>
              </w:rPr>
              <w:t>1、总体要求</w:t>
            </w:r>
          </w:p>
          <w:p w14:paraId="352FA258">
            <w:pPr>
              <w:pStyle w:val="9"/>
              <w:keepNext w:val="0"/>
              <w:keepLines w:val="0"/>
              <w:pageBreakBefore w:val="0"/>
              <w:widowControl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根据国家《信息安全等级保护管理办法》(公通字[2007]43号) 与《信息安全技术 网络安全等级保护基本要求》GB/T22239-2019 要求，等级测评工作须覆盖安全物理环境、安全通信网络、安全区 域边界、安全计算环境、安全管理中心、安全管理制度、安全管理 机构、安全管理人员、安全建设管理、安全运维管理等方面的内容， 并根据现场实际情况完成风险分析工作,最终为完善等级保护安全 防护体系提供指导依据。 </w:t>
            </w:r>
          </w:p>
          <w:p w14:paraId="702D5E67">
            <w:pPr>
              <w:pStyle w:val="9"/>
              <w:ind w:left="0" w:leftChars="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2、测评备案</w:t>
            </w:r>
          </w:p>
          <w:p w14:paraId="78E9DC7B">
            <w:pPr>
              <w:pStyle w:val="9"/>
              <w:keepNext w:val="0"/>
              <w:keepLines w:val="0"/>
              <w:pageBreakBefore w:val="0"/>
              <w:widowControl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rPr>
            </w:pPr>
            <w:r>
              <w:rPr>
                <w:rFonts w:hint="eastAsia" w:ascii="宋体" w:hAnsi="宋体" w:eastAsia="宋体" w:cs="宋体"/>
                <w:sz w:val="21"/>
                <w:szCs w:val="21"/>
              </w:rPr>
              <w:t>第一阶段：等级保护 信息安全等级保护工作共分为五步，分别是：“定级、备案、 建设整改、等级测评、监督检查”。该项目主要完成系统的安全测 评工作，依据安全技术和安全管理两个方面的测评要求，分别从安 全物理环境、安全通信网络、安全区域边界、安全计算环境、安全 管理中心、安全管理制度、安全管理机构、安全管理人员、安全建 设管理、安全运维管理十个安全类别进行安全测评。</w:t>
            </w:r>
          </w:p>
          <w:p w14:paraId="2FF7B9CD">
            <w:pPr>
              <w:pStyle w:val="9"/>
              <w:keepNext w:val="0"/>
              <w:keepLines w:val="0"/>
              <w:pageBreakBefore w:val="0"/>
              <w:widowControl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定级要求：该项工作开展的主要依据是《网络安全等级保护 定级指南》（GB/T 22240-2020）确定系统等级。 </w:t>
            </w:r>
          </w:p>
          <w:p w14:paraId="0A04028E">
            <w:pPr>
              <w:pStyle w:val="9"/>
              <w:keepNext w:val="0"/>
              <w:keepLines w:val="0"/>
              <w:pageBreakBefore w:val="0"/>
              <w:widowControl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备案：信息系统的安全保护等级确定后，二级以上（含二级） 信息系统的运营使用单位或主管部门应到属地公安机关办理备案 手续。按照国家政策要求，跨省或者全国统一联网运行的信息系统 在各地运行、应用的分支系统，向当地设区的市级以上公安机关备案。该项目系统应向归属地网络安全监察支队申请重要信息系统备 案。 完成备案的信息系统，将获得公安机关颁发的《信息系统安全等级 保护备案证明》。 </w:t>
            </w:r>
          </w:p>
          <w:p w14:paraId="3C14BA3C">
            <w:pPr>
              <w:pStyle w:val="9"/>
              <w:keepNext w:val="0"/>
              <w:keepLines w:val="0"/>
              <w:pageBreakBefore w:val="0"/>
              <w:widowControl w:val="0"/>
              <w:shd w:val="clear" w:color="auto" w:fill="auto"/>
              <w:kinsoku/>
              <w:wordWrap/>
              <w:overflowPunct/>
              <w:topLinePunct w:val="0"/>
              <w:autoSpaceDE/>
              <w:autoSpaceDN/>
              <w:bidi w:val="0"/>
              <w:adjustRightInd/>
              <w:snapToGrid/>
              <w:ind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等级保护测评要求： 供应商在测评过程中要求按照《计算机信息系统安全保护等级 划分准则》（GB17859-1999）、《信息安全技术 网络安全等级保 护实施指南》（GB/T25058-2019）、《信息安全技术 网络安全等 级保护基本要求》（GB/T22239-2019）、《信息安全技术 网络安 全等级保护测评要求》（GB/T28448-2019）、《信息安全技术 网 络安全等级保护测评过程指南》（GB/T28449-2018）等相关的标准 规范开展等级测评工作，对系统的安全物理环境、安全通信网络、 安全区域边界、安全计算环境、安全管理中心、安全管理制度、安全管理机构、安全管理人员、安全建设管理、安全运维管理共10个层面进行安全等级保护测评。测评指标如下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二级）</w:t>
            </w:r>
            <w:r>
              <w:rPr>
                <w:rFonts w:hint="eastAsia" w:ascii="宋体" w:hAnsi="宋体" w:eastAsia="宋体" w:cs="宋体"/>
                <w:sz w:val="21"/>
                <w:szCs w:val="21"/>
                <w:lang w:eastAsia="zh-CN"/>
              </w:rPr>
              <w:t>：</w:t>
            </w:r>
          </w:p>
          <w:bookmarkEnd w:id="0"/>
          <w:bookmarkEnd w:id="1"/>
          <w:bookmarkEnd w:id="2"/>
          <w:bookmarkEnd w:id="3"/>
          <w:tbl>
            <w:tblPr>
              <w:tblStyle w:val="6"/>
              <w:tblW w:w="6849" w:type="dxa"/>
              <w:jc w:val="center"/>
              <w:tblLayout w:type="autofit"/>
              <w:tblCellMar>
                <w:top w:w="0" w:type="dxa"/>
                <w:left w:w="0" w:type="dxa"/>
                <w:bottom w:w="0" w:type="dxa"/>
                <w:right w:w="0" w:type="dxa"/>
              </w:tblCellMar>
            </w:tblPr>
            <w:tblGrid>
              <w:gridCol w:w="1131"/>
              <w:gridCol w:w="1347"/>
              <w:gridCol w:w="4371"/>
            </w:tblGrid>
            <w:tr w14:paraId="5EF4D823">
              <w:tblPrEx>
                <w:tblCellMar>
                  <w:top w:w="0" w:type="dxa"/>
                  <w:left w:w="0" w:type="dxa"/>
                  <w:bottom w:w="0" w:type="dxa"/>
                  <w:right w:w="0" w:type="dxa"/>
                </w:tblCellMar>
              </w:tblPrEx>
              <w:trPr>
                <w:trHeight w:val="756" w:hRule="atLeast"/>
                <w:tblHeader/>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BFBFBF"/>
                  <w:noWrap w:val="0"/>
                  <w:tcMar>
                    <w:top w:w="15" w:type="dxa"/>
                    <w:left w:w="15" w:type="dxa"/>
                    <w:right w:w="15" w:type="dxa"/>
                  </w:tcMar>
                  <w:vAlign w:val="center"/>
                </w:tcPr>
                <w:p w14:paraId="67A738E7">
                  <w:pPr>
                    <w:pStyle w:val="9"/>
                    <w:widowControl/>
                    <w:shd w:val="clear" w:color="auto" w:fill="auto"/>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安全层面</w:t>
                  </w:r>
                </w:p>
              </w:tc>
              <w:tc>
                <w:tcPr>
                  <w:tcW w:w="1347" w:type="dxa"/>
                  <w:tcBorders>
                    <w:top w:val="single" w:color="000000" w:sz="4" w:space="0"/>
                    <w:left w:val="single" w:color="000000" w:sz="4" w:space="0"/>
                    <w:bottom w:val="single" w:color="000000" w:sz="4" w:space="0"/>
                    <w:right w:val="single" w:color="000000" w:sz="4" w:space="0"/>
                  </w:tcBorders>
                  <w:shd w:val="clear" w:color="auto" w:fill="BFBFBF"/>
                  <w:noWrap w:val="0"/>
                  <w:tcMar>
                    <w:top w:w="15" w:type="dxa"/>
                    <w:left w:w="15" w:type="dxa"/>
                    <w:right w:w="15" w:type="dxa"/>
                  </w:tcMar>
                  <w:vAlign w:val="center"/>
                </w:tcPr>
                <w:p w14:paraId="7F26DA1E">
                  <w:pPr>
                    <w:pStyle w:val="9"/>
                    <w:widowControl/>
                    <w:shd w:val="clear" w:color="auto" w:fill="auto"/>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安全控制点</w:t>
                  </w:r>
                </w:p>
              </w:tc>
              <w:tc>
                <w:tcPr>
                  <w:tcW w:w="4371" w:type="dxa"/>
                  <w:tcBorders>
                    <w:top w:val="single" w:color="000000" w:sz="4" w:space="0"/>
                    <w:left w:val="single" w:color="000000" w:sz="4" w:space="0"/>
                    <w:bottom w:val="single" w:color="000000" w:sz="4" w:space="0"/>
                    <w:right w:val="single" w:color="000000" w:sz="4" w:space="0"/>
                  </w:tcBorders>
                  <w:shd w:val="clear" w:color="auto" w:fill="BFBFBF"/>
                  <w:noWrap w:val="0"/>
                  <w:tcMar>
                    <w:top w:w="15" w:type="dxa"/>
                    <w:left w:w="15" w:type="dxa"/>
                    <w:right w:w="15" w:type="dxa"/>
                  </w:tcMar>
                  <w:vAlign w:val="center"/>
                </w:tcPr>
                <w:p w14:paraId="2E51B24F">
                  <w:pPr>
                    <w:pStyle w:val="9"/>
                    <w:widowControl/>
                    <w:shd w:val="clear" w:color="auto" w:fill="auto"/>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测评指标</w:t>
                  </w:r>
                </w:p>
              </w:tc>
            </w:tr>
            <w:tr w14:paraId="412E46A8">
              <w:tblPrEx>
                <w:tblCellMar>
                  <w:top w:w="0" w:type="dxa"/>
                  <w:left w:w="0" w:type="dxa"/>
                  <w:bottom w:w="0" w:type="dxa"/>
                  <w:right w:w="0" w:type="dxa"/>
                </w:tblCellMar>
              </w:tblPrEx>
              <w:trPr>
                <w:trHeight w:val="470" w:hRule="atLeast"/>
                <w:jc w:val="center"/>
              </w:trPr>
              <w:tc>
                <w:tcPr>
                  <w:tcW w:w="11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C39E053">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安全物理</w:t>
                  </w:r>
                </w:p>
                <w:p w14:paraId="500B81F2">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环境</w:t>
                  </w:r>
                </w:p>
              </w:tc>
              <w:tc>
                <w:tcPr>
                  <w:tcW w:w="13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7EC3C38">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物理位置</w:t>
                  </w:r>
                </w:p>
                <w:p w14:paraId="619835B0">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选择</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7C31C">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a）机房和办公场地应选择在具有防震、防风和防雨等能力的建筑内；</w:t>
                  </w:r>
                </w:p>
              </w:tc>
            </w:tr>
            <w:tr w14:paraId="413B6E02">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257A4759">
                  <w:pPr>
                    <w:pStyle w:val="9"/>
                    <w:shd w:val="clear" w:color="auto" w:fill="auto"/>
                    <w:jc w:val="center"/>
                    <w:textAlignment w:val="center"/>
                    <w:rPr>
                      <w:rFonts w:hint="eastAsia" w:ascii="宋体" w:hAnsi="宋体" w:eastAsia="宋体" w:cs="宋体"/>
                      <w:sz w:val="21"/>
                      <w:szCs w:val="21"/>
                      <w:highlight w:val="none"/>
                    </w:rPr>
                  </w:pPr>
                </w:p>
              </w:tc>
              <w:tc>
                <w:tcPr>
                  <w:tcW w:w="13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9B20BF1">
                  <w:pPr>
                    <w:pStyle w:val="9"/>
                    <w:widowControl/>
                    <w:shd w:val="clear" w:color="auto" w:fill="auto"/>
                    <w:jc w:val="center"/>
                    <w:textAlignment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DC0AA">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b）机房场地应避免设在建筑物的高层或地下室，否则应加强防水和防潮措施。</w:t>
                  </w:r>
                </w:p>
              </w:tc>
            </w:tr>
            <w:tr w14:paraId="3FCD20B8">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3097B8D1">
                  <w:pPr>
                    <w:pStyle w:val="9"/>
                    <w:shd w:val="clear" w:color="auto" w:fill="auto"/>
                    <w:jc w:val="center"/>
                    <w:textAlignment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D8E4C">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物理访问控制</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905EA">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机房出入口应有专人值守，控制、鉴别和记录进入的人员。</w:t>
                  </w:r>
                </w:p>
              </w:tc>
            </w:tr>
            <w:tr w14:paraId="092A4809">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7714B4BF">
                  <w:pPr>
                    <w:pStyle w:val="9"/>
                    <w:shd w:val="clear" w:color="auto" w:fill="auto"/>
                    <w:jc w:val="center"/>
                    <w:textAlignment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8E8C1EE">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防盗窃和</w:t>
                  </w:r>
                </w:p>
                <w:p w14:paraId="775E869C">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防破坏</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D920C">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a）应将设备或主要部件进行固定，并设置明显的不易除去的标记；</w:t>
                  </w:r>
                </w:p>
              </w:tc>
            </w:tr>
            <w:tr w14:paraId="37D19E17">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77930091">
                  <w:pPr>
                    <w:pStyle w:val="9"/>
                    <w:shd w:val="clear" w:color="auto" w:fill="auto"/>
                    <w:jc w:val="center"/>
                    <w:textAlignment w:val="center"/>
                    <w:rPr>
                      <w:rFonts w:hint="eastAsia" w:ascii="宋体" w:hAnsi="宋体" w:eastAsia="宋体" w:cs="宋体"/>
                      <w:sz w:val="21"/>
                      <w:szCs w:val="21"/>
                      <w:highlight w:val="none"/>
                    </w:rPr>
                  </w:pPr>
                </w:p>
              </w:tc>
              <w:tc>
                <w:tcPr>
                  <w:tcW w:w="1347" w:type="dxa"/>
                  <w:vMerge w:val="continue"/>
                  <w:tcBorders>
                    <w:left w:val="single" w:color="000000" w:sz="4" w:space="0"/>
                    <w:right w:val="single" w:color="000000" w:sz="4" w:space="0"/>
                  </w:tcBorders>
                  <w:noWrap w:val="0"/>
                  <w:tcMar>
                    <w:top w:w="15" w:type="dxa"/>
                    <w:left w:w="15" w:type="dxa"/>
                    <w:right w:w="15" w:type="dxa"/>
                  </w:tcMar>
                  <w:vAlign w:val="center"/>
                </w:tcPr>
                <w:p w14:paraId="1F005B31">
                  <w:pPr>
                    <w:pStyle w:val="9"/>
                    <w:widowControl/>
                    <w:shd w:val="clear" w:color="auto" w:fill="auto"/>
                    <w:jc w:val="center"/>
                    <w:textAlignment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4C245">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b）应将通信线缆铺设在隐蔽安全处；</w:t>
                  </w:r>
                </w:p>
              </w:tc>
            </w:tr>
            <w:tr w14:paraId="234EBE0F">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7F699969">
                  <w:pPr>
                    <w:pStyle w:val="9"/>
                    <w:shd w:val="clear" w:color="auto" w:fill="auto"/>
                    <w:jc w:val="center"/>
                    <w:textAlignment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29EE154">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防雷击</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97CC8">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应将各类机柜、设施和设备等通过接地系统安全接地。</w:t>
                  </w:r>
                </w:p>
              </w:tc>
            </w:tr>
            <w:tr w14:paraId="2E96980D">
              <w:tblPrEx>
                <w:tblCellMar>
                  <w:top w:w="0" w:type="dxa"/>
                  <w:left w:w="0" w:type="dxa"/>
                  <w:bottom w:w="0" w:type="dxa"/>
                  <w:right w:w="0" w:type="dxa"/>
                </w:tblCellMar>
              </w:tblPrEx>
              <w:trPr>
                <w:trHeight w:val="481"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5AEC7407">
                  <w:pPr>
                    <w:pStyle w:val="9"/>
                    <w:shd w:val="clear" w:color="auto" w:fill="auto"/>
                    <w:jc w:val="center"/>
                    <w:textAlignment w:val="center"/>
                    <w:rPr>
                      <w:rFonts w:hint="eastAsia" w:ascii="宋体" w:hAnsi="宋体" w:eastAsia="宋体" w:cs="宋体"/>
                      <w:sz w:val="21"/>
                      <w:szCs w:val="21"/>
                      <w:highlight w:val="none"/>
                    </w:rPr>
                  </w:pPr>
                </w:p>
              </w:tc>
              <w:tc>
                <w:tcPr>
                  <w:tcW w:w="1347"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4613E97">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防火</w:t>
                  </w:r>
                </w:p>
              </w:tc>
              <w:tc>
                <w:tcPr>
                  <w:tcW w:w="437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17AE486">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a）机房应设置火灾自动消防系统，自动检测火情、自动报警，并自动灭火；</w:t>
                  </w:r>
                </w:p>
              </w:tc>
            </w:tr>
            <w:tr w14:paraId="77673261">
              <w:tblPrEx>
                <w:tblCellMar>
                  <w:top w:w="0" w:type="dxa"/>
                  <w:left w:w="0" w:type="dxa"/>
                  <w:bottom w:w="0" w:type="dxa"/>
                  <w:right w:w="0" w:type="dxa"/>
                </w:tblCellMar>
              </w:tblPrEx>
              <w:trPr>
                <w:trHeight w:val="651"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3BBFF07B">
                  <w:pPr>
                    <w:pStyle w:val="9"/>
                    <w:shd w:val="clear" w:color="auto" w:fill="auto"/>
                    <w:jc w:val="center"/>
                    <w:textAlignment w:val="center"/>
                    <w:rPr>
                      <w:rFonts w:hint="eastAsia" w:ascii="宋体" w:hAnsi="宋体" w:eastAsia="宋体" w:cs="宋体"/>
                      <w:sz w:val="21"/>
                      <w:szCs w:val="21"/>
                      <w:highlight w:val="none"/>
                    </w:rPr>
                  </w:pPr>
                </w:p>
              </w:tc>
              <w:tc>
                <w:tcPr>
                  <w:tcW w:w="1347"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4FD1787">
                  <w:pPr>
                    <w:pStyle w:val="9"/>
                    <w:widowControl/>
                    <w:shd w:val="clear" w:color="auto" w:fill="auto"/>
                    <w:jc w:val="center"/>
                    <w:textAlignment w:val="center"/>
                    <w:rPr>
                      <w:rFonts w:hint="eastAsia" w:ascii="宋体" w:hAnsi="宋体" w:eastAsia="宋体" w:cs="宋体"/>
                      <w:sz w:val="21"/>
                      <w:szCs w:val="21"/>
                      <w:highlight w:val="none"/>
                    </w:rPr>
                  </w:pPr>
                </w:p>
              </w:tc>
              <w:tc>
                <w:tcPr>
                  <w:tcW w:w="437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2CC2F12">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b）机房及相关的工作房间和辅助房应采用具有耐火等级的建筑材料；</w:t>
                  </w:r>
                </w:p>
              </w:tc>
            </w:tr>
            <w:tr w14:paraId="46BCA713">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57266912">
                  <w:pPr>
                    <w:pStyle w:val="9"/>
                    <w:shd w:val="clear" w:color="auto" w:fill="auto"/>
                    <w:jc w:val="center"/>
                    <w:textAlignment w:val="center"/>
                    <w:rPr>
                      <w:rFonts w:hint="eastAsia" w:ascii="宋体" w:hAnsi="宋体" w:eastAsia="宋体" w:cs="宋体"/>
                      <w:sz w:val="21"/>
                      <w:szCs w:val="21"/>
                      <w:highlight w:val="none"/>
                    </w:rPr>
                  </w:pPr>
                </w:p>
              </w:tc>
              <w:tc>
                <w:tcPr>
                  <w:tcW w:w="1347"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1F38DA6">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防水和防潮</w:t>
                  </w:r>
                </w:p>
              </w:tc>
              <w:tc>
                <w:tcPr>
                  <w:tcW w:w="437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92B18DF">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a）应采取措施防止雨水通过机房窗户、屋顶和墙壁渗透；</w:t>
                  </w:r>
                </w:p>
              </w:tc>
            </w:tr>
            <w:tr w14:paraId="170B9340">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7A0E8EB0">
                  <w:pPr>
                    <w:pStyle w:val="9"/>
                    <w:shd w:val="clear" w:color="auto" w:fill="auto"/>
                    <w:jc w:val="center"/>
                    <w:textAlignment w:val="center"/>
                    <w:rPr>
                      <w:rFonts w:hint="eastAsia" w:ascii="宋体" w:hAnsi="宋体" w:eastAsia="宋体" w:cs="宋体"/>
                      <w:sz w:val="21"/>
                      <w:szCs w:val="21"/>
                      <w:highlight w:val="none"/>
                    </w:rPr>
                  </w:pPr>
                </w:p>
              </w:tc>
              <w:tc>
                <w:tcPr>
                  <w:tcW w:w="1347"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4763787E">
                  <w:pPr>
                    <w:pStyle w:val="9"/>
                    <w:widowControl/>
                    <w:shd w:val="clear" w:color="auto" w:fill="auto"/>
                    <w:jc w:val="center"/>
                    <w:textAlignment w:val="center"/>
                    <w:rPr>
                      <w:rFonts w:hint="eastAsia" w:ascii="宋体" w:hAnsi="宋体" w:eastAsia="宋体" w:cs="宋体"/>
                      <w:sz w:val="21"/>
                      <w:szCs w:val="21"/>
                      <w:highlight w:val="none"/>
                    </w:rPr>
                  </w:pPr>
                </w:p>
              </w:tc>
              <w:tc>
                <w:tcPr>
                  <w:tcW w:w="437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B3B5ABB">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b）应采取措施防止机房内水蒸气结露和地下积水的转移与渗透。</w:t>
                  </w:r>
                </w:p>
              </w:tc>
            </w:tr>
            <w:tr w14:paraId="404E0F6C">
              <w:tblPrEx>
                <w:tblCellMar>
                  <w:top w:w="0" w:type="dxa"/>
                  <w:left w:w="0" w:type="dxa"/>
                  <w:bottom w:w="0" w:type="dxa"/>
                  <w:right w:w="0" w:type="dxa"/>
                </w:tblCellMar>
              </w:tblPrEx>
              <w:trPr>
                <w:trHeight w:val="451"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7310D8F5">
                  <w:pPr>
                    <w:pStyle w:val="9"/>
                    <w:shd w:val="clear" w:color="auto" w:fill="auto"/>
                    <w:jc w:val="center"/>
                    <w:textAlignment w:val="center"/>
                    <w:rPr>
                      <w:rFonts w:hint="eastAsia" w:ascii="宋体" w:hAnsi="宋体" w:eastAsia="宋体" w:cs="宋体"/>
                      <w:sz w:val="21"/>
                      <w:szCs w:val="21"/>
                      <w:highlight w:val="none"/>
                    </w:rPr>
                  </w:pPr>
                </w:p>
              </w:tc>
              <w:tc>
                <w:tcPr>
                  <w:tcW w:w="1347" w:type="dxa"/>
                  <w:tcBorders>
                    <w:left w:val="single" w:color="000000" w:sz="4" w:space="0"/>
                    <w:right w:val="single" w:color="000000" w:sz="4" w:space="0"/>
                  </w:tcBorders>
                  <w:noWrap w:val="0"/>
                  <w:tcMar>
                    <w:top w:w="15" w:type="dxa"/>
                    <w:left w:w="15" w:type="dxa"/>
                    <w:right w:w="15" w:type="dxa"/>
                  </w:tcMar>
                  <w:vAlign w:val="center"/>
                </w:tcPr>
                <w:p w14:paraId="590FFF73">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防静电</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B6020">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应采用防静电地板或地面并采用必要的接地防静电措施。</w:t>
                  </w:r>
                </w:p>
              </w:tc>
            </w:tr>
            <w:tr w14:paraId="5587D175">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19D72EBD">
                  <w:pPr>
                    <w:pStyle w:val="9"/>
                    <w:widowControl/>
                    <w:shd w:val="clear" w:color="auto" w:fill="auto"/>
                    <w:jc w:val="center"/>
                    <w:textAlignment w:val="center"/>
                    <w:rPr>
                      <w:rFonts w:hint="eastAsia" w:ascii="宋体" w:hAnsi="宋体" w:eastAsia="宋体" w:cs="宋体"/>
                      <w:sz w:val="21"/>
                      <w:szCs w:val="21"/>
                      <w:highlight w:val="none"/>
                    </w:rPr>
                  </w:pPr>
                </w:p>
              </w:tc>
              <w:tc>
                <w:tcPr>
                  <w:tcW w:w="1347"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42144684">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温湿度控制</w:t>
                  </w:r>
                </w:p>
              </w:tc>
              <w:tc>
                <w:tcPr>
                  <w:tcW w:w="437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6707629">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应设置温湿度自动调节设施，使机房温、湿度的变化在设备运行所允许的范围之内。</w:t>
                  </w:r>
                </w:p>
              </w:tc>
            </w:tr>
            <w:tr w14:paraId="2ED020F2">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555C96D2">
                  <w:pPr>
                    <w:pStyle w:val="9"/>
                    <w:widowControl/>
                    <w:shd w:val="clear" w:color="auto" w:fill="auto"/>
                    <w:jc w:val="center"/>
                    <w:textAlignment w:val="center"/>
                    <w:rPr>
                      <w:rFonts w:hint="eastAsia" w:ascii="宋体" w:hAnsi="宋体" w:eastAsia="宋体" w:cs="宋体"/>
                      <w:sz w:val="21"/>
                      <w:szCs w:val="21"/>
                      <w:highlight w:val="none"/>
                    </w:rPr>
                  </w:pPr>
                </w:p>
              </w:tc>
              <w:tc>
                <w:tcPr>
                  <w:tcW w:w="1347"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2CCC5D2">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电力供应</w:t>
                  </w:r>
                </w:p>
              </w:tc>
              <w:tc>
                <w:tcPr>
                  <w:tcW w:w="437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1554EFF">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a）应在机房供电线路上配置稳压器和过电压防护设备；</w:t>
                  </w:r>
                </w:p>
              </w:tc>
            </w:tr>
            <w:tr w14:paraId="59565D29">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2D96A9A2">
                  <w:pPr>
                    <w:pStyle w:val="9"/>
                    <w:widowControl/>
                    <w:shd w:val="clear" w:color="auto" w:fill="auto"/>
                    <w:jc w:val="center"/>
                    <w:textAlignment w:val="center"/>
                    <w:rPr>
                      <w:rFonts w:hint="eastAsia" w:ascii="宋体" w:hAnsi="宋体" w:eastAsia="宋体" w:cs="宋体"/>
                      <w:sz w:val="21"/>
                      <w:szCs w:val="21"/>
                      <w:highlight w:val="none"/>
                    </w:rPr>
                  </w:pPr>
                </w:p>
              </w:tc>
              <w:tc>
                <w:tcPr>
                  <w:tcW w:w="1347"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16102150">
                  <w:pPr>
                    <w:pStyle w:val="9"/>
                    <w:widowControl/>
                    <w:shd w:val="clear" w:color="auto" w:fill="auto"/>
                    <w:jc w:val="center"/>
                    <w:textAlignment w:val="center"/>
                    <w:rPr>
                      <w:rFonts w:hint="eastAsia" w:ascii="宋体" w:hAnsi="宋体" w:eastAsia="宋体" w:cs="宋体"/>
                      <w:sz w:val="21"/>
                      <w:szCs w:val="21"/>
                      <w:highlight w:val="none"/>
                    </w:rPr>
                  </w:pPr>
                </w:p>
              </w:tc>
              <w:tc>
                <w:tcPr>
                  <w:tcW w:w="437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E1683D0">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b）应提供短期的备用电力供应，至少满足主要设备在断电情况下的正常运行要求。</w:t>
                  </w:r>
                </w:p>
              </w:tc>
            </w:tr>
            <w:tr w14:paraId="145CF9E2">
              <w:tblPrEx>
                <w:tblCellMar>
                  <w:top w:w="0" w:type="dxa"/>
                  <w:left w:w="0" w:type="dxa"/>
                  <w:bottom w:w="0" w:type="dxa"/>
                  <w:right w:w="0" w:type="dxa"/>
                </w:tblCellMar>
              </w:tblPrEx>
              <w:trPr>
                <w:trHeight w:val="47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7DC2EBA8">
                  <w:pPr>
                    <w:pStyle w:val="9"/>
                    <w:widowControl/>
                    <w:shd w:val="clear" w:color="auto" w:fill="auto"/>
                    <w:jc w:val="center"/>
                    <w:textAlignment w:val="center"/>
                    <w:rPr>
                      <w:rFonts w:hint="eastAsia" w:ascii="宋体" w:hAnsi="宋体" w:eastAsia="宋体" w:cs="宋体"/>
                      <w:sz w:val="21"/>
                      <w:szCs w:val="21"/>
                      <w:highlight w:val="none"/>
                    </w:rPr>
                  </w:pPr>
                </w:p>
              </w:tc>
              <w:tc>
                <w:tcPr>
                  <w:tcW w:w="1347" w:type="dxa"/>
                  <w:tcBorders>
                    <w:left w:val="single" w:color="000000" w:sz="4" w:space="0"/>
                    <w:right w:val="single" w:color="000000" w:sz="4" w:space="0"/>
                  </w:tcBorders>
                  <w:noWrap w:val="0"/>
                  <w:tcMar>
                    <w:top w:w="15" w:type="dxa"/>
                    <w:left w:w="15" w:type="dxa"/>
                    <w:right w:w="15" w:type="dxa"/>
                  </w:tcMar>
                  <w:vAlign w:val="center"/>
                </w:tcPr>
                <w:p w14:paraId="0C9F0B78">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电磁防护</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5487A">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电源线和通信线缆应隔离铺设，避免互相干扰。</w:t>
                  </w:r>
                </w:p>
              </w:tc>
            </w:tr>
            <w:tr w14:paraId="1BEDF2FD">
              <w:tblPrEx>
                <w:tblCellMar>
                  <w:top w:w="0" w:type="dxa"/>
                  <w:left w:w="0" w:type="dxa"/>
                  <w:bottom w:w="0" w:type="dxa"/>
                  <w:right w:w="0" w:type="dxa"/>
                </w:tblCellMar>
              </w:tblPrEx>
              <w:trPr>
                <w:trHeight w:val="470" w:hRule="atLeast"/>
                <w:jc w:val="center"/>
              </w:trPr>
              <w:tc>
                <w:tcPr>
                  <w:tcW w:w="1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0E0B8">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安全通信</w:t>
                  </w:r>
                </w:p>
                <w:p w14:paraId="4F300241">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网络</w:t>
                  </w: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A2E64">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网络架构</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F87D2">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 应划分不同的网络区域，并按照方便管理和控制的原则为各网络区域分配地址；</w:t>
                  </w:r>
                </w:p>
              </w:tc>
            </w:tr>
            <w:tr w14:paraId="1729C70D">
              <w:tblPrEx>
                <w:tblCellMar>
                  <w:top w:w="0" w:type="dxa"/>
                  <w:left w:w="0" w:type="dxa"/>
                  <w:bottom w:w="0" w:type="dxa"/>
                  <w:right w:w="0" w:type="dxa"/>
                </w:tblCellMar>
              </w:tblPrEx>
              <w:trPr>
                <w:trHeight w:val="47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9941F">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23D08">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B767D">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 应避免将重要网络区域部署在边界处，重要网络区域与其他网络区域之间应采取可靠的技术隔离</w:t>
                  </w:r>
                  <w:r>
                    <w:rPr>
                      <w:rFonts w:hint="eastAsia" w:ascii="宋体" w:hAnsi="宋体" w:eastAsia="宋体" w:cs="宋体"/>
                      <w:sz w:val="21"/>
                      <w:szCs w:val="21"/>
                      <w:highlight w:val="none"/>
                      <w:lang w:eastAsia="zh-CN"/>
                    </w:rPr>
                    <w:t>手段</w:t>
                  </w:r>
                  <w:r>
                    <w:rPr>
                      <w:rFonts w:hint="eastAsia" w:ascii="宋体" w:hAnsi="宋体" w:eastAsia="宋体" w:cs="宋体"/>
                      <w:sz w:val="21"/>
                      <w:szCs w:val="21"/>
                      <w:highlight w:val="none"/>
                    </w:rPr>
                    <w:t>。</w:t>
                  </w:r>
                </w:p>
              </w:tc>
            </w:tr>
            <w:tr w14:paraId="3B48B0B2">
              <w:tblPrEx>
                <w:tblCellMar>
                  <w:top w:w="0" w:type="dxa"/>
                  <w:left w:w="0" w:type="dxa"/>
                  <w:bottom w:w="0" w:type="dxa"/>
                  <w:right w:w="0" w:type="dxa"/>
                </w:tblCellMar>
              </w:tblPrEx>
              <w:trPr>
                <w:trHeight w:val="50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4EF28">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49799">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通信传输</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43C26">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应采用校验技术保证通信过程中数据的完整性。</w:t>
                  </w:r>
                </w:p>
              </w:tc>
            </w:tr>
            <w:tr w14:paraId="318D742F">
              <w:tblPrEx>
                <w:tblCellMar>
                  <w:top w:w="0" w:type="dxa"/>
                  <w:left w:w="0" w:type="dxa"/>
                  <w:bottom w:w="0" w:type="dxa"/>
                  <w:right w:w="0" w:type="dxa"/>
                </w:tblCellMar>
              </w:tblPrEx>
              <w:trPr>
                <w:trHeight w:val="10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50200">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6FBA8">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可信验证</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31BBD">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可基于可信根对通信设备的系统引导程序、系统程序、重要配置参数和通信应用程序等进行可信验证，并在检测到其可信性受到破坏后进行报警，并将验证结果形成审计记录送至安全管理中心。</w:t>
                  </w:r>
                </w:p>
              </w:tc>
            </w:tr>
            <w:tr w14:paraId="238BEE19">
              <w:tblPrEx>
                <w:tblCellMar>
                  <w:top w:w="0" w:type="dxa"/>
                  <w:left w:w="0" w:type="dxa"/>
                  <w:bottom w:w="0" w:type="dxa"/>
                  <w:right w:w="0" w:type="dxa"/>
                </w:tblCellMar>
              </w:tblPrEx>
              <w:trPr>
                <w:trHeight w:val="460" w:hRule="atLeast"/>
                <w:jc w:val="center"/>
              </w:trPr>
              <w:tc>
                <w:tcPr>
                  <w:tcW w:w="1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29990">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安全区域</w:t>
                  </w:r>
                </w:p>
                <w:p w14:paraId="762E69E9">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边界</w:t>
                  </w: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6CC80">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边界防护</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2D6B0">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应保证跨越边界的访问和数据流通过边界设备提供的受控接口进行通信。</w:t>
                  </w:r>
                </w:p>
              </w:tc>
            </w:tr>
            <w:tr w14:paraId="477B384C">
              <w:tblPrEx>
                <w:tblCellMar>
                  <w:top w:w="0" w:type="dxa"/>
                  <w:left w:w="0" w:type="dxa"/>
                  <w:bottom w:w="0" w:type="dxa"/>
                  <w:right w:w="0" w:type="dxa"/>
                </w:tblCellMar>
              </w:tblPrEx>
              <w:trPr>
                <w:trHeight w:val="73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AC121">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21012">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访问控制</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D99D0">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a）应在网络边界或区域之间根据访问控制策略设置访问控制规则，默认情况下除允许通信外受控接口拒绝所有通信；</w:t>
                  </w:r>
                </w:p>
              </w:tc>
            </w:tr>
            <w:tr w14:paraId="7D047136">
              <w:tblPrEx>
                <w:tblCellMar>
                  <w:top w:w="0" w:type="dxa"/>
                  <w:left w:w="0" w:type="dxa"/>
                  <w:bottom w:w="0" w:type="dxa"/>
                  <w:right w:w="0" w:type="dxa"/>
                </w:tblCellMar>
              </w:tblPrEx>
              <w:trPr>
                <w:trHeight w:val="61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35E80">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66211">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9BC93">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 应删除多余或无效的访问控制规则，优化访问控制列表，并保证访问控制规则数量最小化；</w:t>
                  </w:r>
                </w:p>
              </w:tc>
            </w:tr>
            <w:tr w14:paraId="7D76B01C">
              <w:tblPrEx>
                <w:tblCellMar>
                  <w:top w:w="0" w:type="dxa"/>
                  <w:left w:w="0" w:type="dxa"/>
                  <w:bottom w:w="0" w:type="dxa"/>
                  <w:right w:w="0" w:type="dxa"/>
                </w:tblCellMar>
              </w:tblPrEx>
              <w:trPr>
                <w:trHeight w:val="473"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8925C">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9AA33">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0D640">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 应对源地址、目的地址、源端口、目的端口和协议等进行检查，以允许／拒绝数据包进出；</w:t>
                  </w:r>
                </w:p>
              </w:tc>
            </w:tr>
            <w:tr w14:paraId="418123D7">
              <w:tblPrEx>
                <w:tblCellMar>
                  <w:top w:w="0" w:type="dxa"/>
                  <w:left w:w="0" w:type="dxa"/>
                  <w:bottom w:w="0" w:type="dxa"/>
                  <w:right w:w="0" w:type="dxa"/>
                </w:tblCellMar>
              </w:tblPrEx>
              <w:trPr>
                <w:trHeight w:val="532"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06DA0">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9DF4B">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B74D2">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应能根据会</w:t>
                  </w:r>
                  <w:r>
                    <w:rPr>
                      <w:rFonts w:hint="eastAsia" w:ascii="宋体" w:hAnsi="宋体" w:eastAsia="宋体" w:cs="宋体"/>
                      <w:sz w:val="21"/>
                      <w:szCs w:val="21"/>
                      <w:highlight w:val="none"/>
                      <w:lang w:val="en-US" w:eastAsia="zh-CN"/>
                    </w:rPr>
                    <w:t>话</w:t>
                  </w:r>
                  <w:r>
                    <w:rPr>
                      <w:rFonts w:hint="eastAsia" w:ascii="宋体" w:hAnsi="宋体" w:eastAsia="宋体" w:cs="宋体"/>
                      <w:sz w:val="21"/>
                      <w:szCs w:val="21"/>
                      <w:highlight w:val="none"/>
                    </w:rPr>
                    <w:t>状态信息对进出数据流提供明确的允许/拒绝访问的能力；</w:t>
                  </w:r>
                </w:p>
              </w:tc>
            </w:tr>
            <w:tr w14:paraId="31426E7E">
              <w:tblPrEx>
                <w:tblCellMar>
                  <w:top w:w="0" w:type="dxa"/>
                  <w:left w:w="0" w:type="dxa"/>
                  <w:bottom w:w="0" w:type="dxa"/>
                  <w:right w:w="0" w:type="dxa"/>
                </w:tblCellMar>
              </w:tblPrEx>
              <w:trPr>
                <w:trHeight w:val="47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0EF8C">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FBB5B">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入侵防范</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C5F0E">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应在关键网络节点处监视网络攻击行为。</w:t>
                  </w:r>
                </w:p>
              </w:tc>
            </w:tr>
            <w:tr w14:paraId="680B92AF">
              <w:tblPrEx>
                <w:tblCellMar>
                  <w:top w:w="0" w:type="dxa"/>
                  <w:left w:w="0" w:type="dxa"/>
                  <w:bottom w:w="0" w:type="dxa"/>
                  <w:right w:w="0" w:type="dxa"/>
                </w:tblCellMar>
              </w:tblPrEx>
              <w:trPr>
                <w:trHeight w:val="906"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3B69F">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BC510">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恶意代码</w:t>
                  </w:r>
                </w:p>
                <w:p w14:paraId="6C5E7978">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防范</w:t>
                  </w:r>
                </w:p>
              </w:tc>
              <w:tc>
                <w:tcPr>
                  <w:tcW w:w="4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F1D56">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应在关键网络节点处对恶意代码进行检测和清除，并维护恶意代码防护机制的升级和更新。</w:t>
                  </w:r>
                </w:p>
              </w:tc>
            </w:tr>
            <w:tr w14:paraId="5A697CB6">
              <w:tblPrEx>
                <w:tblCellMar>
                  <w:top w:w="0" w:type="dxa"/>
                  <w:left w:w="0" w:type="dxa"/>
                  <w:bottom w:w="0" w:type="dxa"/>
                  <w:right w:w="0" w:type="dxa"/>
                </w:tblCellMar>
              </w:tblPrEx>
              <w:trPr>
                <w:trHeight w:val="893"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09B0B">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A14B9">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安全审计</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5FF2E">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 应在网络边界、重要网络节点处进行安全审计，审计覆盖到每个用户，对重要的用户行为和重要安全事件进行审计；</w:t>
                  </w:r>
                </w:p>
              </w:tc>
            </w:tr>
            <w:tr w14:paraId="2C997263">
              <w:tblPrEx>
                <w:tblCellMar>
                  <w:top w:w="0" w:type="dxa"/>
                  <w:left w:w="0" w:type="dxa"/>
                  <w:bottom w:w="0" w:type="dxa"/>
                  <w:right w:w="0" w:type="dxa"/>
                </w:tblCellMar>
              </w:tblPrEx>
              <w:trPr>
                <w:trHeight w:val="844"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CB9C5">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19E60">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7D38B">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 审计记录应包括事件的日期和时间、用户、事件类型、事件是否成功及其他与审计相关的信息；</w:t>
                  </w:r>
                </w:p>
              </w:tc>
            </w:tr>
            <w:tr w14:paraId="30766EA4">
              <w:tblPrEx>
                <w:tblCellMar>
                  <w:top w:w="0" w:type="dxa"/>
                  <w:left w:w="0" w:type="dxa"/>
                  <w:bottom w:w="0" w:type="dxa"/>
                  <w:right w:w="0" w:type="dxa"/>
                </w:tblCellMar>
              </w:tblPrEx>
              <w:trPr>
                <w:trHeight w:val="543"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95855">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D722E">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44FD1">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 应对审计记录进行保护，定期备份，避免受到未预期的删除、修改或覆盖等。</w:t>
                  </w:r>
                </w:p>
              </w:tc>
            </w:tr>
            <w:tr w14:paraId="6E43D40F">
              <w:tblPrEx>
                <w:tblCellMar>
                  <w:top w:w="0" w:type="dxa"/>
                  <w:left w:w="0" w:type="dxa"/>
                  <w:bottom w:w="0" w:type="dxa"/>
                  <w:right w:w="0" w:type="dxa"/>
                </w:tblCellMar>
              </w:tblPrEx>
              <w:trPr>
                <w:trHeight w:val="5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DA9F0">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223CA">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可信验证</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F750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可基于可信根对边界设备的系统引导程序、系统程序、重要配置参数和边界防护应用程序等进行可信验证，并在检测到其可信性受到破坏后进行报警，并将验证结果形成审计记录送至安全管理中心。</w:t>
                  </w:r>
                </w:p>
              </w:tc>
            </w:tr>
            <w:tr w14:paraId="7E023D35">
              <w:tblPrEx>
                <w:tblCellMar>
                  <w:top w:w="0" w:type="dxa"/>
                  <w:left w:w="0" w:type="dxa"/>
                  <w:bottom w:w="0" w:type="dxa"/>
                  <w:right w:w="0" w:type="dxa"/>
                </w:tblCellMar>
              </w:tblPrEx>
              <w:trPr>
                <w:trHeight w:val="720" w:hRule="atLeast"/>
                <w:jc w:val="center"/>
              </w:trPr>
              <w:tc>
                <w:tcPr>
                  <w:tcW w:w="1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9CEDA">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安全计算</w:t>
                  </w:r>
                </w:p>
                <w:p w14:paraId="3CB79BFB">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环境</w:t>
                  </w: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40506">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身份鉴别</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A2D7D">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a)应对登录的用户进行身份标识和鉴别，身份标识具有唯一性，身份鉴别信息具有复杂度要求并定期更换；</w:t>
                  </w:r>
                </w:p>
              </w:tc>
            </w:tr>
            <w:tr w14:paraId="3EBAA04C">
              <w:tblPrEx>
                <w:tblCellMar>
                  <w:top w:w="0" w:type="dxa"/>
                  <w:left w:w="0" w:type="dxa"/>
                  <w:bottom w:w="0" w:type="dxa"/>
                  <w:right w:w="0" w:type="dxa"/>
                </w:tblCellMar>
              </w:tblPrEx>
              <w:trPr>
                <w:trHeight w:val="81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5059E">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8A951">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26FBD">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b）应具有登录失败处理功能，应配置并启用结束会话、限制非法登录次数和当登录连接超时自动退出等相关措施；</w:t>
                  </w:r>
                </w:p>
              </w:tc>
            </w:tr>
            <w:tr w14:paraId="65870E29">
              <w:tblPrEx>
                <w:tblCellMar>
                  <w:top w:w="0" w:type="dxa"/>
                  <w:left w:w="0" w:type="dxa"/>
                  <w:bottom w:w="0" w:type="dxa"/>
                  <w:right w:w="0" w:type="dxa"/>
                </w:tblCellMar>
              </w:tblPrEx>
              <w:trPr>
                <w:trHeight w:val="46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C21A1">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07322">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6B4E3">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c)当进行远程管理时，应采取必要措施防止鉴别信息在网络传输过程中被窃听。</w:t>
                  </w:r>
                </w:p>
              </w:tc>
            </w:tr>
            <w:tr w14:paraId="574CB39B">
              <w:tblPrEx>
                <w:tblCellMar>
                  <w:top w:w="0" w:type="dxa"/>
                  <w:left w:w="0" w:type="dxa"/>
                  <w:bottom w:w="0" w:type="dxa"/>
                  <w:right w:w="0" w:type="dxa"/>
                </w:tblCellMar>
              </w:tblPrEx>
              <w:trPr>
                <w:trHeight w:val="50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9031F">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465FF">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访问控制</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5C2D8">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 应对登录的用户分配账户和权限；</w:t>
                  </w:r>
                </w:p>
              </w:tc>
            </w:tr>
            <w:tr w14:paraId="5D5D0741">
              <w:tblPrEx>
                <w:tblCellMar>
                  <w:top w:w="0" w:type="dxa"/>
                  <w:left w:w="0" w:type="dxa"/>
                  <w:bottom w:w="0" w:type="dxa"/>
                  <w:right w:w="0" w:type="dxa"/>
                </w:tblCellMar>
              </w:tblPrEx>
              <w:trPr>
                <w:trHeight w:val="48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FC31F">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39461">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947C3">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 应重命名或删除默认账户，修改默认账户的默认口令；</w:t>
                  </w:r>
                </w:p>
              </w:tc>
            </w:tr>
            <w:tr w14:paraId="71796621">
              <w:tblPrEx>
                <w:tblCellMar>
                  <w:top w:w="0" w:type="dxa"/>
                  <w:left w:w="0" w:type="dxa"/>
                  <w:bottom w:w="0" w:type="dxa"/>
                  <w:right w:w="0" w:type="dxa"/>
                </w:tblCellMar>
              </w:tblPrEx>
              <w:trPr>
                <w:trHeight w:val="525"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4ED41">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D5A57">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2758C">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 应及时删除或停用多余的、过期的账户，避免共享账户的存在；</w:t>
                  </w:r>
                </w:p>
              </w:tc>
            </w:tr>
            <w:tr w14:paraId="10702EC8">
              <w:tblPrEx>
                <w:tblCellMar>
                  <w:top w:w="0" w:type="dxa"/>
                  <w:left w:w="0" w:type="dxa"/>
                  <w:bottom w:w="0" w:type="dxa"/>
                  <w:right w:w="0" w:type="dxa"/>
                </w:tblCellMar>
              </w:tblPrEx>
              <w:trPr>
                <w:trHeight w:val="59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B86D9">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706E9">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2276E">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d) 应授予管理用户所需的最小权限，实现管理用户的权限分离。</w:t>
                  </w:r>
                </w:p>
              </w:tc>
            </w:tr>
            <w:tr w14:paraId="7B5C6B51">
              <w:tblPrEx>
                <w:tblCellMar>
                  <w:top w:w="0" w:type="dxa"/>
                  <w:left w:w="0" w:type="dxa"/>
                  <w:bottom w:w="0" w:type="dxa"/>
                  <w:right w:w="0" w:type="dxa"/>
                </w:tblCellMar>
              </w:tblPrEx>
              <w:trPr>
                <w:trHeight w:val="59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3E772">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0C206">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安全审计</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6EA9A">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 应启用安全审计功能，审计覆盖到每个用户，对重要的用户行为和重要安全事件进行审计；</w:t>
                  </w:r>
                </w:p>
              </w:tc>
            </w:tr>
            <w:tr w14:paraId="7BD05C19">
              <w:tblPrEx>
                <w:tblCellMar>
                  <w:top w:w="0" w:type="dxa"/>
                  <w:left w:w="0" w:type="dxa"/>
                  <w:bottom w:w="0" w:type="dxa"/>
                  <w:right w:w="0" w:type="dxa"/>
                </w:tblCellMar>
              </w:tblPrEx>
              <w:trPr>
                <w:trHeight w:val="8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AEDCE">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F6DFB">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4F1C">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b)审计记录应包括事件的日期和时间、用户、事件类型、事件是否成功及其他与审计相关的信息；</w:t>
                  </w:r>
                </w:p>
              </w:tc>
            </w:tr>
            <w:tr w14:paraId="7534303F">
              <w:tblPrEx>
                <w:tblCellMar>
                  <w:top w:w="0" w:type="dxa"/>
                  <w:left w:w="0" w:type="dxa"/>
                  <w:bottom w:w="0" w:type="dxa"/>
                  <w:right w:w="0" w:type="dxa"/>
                </w:tblCellMar>
              </w:tblPrEx>
              <w:trPr>
                <w:trHeight w:val="571"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F793B">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63533">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EBDD4">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c）应对审计记录进行保护，定期备份，避免受到未预期的删除、修改或覆盖等。</w:t>
                  </w:r>
                </w:p>
              </w:tc>
            </w:tr>
            <w:tr w14:paraId="531015F0">
              <w:tblPrEx>
                <w:tblCellMar>
                  <w:top w:w="0" w:type="dxa"/>
                  <w:left w:w="0" w:type="dxa"/>
                  <w:bottom w:w="0" w:type="dxa"/>
                  <w:right w:w="0" w:type="dxa"/>
                </w:tblCellMar>
              </w:tblPrEx>
              <w:trPr>
                <w:trHeight w:val="56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1CE9B">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6393A">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入侵防范</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6E3EB">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a）应遵循最小安装的原则，仅安装需要的组件和应用程序；</w:t>
                  </w:r>
                </w:p>
              </w:tc>
            </w:tr>
            <w:tr w14:paraId="6ACCE7E9">
              <w:tblPrEx>
                <w:tblCellMar>
                  <w:top w:w="0" w:type="dxa"/>
                  <w:left w:w="0" w:type="dxa"/>
                  <w:bottom w:w="0" w:type="dxa"/>
                  <w:right w:w="0" w:type="dxa"/>
                </w:tblCellMar>
              </w:tblPrEx>
              <w:trPr>
                <w:trHeight w:val="5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F8461">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C9D75">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8FD10">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b)应关闭不需要的系统服务、默认共享和高危端口；</w:t>
                  </w:r>
                </w:p>
              </w:tc>
            </w:tr>
            <w:tr w14:paraId="29F594DC">
              <w:tblPrEx>
                <w:tblCellMar>
                  <w:top w:w="0" w:type="dxa"/>
                  <w:left w:w="0" w:type="dxa"/>
                  <w:bottom w:w="0" w:type="dxa"/>
                  <w:right w:w="0" w:type="dxa"/>
                </w:tblCellMar>
              </w:tblPrEx>
              <w:trPr>
                <w:trHeight w:val="5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D3E33">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36B5E">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E2E52">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c）应通过设定终端接入方式或网络地址范围对通过网络进行管理的管理终端进行限制；</w:t>
                  </w:r>
                </w:p>
              </w:tc>
            </w:tr>
            <w:tr w14:paraId="082D875D">
              <w:tblPrEx>
                <w:tblCellMar>
                  <w:top w:w="0" w:type="dxa"/>
                  <w:left w:w="0" w:type="dxa"/>
                  <w:bottom w:w="0" w:type="dxa"/>
                  <w:right w:w="0" w:type="dxa"/>
                </w:tblCellMar>
              </w:tblPrEx>
              <w:trPr>
                <w:trHeight w:val="63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9EC5B">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6BF79">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4D5E5">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d）应提供数据有效性检验功能，保证通过人机接口输入或通过通信接口输入的内容符合系统设定要求；</w:t>
                  </w:r>
                </w:p>
              </w:tc>
            </w:tr>
            <w:tr w14:paraId="6207700A">
              <w:tblPrEx>
                <w:tblCellMar>
                  <w:top w:w="0" w:type="dxa"/>
                  <w:left w:w="0" w:type="dxa"/>
                  <w:bottom w:w="0" w:type="dxa"/>
                  <w:right w:w="0" w:type="dxa"/>
                </w:tblCellMar>
              </w:tblPrEx>
              <w:trPr>
                <w:trHeight w:val="43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9A2A0">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CDA47">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B7978">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e）应能发现可能存在的已知漏洞，并在经过充分测试评估后，及时修补漏洞；</w:t>
                  </w:r>
                </w:p>
              </w:tc>
            </w:tr>
            <w:tr w14:paraId="538BD108">
              <w:tblPrEx>
                <w:tblCellMar>
                  <w:top w:w="0" w:type="dxa"/>
                  <w:left w:w="0" w:type="dxa"/>
                  <w:bottom w:w="0" w:type="dxa"/>
                  <w:right w:w="0" w:type="dxa"/>
                </w:tblCellMar>
              </w:tblPrEx>
              <w:trPr>
                <w:trHeight w:val="10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A9486">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E5B48">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恶意代码</w:t>
                  </w:r>
                </w:p>
                <w:p w14:paraId="1EDE38CE">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防范</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A971F">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应安装防恶意代码软件或配置具有相应功能的软件，并定期进行升级和更新防恶意代码库。</w:t>
                  </w:r>
                </w:p>
              </w:tc>
            </w:tr>
            <w:tr w14:paraId="0876D67C">
              <w:tblPrEx>
                <w:tblCellMar>
                  <w:top w:w="0" w:type="dxa"/>
                  <w:left w:w="0" w:type="dxa"/>
                  <w:bottom w:w="0" w:type="dxa"/>
                  <w:right w:w="0" w:type="dxa"/>
                </w:tblCellMar>
              </w:tblPrEx>
              <w:trPr>
                <w:trHeight w:val="395"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F7D64">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996C0">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可信验证</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C8E6F">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可基于可信根对计算设备的系统引导程序、系统程序、重要配置参数和应用程序等进行可信验证，并在检测到其可信性受到破坏后进行报警，并将验证结果形成审计记录送至安全管理中心。</w:t>
                  </w:r>
                </w:p>
              </w:tc>
            </w:tr>
            <w:tr w14:paraId="2B0374D9">
              <w:tblPrEx>
                <w:tblCellMar>
                  <w:top w:w="0" w:type="dxa"/>
                  <w:left w:w="0" w:type="dxa"/>
                  <w:bottom w:w="0" w:type="dxa"/>
                  <w:right w:w="0" w:type="dxa"/>
                </w:tblCellMar>
              </w:tblPrEx>
              <w:trPr>
                <w:trHeight w:val="392"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313C5">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E0148">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数据完整性</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9D4C4">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应采用校验技术保证重要数据在传输过程中的完整性。</w:t>
                  </w:r>
                </w:p>
              </w:tc>
            </w:tr>
            <w:tr w14:paraId="630D37CE">
              <w:tblPrEx>
                <w:tblCellMar>
                  <w:top w:w="0" w:type="dxa"/>
                  <w:left w:w="0" w:type="dxa"/>
                  <w:bottom w:w="0" w:type="dxa"/>
                  <w:right w:w="0" w:type="dxa"/>
                </w:tblCellMar>
              </w:tblPrEx>
              <w:trPr>
                <w:trHeight w:val="313"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AB349">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8F88E">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数据和</w:t>
                  </w:r>
                </w:p>
                <w:p w14:paraId="7F0D8689">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备份恢复</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37A52">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 应提供重要数据的本地数据备份与恢复功能；</w:t>
                  </w:r>
                </w:p>
              </w:tc>
            </w:tr>
            <w:tr w14:paraId="43B86A15">
              <w:tblPrEx>
                <w:tblCellMar>
                  <w:top w:w="0" w:type="dxa"/>
                  <w:left w:w="0" w:type="dxa"/>
                  <w:bottom w:w="0" w:type="dxa"/>
                  <w:right w:w="0" w:type="dxa"/>
                </w:tblCellMar>
              </w:tblPrEx>
              <w:trPr>
                <w:trHeight w:val="675"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81067">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5B2A0">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D0EA9">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 应提供异地数据备份功能，利用通信网络将重要数据定时批量传送至备用场地。</w:t>
                  </w:r>
                </w:p>
              </w:tc>
            </w:tr>
            <w:tr w14:paraId="543A6A8C">
              <w:tblPrEx>
                <w:tblCellMar>
                  <w:top w:w="0" w:type="dxa"/>
                  <w:left w:w="0" w:type="dxa"/>
                  <w:bottom w:w="0" w:type="dxa"/>
                  <w:right w:w="0" w:type="dxa"/>
                </w:tblCellMar>
              </w:tblPrEx>
              <w:trPr>
                <w:trHeight w:val="42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75C3D">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4A942">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剩余信息</w:t>
                  </w:r>
                </w:p>
                <w:p w14:paraId="29B98263">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保护</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B5CB8">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应保证鉴别信息所在的存储空间被释放或重新分配前得到完全清除。</w:t>
                  </w:r>
                </w:p>
              </w:tc>
            </w:tr>
            <w:tr w14:paraId="3B0D5C92">
              <w:tblPrEx>
                <w:tblCellMar>
                  <w:top w:w="0" w:type="dxa"/>
                  <w:left w:w="0" w:type="dxa"/>
                  <w:bottom w:w="0" w:type="dxa"/>
                  <w:right w:w="0" w:type="dxa"/>
                </w:tblCellMar>
              </w:tblPrEx>
              <w:trPr>
                <w:trHeight w:val="38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15BF1">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F5E13">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个人信息</w:t>
                  </w:r>
                </w:p>
                <w:p w14:paraId="053D0ED1">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保护</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1910E">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 应仅采集和保存业务必需的用户个人信息；</w:t>
                  </w:r>
                </w:p>
              </w:tc>
            </w:tr>
            <w:tr w14:paraId="3E18B3C6">
              <w:tblPrEx>
                <w:tblCellMar>
                  <w:top w:w="0" w:type="dxa"/>
                  <w:left w:w="0" w:type="dxa"/>
                  <w:bottom w:w="0" w:type="dxa"/>
                  <w:right w:w="0" w:type="dxa"/>
                </w:tblCellMar>
              </w:tblPrEx>
              <w:trPr>
                <w:trHeight w:val="59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33EDC">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1B8F1">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7E73E">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 应禁止未授权访问和非法使用用户个人信息。</w:t>
                  </w:r>
                </w:p>
              </w:tc>
            </w:tr>
            <w:tr w14:paraId="0AF5EC35">
              <w:tblPrEx>
                <w:tblCellMar>
                  <w:top w:w="0" w:type="dxa"/>
                  <w:left w:w="0" w:type="dxa"/>
                  <w:bottom w:w="0" w:type="dxa"/>
                  <w:right w:w="0" w:type="dxa"/>
                </w:tblCellMar>
              </w:tblPrEx>
              <w:trPr>
                <w:trHeight w:val="700" w:hRule="atLeast"/>
                <w:jc w:val="center"/>
              </w:trPr>
              <w:tc>
                <w:tcPr>
                  <w:tcW w:w="1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D2469">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安全管理</w:t>
                  </w:r>
                </w:p>
                <w:p w14:paraId="1F0F1BB3">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中心</w:t>
                  </w: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5BA44">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系统管理</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02BF5">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 应对系统管理员进行身份鉴别，只允许其通过特定的命令或操作界面进行系统管理操作，并对这些操作进行审计；</w:t>
                  </w:r>
                </w:p>
              </w:tc>
            </w:tr>
            <w:tr w14:paraId="76E12B62">
              <w:tblPrEx>
                <w:tblCellMar>
                  <w:top w:w="0" w:type="dxa"/>
                  <w:left w:w="0" w:type="dxa"/>
                  <w:bottom w:w="0" w:type="dxa"/>
                  <w:right w:w="0" w:type="dxa"/>
                </w:tblCellMar>
              </w:tblPrEx>
              <w:trPr>
                <w:trHeight w:val="48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C55AF">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24BC1">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C2BE6">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 应通过系统管理员对系统的资源和运行进行配置、控制和管理，包括用户身份、系统资源配置、系统加载和启动、系统运行的异常处理、数据和设备的备份与恢复等。</w:t>
                  </w:r>
                </w:p>
              </w:tc>
            </w:tr>
            <w:tr w14:paraId="1B6258D8">
              <w:tblPrEx>
                <w:tblCellMar>
                  <w:top w:w="0" w:type="dxa"/>
                  <w:left w:w="0" w:type="dxa"/>
                  <w:bottom w:w="0" w:type="dxa"/>
                  <w:right w:w="0" w:type="dxa"/>
                </w:tblCellMar>
              </w:tblPrEx>
              <w:trPr>
                <w:trHeight w:val="48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59639">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F8A49">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审计管理</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7A357">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 应对审计管理员进行身份鉴别，只允许其通过特定的命令或操作界面进行安全审计操作，并对这些操作进行审计；</w:t>
                  </w:r>
                </w:p>
              </w:tc>
            </w:tr>
            <w:tr w14:paraId="7618F3DD">
              <w:tblPrEx>
                <w:tblCellMar>
                  <w:top w:w="0" w:type="dxa"/>
                  <w:left w:w="0" w:type="dxa"/>
                  <w:bottom w:w="0" w:type="dxa"/>
                  <w:right w:w="0" w:type="dxa"/>
                </w:tblCellMar>
              </w:tblPrEx>
              <w:trPr>
                <w:trHeight w:val="1092"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35D39">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4FF1E">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48075">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 应通过审计管理员对审计记录应进行分析，并根据分析结果进行处理，包括根据安全审计策略对审计记录进行存储、管理和查询等。</w:t>
                  </w:r>
                </w:p>
              </w:tc>
            </w:tr>
            <w:tr w14:paraId="31AF6E62">
              <w:tblPrEx>
                <w:tblCellMar>
                  <w:top w:w="0" w:type="dxa"/>
                  <w:left w:w="0" w:type="dxa"/>
                  <w:bottom w:w="0" w:type="dxa"/>
                  <w:right w:w="0" w:type="dxa"/>
                </w:tblCellMar>
              </w:tblPrEx>
              <w:trPr>
                <w:trHeight w:val="480" w:hRule="atLeast"/>
                <w:jc w:val="center"/>
              </w:trPr>
              <w:tc>
                <w:tcPr>
                  <w:tcW w:w="1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0F637">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安全管理</w:t>
                  </w:r>
                </w:p>
                <w:p w14:paraId="5D3BBC55">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制度</w:t>
                  </w:r>
                </w:p>
              </w:tc>
              <w:tc>
                <w:tcPr>
                  <w:tcW w:w="134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8FDAA0A">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安全策略</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46EF8">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应制定网络安全工作的总体方针和安全策略，阐明机构安全工作的总体目标、范围、原则和安全框架等。</w:t>
                  </w:r>
                </w:p>
              </w:tc>
            </w:tr>
            <w:tr w14:paraId="018DD315">
              <w:tblPrEx>
                <w:tblCellMar>
                  <w:top w:w="0" w:type="dxa"/>
                  <w:left w:w="0" w:type="dxa"/>
                  <w:bottom w:w="0" w:type="dxa"/>
                  <w:right w:w="0" w:type="dxa"/>
                </w:tblCellMar>
              </w:tblPrEx>
              <w:trPr>
                <w:trHeight w:val="659"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AB9AB">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BBED7">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管理制度</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2A85F">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a)应对安全管理活动中的各类管理内容建立安全管理制度；</w:t>
                  </w:r>
                </w:p>
              </w:tc>
            </w:tr>
            <w:tr w14:paraId="2A508523">
              <w:tblPrEx>
                <w:tblCellMar>
                  <w:top w:w="0" w:type="dxa"/>
                  <w:left w:w="0" w:type="dxa"/>
                  <w:bottom w:w="0" w:type="dxa"/>
                  <w:right w:w="0" w:type="dxa"/>
                </w:tblCellMar>
              </w:tblPrEx>
              <w:trPr>
                <w:trHeight w:val="583"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90BA0">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67A07">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E6533">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b)应对要求管理人员或操作人员执行的日常管理操作建立操作规程。</w:t>
                  </w:r>
                </w:p>
              </w:tc>
            </w:tr>
            <w:tr w14:paraId="604A0DFC">
              <w:tblPrEx>
                <w:tblCellMar>
                  <w:top w:w="0" w:type="dxa"/>
                  <w:left w:w="0" w:type="dxa"/>
                  <w:bottom w:w="0" w:type="dxa"/>
                  <w:right w:w="0" w:type="dxa"/>
                </w:tblCellMar>
              </w:tblPrEx>
              <w:trPr>
                <w:trHeight w:val="612"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8267E">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A1E1A">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制定和发布</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A6B87">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a)应指定或授权专门的部门或人员负责安全管理制度的制定。</w:t>
                  </w:r>
                </w:p>
              </w:tc>
            </w:tr>
            <w:tr w14:paraId="1634AB25">
              <w:tblPrEx>
                <w:tblCellMar>
                  <w:top w:w="0" w:type="dxa"/>
                  <w:left w:w="0" w:type="dxa"/>
                  <w:bottom w:w="0" w:type="dxa"/>
                  <w:right w:w="0" w:type="dxa"/>
                </w:tblCellMar>
              </w:tblPrEx>
              <w:trPr>
                <w:trHeight w:val="536"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D2DD7">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2F565">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50EF5">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b)安全管理制度应通过正式、有效的方式发布，并进行版本控制。</w:t>
                  </w:r>
                </w:p>
              </w:tc>
            </w:tr>
            <w:tr w14:paraId="45D6D5BE">
              <w:tblPrEx>
                <w:tblCellMar>
                  <w:top w:w="0" w:type="dxa"/>
                  <w:left w:w="0" w:type="dxa"/>
                  <w:bottom w:w="0" w:type="dxa"/>
                  <w:right w:w="0" w:type="dxa"/>
                </w:tblCellMar>
              </w:tblPrEx>
              <w:trPr>
                <w:trHeight w:val="10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5C2A9">
                  <w:pPr>
                    <w:pStyle w:val="9"/>
                    <w:shd w:val="clear" w:color="auto" w:fill="auto"/>
                    <w:jc w:val="center"/>
                    <w:rPr>
                      <w:rFonts w:hint="eastAsia" w:ascii="宋体" w:hAnsi="宋体" w:eastAsia="宋体" w:cs="宋体"/>
                      <w:sz w:val="21"/>
                      <w:szCs w:val="21"/>
                      <w:highlight w:val="none"/>
                    </w:rPr>
                  </w:pPr>
                </w:p>
              </w:tc>
              <w:tc>
                <w:tcPr>
                  <w:tcW w:w="134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95CDB52">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评审和修订</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56B32">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应定期对安全管理制度的合理性和适用性进行论证和审定，对存在不足或需要改进的安全管理制度进行修订。</w:t>
                  </w:r>
                </w:p>
              </w:tc>
            </w:tr>
            <w:tr w14:paraId="26763098">
              <w:tblPrEx>
                <w:tblCellMar>
                  <w:top w:w="0" w:type="dxa"/>
                  <w:left w:w="0" w:type="dxa"/>
                  <w:bottom w:w="0" w:type="dxa"/>
                  <w:right w:w="0" w:type="dxa"/>
                </w:tblCellMar>
              </w:tblPrEx>
              <w:trPr>
                <w:trHeight w:val="1040" w:hRule="atLeast"/>
                <w:jc w:val="center"/>
              </w:trPr>
              <w:tc>
                <w:tcPr>
                  <w:tcW w:w="1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782DE">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安全管理</w:t>
                  </w:r>
                </w:p>
                <w:p w14:paraId="1108182D">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机构</w:t>
                  </w: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49537">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岗位设置</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C6F6E">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a)应设立网络安全管理工作的职能部门，设立安全主管、安全管理各个方面的负责人岗位，并定义各负责人的职责；</w:t>
                  </w:r>
                </w:p>
              </w:tc>
            </w:tr>
            <w:tr w14:paraId="79233AFF">
              <w:tblPrEx>
                <w:tblCellMar>
                  <w:top w:w="0" w:type="dxa"/>
                  <w:left w:w="0" w:type="dxa"/>
                  <w:bottom w:w="0" w:type="dxa"/>
                  <w:right w:w="0" w:type="dxa"/>
                </w:tblCellMar>
              </w:tblPrEx>
              <w:trPr>
                <w:trHeight w:val="10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0B5F3">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E7234">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45A4B">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b)应设立系统管理员、审计管理员和安全管理员等岗位，并定义部门及各个工作岗位的职责。</w:t>
                  </w:r>
                </w:p>
              </w:tc>
            </w:tr>
            <w:tr w14:paraId="3374A798">
              <w:tblPrEx>
                <w:tblCellMar>
                  <w:top w:w="0" w:type="dxa"/>
                  <w:left w:w="0" w:type="dxa"/>
                  <w:bottom w:w="0" w:type="dxa"/>
                  <w:right w:w="0" w:type="dxa"/>
                </w:tblCellMar>
              </w:tblPrEx>
              <w:trPr>
                <w:trHeight w:val="615"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2F5EE">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9672F">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人员配备</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E063B">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应配备一定数量的系统管理员、审计管理员和安全管理员等。</w:t>
                  </w:r>
                </w:p>
              </w:tc>
            </w:tr>
            <w:tr w14:paraId="6E221475">
              <w:tblPrEx>
                <w:tblCellMar>
                  <w:top w:w="0" w:type="dxa"/>
                  <w:left w:w="0" w:type="dxa"/>
                  <w:bottom w:w="0" w:type="dxa"/>
                  <w:right w:w="0" w:type="dxa"/>
                </w:tblCellMar>
              </w:tblPrEx>
              <w:trPr>
                <w:trHeight w:val="831"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4015E">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6D290">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授权和审批</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DDA91">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a)应根据各个部门和岗位的职责明确授权审批事项、审批部门和批准人等；</w:t>
                  </w:r>
                </w:p>
              </w:tc>
            </w:tr>
            <w:tr w14:paraId="3FFE6161">
              <w:tblPrEx>
                <w:tblCellMar>
                  <w:top w:w="0" w:type="dxa"/>
                  <w:left w:w="0" w:type="dxa"/>
                  <w:bottom w:w="0" w:type="dxa"/>
                  <w:right w:w="0" w:type="dxa"/>
                </w:tblCellMar>
              </w:tblPrEx>
              <w:trPr>
                <w:trHeight w:val="10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4ADB5">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DBBB7">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BC250">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b)应针对系统变更、重要操作、物理访问和系统接入等事项执行审批过程。</w:t>
                  </w:r>
                </w:p>
              </w:tc>
            </w:tr>
            <w:tr w14:paraId="4A1826F1">
              <w:tblPrEx>
                <w:tblCellMar>
                  <w:top w:w="0" w:type="dxa"/>
                  <w:left w:w="0" w:type="dxa"/>
                  <w:bottom w:w="0" w:type="dxa"/>
                  <w:right w:w="0" w:type="dxa"/>
                </w:tblCellMar>
              </w:tblPrEx>
              <w:trPr>
                <w:trHeight w:val="893"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17070">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2CE78">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沟通和合作</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4FAF4">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a)应加强各类管理人员 、组织内部机构和网络安全管理部门之间的合作与沟通,定期召开协调会议，共同协作处理网络安全问题；</w:t>
                  </w:r>
                </w:p>
              </w:tc>
            </w:tr>
            <w:tr w14:paraId="5218F876">
              <w:tblPrEx>
                <w:tblCellMar>
                  <w:top w:w="0" w:type="dxa"/>
                  <w:left w:w="0" w:type="dxa"/>
                  <w:bottom w:w="0" w:type="dxa"/>
                  <w:right w:w="0" w:type="dxa"/>
                </w:tblCellMar>
              </w:tblPrEx>
              <w:trPr>
                <w:trHeight w:val="809"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0535F">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E165E">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063E2">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b)应加强与网络安全职能部门、各类供应商、业界专家及安全组织的合作与沟通；</w:t>
                  </w:r>
                </w:p>
              </w:tc>
            </w:tr>
            <w:tr w14:paraId="2775DCEF">
              <w:tblPrEx>
                <w:tblCellMar>
                  <w:top w:w="0" w:type="dxa"/>
                  <w:left w:w="0" w:type="dxa"/>
                  <w:bottom w:w="0" w:type="dxa"/>
                  <w:right w:w="0" w:type="dxa"/>
                </w:tblCellMar>
              </w:tblPrEx>
              <w:trPr>
                <w:trHeight w:val="806"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E9763">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09609">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E75D6">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c)应建立外联单位联系列表，包括外联单位名称、合作内容、联系人和联系方式等信息。</w:t>
                  </w:r>
                </w:p>
              </w:tc>
            </w:tr>
            <w:tr w14:paraId="2B47087A">
              <w:tblPrEx>
                <w:tblCellMar>
                  <w:top w:w="0" w:type="dxa"/>
                  <w:left w:w="0" w:type="dxa"/>
                  <w:bottom w:w="0" w:type="dxa"/>
                  <w:right w:w="0" w:type="dxa"/>
                </w:tblCellMar>
              </w:tblPrEx>
              <w:trPr>
                <w:trHeight w:val="977"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C8783">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A28B6">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审核和检查</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89497">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应定期进行常规安全检查,检查内容包括系统日常运行、系统漏洞和数据备份等情况。</w:t>
                  </w:r>
                </w:p>
              </w:tc>
            </w:tr>
            <w:tr w14:paraId="77993E30">
              <w:tblPrEx>
                <w:tblCellMar>
                  <w:top w:w="0" w:type="dxa"/>
                  <w:left w:w="0" w:type="dxa"/>
                  <w:bottom w:w="0" w:type="dxa"/>
                  <w:right w:w="0" w:type="dxa"/>
                </w:tblCellMar>
              </w:tblPrEx>
              <w:trPr>
                <w:trHeight w:val="429" w:hRule="atLeast"/>
                <w:jc w:val="center"/>
              </w:trPr>
              <w:tc>
                <w:tcPr>
                  <w:tcW w:w="1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185C3">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安全管理</w:t>
                  </w:r>
                </w:p>
                <w:p w14:paraId="28619A58">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w:t>
                  </w: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F548B">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人员录用</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B9C7A">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a)应指定或授权专门的部门或人员负责人员录用；</w:t>
                  </w:r>
                </w:p>
              </w:tc>
            </w:tr>
            <w:tr w14:paraId="2A4B5F67">
              <w:tblPrEx>
                <w:tblCellMar>
                  <w:top w:w="0" w:type="dxa"/>
                  <w:left w:w="0" w:type="dxa"/>
                  <w:bottom w:w="0" w:type="dxa"/>
                  <w:right w:w="0" w:type="dxa"/>
                </w:tblCellMar>
              </w:tblPrEx>
              <w:trPr>
                <w:trHeight w:val="401"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37326">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B0B7A">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A81E1">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b)应对被录用人员的身份、安全背景、专业资格或资质等进行审查。</w:t>
                  </w:r>
                </w:p>
              </w:tc>
            </w:tr>
            <w:tr w14:paraId="2B3E4B55">
              <w:tblPrEx>
                <w:tblCellMar>
                  <w:top w:w="0" w:type="dxa"/>
                  <w:left w:w="0" w:type="dxa"/>
                  <w:bottom w:w="0" w:type="dxa"/>
                  <w:right w:w="0" w:type="dxa"/>
                </w:tblCellMar>
              </w:tblPrEx>
              <w:trPr>
                <w:trHeight w:val="10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0E359">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161FF">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人员离岗</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44C50">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应及时终止离岗人员的所有访问权限，取回各种身份证件、钥匙、徽章等以及机构提供的软硬件设备。</w:t>
                  </w:r>
                </w:p>
              </w:tc>
            </w:tr>
            <w:tr w14:paraId="7E0C865C">
              <w:tblPrEx>
                <w:tblCellMar>
                  <w:top w:w="0" w:type="dxa"/>
                  <w:left w:w="0" w:type="dxa"/>
                  <w:bottom w:w="0" w:type="dxa"/>
                  <w:right w:w="0" w:type="dxa"/>
                </w:tblCellMar>
              </w:tblPrEx>
              <w:trPr>
                <w:trHeight w:val="827"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C214C">
                  <w:pPr>
                    <w:pStyle w:val="9"/>
                    <w:shd w:val="clear" w:color="auto" w:fill="auto"/>
                    <w:jc w:val="center"/>
                    <w:rPr>
                      <w:rFonts w:hint="eastAsia" w:ascii="宋体" w:hAnsi="宋体" w:eastAsia="宋体" w:cs="宋体"/>
                      <w:sz w:val="21"/>
                      <w:szCs w:val="21"/>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DC9B7">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安全意识教育和培训</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E9C2A">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应对各类人员进行安全意识教育和岗位技能培训，并告知相关的安全责任和惩戒措施。</w:t>
                  </w:r>
                </w:p>
              </w:tc>
            </w:tr>
            <w:tr w14:paraId="110136DB">
              <w:tblPrEx>
                <w:tblCellMar>
                  <w:top w:w="0" w:type="dxa"/>
                  <w:left w:w="0" w:type="dxa"/>
                  <w:bottom w:w="0" w:type="dxa"/>
                  <w:right w:w="0" w:type="dxa"/>
                </w:tblCellMar>
              </w:tblPrEx>
              <w:trPr>
                <w:trHeight w:val="10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11073">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A39EA">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外部人员访问管理</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E76F0">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a)应在外部人员物理访问受控区域前先提出书面申请，批准后由专人全程陪同，并登记备案。</w:t>
                  </w:r>
                </w:p>
              </w:tc>
            </w:tr>
            <w:tr w14:paraId="5B2ADCC1">
              <w:tblPrEx>
                <w:tblCellMar>
                  <w:top w:w="0" w:type="dxa"/>
                  <w:left w:w="0" w:type="dxa"/>
                  <w:bottom w:w="0" w:type="dxa"/>
                  <w:right w:w="0" w:type="dxa"/>
                </w:tblCellMar>
              </w:tblPrEx>
              <w:trPr>
                <w:trHeight w:val="907"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465EB">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FE030">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42EC1">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b)应在外部人员</w:t>
                  </w:r>
                  <w:r>
                    <w:rPr>
                      <w:rFonts w:hint="eastAsia" w:ascii="宋体" w:hAnsi="宋体" w:eastAsia="宋体" w:cs="宋体"/>
                      <w:sz w:val="21"/>
                      <w:szCs w:val="21"/>
                      <w:highlight w:val="none"/>
                      <w:lang w:eastAsia="zh-CN"/>
                    </w:rPr>
                    <w:t>接入</w:t>
                  </w:r>
                  <w:r>
                    <w:rPr>
                      <w:rFonts w:hint="eastAsia" w:ascii="宋体" w:hAnsi="宋体" w:eastAsia="宋体" w:cs="宋体"/>
                      <w:sz w:val="21"/>
                      <w:szCs w:val="21"/>
                      <w:highlight w:val="none"/>
                    </w:rPr>
                    <w:t>受控网络访问系统前先提出书面申请，批准后由专人开设账户、分配权限，并登记备案；</w:t>
                  </w:r>
                </w:p>
              </w:tc>
            </w:tr>
            <w:tr w14:paraId="3B5647E9">
              <w:tblPrEx>
                <w:tblCellMar>
                  <w:top w:w="0" w:type="dxa"/>
                  <w:left w:w="0" w:type="dxa"/>
                  <w:bottom w:w="0" w:type="dxa"/>
                  <w:right w:w="0" w:type="dxa"/>
                </w:tblCellMar>
              </w:tblPrEx>
              <w:trPr>
                <w:trHeight w:val="652"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06E4A">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E3682">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D1AD8">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c)外部人员离场后应及时清除其所有的访问权限。</w:t>
                  </w:r>
                </w:p>
              </w:tc>
            </w:tr>
            <w:tr w14:paraId="215BB05C">
              <w:tblPrEx>
                <w:tblCellMar>
                  <w:top w:w="0" w:type="dxa"/>
                  <w:left w:w="0" w:type="dxa"/>
                  <w:bottom w:w="0" w:type="dxa"/>
                  <w:right w:w="0" w:type="dxa"/>
                </w:tblCellMar>
              </w:tblPrEx>
              <w:trPr>
                <w:trHeight w:val="117" w:hRule="atLeast"/>
                <w:jc w:val="center"/>
              </w:trPr>
              <w:tc>
                <w:tcPr>
                  <w:tcW w:w="1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598FA">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安全建设管理</w:t>
                  </w:r>
                </w:p>
                <w:p w14:paraId="068DA10A">
                  <w:pPr>
                    <w:pStyle w:val="9"/>
                    <w:widowControl/>
                    <w:shd w:val="clear" w:color="auto" w:fill="auto"/>
                    <w:jc w:val="center"/>
                    <w:textAlignment w:val="center"/>
                    <w:rPr>
                      <w:rFonts w:hint="eastAsia" w:ascii="宋体" w:hAnsi="宋体" w:eastAsia="宋体" w:cs="宋体"/>
                      <w:sz w:val="21"/>
                      <w:szCs w:val="21"/>
                      <w:highlight w:val="none"/>
                    </w:rPr>
                  </w:pPr>
                </w:p>
              </w:tc>
              <w:tc>
                <w:tcPr>
                  <w:tcW w:w="1347" w:type="dxa"/>
                  <w:vMerge w:val="restart"/>
                  <w:tcBorders>
                    <w:top w:val="nil"/>
                    <w:left w:val="single" w:color="000000" w:sz="4" w:space="0"/>
                    <w:right w:val="single" w:color="000000" w:sz="4" w:space="0"/>
                  </w:tcBorders>
                  <w:noWrap w:val="0"/>
                  <w:tcMar>
                    <w:top w:w="15" w:type="dxa"/>
                    <w:left w:w="15" w:type="dxa"/>
                    <w:right w:w="15" w:type="dxa"/>
                  </w:tcMar>
                  <w:vAlign w:val="center"/>
                </w:tcPr>
                <w:p w14:paraId="1C88F396">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定级和备案</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2421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a)应以书面的形式说明保护对象的安全保护等级及确定等级的方法和理由；</w:t>
                  </w:r>
                </w:p>
              </w:tc>
            </w:tr>
            <w:tr w14:paraId="09425810">
              <w:tblPrEx>
                <w:tblCellMar>
                  <w:top w:w="0" w:type="dxa"/>
                  <w:left w:w="0" w:type="dxa"/>
                  <w:bottom w:w="0" w:type="dxa"/>
                  <w:right w:w="0" w:type="dxa"/>
                </w:tblCellMar>
              </w:tblPrEx>
              <w:trPr>
                <w:trHeight w:val="104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05D68">
                  <w:pPr>
                    <w:pStyle w:val="9"/>
                    <w:shd w:val="clear" w:color="auto" w:fill="auto"/>
                    <w:jc w:val="center"/>
                    <w:rPr>
                      <w:rFonts w:hint="eastAsia" w:ascii="宋体" w:hAnsi="宋体" w:eastAsia="宋体" w:cs="宋体"/>
                      <w:sz w:val="21"/>
                      <w:szCs w:val="21"/>
                      <w:highlight w:val="none"/>
                    </w:rPr>
                  </w:pPr>
                </w:p>
              </w:tc>
              <w:tc>
                <w:tcPr>
                  <w:tcW w:w="1347" w:type="dxa"/>
                  <w:vMerge w:val="continue"/>
                  <w:tcBorders>
                    <w:left w:val="single" w:color="000000" w:sz="4" w:space="0"/>
                    <w:right w:val="single" w:color="000000" w:sz="4" w:space="0"/>
                  </w:tcBorders>
                  <w:noWrap w:val="0"/>
                  <w:tcMar>
                    <w:top w:w="15" w:type="dxa"/>
                    <w:left w:w="15" w:type="dxa"/>
                    <w:right w:w="15" w:type="dxa"/>
                  </w:tcMar>
                  <w:vAlign w:val="center"/>
                </w:tcPr>
                <w:p w14:paraId="4398C90F">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780D4">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b)应组织相关部门和有关安全技术专家对定级结果的合理性和正确性进行论证和审定；</w:t>
                  </w:r>
                </w:p>
              </w:tc>
            </w:tr>
            <w:tr w14:paraId="20FC8CC2">
              <w:tblPrEx>
                <w:tblCellMar>
                  <w:top w:w="0" w:type="dxa"/>
                  <w:left w:w="0" w:type="dxa"/>
                  <w:bottom w:w="0" w:type="dxa"/>
                  <w:right w:w="0" w:type="dxa"/>
                </w:tblCellMar>
              </w:tblPrEx>
              <w:trPr>
                <w:trHeight w:val="675"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AB096">
                  <w:pPr>
                    <w:pStyle w:val="9"/>
                    <w:shd w:val="clear" w:color="auto" w:fill="auto"/>
                    <w:jc w:val="center"/>
                    <w:rPr>
                      <w:rFonts w:hint="eastAsia" w:ascii="宋体" w:hAnsi="宋体" w:eastAsia="宋体" w:cs="宋体"/>
                      <w:sz w:val="21"/>
                      <w:szCs w:val="21"/>
                      <w:highlight w:val="none"/>
                    </w:rPr>
                  </w:pPr>
                </w:p>
              </w:tc>
              <w:tc>
                <w:tcPr>
                  <w:tcW w:w="1347" w:type="dxa"/>
                  <w:vMerge w:val="continue"/>
                  <w:tcBorders>
                    <w:left w:val="single" w:color="000000" w:sz="4" w:space="0"/>
                    <w:right w:val="single" w:color="000000" w:sz="4" w:space="0"/>
                  </w:tcBorders>
                  <w:noWrap w:val="0"/>
                  <w:tcMar>
                    <w:top w:w="15" w:type="dxa"/>
                    <w:left w:w="15" w:type="dxa"/>
                    <w:right w:w="15" w:type="dxa"/>
                  </w:tcMar>
                  <w:vAlign w:val="center"/>
                </w:tcPr>
                <w:p w14:paraId="31B276F9">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F977A">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c)应保证定级结果经过相关部门的批准；</w:t>
                  </w:r>
                </w:p>
              </w:tc>
            </w:tr>
            <w:tr w14:paraId="39F4E6E4">
              <w:tblPrEx>
                <w:tblCellMar>
                  <w:top w:w="0" w:type="dxa"/>
                  <w:left w:w="0" w:type="dxa"/>
                  <w:bottom w:w="0" w:type="dxa"/>
                  <w:right w:w="0" w:type="dxa"/>
                </w:tblCellMar>
              </w:tblPrEx>
              <w:trPr>
                <w:trHeight w:val="552"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9BA05">
                  <w:pPr>
                    <w:pStyle w:val="9"/>
                    <w:shd w:val="clear" w:color="auto" w:fill="auto"/>
                    <w:jc w:val="center"/>
                    <w:rPr>
                      <w:rFonts w:hint="eastAsia" w:ascii="宋体" w:hAnsi="宋体" w:eastAsia="宋体" w:cs="宋体"/>
                      <w:sz w:val="21"/>
                      <w:szCs w:val="21"/>
                      <w:highlight w:val="none"/>
                    </w:rPr>
                  </w:pPr>
                </w:p>
              </w:tc>
              <w:tc>
                <w:tcPr>
                  <w:tcW w:w="13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268418E8">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C5594">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d)应将备案材料报主管部门和相应公安机关备案。</w:t>
                  </w:r>
                </w:p>
              </w:tc>
            </w:tr>
            <w:tr w14:paraId="2E0B8FB5">
              <w:tblPrEx>
                <w:tblCellMar>
                  <w:top w:w="0" w:type="dxa"/>
                  <w:left w:w="0" w:type="dxa"/>
                  <w:bottom w:w="0" w:type="dxa"/>
                  <w:right w:w="0" w:type="dxa"/>
                </w:tblCellMar>
              </w:tblPrEx>
              <w:trPr>
                <w:trHeight w:val="826"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5CDB6">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82EB6">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安全方案</w:t>
                  </w:r>
                </w:p>
                <w:p w14:paraId="76709B7C">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设计</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0847C">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a)应根据安全保护等级选择基本安全措施，依据风险分析的结果补充和调整安全措施；</w:t>
                  </w:r>
                </w:p>
              </w:tc>
            </w:tr>
            <w:tr w14:paraId="1E479B8A">
              <w:tblPrEx>
                <w:tblCellMar>
                  <w:top w:w="0" w:type="dxa"/>
                  <w:left w:w="0" w:type="dxa"/>
                  <w:bottom w:w="0" w:type="dxa"/>
                  <w:right w:w="0" w:type="dxa"/>
                </w:tblCellMar>
              </w:tblPrEx>
              <w:trPr>
                <w:trHeight w:val="556"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F0C4D">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AC9FA">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C8831">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b)应根据保护对象的安全保护等级进行安全方案设计；</w:t>
                  </w:r>
                </w:p>
              </w:tc>
            </w:tr>
            <w:tr w14:paraId="48A41071">
              <w:tblPrEx>
                <w:tblCellMar>
                  <w:top w:w="0" w:type="dxa"/>
                  <w:left w:w="0" w:type="dxa"/>
                  <w:bottom w:w="0" w:type="dxa"/>
                  <w:right w:w="0" w:type="dxa"/>
                </w:tblCellMar>
              </w:tblPrEx>
              <w:trPr>
                <w:trHeight w:val="845"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36484">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B93F7">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10493">
                  <w:pPr>
                    <w:pStyle w:val="9"/>
                    <w:widowControl/>
                    <w:shd w:val="clear" w:color="auto" w:fill="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c)应组织相关部门和有关安全专家对安全方案的合理性和正确性进行论证和审定，经过批准后才能正式实施。</w:t>
                  </w:r>
                </w:p>
              </w:tc>
            </w:tr>
            <w:tr w14:paraId="06D6F6BA">
              <w:tblPrEx>
                <w:tblCellMar>
                  <w:top w:w="0" w:type="dxa"/>
                  <w:left w:w="0" w:type="dxa"/>
                  <w:bottom w:w="0" w:type="dxa"/>
                  <w:right w:w="0" w:type="dxa"/>
                </w:tblCellMar>
              </w:tblPrEx>
              <w:trPr>
                <w:trHeight w:val="483"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D842D">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C3BD0">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产品采购和使用</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24EBC">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a)应确保网络安全产品采购和使用符合国家的有关规定；</w:t>
                  </w:r>
                </w:p>
              </w:tc>
            </w:tr>
            <w:tr w14:paraId="3A306E2C">
              <w:tblPrEx>
                <w:tblCellMar>
                  <w:top w:w="0" w:type="dxa"/>
                  <w:left w:w="0" w:type="dxa"/>
                  <w:bottom w:w="0" w:type="dxa"/>
                  <w:right w:w="0" w:type="dxa"/>
                </w:tblCellMar>
              </w:tblPrEx>
              <w:trPr>
                <w:trHeight w:val="548"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65C9B">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A9763">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9DCB4">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b)应确保密码产品与服务的采购和使用符合国家密码管理主管部门的要求。</w:t>
                  </w:r>
                </w:p>
              </w:tc>
            </w:tr>
            <w:tr w14:paraId="485BF41F">
              <w:tblPrEx>
                <w:tblCellMar>
                  <w:top w:w="0" w:type="dxa"/>
                  <w:left w:w="0" w:type="dxa"/>
                  <w:bottom w:w="0" w:type="dxa"/>
                  <w:right w:w="0" w:type="dxa"/>
                </w:tblCellMar>
              </w:tblPrEx>
              <w:trPr>
                <w:trHeight w:val="683"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DFDD7">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0B2AB">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自行软件</w:t>
                  </w:r>
                </w:p>
                <w:p w14:paraId="3E751972">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开发</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C93FA">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a）应将开发环境与实际运行环境物理分开，测试数据和测试结果受到控制；</w:t>
                  </w:r>
                </w:p>
              </w:tc>
            </w:tr>
            <w:tr w14:paraId="00AD04AD">
              <w:tblPrEx>
                <w:tblCellMar>
                  <w:top w:w="0" w:type="dxa"/>
                  <w:left w:w="0" w:type="dxa"/>
                  <w:bottom w:w="0" w:type="dxa"/>
                  <w:right w:w="0" w:type="dxa"/>
                </w:tblCellMar>
              </w:tblPrEx>
              <w:trPr>
                <w:trHeight w:val="819"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DD416">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29014">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DDED5">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b)应在软件开发过程中对安全性进行测试，在软件安装前对可能存在的恶意代码进行检测。</w:t>
                  </w:r>
                </w:p>
              </w:tc>
            </w:tr>
            <w:tr w14:paraId="12750F15">
              <w:tblPrEx>
                <w:tblCellMar>
                  <w:top w:w="0" w:type="dxa"/>
                  <w:left w:w="0" w:type="dxa"/>
                  <w:bottom w:w="0" w:type="dxa"/>
                  <w:right w:w="0" w:type="dxa"/>
                </w:tblCellMar>
              </w:tblPrEx>
              <w:trPr>
                <w:trHeight w:val="392"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C5994">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7A0BB">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外包软件</w:t>
                  </w:r>
                </w:p>
                <w:p w14:paraId="25EF3B02">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开发</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B5F44">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a）应在软件交付前检测其中可能存在的恶意代码；</w:t>
                  </w:r>
                </w:p>
              </w:tc>
            </w:tr>
            <w:tr w14:paraId="1670FF65">
              <w:tblPrEx>
                <w:tblCellMar>
                  <w:top w:w="0" w:type="dxa"/>
                  <w:left w:w="0" w:type="dxa"/>
                  <w:bottom w:w="0" w:type="dxa"/>
                  <w:right w:w="0" w:type="dxa"/>
                </w:tblCellMar>
              </w:tblPrEx>
              <w:trPr>
                <w:trHeight w:val="401"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E21C3">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3B72F">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7A644">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b）应保证开发单位提供软件设计文档和使用指南。</w:t>
                  </w:r>
                </w:p>
              </w:tc>
            </w:tr>
            <w:tr w14:paraId="065D844F">
              <w:tblPrEx>
                <w:tblCellMar>
                  <w:top w:w="0" w:type="dxa"/>
                  <w:left w:w="0" w:type="dxa"/>
                  <w:bottom w:w="0" w:type="dxa"/>
                  <w:right w:w="0" w:type="dxa"/>
                </w:tblCellMar>
              </w:tblPrEx>
              <w:trPr>
                <w:trHeight w:val="551"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6106A">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68D02">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工程实施</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E4D55">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 应指定或授权专门的部门或人员负责工程实施过程的管理；</w:t>
                  </w:r>
                </w:p>
              </w:tc>
            </w:tr>
            <w:tr w14:paraId="57160FEA">
              <w:tblPrEx>
                <w:tblCellMar>
                  <w:top w:w="0" w:type="dxa"/>
                  <w:left w:w="0" w:type="dxa"/>
                  <w:bottom w:w="0" w:type="dxa"/>
                  <w:right w:w="0" w:type="dxa"/>
                </w:tblCellMar>
              </w:tblPrEx>
              <w:trPr>
                <w:trHeight w:val="530"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9EB1B">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90582">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3253E">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b）应制定安全工程实施方案控制工程实施过程。</w:t>
                  </w:r>
                </w:p>
              </w:tc>
            </w:tr>
            <w:tr w14:paraId="269E135B">
              <w:tblPrEx>
                <w:tblCellMar>
                  <w:top w:w="0" w:type="dxa"/>
                  <w:left w:w="0" w:type="dxa"/>
                  <w:bottom w:w="0" w:type="dxa"/>
                  <w:right w:w="0" w:type="dxa"/>
                </w:tblCellMar>
              </w:tblPrEx>
              <w:trPr>
                <w:trHeight w:val="639"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84429">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3348C">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测试验收</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7DFB0">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a）应制定测试验收方案，并依据测试验收方案实施测试验收，形成测试验收报告；</w:t>
                  </w:r>
                </w:p>
              </w:tc>
            </w:tr>
            <w:tr w14:paraId="5F8A5C27">
              <w:tblPrEx>
                <w:tblCellMar>
                  <w:top w:w="0" w:type="dxa"/>
                  <w:left w:w="0" w:type="dxa"/>
                  <w:bottom w:w="0" w:type="dxa"/>
                  <w:right w:w="0" w:type="dxa"/>
                </w:tblCellMar>
              </w:tblPrEx>
              <w:trPr>
                <w:trHeight w:val="508"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9BA0D">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C014B">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D8A88">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b)应进行上线前的安全性测试，并出具安全测试报告。</w:t>
                  </w:r>
                </w:p>
              </w:tc>
            </w:tr>
            <w:tr w14:paraId="1474B433">
              <w:tblPrEx>
                <w:tblCellMar>
                  <w:top w:w="0" w:type="dxa"/>
                  <w:left w:w="0" w:type="dxa"/>
                  <w:bottom w:w="0" w:type="dxa"/>
                  <w:right w:w="0" w:type="dxa"/>
                </w:tblCellMar>
              </w:tblPrEx>
              <w:trPr>
                <w:trHeight w:val="648"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76377">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F240C">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系统交付</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35BB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a)应制定交付清单，并根据交付清单对所交接的设备、软件和文档等进行清点；</w:t>
                  </w:r>
                </w:p>
              </w:tc>
            </w:tr>
            <w:tr w14:paraId="61DE7895">
              <w:tblPrEx>
                <w:tblCellMar>
                  <w:top w:w="0" w:type="dxa"/>
                  <w:left w:w="0" w:type="dxa"/>
                  <w:bottom w:w="0" w:type="dxa"/>
                  <w:right w:w="0" w:type="dxa"/>
                </w:tblCellMar>
              </w:tblPrEx>
              <w:trPr>
                <w:trHeight w:val="487"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A5D94">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F2032">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19DDC">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b)应对负责运行维护的技术人员进行相应的技能培训；</w:t>
                  </w:r>
                </w:p>
              </w:tc>
            </w:tr>
            <w:tr w14:paraId="104407FC">
              <w:tblPrEx>
                <w:tblCellMar>
                  <w:top w:w="0" w:type="dxa"/>
                  <w:left w:w="0" w:type="dxa"/>
                  <w:bottom w:w="0" w:type="dxa"/>
                  <w:right w:w="0" w:type="dxa"/>
                </w:tblCellMar>
              </w:tblPrEx>
              <w:trPr>
                <w:trHeight w:val="539"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9EC10">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09729">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3D3B3">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c)应提供建设过程文档和运行维护文档。</w:t>
                  </w:r>
                </w:p>
              </w:tc>
            </w:tr>
            <w:tr w14:paraId="2CF7EEFE">
              <w:tblPrEx>
                <w:tblCellMar>
                  <w:top w:w="0" w:type="dxa"/>
                  <w:left w:w="0" w:type="dxa"/>
                  <w:bottom w:w="0" w:type="dxa"/>
                  <w:right w:w="0" w:type="dxa"/>
                </w:tblCellMar>
              </w:tblPrEx>
              <w:trPr>
                <w:trHeight w:val="663"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6A8F7">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C1C2B">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等级测评</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26728">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a)应定期进行等级测评，发现不符合相应等级保护标准要求的及时整改；</w:t>
                  </w:r>
                </w:p>
              </w:tc>
            </w:tr>
            <w:tr w14:paraId="4A7ECD83">
              <w:tblPrEx>
                <w:tblCellMar>
                  <w:top w:w="0" w:type="dxa"/>
                  <w:left w:w="0" w:type="dxa"/>
                  <w:bottom w:w="0" w:type="dxa"/>
                  <w:right w:w="0" w:type="dxa"/>
                </w:tblCellMar>
              </w:tblPrEx>
              <w:trPr>
                <w:trHeight w:val="477"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4421B">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6A853">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E0BCC">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b)应在发生重大变更或级别发生变化时进行等级测评；</w:t>
                  </w:r>
                </w:p>
              </w:tc>
            </w:tr>
            <w:tr w14:paraId="788FED06">
              <w:tblPrEx>
                <w:tblCellMar>
                  <w:top w:w="0" w:type="dxa"/>
                  <w:left w:w="0" w:type="dxa"/>
                  <w:bottom w:w="0" w:type="dxa"/>
                  <w:right w:w="0" w:type="dxa"/>
                </w:tblCellMar>
              </w:tblPrEx>
              <w:trPr>
                <w:trHeight w:val="542"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58B32">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8E3C9">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95944">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c)应确保测评机构的选择符合国家有关规定。</w:t>
                  </w:r>
                </w:p>
              </w:tc>
            </w:tr>
            <w:tr w14:paraId="473465D2">
              <w:tblPrEx>
                <w:tblCellMar>
                  <w:top w:w="0" w:type="dxa"/>
                  <w:left w:w="0" w:type="dxa"/>
                  <w:bottom w:w="0" w:type="dxa"/>
                  <w:right w:w="0" w:type="dxa"/>
                </w:tblCellMar>
              </w:tblPrEx>
              <w:trPr>
                <w:trHeight w:val="553" w:hRule="atLeast"/>
                <w:jc w:val="center"/>
              </w:trPr>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F6D48">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85A10">
                  <w:pPr>
                    <w:pStyle w:val="9"/>
                    <w:widowControl/>
                    <w:shd w:val="clear" w:color="auto" w:fill="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服务供应商选择</w:t>
                  </w:r>
                </w:p>
              </w:tc>
              <w:tc>
                <w:tcPr>
                  <w:tcW w:w="4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CCEA7">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a)应确保服务供应商的选择符合国家的有关规定；</w:t>
                  </w:r>
                </w:p>
              </w:tc>
            </w:tr>
            <w:tr w14:paraId="478F3640">
              <w:tblPrEx>
                <w:tblCellMar>
                  <w:top w:w="0" w:type="dxa"/>
                  <w:left w:w="0" w:type="dxa"/>
                  <w:bottom w:w="0" w:type="dxa"/>
                  <w:right w:w="0" w:type="dxa"/>
                </w:tblCellMar>
              </w:tblPrEx>
              <w:trPr>
                <w:trHeight w:val="1040" w:hRule="atLeast"/>
                <w:jc w:val="center"/>
              </w:trPr>
              <w:tc>
                <w:tcPr>
                  <w:tcW w:w="1131"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079CA09">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5755F29">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AA04E8">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b)应与选定的服务供应商签订相关协议，明确整个服务供应链各方需履行的网络安全相关义务。</w:t>
                  </w:r>
                </w:p>
              </w:tc>
            </w:tr>
            <w:tr w14:paraId="3A0A55DB">
              <w:tblPrEx>
                <w:tblCellMar>
                  <w:top w:w="0" w:type="dxa"/>
                  <w:left w:w="0" w:type="dxa"/>
                  <w:bottom w:w="0" w:type="dxa"/>
                  <w:right w:w="0" w:type="dxa"/>
                </w:tblCellMar>
              </w:tblPrEx>
              <w:trPr>
                <w:trHeight w:val="1040" w:hRule="atLeast"/>
                <w:jc w:val="center"/>
              </w:trPr>
              <w:tc>
                <w:tcPr>
                  <w:tcW w:w="113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8E9A90">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安全运维</w:t>
                  </w:r>
                </w:p>
                <w:p w14:paraId="57DEFBF7">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134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D2719C">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环境管理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E0DC37">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a)应指定专门的部门或人员负责机房安全，对机房出入进行管理，定期对机房供配电、空调、温湿度控制、消防等设施进行维护管理；</w:t>
                  </w:r>
                </w:p>
              </w:tc>
            </w:tr>
            <w:tr w14:paraId="53CD6F3E">
              <w:tblPrEx>
                <w:tblCellMar>
                  <w:top w:w="0" w:type="dxa"/>
                  <w:left w:w="0" w:type="dxa"/>
                  <w:bottom w:w="0" w:type="dxa"/>
                  <w:right w:w="0" w:type="dxa"/>
                </w:tblCellMar>
              </w:tblPrEx>
              <w:trPr>
                <w:trHeight w:val="720" w:hRule="atLeast"/>
                <w:jc w:val="center"/>
              </w:trPr>
              <w:tc>
                <w:tcPr>
                  <w:tcW w:w="1131"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659367F9">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61243FEE">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0094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b)应对机房的安全管理做出规定，包括物理访问、物品进出和环境安全等；</w:t>
                  </w:r>
                </w:p>
              </w:tc>
            </w:tr>
            <w:tr w14:paraId="58C7155E">
              <w:tblPrEx>
                <w:tblCellMar>
                  <w:top w:w="0" w:type="dxa"/>
                  <w:left w:w="0" w:type="dxa"/>
                  <w:bottom w:w="0" w:type="dxa"/>
                  <w:right w:w="0" w:type="dxa"/>
                </w:tblCellMar>
              </w:tblPrEx>
              <w:trPr>
                <w:trHeight w:val="1040" w:hRule="atLeast"/>
                <w:jc w:val="center"/>
              </w:trPr>
              <w:tc>
                <w:tcPr>
                  <w:tcW w:w="1131" w:type="dxa"/>
                  <w:vMerge w:val="continue"/>
                  <w:tcBorders>
                    <w:left w:val="single" w:color="000000" w:sz="4" w:space="0"/>
                    <w:right w:val="single" w:color="000000" w:sz="4" w:space="0"/>
                  </w:tcBorders>
                  <w:noWrap w:val="0"/>
                  <w:tcMar>
                    <w:top w:w="15" w:type="dxa"/>
                    <w:left w:w="15" w:type="dxa"/>
                    <w:right w:w="15" w:type="dxa"/>
                  </w:tcMar>
                  <w:vAlign w:val="center"/>
                </w:tcPr>
                <w:p w14:paraId="201429CA">
                  <w:pPr>
                    <w:pStyle w:val="9"/>
                    <w:shd w:val="clear" w:color="auto" w:fill="auto"/>
                    <w:jc w:val="center"/>
                    <w:rPr>
                      <w:rFonts w:hint="eastAsia" w:ascii="宋体" w:hAnsi="宋体" w:eastAsia="宋体" w:cs="宋体"/>
                      <w:sz w:val="21"/>
                      <w:szCs w:val="21"/>
                      <w:highlight w:val="none"/>
                    </w:rPr>
                  </w:pPr>
                </w:p>
              </w:tc>
              <w:tc>
                <w:tcPr>
                  <w:tcW w:w="13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7FC5360">
                  <w:pPr>
                    <w:pStyle w:val="9"/>
                    <w:shd w:val="clear" w:color="auto" w:fill="auto"/>
                    <w:jc w:val="center"/>
                    <w:rPr>
                      <w:rFonts w:hint="eastAsia" w:ascii="宋体" w:hAnsi="宋体" w:eastAsia="宋体" w:cs="宋体"/>
                      <w:sz w:val="21"/>
                      <w:szCs w:val="21"/>
                      <w:highlight w:val="none"/>
                    </w:rPr>
                  </w:pPr>
                </w:p>
              </w:tc>
              <w:tc>
                <w:tcPr>
                  <w:tcW w:w="43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47D1ABA">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c)应不在重要区域接待来访人员，不随意放置含有敏感信息的纸档文件和移动介质等。</w:t>
                  </w:r>
                </w:p>
              </w:tc>
            </w:tr>
            <w:tr w14:paraId="4A2BF316">
              <w:tblPrEx>
                <w:tblCellMar>
                  <w:top w:w="0" w:type="dxa"/>
                  <w:left w:w="0" w:type="dxa"/>
                  <w:bottom w:w="0" w:type="dxa"/>
                  <w:right w:w="0" w:type="dxa"/>
                </w:tblCellMar>
              </w:tblPrEx>
              <w:trPr>
                <w:trHeight w:val="1040" w:hRule="atLeast"/>
                <w:jc w:val="center"/>
              </w:trPr>
              <w:tc>
                <w:tcPr>
                  <w:tcW w:w="113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77EC9E43">
                  <w:pPr>
                    <w:pStyle w:val="9"/>
                    <w:shd w:val="clear" w:color="auto" w:fill="auto"/>
                    <w:jc w:val="center"/>
                    <w:rPr>
                      <w:rFonts w:hint="eastAsia" w:ascii="宋体" w:hAnsi="宋体" w:eastAsia="宋体" w:cs="宋体"/>
                      <w:sz w:val="21"/>
                      <w:szCs w:val="21"/>
                      <w:highlight w:val="none"/>
                    </w:rPr>
                  </w:pPr>
                </w:p>
              </w:tc>
              <w:tc>
                <w:tcPr>
                  <w:tcW w:w="1347"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9D7CF99">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资产管理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A949CB">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应编制并保存与保护对象相关的资产清单，包括资产责任部门、重要程度和所处位置等内容。</w:t>
                  </w:r>
                </w:p>
              </w:tc>
            </w:tr>
            <w:tr w14:paraId="0A5A7DC3">
              <w:tblPrEx>
                <w:tblCellMar>
                  <w:top w:w="0" w:type="dxa"/>
                  <w:left w:w="0" w:type="dxa"/>
                  <w:bottom w:w="0" w:type="dxa"/>
                  <w:right w:w="0" w:type="dxa"/>
                </w:tblCellMar>
              </w:tblPrEx>
              <w:trPr>
                <w:trHeight w:val="1040" w:hRule="atLeast"/>
                <w:jc w:val="center"/>
              </w:trPr>
              <w:tc>
                <w:tcPr>
                  <w:tcW w:w="113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6B98DC">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安全运维</w:t>
                  </w:r>
                </w:p>
                <w:p w14:paraId="1A5E40A8">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134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2F1E6F">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介质管理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2276C0">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a)应将介质存放在安全的环境中，对各类介质进行控制和保护，实行存储环境专人管理，并根据存档介质的目录清单定期盘点；</w:t>
                  </w:r>
                </w:p>
              </w:tc>
            </w:tr>
            <w:tr w14:paraId="360E384D">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B6255B">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7834AB">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D916FA">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b)应对介质在物理传输过程中的人员选择、打包、交付等情况进行控制，并对介质的归档和查询等进行登记记录。</w:t>
                  </w:r>
                </w:p>
              </w:tc>
            </w:tr>
            <w:tr w14:paraId="61DA73D4">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598533">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B1CADB">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设备维护</w:t>
                  </w:r>
                </w:p>
                <w:p w14:paraId="51CBAFA8">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C6823C">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a)应对各种设备(包括备份和冗余设备)、线路等指定专门的部门或人员定期进行维护管理；</w:t>
                  </w:r>
                </w:p>
              </w:tc>
            </w:tr>
            <w:tr w14:paraId="5B8ACD67">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C6BDEA">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62A9D3">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E9303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b)应对配套设施、软硬件维护管理做出规定，包括明确维护人员的责任、维修和服务的审批、维修过程的监督控制等。</w:t>
                  </w:r>
                </w:p>
              </w:tc>
            </w:tr>
            <w:tr w14:paraId="6E73EB01">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B26697">
                  <w:pPr>
                    <w:pStyle w:val="9"/>
                    <w:shd w:val="clear" w:color="auto" w:fill="auto"/>
                    <w:jc w:val="center"/>
                    <w:rPr>
                      <w:rFonts w:hint="eastAsia" w:ascii="宋体" w:hAnsi="宋体" w:eastAsia="宋体" w:cs="宋体"/>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683070">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漏洞和风险管理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34F98D">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应采取必要的措施识别安全漏洞和隐患，对发现的安全漏洞和隐患及时进行修补或评估可能的影响后进行修补。</w:t>
                  </w:r>
                </w:p>
              </w:tc>
            </w:tr>
            <w:tr w14:paraId="4574D312">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BF0F53">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B95DC6">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网络和系统安全管理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DBC3FA">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a)应划分不同的管理员角色进行网络和系统的运维管理，明确各个角色的责任和权限；</w:t>
                  </w:r>
                </w:p>
              </w:tc>
            </w:tr>
            <w:tr w14:paraId="3BE8968A">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9F74A3">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E0921C">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314797">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b)应指定专门的部门或人员进行账户管理，对申请账户、建立账户、删除账户等进行控制；</w:t>
                  </w:r>
                </w:p>
              </w:tc>
            </w:tr>
            <w:tr w14:paraId="1B912046">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56825D">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B55C61">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CD0EC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c)应建立网络和系统安全管理制度，对安全策略、账户管理、配置管理、日志管理、日常操作、升级与打补丁、口令更新周期等方面作出规定；</w:t>
                  </w:r>
                </w:p>
              </w:tc>
            </w:tr>
            <w:tr w14:paraId="279C1840">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240289">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right w:val="single" w:color="auto" w:sz="4" w:space="0"/>
                  </w:tcBorders>
                  <w:noWrap w:val="0"/>
                  <w:tcMar>
                    <w:top w:w="15" w:type="dxa"/>
                    <w:left w:w="15" w:type="dxa"/>
                    <w:right w:w="15" w:type="dxa"/>
                  </w:tcMar>
                  <w:vAlign w:val="center"/>
                </w:tcPr>
                <w:p w14:paraId="5A5DB238">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EBF4A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d)应制定重要设备的配置和操作手册，依据手册对设备进行安全配置和优化配置等；</w:t>
                  </w:r>
                </w:p>
              </w:tc>
            </w:tr>
            <w:tr w14:paraId="095582B9">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96ECB9">
                  <w:pPr>
                    <w:pStyle w:val="9"/>
                    <w:shd w:val="clear" w:color="auto" w:fill="auto"/>
                    <w:jc w:val="center"/>
                    <w:rPr>
                      <w:rFonts w:hint="eastAsia" w:ascii="宋体" w:hAnsi="宋体" w:eastAsia="宋体" w:cs="宋体"/>
                      <w:sz w:val="21"/>
                      <w:szCs w:val="21"/>
                      <w:highlight w:val="none"/>
                    </w:rPr>
                  </w:pPr>
                </w:p>
              </w:tc>
              <w:tc>
                <w:tcPr>
                  <w:tcW w:w="134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54232D20">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BBB340">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e)应详细记录运维操作日志，包括日常巡检工作、运行维护记录、参数的设置和修改等内容。</w:t>
                  </w:r>
                </w:p>
              </w:tc>
            </w:tr>
            <w:tr w14:paraId="1F7F38CF">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8314C0">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8768B4">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恶意代码防范管理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CCB87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a)应提高所有用户的防恶意代码意识，对外来计算机或存储设备接入系统前进行恶意代码检查等；</w:t>
                  </w:r>
                </w:p>
              </w:tc>
            </w:tr>
            <w:tr w14:paraId="78820424">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94A4C6">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E9A2A8">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1FD30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b)应对恶意代码防范要求做出规定，包括防恶意代码软件的授权使用、恶意代码库升级、恶意代码的定期查杀等；</w:t>
                  </w:r>
                </w:p>
              </w:tc>
            </w:tr>
            <w:tr w14:paraId="5708E767">
              <w:tblPrEx>
                <w:tblCellMar>
                  <w:top w:w="0" w:type="dxa"/>
                  <w:left w:w="0" w:type="dxa"/>
                  <w:bottom w:w="0" w:type="dxa"/>
                  <w:right w:w="0" w:type="dxa"/>
                </w:tblCellMar>
              </w:tblPrEx>
              <w:trPr>
                <w:trHeight w:val="794" w:hRule="atLeast"/>
                <w:jc w:val="center"/>
              </w:trPr>
              <w:tc>
                <w:tcPr>
                  <w:tcW w:w="113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8017B4">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安全运维</w:t>
                  </w:r>
                </w:p>
                <w:p w14:paraId="0253E5FD">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13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1A769C">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恶意代码防范管理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64F57B">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c)应定期检查恶意代码库的升级情况，对截获的恶意代码进行及时分析处理。</w:t>
                  </w:r>
                </w:p>
              </w:tc>
            </w:tr>
            <w:tr w14:paraId="6FC83815">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4001E0">
                  <w:pPr>
                    <w:pStyle w:val="9"/>
                    <w:shd w:val="clear" w:color="auto" w:fill="auto"/>
                    <w:jc w:val="center"/>
                    <w:rPr>
                      <w:rFonts w:hint="eastAsia" w:ascii="宋体" w:hAnsi="宋体" w:eastAsia="宋体" w:cs="宋体"/>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DD8942">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配置管理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332E1E">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应记录和保存基本配置信息，包括网络拓扑结构、各个设备安装的软件组件、软件组件的版本和补丁信息、各个设备或软件组件的配置参数等。</w:t>
                  </w:r>
                </w:p>
              </w:tc>
            </w:tr>
            <w:tr w14:paraId="73B61420">
              <w:tblPrEx>
                <w:tblCellMar>
                  <w:top w:w="0" w:type="dxa"/>
                  <w:left w:w="0" w:type="dxa"/>
                  <w:bottom w:w="0" w:type="dxa"/>
                  <w:right w:w="0" w:type="dxa"/>
                </w:tblCellMar>
              </w:tblPrEx>
              <w:trPr>
                <w:trHeight w:val="605"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EAE0FE">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E39E9">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密码管理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7FAAA1">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a)应遵循密码相关国家标准和行业标准；</w:t>
                  </w:r>
                </w:p>
              </w:tc>
            </w:tr>
            <w:tr w14:paraId="1B1C230B">
              <w:tblPrEx>
                <w:tblCellMar>
                  <w:top w:w="0" w:type="dxa"/>
                  <w:left w:w="0" w:type="dxa"/>
                  <w:bottom w:w="0" w:type="dxa"/>
                  <w:right w:w="0" w:type="dxa"/>
                </w:tblCellMar>
              </w:tblPrEx>
              <w:trPr>
                <w:trHeight w:val="521"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84DF05">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F43CEC">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4446DB">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b)应使用国家密码管理主管部门认证核准的密码技术和产品。</w:t>
                  </w:r>
                </w:p>
              </w:tc>
            </w:tr>
            <w:tr w14:paraId="3D447737">
              <w:tblPrEx>
                <w:tblCellMar>
                  <w:top w:w="0" w:type="dxa"/>
                  <w:left w:w="0" w:type="dxa"/>
                  <w:bottom w:w="0" w:type="dxa"/>
                  <w:right w:w="0" w:type="dxa"/>
                </w:tblCellMar>
              </w:tblPrEx>
              <w:trPr>
                <w:trHeight w:val="104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17CE80">
                  <w:pPr>
                    <w:pStyle w:val="9"/>
                    <w:shd w:val="clear" w:color="auto" w:fill="auto"/>
                    <w:jc w:val="center"/>
                    <w:rPr>
                      <w:rFonts w:hint="eastAsia" w:ascii="宋体" w:hAnsi="宋体" w:eastAsia="宋体" w:cs="宋体"/>
                      <w:sz w:val="21"/>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1ED931">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变更管理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80849B">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应明确变更需求，变更前根据变更需求制定变更方案，变更方案经过评审，审批后方可实施。</w:t>
                  </w:r>
                </w:p>
              </w:tc>
            </w:tr>
            <w:tr w14:paraId="4C62F296">
              <w:tblPrEx>
                <w:tblCellMar>
                  <w:top w:w="0" w:type="dxa"/>
                  <w:left w:w="0" w:type="dxa"/>
                  <w:bottom w:w="0" w:type="dxa"/>
                  <w:right w:w="0" w:type="dxa"/>
                </w:tblCellMar>
              </w:tblPrEx>
              <w:trPr>
                <w:trHeight w:val="353"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7CC677">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BFC6DA">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备份与</w:t>
                  </w:r>
                </w:p>
                <w:p w14:paraId="329C7E46">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恢复管理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5C06B4">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a)应识别需要定期备份的重要业务信息、系统数据及软件系统等；</w:t>
                  </w:r>
                </w:p>
              </w:tc>
            </w:tr>
            <w:tr w14:paraId="3497E9D2">
              <w:tblPrEx>
                <w:tblCellMar>
                  <w:top w:w="0" w:type="dxa"/>
                  <w:left w:w="0" w:type="dxa"/>
                  <w:bottom w:w="0" w:type="dxa"/>
                  <w:right w:w="0" w:type="dxa"/>
                </w:tblCellMar>
              </w:tblPrEx>
              <w:trPr>
                <w:trHeight w:val="418"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1C02A4">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8796ED">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3E1B8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b)应规定备份信息的备份方式、备份频度、存储介质、保存期等；</w:t>
                  </w:r>
                </w:p>
              </w:tc>
            </w:tr>
            <w:tr w14:paraId="66A32303">
              <w:tblPrEx>
                <w:tblCellMar>
                  <w:top w:w="0" w:type="dxa"/>
                  <w:left w:w="0" w:type="dxa"/>
                  <w:bottom w:w="0" w:type="dxa"/>
                  <w:right w:w="0" w:type="dxa"/>
                </w:tblCellMar>
              </w:tblPrEx>
              <w:trPr>
                <w:trHeight w:val="541"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4C7622">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C96C16">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5D778E">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c)应根据数据的重要性和数据对系统运行的影响，制定数据的备份策略和恢复策略、备份程序和恢复程序等。</w:t>
                  </w:r>
                </w:p>
              </w:tc>
            </w:tr>
            <w:tr w14:paraId="1A6A0F23">
              <w:tblPrEx>
                <w:tblCellMar>
                  <w:top w:w="0" w:type="dxa"/>
                  <w:left w:w="0" w:type="dxa"/>
                  <w:bottom w:w="0" w:type="dxa"/>
                  <w:right w:w="0" w:type="dxa"/>
                </w:tblCellMar>
              </w:tblPrEx>
              <w:trPr>
                <w:trHeight w:val="427"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E6E7FA">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827004">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安全事件</w:t>
                  </w:r>
                </w:p>
                <w:p w14:paraId="084C9ADB">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处置</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142C37">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a)应及时向安全管理部门报告所发现的安全弱点和可疑事件；</w:t>
                  </w:r>
                </w:p>
              </w:tc>
            </w:tr>
            <w:tr w14:paraId="1447DD79">
              <w:tblPrEx>
                <w:tblCellMar>
                  <w:top w:w="0" w:type="dxa"/>
                  <w:left w:w="0" w:type="dxa"/>
                  <w:bottom w:w="0" w:type="dxa"/>
                  <w:right w:w="0" w:type="dxa"/>
                </w:tblCellMar>
              </w:tblPrEx>
              <w:trPr>
                <w:trHeight w:val="1216"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95C511">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E0F599">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30C0D5">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b)应制定全事件报告和处置管理制度，明确不同安全事件的报告、处置和响应流程，规定安全事件的现场处理、事件报告和后期恢复的管理职责等；</w:t>
                  </w:r>
                </w:p>
              </w:tc>
            </w:tr>
            <w:tr w14:paraId="4EF90ADC">
              <w:tblPrEx>
                <w:tblCellMar>
                  <w:top w:w="0" w:type="dxa"/>
                  <w:left w:w="0" w:type="dxa"/>
                  <w:bottom w:w="0" w:type="dxa"/>
                  <w:right w:w="0" w:type="dxa"/>
                </w:tblCellMar>
              </w:tblPrEx>
              <w:trPr>
                <w:trHeight w:val="813"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ED34F6">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1E2839">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90D34D">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 应在事件报告和响应处理过程中，分析和鉴定事件产生的原因，收集证据，记录处理过程，总结经验教训。</w:t>
                  </w:r>
                </w:p>
              </w:tc>
            </w:tr>
            <w:tr w14:paraId="01E7C8FB">
              <w:tblPrEx>
                <w:tblCellMar>
                  <w:top w:w="0" w:type="dxa"/>
                  <w:left w:w="0" w:type="dxa"/>
                  <w:bottom w:w="0" w:type="dxa"/>
                  <w:right w:w="0" w:type="dxa"/>
                </w:tblCellMar>
              </w:tblPrEx>
              <w:trPr>
                <w:trHeight w:val="612"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B455F7">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0707D1">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应急预案</w:t>
                  </w:r>
                </w:p>
                <w:p w14:paraId="14BC49DF">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F48C7B">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a)应制定重要事件的应急预案，包括应急处理流程、系统恢复流程等内容；</w:t>
                  </w:r>
                </w:p>
              </w:tc>
            </w:tr>
            <w:tr w14:paraId="45290EDC">
              <w:tblPrEx>
                <w:tblCellMar>
                  <w:top w:w="0" w:type="dxa"/>
                  <w:left w:w="0" w:type="dxa"/>
                  <w:bottom w:w="0" w:type="dxa"/>
                  <w:right w:w="0" w:type="dxa"/>
                </w:tblCellMar>
              </w:tblPrEx>
              <w:trPr>
                <w:trHeight w:val="65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48CD37">
                  <w:pPr>
                    <w:pStyle w:val="9"/>
                    <w:shd w:val="clear" w:color="auto" w:fill="auto"/>
                    <w:jc w:val="center"/>
                    <w:rPr>
                      <w:rFonts w:hint="eastAsia" w:ascii="宋体" w:hAnsi="宋体" w:eastAsia="宋体" w:cs="宋体"/>
                      <w:sz w:val="21"/>
                      <w:szCs w:val="21"/>
                      <w:highlight w:val="none"/>
                    </w:rPr>
                  </w:pPr>
                </w:p>
              </w:tc>
              <w:tc>
                <w:tcPr>
                  <w:tcW w:w="13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92D604">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81585B">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b)应定期对系统相关的人员进行应急预案培训，并进行应急预案的演练。</w:t>
                  </w:r>
                </w:p>
              </w:tc>
            </w:tr>
            <w:tr w14:paraId="032114D0">
              <w:tblPrEx>
                <w:tblCellMar>
                  <w:top w:w="0" w:type="dxa"/>
                  <w:left w:w="0" w:type="dxa"/>
                  <w:bottom w:w="0" w:type="dxa"/>
                  <w:right w:w="0" w:type="dxa"/>
                </w:tblCellMar>
              </w:tblPrEx>
              <w:trPr>
                <w:trHeight w:val="482"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E2083E">
                  <w:pPr>
                    <w:pStyle w:val="9"/>
                    <w:shd w:val="clear" w:color="auto" w:fill="auto"/>
                    <w:jc w:val="center"/>
                    <w:rPr>
                      <w:rFonts w:hint="eastAsia" w:ascii="宋体" w:hAnsi="宋体" w:eastAsia="宋体" w:cs="宋体"/>
                      <w:sz w:val="21"/>
                      <w:szCs w:val="21"/>
                      <w:highlight w:val="none"/>
                    </w:rPr>
                  </w:pPr>
                </w:p>
              </w:tc>
              <w:tc>
                <w:tcPr>
                  <w:tcW w:w="134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0F441C10">
                  <w:pPr>
                    <w:pStyle w:val="9"/>
                    <w:shd w:val="clear" w:color="auto" w:fill="auto"/>
                    <w:jc w:val="center"/>
                    <w:rPr>
                      <w:rFonts w:hint="eastAsia" w:ascii="宋体" w:hAnsi="宋体" w:eastAsia="宋体" w:cs="宋体"/>
                      <w:sz w:val="21"/>
                      <w:szCs w:val="21"/>
                      <w:highlight w:val="none"/>
                    </w:rPr>
                  </w:pPr>
                </w:p>
                <w:p w14:paraId="377ED2A1">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外包运维</w:t>
                  </w:r>
                </w:p>
                <w:p w14:paraId="28084F73">
                  <w:pPr>
                    <w:pStyle w:val="9"/>
                    <w:shd w:val="clear" w:color="auto" w:fill="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w:t>
                  </w: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9158D5">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a)应确保外包运维服务商的选择符合国家的有关规定；</w:t>
                  </w:r>
                </w:p>
              </w:tc>
            </w:tr>
            <w:tr w14:paraId="18F4D410">
              <w:tblPrEx>
                <w:tblCellMar>
                  <w:top w:w="0" w:type="dxa"/>
                  <w:left w:w="0" w:type="dxa"/>
                  <w:bottom w:w="0" w:type="dxa"/>
                  <w:right w:w="0" w:type="dxa"/>
                </w:tblCellMar>
              </w:tblPrEx>
              <w:trPr>
                <w:trHeight w:val="814"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6716A8">
                  <w:pPr>
                    <w:pStyle w:val="9"/>
                    <w:shd w:val="clear" w:color="auto" w:fill="auto"/>
                    <w:jc w:val="center"/>
                    <w:rPr>
                      <w:rFonts w:hint="eastAsia" w:ascii="宋体" w:hAnsi="宋体" w:eastAsia="宋体" w:cs="宋体"/>
                      <w:sz w:val="21"/>
                      <w:szCs w:val="21"/>
                      <w:highlight w:val="none"/>
                    </w:rPr>
                  </w:pPr>
                </w:p>
              </w:tc>
              <w:tc>
                <w:tcPr>
                  <w:tcW w:w="134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38B874B3">
                  <w:pPr>
                    <w:pStyle w:val="9"/>
                    <w:shd w:val="clear" w:color="auto" w:fill="auto"/>
                    <w:jc w:val="center"/>
                    <w:rPr>
                      <w:rFonts w:hint="eastAsia" w:ascii="宋体" w:hAnsi="宋体" w:eastAsia="宋体" w:cs="宋体"/>
                      <w:sz w:val="21"/>
                      <w:szCs w:val="21"/>
                      <w:highlight w:val="none"/>
                    </w:rPr>
                  </w:pPr>
                </w:p>
              </w:tc>
              <w:tc>
                <w:tcPr>
                  <w:tcW w:w="43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B96CF9">
                  <w:pPr>
                    <w:pStyle w:val="9"/>
                    <w:widowControl/>
                    <w:shd w:val="clear" w:color="auto" w:fill="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b)应与选定的外包运维服务商签订相关的协议，明确约定外包运维的范围、工作内容。</w:t>
                  </w:r>
                </w:p>
              </w:tc>
            </w:tr>
          </w:tbl>
          <w:p w14:paraId="4B5B973F">
            <w:pPr>
              <w:pStyle w:val="9"/>
            </w:pPr>
          </w:p>
          <w:p w14:paraId="1BFB4EC8">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bookmarkStart w:id="4" w:name="_Toc359486793"/>
            <w:bookmarkStart w:id="5" w:name="_Toc359487274"/>
            <w:bookmarkStart w:id="6" w:name="_Toc359485981"/>
            <w:bookmarkStart w:id="7" w:name="_Toc359487174"/>
            <w:bookmarkStart w:id="8" w:name="_Toc359486628"/>
            <w:r>
              <w:rPr>
                <w:rFonts w:hint="eastAsia" w:ascii="宋体" w:hAnsi="宋体" w:eastAsia="宋体" w:cs="宋体"/>
                <w:b w:val="0"/>
                <w:bCs/>
                <w:color w:val="000000"/>
                <w:sz w:val="21"/>
                <w:szCs w:val="21"/>
                <w:highlight w:val="none"/>
                <w:lang w:val="en-US" w:eastAsia="zh-CN"/>
              </w:rPr>
              <w:t xml:space="preserve">第二阶段：渗透测试 渗透测试是通过模拟恶意黑客的攻击方法，来对计算机网络的 安全性进行检测评估的过程。对系统和网络进行非破坏性质的攻击 性测试，尝试侵入系统，获取系统控制权并将入侵的过程和细节产生报告给监测中心，由此证实监测中心系统所存在的安全威胁和风险，及时提示开发人员修复安全漏洞，提醒安全管理员完 善安全策略，提升系统安全防护能力。通过这种方法，可以发现系 统面临和暴露的安全问题，同时渗透测试也是对安全措施有效性的重要验证。 </w:t>
            </w:r>
          </w:p>
          <w:p w14:paraId="19857CE6">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第三阶段：建设整改咨询及安全加固（不涉及硬件）建设整改咨询工作以等级测评和渗透检测发现的安全问题为工作重点，编写《信息系统安全建设整改建议》；将信息系统的安全建设整改需求落实到可操作的安全技术和管理上，提出能够实现的技术参数或制度及其具体规范。之后在监测中心业务系统依据相关《信息系统安全建设整改建议》开展建设整改工作时，供应商将提供建设整改过程中的与建设整改相关的咨询服务。 </w:t>
            </w:r>
          </w:p>
          <w:p w14:paraId="0EA8037B">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对信息系统安全整改建议进行确认，并依照建议，协助采购单位进行漏洞修复，补丁升级等非硬件层面的安全加固，制定可执行的安 全整改方案和计划，然后协助采购单位分步实施安全整改工作。 </w:t>
            </w:r>
          </w:p>
          <w:p w14:paraId="26AAAA2C">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第四阶段：售后服务为期一年的售后服务工作中，供应商将向监测中心业务系 统提供包括应急响应、安全监测、配合检查、电话支持、安全咨询 等服务在内的安全维保服务。</w:t>
            </w:r>
          </w:p>
          <w:p w14:paraId="18BC395C">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具体服务内容如下： </w:t>
            </w:r>
          </w:p>
          <w:p w14:paraId="6A253506">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（1）应急响应服务 针对本次项目，服务方提供7*24的常规应急响应及灾难恢复专 家服务。在接到用户故障报修电话10分钟内响应。对客户信息网络 应用系统突发的信息安全事件进行响应、处理、恢复、取证、跟踪、 事后分析的方法及过程。 </w:t>
            </w:r>
          </w:p>
          <w:p w14:paraId="2F9196E0">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（2）配合检查服务 供应商协助监测中心业务系统响应公安机关、单位内部以 及第三方机构针对信息系统安全等级保护工作的检查工作。服务内 容包括协助监测中心业务系统准备、完善各类资料文档，配合 检查过程中的答疑及技术支持及其他现场检查的响应。 </w:t>
            </w:r>
          </w:p>
          <w:p w14:paraId="0C84B64F">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（3）电话支持服务 每周7天/每天24小时不间断的电话支持服务，解答陕西省财政 厅业务系统在使用过程中遇到的问题，及时提出解决问题的建议和 操作方法。电话响应时间不超过10分钟，到达现场时间不超过2小 时，解决问题不超过24小时。</w:t>
            </w:r>
          </w:p>
          <w:p w14:paraId="5C1B6E6A">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 （4）安全咨询服务 供应商为监测中心业务系统提供一年技术咨询服务，包括 信息系统整改建设咨询服务以及其他相关安全咨询服务，一旦接到 用户的服务请求，技术服务工程师将立即开始提供服务，帮助客户解决信息安全相关技术问题，全面配合监测中心业务系统做好业务系统全保障工作。 </w:t>
            </w:r>
          </w:p>
          <w:p w14:paraId="027127B0">
            <w:pPr>
              <w:pStyle w:val="9"/>
              <w:keepNext w:val="0"/>
              <w:keepLines w:val="0"/>
              <w:pageBreakBefore w:val="0"/>
              <w:shd w:val="clear" w:color="auto" w:fill="auto"/>
              <w:kinsoku/>
              <w:wordWrap/>
              <w:overflowPunct/>
              <w:topLinePunct w:val="0"/>
              <w:autoSpaceDE/>
              <w:autoSpaceDN/>
              <w:bidi w:val="0"/>
              <w:adjustRightInd/>
              <w:snapToGrid/>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4、其他要求</w:t>
            </w:r>
          </w:p>
          <w:p w14:paraId="73462DB9">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测评人员要求：本项目的测评人员需具有1年或1年以上测评工作经验，项目经理和质量负责人必须具备丰富的安全服务经验及相关资质认证，并提供人员管理及配备方案，并确保人员稳定。如需更换测评人员，须由采购单位同意。 </w:t>
            </w:r>
          </w:p>
          <w:p w14:paraId="1272FDC0">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人员配备：供应商参与此项目人员需具备丰冨的经验。供应商必须为本项目成立本地化等级保护测评小组，由测评小组组长统一负责，测评小组组长具有一定的技术及管理知识和经验，能容易地与客户沟通，能很好的执行与完成测评工作，并根据适当情况增加测评人员。供应商应按等级保护测评要求制定测评过程中产生的文档，做到科学、规范、详尽、统一。</w:t>
            </w:r>
          </w:p>
          <w:p w14:paraId="1DC003AF">
            <w:pPr>
              <w:pStyle w:val="9"/>
              <w:keepNext w:val="0"/>
              <w:keepLines w:val="0"/>
              <w:pageBreakBefore w:val="0"/>
              <w:shd w:val="clear" w:color="auto" w:fill="auto"/>
              <w:kinsoku/>
              <w:wordWrap/>
              <w:overflowPunct/>
              <w:topLinePunct w:val="0"/>
              <w:autoSpaceDE/>
              <w:autoSpaceDN/>
              <w:bidi w:val="0"/>
              <w:adjustRightInd/>
              <w:snapToGrid/>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5、保密责任与赔偿承诺</w:t>
            </w:r>
            <w:bookmarkEnd w:id="4"/>
            <w:bookmarkEnd w:id="5"/>
            <w:bookmarkEnd w:id="6"/>
            <w:bookmarkEnd w:id="7"/>
            <w:bookmarkEnd w:id="8"/>
          </w:p>
          <w:p w14:paraId="06C5FDBB">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kern w:val="2"/>
                <w:sz w:val="21"/>
                <w:szCs w:val="21"/>
                <w:highlight w:val="none"/>
              </w:rPr>
            </w:pPr>
            <w:bookmarkStart w:id="9" w:name="_Toc359339958"/>
            <w:bookmarkEnd w:id="9"/>
            <w:r>
              <w:rPr>
                <w:rFonts w:hint="eastAsia" w:ascii="宋体" w:hAnsi="宋体" w:eastAsia="宋体" w:cs="宋体"/>
                <w:kern w:val="2"/>
                <w:sz w:val="21"/>
                <w:szCs w:val="21"/>
                <w:highlight w:val="none"/>
              </w:rPr>
              <w:t>（1）服务商应严格遵守陕西省交通运行监测中心单位有关保密的相关规定，不得</w:t>
            </w:r>
            <w:r>
              <w:rPr>
                <w:rFonts w:hint="eastAsia" w:ascii="宋体" w:hAnsi="宋体" w:eastAsia="宋体" w:cs="宋体"/>
                <w:kern w:val="2"/>
                <w:sz w:val="21"/>
                <w:szCs w:val="21"/>
                <w:highlight w:val="none"/>
                <w:lang w:eastAsia="zh-CN"/>
              </w:rPr>
              <w:t>泄露</w:t>
            </w:r>
            <w:r>
              <w:rPr>
                <w:rFonts w:hint="eastAsia" w:ascii="宋体" w:hAnsi="宋体" w:eastAsia="宋体" w:cs="宋体"/>
                <w:kern w:val="2"/>
                <w:sz w:val="21"/>
                <w:szCs w:val="21"/>
                <w:highlight w:val="none"/>
              </w:rPr>
              <w:t>陕西省交通运行监测中心的任何机密；</w:t>
            </w:r>
          </w:p>
          <w:p w14:paraId="0A207950">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（2）在技术服务期间，服务商对接触到的有关陕西省交通运行监测中心单位工作活动、商业活动、技术情报和技术资料等文件进行保密。</w:t>
            </w:r>
          </w:p>
          <w:p w14:paraId="5924B52E">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kern w:val="2"/>
                <w:sz w:val="21"/>
                <w:szCs w:val="21"/>
                <w:highlight w:val="none"/>
              </w:rPr>
            </w:pPr>
            <w:bookmarkStart w:id="10" w:name="_Toc359339959"/>
            <w:bookmarkEnd w:id="10"/>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）在测评服务期间，如果出现因服务商责任，未能在承诺时间内恢复业务运行，陕西省交通运行监测中心有权请第三方进行解决处理，由此所产生的一切费用由服务商承担。</w:t>
            </w:r>
          </w:p>
          <w:p w14:paraId="3DEDFA18">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）测评服务期间，服务商不符合或达不到合同中要求的技术服务标准，陕西省交通运行监测中心可以提前终止或解除合同。</w:t>
            </w:r>
          </w:p>
          <w:p w14:paraId="491C733D">
            <w:pPr>
              <w:pStyle w:val="9"/>
              <w:keepNext w:val="0"/>
              <w:keepLines w:val="0"/>
              <w:pageBreakBefore w:val="0"/>
              <w:shd w:val="clear" w:color="auto" w:fill="auto"/>
              <w:kinsoku/>
              <w:wordWrap/>
              <w:overflowPunct/>
              <w:topLinePunct w:val="0"/>
              <w:autoSpaceDE/>
              <w:autoSpaceDN/>
              <w:bidi w:val="0"/>
              <w:adjustRightInd/>
              <w:snapToGrid/>
              <w:textAlignment w:val="auto"/>
              <w:rPr>
                <w:rFonts w:hint="eastAsia" w:ascii="宋体" w:hAnsi="宋体" w:eastAsia="宋体" w:cs="宋体"/>
                <w:b/>
                <w:bCs w:val="0"/>
                <w:color w:val="000000"/>
                <w:sz w:val="21"/>
                <w:szCs w:val="21"/>
                <w:highlight w:val="none"/>
                <w:lang w:val="en-US" w:eastAsia="zh-CN"/>
              </w:rPr>
            </w:pPr>
            <w:bookmarkStart w:id="11" w:name="_Toc359486629"/>
            <w:bookmarkStart w:id="12" w:name="_Toc359486794"/>
            <w:bookmarkStart w:id="13" w:name="_Toc359487175"/>
            <w:bookmarkStart w:id="14" w:name="_Toc359485982"/>
            <w:bookmarkStart w:id="15" w:name="_Toc359487275"/>
            <w:r>
              <w:rPr>
                <w:rFonts w:hint="eastAsia" w:ascii="宋体" w:hAnsi="宋体" w:eastAsia="宋体" w:cs="宋体"/>
                <w:b/>
                <w:bCs w:val="0"/>
                <w:color w:val="000000"/>
                <w:sz w:val="21"/>
                <w:szCs w:val="21"/>
                <w:highlight w:val="none"/>
                <w:lang w:val="en-US" w:eastAsia="zh-CN"/>
              </w:rPr>
              <w:t>6、主要交付物清单</w:t>
            </w:r>
            <w:bookmarkEnd w:id="11"/>
            <w:bookmarkEnd w:id="12"/>
            <w:bookmarkEnd w:id="13"/>
            <w:bookmarkEnd w:id="14"/>
            <w:bookmarkEnd w:id="15"/>
          </w:p>
          <w:p w14:paraId="4B7BF7F7">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bookmarkStart w:id="16" w:name="_Toc359485983"/>
            <w:r>
              <w:rPr>
                <w:rFonts w:hint="eastAsia" w:ascii="宋体" w:hAnsi="宋体" w:eastAsia="宋体" w:cs="宋体"/>
                <w:sz w:val="21"/>
                <w:szCs w:val="21"/>
                <w:highlight w:val="none"/>
              </w:rPr>
              <w:t>在本次等级保护测评项目中，服务商须提交主要成果文档包含如下：</w:t>
            </w:r>
            <w:bookmarkEnd w:id="16"/>
          </w:p>
          <w:p w14:paraId="79F32925">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《信息系统安全等级保护定级备案证明》；</w:t>
            </w:r>
          </w:p>
          <w:p w14:paraId="207EA67C">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《信息系统安全等级保护项目计划书》</w:t>
            </w:r>
          </w:p>
          <w:p w14:paraId="22DD35AF">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《信息系统安全等级保护测评方案》（每系统1份）</w:t>
            </w:r>
          </w:p>
          <w:p w14:paraId="541DAE7C">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《信息系统整改建议书》；</w:t>
            </w:r>
          </w:p>
          <w:p w14:paraId="2FF38910">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《信息系统安全等级保护测评报告》（每系统1份）</w:t>
            </w:r>
          </w:p>
          <w:p w14:paraId="35295854">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《信息系统安全渗透测试报告》</w:t>
            </w:r>
            <w:bookmarkStart w:id="17" w:name="_Toc339954220"/>
            <w:r>
              <w:rPr>
                <w:rFonts w:hint="eastAsia" w:ascii="宋体" w:hAnsi="宋体" w:eastAsia="宋体" w:cs="宋体"/>
                <w:sz w:val="21"/>
                <w:szCs w:val="21"/>
                <w:highlight w:val="none"/>
              </w:rPr>
              <w:t>（1份）</w:t>
            </w:r>
          </w:p>
          <w:p w14:paraId="79E8A25F">
            <w:pPr>
              <w:pStyle w:val="9"/>
              <w:keepNext w:val="0"/>
              <w:keepLines w:val="0"/>
              <w:pageBreakBefore w:val="0"/>
              <w:shd w:val="clear" w:color="auto" w:fill="auto"/>
              <w:kinsoku/>
              <w:wordWrap/>
              <w:overflowPunct/>
              <w:topLinePunct w:val="0"/>
              <w:autoSpaceDE/>
              <w:autoSpaceDN/>
              <w:bidi w:val="0"/>
              <w:adjustRightInd/>
              <w:snapToGrid/>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7、</w:t>
            </w:r>
            <w:r>
              <w:rPr>
                <w:rFonts w:hint="eastAsia" w:ascii="宋体" w:hAnsi="宋体" w:eastAsia="宋体" w:cs="宋体"/>
                <w:b/>
                <w:bCs/>
                <w:color w:val="000000"/>
                <w:sz w:val="21"/>
                <w:szCs w:val="21"/>
                <w:highlight w:val="none"/>
              </w:rPr>
              <w:t>技术方案内容及要求</w:t>
            </w:r>
            <w:bookmarkEnd w:id="17"/>
          </w:p>
          <w:p w14:paraId="3A94D733">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文件对测评准备（现状调研）、方案编制、现场测评、报告编制等内容进行详细描述；</w:t>
            </w:r>
          </w:p>
          <w:p w14:paraId="55054D15">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文件中明确服务内容及方法；</w:t>
            </w:r>
          </w:p>
          <w:p w14:paraId="0FE5CC44">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3、明确合理的实施周期和进度表 ；</w:t>
            </w:r>
          </w:p>
          <w:p w14:paraId="7E8C282A">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4、提供整个测评项目实施过程中的风险防范措施，并明确保密责任与赔偿承诺。</w:t>
            </w:r>
          </w:p>
          <w:p w14:paraId="53B88DC5">
            <w:pPr>
              <w:pStyle w:val="9"/>
              <w:keepNext w:val="0"/>
              <w:keepLines w:val="0"/>
              <w:pageBreakBefore w:val="0"/>
              <w:shd w:val="clear" w:color="auto" w:fill="auto"/>
              <w:kinsoku/>
              <w:wordWrap/>
              <w:overflowPunct/>
              <w:topLinePunct w:val="0"/>
              <w:autoSpaceDE/>
              <w:autoSpaceDN/>
              <w:bidi w:val="0"/>
              <w:adjustRightInd/>
              <w:snapToGrid/>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5、服务承诺及保障措施</w:t>
            </w:r>
          </w:p>
          <w:p w14:paraId="627D8FA4">
            <w:pPr>
              <w:pStyle w:val="9"/>
              <w:keepNext w:val="0"/>
              <w:keepLines w:val="0"/>
              <w:pageBreakBefore w:val="0"/>
              <w:shd w:val="clear" w:color="auto" w:fill="auto"/>
              <w:kinsoku/>
              <w:wordWrap/>
              <w:overflowPunct/>
              <w:topLinePunct w:val="0"/>
              <w:autoSpaceDE/>
              <w:autoSpaceDN/>
              <w:bidi w:val="0"/>
              <w:adjustRightInd/>
              <w:snapToGrid/>
              <w:textAlignment w:val="auto"/>
              <w:rPr>
                <w:rFonts w:hint="eastAsia" w:ascii="宋体" w:hAnsi="宋体" w:eastAsia="宋体" w:cs="宋体"/>
                <w:b/>
                <w:bCs/>
                <w:color w:val="000000"/>
                <w:sz w:val="21"/>
                <w:szCs w:val="21"/>
                <w:highlight w:val="none"/>
                <w:lang w:val="en-US" w:eastAsia="zh-CN"/>
              </w:rPr>
            </w:pPr>
            <w:bookmarkStart w:id="18" w:name="_Toc21946"/>
            <w:bookmarkStart w:id="19" w:name="_Toc5683"/>
            <w:bookmarkStart w:id="20" w:name="_Toc23725"/>
            <w:r>
              <w:rPr>
                <w:rFonts w:hint="eastAsia" w:ascii="宋体" w:hAnsi="宋体" w:eastAsia="宋体" w:cs="宋体"/>
                <w:b/>
                <w:bCs/>
                <w:color w:val="000000"/>
                <w:sz w:val="21"/>
                <w:szCs w:val="21"/>
                <w:highlight w:val="none"/>
                <w:lang w:val="en-US" w:eastAsia="zh-CN"/>
              </w:rPr>
              <w:t>8、其他认为需要补充的合理化建议。</w:t>
            </w:r>
            <w:bookmarkEnd w:id="18"/>
            <w:bookmarkEnd w:id="19"/>
            <w:bookmarkEnd w:id="20"/>
          </w:p>
          <w:p w14:paraId="7058EC02">
            <w:pPr>
              <w:pStyle w:val="9"/>
            </w:pPr>
            <w:r>
              <w:rPr>
                <w:rFonts w:hint="eastAsia"/>
                <w:highlight w:val="none"/>
                <w:lang w:val="en-US" w:eastAsia="zh-CN"/>
              </w:rPr>
              <w:t xml:space="preserve">  </w:t>
            </w:r>
          </w:p>
        </w:tc>
      </w:tr>
    </w:tbl>
    <w:p w14:paraId="7B1DD7CD">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263B6"/>
    <w:rsid w:val="06E33E4F"/>
    <w:rsid w:val="288905F9"/>
    <w:rsid w:val="2916560E"/>
    <w:rsid w:val="477263B6"/>
    <w:rsid w:val="5266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eastAsia="黑体" w:cs="Arial"/>
      <w:b/>
      <w:snapToGrid w:val="0"/>
      <w:color w:val="000000"/>
      <w:kern w:val="44"/>
      <w:sz w:val="32"/>
      <w:szCs w:val="21"/>
    </w:rPr>
  </w:style>
  <w:style w:type="paragraph" w:styleId="2">
    <w:name w:val="heading 2"/>
    <w:basedOn w:val="1"/>
    <w:next w:val="3"/>
    <w:unhideWhenUsed/>
    <w:qFormat/>
    <w:uiPriority w:val="9"/>
    <w:pPr>
      <w:jc w:val="left"/>
      <w:outlineLvl w:val="1"/>
    </w:pPr>
    <w:rPr>
      <w:sz w:val="30"/>
      <w:szCs w:val="22"/>
    </w:rPr>
  </w:style>
  <w:style w:type="paragraph" w:styleId="5">
    <w:name w:val="heading 3"/>
    <w:basedOn w:val="1"/>
    <w:next w:val="1"/>
    <w:link w:val="8"/>
    <w:semiHidden/>
    <w:unhideWhenUsed/>
    <w:qFormat/>
    <w:uiPriority w:val="0"/>
    <w:pPr>
      <w:keepNext/>
      <w:keepLines/>
      <w:spacing w:line="360" w:lineRule="auto"/>
      <w:ind w:firstLine="643" w:firstLineChars="200"/>
      <w:outlineLvl w:val="2"/>
    </w:pPr>
    <w:rPr>
      <w:rFonts w:ascii="Times New Roman" w:hAnsi="Times New Roman" w:eastAsia="宋体" w:cs="Times New Roman"/>
      <w:b/>
      <w:bCs/>
      <w:sz w:val="24"/>
      <w:szCs w:val="32"/>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640" w:lineRule="exact"/>
      <w:ind w:firstLine="585"/>
    </w:pPr>
    <w:rPr>
      <w:rFonts w:ascii="楷体_GB2312" w:eastAsia="楷体_GB2312"/>
      <w:sz w:val="32"/>
      <w:szCs w:val="32"/>
    </w:rPr>
  </w:style>
  <w:style w:type="character" w:customStyle="1" w:styleId="8">
    <w:name w:val="标题 3 字符"/>
    <w:basedOn w:val="7"/>
    <w:link w:val="5"/>
    <w:semiHidden/>
    <w:qFormat/>
    <w:uiPriority w:val="9"/>
    <w:rPr>
      <w:rFonts w:ascii="Times New Roman" w:hAnsi="Times New Roman" w:eastAsia="宋体" w:cs="Times New Roman"/>
      <w:b/>
      <w:bCs/>
      <w:sz w:val="24"/>
      <w:szCs w:val="32"/>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2025-06-06T09:58:00Z</dcterms:created>
  <dc:creator>西北民航咨询王倩</dc:creator>
  <cp:lastModifiedBy>西北民航咨询王倩</cp:lastModifiedBy>
  <dcterms:modified xsi:type="dcterms:W3CDTF">2025-06-06T09:59:20Z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3BB2F4BE2A344D138A937BB0CA7FCE39_11</vt:lpwstr>
  </property>
  <property fmtid="{D5CDD505-2E9C-101B-9397-08002B2CF9AE}" pid="4" name="KSOTemplateDocerSaveRecord">
    <vt:lpwstr>eyJoZGlkIjoiMjBkYTdhODA3ZjM4YjlhMTJkZDhlMTU2NTE3MGM3YWMiLCJ1c2VySWQiOiIzNjQyMTIzNzkifQ==</vt:lpwstr>
  </property>
</Properties>
</file>