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64E7">
      <w:pPr>
        <w:pStyle w:val="15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技术要求</w:t>
      </w:r>
    </w:p>
    <w:tbl>
      <w:tblPr>
        <w:tblStyle w:val="10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95"/>
        <w:gridCol w:w="6039"/>
        <w:gridCol w:w="810"/>
        <w:gridCol w:w="831"/>
      </w:tblGrid>
      <w:tr w14:paraId="6427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465E4BF0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095" w:type="dxa"/>
            <w:shd w:val="clear" w:color="auto" w:fill="F1F1F1" w:themeFill="background1" w:themeFillShade="F2"/>
            <w:vAlign w:val="center"/>
          </w:tcPr>
          <w:p w14:paraId="0A453167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设备名称</w:t>
            </w:r>
          </w:p>
        </w:tc>
        <w:tc>
          <w:tcPr>
            <w:tcW w:w="6039" w:type="dxa"/>
            <w:shd w:val="clear" w:color="auto" w:fill="F1F1F1" w:themeFill="background1" w:themeFillShade="F2"/>
            <w:vAlign w:val="center"/>
          </w:tcPr>
          <w:p w14:paraId="0A529CA3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性能参数</w:t>
            </w:r>
          </w:p>
        </w:tc>
        <w:tc>
          <w:tcPr>
            <w:tcW w:w="810" w:type="dxa"/>
            <w:shd w:val="clear" w:color="auto" w:fill="F1F1F1" w:themeFill="background1" w:themeFillShade="F2"/>
            <w:vAlign w:val="center"/>
          </w:tcPr>
          <w:p w14:paraId="2F08404D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831" w:type="dxa"/>
            <w:shd w:val="clear" w:color="auto" w:fill="F1F1F1" w:themeFill="background1" w:themeFillShade="F2"/>
            <w:vAlign w:val="center"/>
          </w:tcPr>
          <w:p w14:paraId="7B5BA9BD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数量</w:t>
            </w:r>
          </w:p>
        </w:tc>
      </w:tr>
      <w:tr w14:paraId="0E5C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23422E4D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shd w:val="clear" w:color="auto" w:fill="F1F1F1" w:themeFill="background1" w:themeFillShade="F2"/>
            <w:vAlign w:val="center"/>
          </w:tcPr>
          <w:p w14:paraId="3730BCEE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全自动升降柱</w:t>
            </w:r>
          </w:p>
        </w:tc>
        <w:tc>
          <w:tcPr>
            <w:tcW w:w="6039" w:type="dxa"/>
            <w:shd w:val="clear" w:color="auto" w:fill="F1F1F1" w:themeFill="background1" w:themeFillShade="F2"/>
            <w:vAlign w:val="center"/>
          </w:tcPr>
          <w:p w14:paraId="5C243997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1、柱体直径：≥219mm</w:t>
            </w:r>
          </w:p>
          <w:p w14:paraId="69A07ECF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2、柱体厚度：≥10mm</w:t>
            </w:r>
          </w:p>
          <w:p w14:paraId="5C57D835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3、柱体升起后高度：≥800mm</w:t>
            </w:r>
          </w:p>
          <w:p w14:paraId="7E023EE3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4、升降柱柱体材质：304不锈钢无缝管。</w:t>
            </w:r>
          </w:p>
          <w:p w14:paraId="577339E0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5、预埋桶尺寸：高度≥1100mm；预埋桶法兰外径≥420mm；厚度≥42mm。</w:t>
            </w:r>
          </w:p>
          <w:p w14:paraId="6F9D573E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6、预埋桶材质：采用Q235钢制作，厚度≥4mm;成分C≤0.2% Si≤0.35% P≤0.045%Mn≤1.4%</w:t>
            </w:r>
          </w:p>
          <w:p w14:paraId="51FEE0FC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7、预埋桶长期埋于地下，必须具有防腐蚀性能。预埋桶按GB/T10125-2012中性盐雾试验要求，进行连续喷雾试验96H，样品表面无红绣。</w:t>
            </w:r>
          </w:p>
          <w:p w14:paraId="4DFC1AD4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8、防滑要求：顶盖法兰部分及运动柱体顶部设置防滑纹，防滑纹的深度、宽度均不得低于2mm，且防滑纹之间每个区域的内切圆直径不得大于60mm。</w:t>
            </w:r>
          </w:p>
          <w:p w14:paraId="71FF0CC2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9、警示功能要求：运动柱体表面有3M钻石级反光警示条，宽度《50m，柱体顶部采用超高亮LED警示灯珠，360度内嵌于 PC灯盘内，可通过拆卸顶盖对警示灯进行更换或检修，升降柱在上升、下降运行过程中及处于立柱升起状态时，顶灯有闪烁发光信号提示功能:也可以设置常亮，柱体完全下降后，灯被隐藏保护，车辆碾压不到，夜晚在远处仍可明显观察到地面有警示灯光,灯带与控制系统之间所连接线缆电压不得大于24V且为直流电，功率≤6W。</w:t>
            </w:r>
          </w:p>
          <w:p w14:paraId="260B30E6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10、防刮保护要求：运动柱体与地面盖板之间采用非金属材质的隔离PA66护圈，以避免地面面刮花运动柱体。</w:t>
            </w:r>
          </w:p>
          <w:p w14:paraId="7B65E791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11、防顶车要求：在阻拦柱体内加装防撞防顶车装置，运行阻拦设备时开启红外感应,升降到位时自动关闭。当阻拦设备在上升过程中前后方1米内出现行驶车辆时,设备立即停止上升动作马上降下阻拦设备至地面。</w:t>
            </w:r>
          </w:p>
          <w:p w14:paraId="6C771BDD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12、举重力检验：举重力度≥300Kg,升降柱升起到位后，最大抗压力应不小于300Kg。</w:t>
            </w:r>
          </w:p>
          <w:p w14:paraId="45EBAF3B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13、静态负载力检验：在不少于50吨的车辆碾压通行后，柱体应能正常升降。</w:t>
            </w:r>
          </w:p>
          <w:p w14:paraId="04F31FD1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14、保压功能检验：升降柱上升到最高点后，24h保持升起状态，柱体下降不超过10mm。</w:t>
            </w:r>
          </w:p>
          <w:p w14:paraId="7B2162CA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15、工作噪音：工作噪音：运行时噪音≤60dB</w:t>
            </w:r>
          </w:p>
          <w:p w14:paraId="224833E2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16、升降压力装置：升降柱体内设置有升降压力装置，升降过程中柱体顶部压力大于设置值（50-100公斤可调）时，柱体将自动停止动作，以实现防顶车或防顶人的功能；</w:t>
            </w:r>
          </w:p>
          <w:p w14:paraId="36951DE7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17、阻挡性能：提供投标产品检测依据为GA/T 1343-2016《防暴升降式阻车路障》，要求产品阻挡性能满足：碰撞等级≥B级，侵入距离≤7米；</w:t>
            </w:r>
          </w:p>
          <w:p w14:paraId="39BDAB4C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18、手动升降功能：在无任何电源供电的情况下，手动可以升降地柱；</w:t>
            </w:r>
          </w:p>
          <w:p w14:paraId="69CB30DA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★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19、运行时噪音＜65dB；</w:t>
            </w:r>
          </w:p>
          <w:p w14:paraId="550F07DE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20、防护等级：将升降地柱主体浸入水中1.3m，浸入时间72h后，无漏电现象，并能正常升降，≥IP68防水等级；</w:t>
            </w:r>
          </w:p>
          <w:p w14:paraId="6F3D095F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21、可靠性：常温下，以6次/分的速度连续升降不少于 60000 次，无停机及故障产生。</w:t>
            </w:r>
          </w:p>
        </w:tc>
        <w:tc>
          <w:tcPr>
            <w:tcW w:w="810" w:type="dxa"/>
            <w:shd w:val="clear" w:color="auto" w:fill="F1F1F1" w:themeFill="background1" w:themeFillShade="F2"/>
            <w:vAlign w:val="center"/>
          </w:tcPr>
          <w:p w14:paraId="30B87565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根</w:t>
            </w:r>
          </w:p>
        </w:tc>
        <w:tc>
          <w:tcPr>
            <w:tcW w:w="831" w:type="dxa"/>
            <w:shd w:val="clear" w:color="auto" w:fill="F1F1F1" w:themeFill="background1" w:themeFillShade="F2"/>
            <w:vAlign w:val="center"/>
          </w:tcPr>
          <w:p w14:paraId="31B25684">
            <w:pPr>
              <w:pStyle w:val="13"/>
              <w:bidi w:val="0"/>
              <w:rPr>
                <w:rFonts w:hint="default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17</w:t>
            </w:r>
          </w:p>
        </w:tc>
      </w:tr>
      <w:tr w14:paraId="4A30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60E29C2C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95" w:type="dxa"/>
            <w:shd w:val="clear" w:color="auto" w:fill="F1F1F1" w:themeFill="background1" w:themeFillShade="F2"/>
            <w:vAlign w:val="center"/>
          </w:tcPr>
          <w:p w14:paraId="0B2E742A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路桩控制器</w:t>
            </w:r>
          </w:p>
        </w:tc>
        <w:tc>
          <w:tcPr>
            <w:tcW w:w="6039" w:type="dxa"/>
            <w:shd w:val="clear" w:color="auto" w:fill="F1F1F1" w:themeFill="background1" w:themeFillShade="F2"/>
            <w:vAlign w:val="center"/>
          </w:tcPr>
          <w:p w14:paraId="0A57DF76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1、安装方式包括立式、壁挂式均可;</w:t>
            </w:r>
          </w:p>
          <w:p w14:paraId="3F747935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2、接入电源：AC 220V 50HZ；系统具有短路保护、过流保护等功能。</w:t>
            </w:r>
          </w:p>
          <w:p w14:paraId="5C5452E0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3、应急电源：在外部供电停止状态下具有蓄电池应急电源。不接AC220V的情况下使用应急电源蓄电池通电可执行500次以上连续升降、功能正常。</w:t>
            </w:r>
          </w:p>
          <w:p w14:paraId="68510408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4、升降柱一体机芯：防尘防水防护等级≥IP68。</w:t>
            </w:r>
          </w:p>
          <w:p w14:paraId="46C7D56C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5、运行时噪音≤40dB。</w:t>
            </w:r>
          </w:p>
          <w:p w14:paraId="6E84CB41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6、采用PLC控制方式，且具备以下功能</w:t>
            </w:r>
          </w:p>
          <w:p w14:paraId="2D30869D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（1）按键控制:主板上设有开、关、急停、警示灯，一键锁机等控制开关。</w:t>
            </w:r>
          </w:p>
          <w:p w14:paraId="4A1342DD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（2）手动控制:在发生断电或故障的情况下可手动泄压实现一键下降。</w:t>
            </w:r>
          </w:p>
          <w:p w14:paraId="2F710023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（3）联动控制:可分纽操作升降柱,也可“一键”操作所有升降柱升降;升降柱和车牌识别联动</w:t>
            </w:r>
          </w:p>
          <w:p w14:paraId="5A191A67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（4）无线遥控:遥控距离≥100米;具有密码保护对接功能及保险开关防止误操作及信号串联。</w:t>
            </w:r>
          </w:p>
          <w:p w14:paraId="13CC1190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（5）有线控制:具有保险并关防止误操作功能。</w:t>
            </w:r>
          </w:p>
          <w:p w14:paraId="5E7F0A39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（6）分组功能:可分1-8组控制升降柱升降,也可以同时具备全升全降功能。</w:t>
            </w:r>
          </w:p>
          <w:p w14:paraId="41FC5808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7、预留扩展接口：具有紧急联动、警灯、一键报警、监控联动、门禁联动、红外、手机 APP 远程、TCP/IP 网络远程、车牌识别系统等联动控制485接口、232接口。</w:t>
            </w:r>
          </w:p>
          <w:p w14:paraId="6F0D0AE5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8、外接保护功能：控制系统可连接红外和地感等外接设备，实现人员和车辆保护功能。</w:t>
            </w:r>
          </w:p>
          <w:p w14:paraId="4F97BC53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▲</w:t>
            </w: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9、支持电脑客户端及手机APP远程控制功能：</w:t>
            </w:r>
          </w:p>
          <w:p w14:paraId="16B98BF4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（1）电脑客户端软件应具有以下基本功能：</w:t>
            </w:r>
          </w:p>
          <w:p w14:paraId="1A94DCAC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A.监控与报警系统日志;</w:t>
            </w:r>
          </w:p>
          <w:p w14:paraId="7576A792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B.系统权限管理(不同人员提供不同的用户界面、展现方式、数据信息)</w:t>
            </w:r>
          </w:p>
          <w:p w14:paraId="2D128903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C.报表管理(系统自动按照报表的功能及需求，按照时、日、月、季、年等方式提供不同时间节点的报表)；</w:t>
            </w:r>
          </w:p>
          <w:p w14:paraId="5397B55D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D.视频监控联动。</w:t>
            </w:r>
          </w:p>
          <w:p w14:paraId="5AC01787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（2）手机手机APP端应具有以下功能：</w:t>
            </w:r>
          </w:p>
          <w:p w14:paraId="6536ABAA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A.支持多账号登录；</w:t>
            </w:r>
          </w:p>
          <w:p w14:paraId="1432A7BD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B.支持操作记录查询功能（操作账号、操作方式、操作时间）信息存储记录不少于50000条；</w:t>
            </w:r>
          </w:p>
          <w:p w14:paraId="1C5A7CBB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C.阻拦设备运行时，客户端应有模拟动画；</w:t>
            </w:r>
          </w:p>
          <w:p w14:paraId="56DBAAD5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D.可分组操作阻拦设备，也可“一键”操作所有阻拦设备升降；</w:t>
            </w:r>
          </w:p>
          <w:p w14:paraId="1D1746FF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E.使用手控按钮盒或者遥控器操作阻拦设备上升或下降后，客户端也应及时切换显示阻拦设备升降运行状态；</w:t>
            </w:r>
          </w:p>
          <w:p w14:paraId="12F48081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10.电控制系统安全性：</w:t>
            </w:r>
          </w:p>
          <w:p w14:paraId="3567F338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①抗电强度：应符合GB 16796-2009中5.4.3的规定。</w:t>
            </w:r>
          </w:p>
          <w:p w14:paraId="114B5E01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②绝缘电阻：应符合GB 16796-2009中5.4.4的规定。</w:t>
            </w:r>
          </w:p>
          <w:p w14:paraId="7035CF19">
            <w:pPr>
              <w:pStyle w:val="13"/>
              <w:bidi w:val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③泄露电流：应符合GB 16796-2009中5.4.6的规定。</w:t>
            </w:r>
          </w:p>
        </w:tc>
        <w:tc>
          <w:tcPr>
            <w:tcW w:w="810" w:type="dxa"/>
            <w:shd w:val="clear" w:color="auto" w:fill="F1F1F1" w:themeFill="background1" w:themeFillShade="F2"/>
            <w:vAlign w:val="center"/>
          </w:tcPr>
          <w:p w14:paraId="4E1F198D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31" w:type="dxa"/>
            <w:shd w:val="clear" w:color="auto" w:fill="F1F1F1" w:themeFill="background1" w:themeFillShade="F2"/>
            <w:vAlign w:val="center"/>
          </w:tcPr>
          <w:p w14:paraId="314C8AA0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643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0D53380F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95" w:type="dxa"/>
            <w:shd w:val="clear" w:color="auto" w:fill="F1F1F1" w:themeFill="background1" w:themeFillShade="F2"/>
            <w:vAlign w:val="center"/>
          </w:tcPr>
          <w:p w14:paraId="1220998B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辅料及施工</w:t>
            </w:r>
          </w:p>
        </w:tc>
        <w:tc>
          <w:tcPr>
            <w:tcW w:w="6039" w:type="dxa"/>
            <w:shd w:val="clear" w:color="auto" w:fill="F1F1F1" w:themeFill="background1" w:themeFillShade="F2"/>
            <w:vAlign w:val="center"/>
          </w:tcPr>
          <w:p w14:paraId="383A0EF2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15米*1.3（高），警示漆面涂刷，含材料人工。制作渗水层：根据产品外形尺寸挖基础坑，根据现场道路情况确定尺寸；用沙子，碎石子混合后自基坑底部向上垫起做300mm渗水层，渗水层铺平，夯实，防止设备下陷。严禁往柱体周边缝隙内填充泥沙杂物，以免影响柱体正常升降。（如条件具备，可选10mm以下的碎石子，可不使用沙子），设备调平：</w:t>
            </w:r>
          </w:p>
          <w:p w14:paraId="0C235877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、卸下产品外筒找平：用内六角将产品外桶卸下，放到渗水层上，调整外桶水平度，将外筒上表面与地平面水平。将升降柱固定在初步凝固的排水垫层上，调整升降柱水平度，确保设备排水口与排水垫层三通对齐，升降柱表面高于地面2~5mm（非常重要）。升降柱底部周围回填少量碎石、混凝土进行初步固定。</w:t>
            </w:r>
          </w:p>
          <w:p w14:paraId="332320EC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、预埋线管：根据外桶表面预留的出线孔的位置预埋穿线管。穿线管的直径根据升降柱的根数确定，电控箱需配一根3*2.5的软芯电缆线每根升降柱需要的线缆的规格为7*1.5，具体使用应根据采购人的需要和配电的不同，在施工前确定。</w:t>
            </w:r>
          </w:p>
          <w:p w14:paraId="6C7EEBF2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3、焊接预埋桶加固钢筋</w:t>
            </w:r>
          </w:p>
          <w:p w14:paraId="71648BD4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（1）钢筋焊接工艺流程：电缆线铺设好后须再次确认预埋桶与基础沟上方交叉线，高度、垂直、同心水平后开始焊接。</w:t>
            </w:r>
          </w:p>
          <w:p w14:paraId="7F547C81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2）第一层；以预埋桶为中心用钢筋焊成井字型固定架，焊接牢固共焊三层，要求钢筋两头插入基础沟四壁土内，第一层距预埋桶底部共30cm，焊接好后再次校正预埋桶，确定准备好后在焊接第二层，否则第二层焊接好后将无法校正预埋桶。第二层方式和第一次一样，焊接在预埋桶中间部位，第三次距预埋桶上部20cm。</w:t>
            </w:r>
          </w:p>
          <w:p w14:paraId="19D53255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4、浇筑混凝土：确定预埋桶钢筋焊牢固，把接地线接好，先回填土20cm压实，防止混凝土渗入地下渗水层中，再浇注混凝土。浇筑高度以路面以下预留10cm为好，预留空间用于恢复原始路面及其他路面设计方案，开挖的路面及海绵工程，要全部恢复成原样。</w:t>
            </w:r>
          </w:p>
          <w:p w14:paraId="0995045D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5、回填采用混凝土或土（必须夯实）回填至距离地面300mm位置，并确保升降柱与地面平行。为防止混凝土、废土溅入升降柱顶部，可用塑料薄膜套住升降柱顶部。浇筑完毕后用美工刀划开薄膜即可。</w:t>
            </w:r>
          </w:p>
          <w:p w14:paraId="174605A7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6、路面恢复道路面层以校门口原状材料恢复。</w:t>
            </w:r>
          </w:p>
        </w:tc>
        <w:tc>
          <w:tcPr>
            <w:tcW w:w="810" w:type="dxa"/>
            <w:shd w:val="clear" w:color="auto" w:fill="F1F1F1" w:themeFill="background1" w:themeFillShade="F2"/>
            <w:vAlign w:val="center"/>
          </w:tcPr>
          <w:p w14:paraId="1E4918B6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831" w:type="dxa"/>
            <w:shd w:val="clear" w:color="auto" w:fill="F1F1F1" w:themeFill="background1" w:themeFillShade="F2"/>
            <w:vAlign w:val="center"/>
          </w:tcPr>
          <w:p w14:paraId="6FD845C2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2570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4196485A">
            <w:pPr>
              <w:pStyle w:val="13"/>
              <w:bidi w:val="0"/>
              <w:rPr>
                <w:rFonts w:hint="default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95" w:type="dxa"/>
            <w:shd w:val="clear" w:color="auto" w:fill="F1F1F1" w:themeFill="background1" w:themeFillShade="F2"/>
            <w:vAlign w:val="center"/>
          </w:tcPr>
          <w:p w14:paraId="6E338244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光纤敷设</w:t>
            </w:r>
          </w:p>
        </w:tc>
        <w:tc>
          <w:tcPr>
            <w:tcW w:w="6039" w:type="dxa"/>
            <w:shd w:val="clear" w:color="auto" w:fill="F1F1F1" w:themeFill="background1" w:themeFillShade="F2"/>
            <w:vAlign w:val="center"/>
          </w:tcPr>
          <w:p w14:paraId="1797E0DE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光纤敷设、测试熔接</w:t>
            </w:r>
          </w:p>
        </w:tc>
        <w:tc>
          <w:tcPr>
            <w:tcW w:w="810" w:type="dxa"/>
            <w:shd w:val="clear" w:color="auto" w:fill="F1F1F1" w:themeFill="background1" w:themeFillShade="F2"/>
            <w:vAlign w:val="center"/>
          </w:tcPr>
          <w:p w14:paraId="201843AA">
            <w:pPr>
              <w:pStyle w:val="13"/>
              <w:bidi w:val="0"/>
              <w:rPr>
                <w:rFonts w:hint="default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831" w:type="dxa"/>
            <w:shd w:val="clear" w:color="auto" w:fill="F1F1F1" w:themeFill="background1" w:themeFillShade="F2"/>
            <w:vAlign w:val="center"/>
          </w:tcPr>
          <w:p w14:paraId="5AD75FE8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米</w:t>
            </w:r>
          </w:p>
        </w:tc>
      </w:tr>
      <w:tr w14:paraId="00B2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F1F1F1" w:themeFill="background1" w:themeFillShade="F2"/>
            <w:vAlign w:val="center"/>
          </w:tcPr>
          <w:p w14:paraId="0C262602">
            <w:pPr>
              <w:pStyle w:val="13"/>
              <w:bidi w:val="0"/>
              <w:rPr>
                <w:rFonts w:hint="default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95" w:type="dxa"/>
            <w:shd w:val="clear" w:color="auto" w:fill="F1F1F1" w:themeFill="background1" w:themeFillShade="F2"/>
            <w:vAlign w:val="center"/>
          </w:tcPr>
          <w:p w14:paraId="13DA670A">
            <w:pPr>
              <w:pStyle w:val="13"/>
              <w:bidi w:val="0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地面重新修复硬化部分</w:t>
            </w:r>
          </w:p>
        </w:tc>
        <w:tc>
          <w:tcPr>
            <w:tcW w:w="6039" w:type="dxa"/>
            <w:shd w:val="clear" w:color="auto" w:fill="F1F1F1" w:themeFill="background1" w:themeFillShade="F2"/>
            <w:vAlign w:val="center"/>
          </w:tcPr>
          <w:p w14:paraId="7A552EA8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挖除旧路面：破除地面（150平方米）</w:t>
            </w:r>
          </w:p>
          <w:p w14:paraId="4289532B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1、土壤类别：一、二类土</w:t>
            </w:r>
          </w:p>
          <w:p w14:paraId="79DF1F24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2、挖土深度：0.6m以内</w:t>
            </w:r>
          </w:p>
          <w:p w14:paraId="4489999A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管道下移：市政自来水管道更换、管道下移</w:t>
            </w:r>
          </w:p>
          <w:p w14:paraId="1D10F49B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地面硬化：灰土基础夯实垫层25cm厚，混凝土表面15cm厚，钢筋基础；双层沥青敷设，厚度15cm。</w:t>
            </w:r>
          </w:p>
          <w:p w14:paraId="263AC551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电力缆、通信线缆下沉移动，包含电力、通信部门协调</w:t>
            </w:r>
          </w:p>
          <w:p w14:paraId="2156F851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施工手续办理、文明施工措施（围挡）</w:t>
            </w:r>
          </w:p>
          <w:p w14:paraId="6AE699AE">
            <w:pPr>
              <w:pStyle w:val="13"/>
              <w:numPr>
                <w:ilvl w:val="0"/>
                <w:numId w:val="0"/>
              </w:numPr>
              <w:bidi w:val="0"/>
              <w:ind w:leftChars="0"/>
              <w:jc w:val="left"/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（备注：在施工过程中，若不慎挖断线缆、管道等，导致损坏，施工方应承担全部责任，并负责修复及相关损失的赔偿，与校方无关。）</w:t>
            </w:r>
          </w:p>
        </w:tc>
        <w:tc>
          <w:tcPr>
            <w:tcW w:w="810" w:type="dxa"/>
            <w:shd w:val="clear" w:color="auto" w:fill="F1F1F1" w:themeFill="background1" w:themeFillShade="F2"/>
            <w:vAlign w:val="center"/>
          </w:tcPr>
          <w:p w14:paraId="0DCBD070">
            <w:pPr>
              <w:pStyle w:val="13"/>
              <w:bidi w:val="0"/>
              <w:rPr>
                <w:rFonts w:hint="default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31" w:type="dxa"/>
            <w:shd w:val="clear" w:color="auto" w:fill="F1F1F1" w:themeFill="background1" w:themeFillShade="F2"/>
            <w:vAlign w:val="center"/>
          </w:tcPr>
          <w:p w14:paraId="49F5264B">
            <w:pPr>
              <w:pStyle w:val="13"/>
              <w:bidi w:val="0"/>
              <w:rPr>
                <w:rFonts w:hint="default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项</w:t>
            </w:r>
          </w:p>
        </w:tc>
      </w:tr>
    </w:tbl>
    <w:p w14:paraId="45293BC6">
      <w:pPr>
        <w:pStyle w:val="15"/>
        <w:rPr>
          <w:rFonts w:hint="eastAsia"/>
          <w:b/>
          <w:bCs/>
          <w:color w:val="0000FF"/>
          <w:lang w:val="en-US" w:eastAsia="zh-CN"/>
        </w:rPr>
      </w:pPr>
    </w:p>
    <w:p w14:paraId="431E2CE5">
      <w:pPr>
        <w:pStyle w:val="15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注：1、带“★”的参数需求为实质性要求，供应商必须响应并满足的参数需求。提供相应的证明材料（包括但不限于检测报告、产品彩页、产品说明书、认证证书、官网截图等任意一项证明材料即可</w:t>
      </w:r>
      <w:bookmarkStart w:id="0" w:name="_GoBack"/>
      <w:bookmarkEnd w:id="0"/>
      <w:r>
        <w:rPr>
          <w:rFonts w:hint="eastAsia"/>
          <w:b/>
          <w:bCs/>
          <w:color w:val="0000FF"/>
          <w:lang w:val="en-US" w:eastAsia="zh-CN"/>
        </w:rPr>
        <w:t>），未按要求提供按无效文件处理。</w:t>
      </w:r>
    </w:p>
    <w:p w14:paraId="52F367D1">
      <w:pPr>
        <w:pStyle w:val="15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2、在施工过程中，若出现人员安全，施工质量等问题，由施工方承担全部责任，与校方无关。</w:t>
      </w:r>
    </w:p>
    <w:p w14:paraId="01C4E04A">
      <w:pPr>
        <w:rPr>
          <w:rFonts w:hint="eastAsia"/>
          <w:lang w:val="en-US" w:eastAsia="zh-Hans"/>
        </w:rPr>
      </w:pPr>
    </w:p>
    <w:sectPr>
      <w:pgSz w:w="11906" w:h="16838"/>
      <w:pgMar w:top="1440" w:right="108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08B5696"/>
    <w:rsid w:val="02337D11"/>
    <w:rsid w:val="025F21A8"/>
    <w:rsid w:val="02E30196"/>
    <w:rsid w:val="035A4ABC"/>
    <w:rsid w:val="03F370BC"/>
    <w:rsid w:val="061F1414"/>
    <w:rsid w:val="069A3A9F"/>
    <w:rsid w:val="06FF6413"/>
    <w:rsid w:val="0811476A"/>
    <w:rsid w:val="082F0F7A"/>
    <w:rsid w:val="083F1259"/>
    <w:rsid w:val="08E81F31"/>
    <w:rsid w:val="09AD1A52"/>
    <w:rsid w:val="09F83E1A"/>
    <w:rsid w:val="0A5B5F3D"/>
    <w:rsid w:val="0ACC2AB1"/>
    <w:rsid w:val="0B07763C"/>
    <w:rsid w:val="0B846A84"/>
    <w:rsid w:val="0CFF1CDD"/>
    <w:rsid w:val="0D9762F8"/>
    <w:rsid w:val="0E081D2C"/>
    <w:rsid w:val="0E0D1416"/>
    <w:rsid w:val="0ECF2B6F"/>
    <w:rsid w:val="0F9103FC"/>
    <w:rsid w:val="10D100D8"/>
    <w:rsid w:val="124839E7"/>
    <w:rsid w:val="1336476B"/>
    <w:rsid w:val="15047114"/>
    <w:rsid w:val="166C2FD6"/>
    <w:rsid w:val="171F44A9"/>
    <w:rsid w:val="17414726"/>
    <w:rsid w:val="177F50ED"/>
    <w:rsid w:val="17D12FCB"/>
    <w:rsid w:val="182C1B8D"/>
    <w:rsid w:val="195B5754"/>
    <w:rsid w:val="19FF4BCD"/>
    <w:rsid w:val="1A9F5AEC"/>
    <w:rsid w:val="1B0B13D3"/>
    <w:rsid w:val="1CD51C99"/>
    <w:rsid w:val="1CE80700"/>
    <w:rsid w:val="1DCD471E"/>
    <w:rsid w:val="1FC07B69"/>
    <w:rsid w:val="21DA3511"/>
    <w:rsid w:val="22513887"/>
    <w:rsid w:val="22615A5C"/>
    <w:rsid w:val="23B42AC3"/>
    <w:rsid w:val="243B5F07"/>
    <w:rsid w:val="25F168EE"/>
    <w:rsid w:val="269923BA"/>
    <w:rsid w:val="26A26792"/>
    <w:rsid w:val="275F6DB1"/>
    <w:rsid w:val="28421EF1"/>
    <w:rsid w:val="2C446EDF"/>
    <w:rsid w:val="2C7D44A2"/>
    <w:rsid w:val="2CC31B0E"/>
    <w:rsid w:val="2D8A1896"/>
    <w:rsid w:val="2DA140C7"/>
    <w:rsid w:val="2E1C45B8"/>
    <w:rsid w:val="2EFA463E"/>
    <w:rsid w:val="2F7F7C1E"/>
    <w:rsid w:val="2FB854FE"/>
    <w:rsid w:val="2FC86574"/>
    <w:rsid w:val="303147F9"/>
    <w:rsid w:val="311455AD"/>
    <w:rsid w:val="317970D8"/>
    <w:rsid w:val="318B510D"/>
    <w:rsid w:val="331256AC"/>
    <w:rsid w:val="35530491"/>
    <w:rsid w:val="3594672F"/>
    <w:rsid w:val="35E03016"/>
    <w:rsid w:val="36354208"/>
    <w:rsid w:val="370E1BD7"/>
    <w:rsid w:val="38526AEA"/>
    <w:rsid w:val="38F6089D"/>
    <w:rsid w:val="39424A70"/>
    <w:rsid w:val="3A293420"/>
    <w:rsid w:val="3AE6778B"/>
    <w:rsid w:val="3B0A428A"/>
    <w:rsid w:val="3B812D94"/>
    <w:rsid w:val="3BCA1860"/>
    <w:rsid w:val="3C910D86"/>
    <w:rsid w:val="3D3F6414"/>
    <w:rsid w:val="3E0F22ED"/>
    <w:rsid w:val="3FCF6801"/>
    <w:rsid w:val="42653957"/>
    <w:rsid w:val="42E718D8"/>
    <w:rsid w:val="44613D10"/>
    <w:rsid w:val="44F62931"/>
    <w:rsid w:val="45B222C8"/>
    <w:rsid w:val="467116C2"/>
    <w:rsid w:val="48452F0B"/>
    <w:rsid w:val="486D383C"/>
    <w:rsid w:val="48911CF1"/>
    <w:rsid w:val="48A76B43"/>
    <w:rsid w:val="4A9D52F4"/>
    <w:rsid w:val="4B9A1674"/>
    <w:rsid w:val="4F1B6D7E"/>
    <w:rsid w:val="4F8A39F8"/>
    <w:rsid w:val="509E640D"/>
    <w:rsid w:val="521A1920"/>
    <w:rsid w:val="53B52B8D"/>
    <w:rsid w:val="547660D0"/>
    <w:rsid w:val="55840102"/>
    <w:rsid w:val="563D16F0"/>
    <w:rsid w:val="57BB068A"/>
    <w:rsid w:val="5A6A3F97"/>
    <w:rsid w:val="5AFF5100"/>
    <w:rsid w:val="5B9B76D0"/>
    <w:rsid w:val="5C9D1D72"/>
    <w:rsid w:val="5D6901DE"/>
    <w:rsid w:val="5ECB6791"/>
    <w:rsid w:val="5FCA085A"/>
    <w:rsid w:val="60255B64"/>
    <w:rsid w:val="606D33C3"/>
    <w:rsid w:val="61090E39"/>
    <w:rsid w:val="642200F4"/>
    <w:rsid w:val="64E32245"/>
    <w:rsid w:val="666202CA"/>
    <w:rsid w:val="678C0773"/>
    <w:rsid w:val="680975BA"/>
    <w:rsid w:val="6888721D"/>
    <w:rsid w:val="68DC116D"/>
    <w:rsid w:val="695D5FB8"/>
    <w:rsid w:val="6985191D"/>
    <w:rsid w:val="69C14B21"/>
    <w:rsid w:val="6BDB059F"/>
    <w:rsid w:val="6CAA377B"/>
    <w:rsid w:val="6E4B4EE4"/>
    <w:rsid w:val="6EA42FD2"/>
    <w:rsid w:val="6EC62098"/>
    <w:rsid w:val="6EE85353"/>
    <w:rsid w:val="70B14DA6"/>
    <w:rsid w:val="7119359A"/>
    <w:rsid w:val="74C34BFC"/>
    <w:rsid w:val="74E62D29"/>
    <w:rsid w:val="7529596D"/>
    <w:rsid w:val="75F608F4"/>
    <w:rsid w:val="76967F29"/>
    <w:rsid w:val="76B22C61"/>
    <w:rsid w:val="77D71596"/>
    <w:rsid w:val="77F79321"/>
    <w:rsid w:val="77FA2920"/>
    <w:rsid w:val="781265CE"/>
    <w:rsid w:val="781673BB"/>
    <w:rsid w:val="797E6C01"/>
    <w:rsid w:val="79A90D10"/>
    <w:rsid w:val="79AC4C43"/>
    <w:rsid w:val="79CA1E0E"/>
    <w:rsid w:val="7A744793"/>
    <w:rsid w:val="7C187461"/>
    <w:rsid w:val="7CF43AD7"/>
    <w:rsid w:val="7E6C276D"/>
    <w:rsid w:val="7F5012DD"/>
    <w:rsid w:val="7FC233CB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cs="+中文正文" w:asciiTheme="minorEastAsia" w:hAnsiTheme="minorEastAsia" w:eastAsiaTheme="minorEastAsia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820"/>
      </w:tabs>
      <w:ind w:right="777"/>
      <w:jc w:val="center"/>
    </w:pPr>
    <w:rPr>
      <w:rFonts w:ascii="宋体" w:hAnsi="宋体" w:eastAsia="宋体" w:cs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1"/>
    <w:qFormat/>
    <w:uiPriority w:val="0"/>
    <w:pPr>
      <w:widowControl w:val="0"/>
      <w:wordWrap w:val="0"/>
      <w:adjustRightInd/>
      <w:snapToGrid/>
      <w:spacing w:line="240" w:lineRule="auto"/>
      <w:ind w:firstLine="560" w:firstLineChars="200"/>
    </w:pPr>
    <w:rPr>
      <w:rFonts w:asciiTheme="minorEastAsia" w:hAnsiTheme="minorEastAsia" w:eastAsiaTheme="minorEastAsia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"/>
    <w:basedOn w:val="1"/>
    <w:qFormat/>
    <w:uiPriority w:val="0"/>
    <w:pPr>
      <w:wordWrap w:val="0"/>
      <w:adjustRightInd w:val="0"/>
      <w:snapToGrid w:val="0"/>
      <w:spacing w:line="240" w:lineRule="auto"/>
      <w:ind w:left="0"/>
      <w:jc w:val="center"/>
    </w:pPr>
    <w:rPr>
      <w:rFonts w:hint="eastAsia" w:ascii="宋体" w:hAnsi="宋体" w:eastAsia="宋体" w:cs="宋体"/>
      <w:sz w:val="24"/>
      <w:szCs w:val="24"/>
      <w:u w:val="none"/>
    </w:rPr>
  </w:style>
  <w:style w:type="paragraph" w:customStyle="1" w:styleId="14">
    <w:name w:val="表格-左对齐"/>
    <w:basedOn w:val="1"/>
    <w:qFormat/>
    <w:uiPriority w:val="0"/>
    <w:pPr>
      <w:widowControl w:val="0"/>
      <w:kinsoku/>
      <w:wordWrap w:val="0"/>
      <w:autoSpaceDE/>
      <w:autoSpaceDN/>
      <w:adjustRightInd w:val="0"/>
      <w:snapToGrid w:val="0"/>
      <w:spacing w:line="240" w:lineRule="auto"/>
      <w:jc w:val="left"/>
    </w:pPr>
    <w:rPr>
      <w:rFonts w:hint="eastAsia"/>
      <w:snapToGrid w:val="0"/>
      <w:color w:val="000000"/>
      <w:sz w:val="24"/>
      <w:szCs w:val="24"/>
    </w:r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3013</Words>
  <Characters>3311</Characters>
  <Lines>0</Lines>
  <Paragraphs>0</Paragraphs>
  <TotalTime>2</TotalTime>
  <ScaleCrop>false</ScaleCrop>
  <LinksUpToDate>false</LinksUpToDate>
  <CharactersWithSpaces>3325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7</cp:lastModifiedBy>
  <cp:lastPrinted>2025-05-23T04:22:00Z</cp:lastPrinted>
  <dcterms:modified xsi:type="dcterms:W3CDTF">2025-06-12T02:58:27Z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eyJoZGlkIjoiZWFlZTY5MGJkNGQ1NTc4OTQ1ZDRmM2NkYmUwMWUzODIiLCJ1c2VySWQiOiI2NDA5MTM5NzUifQ==</vt:lpwstr>
  </property>
  <property fmtid="{D5CDD505-2E9C-101B-9397-08002B2CF9AE}" pid="4" name="ICV">
    <vt:lpwstr>EEE7553B56FF467F92F8EEEA2C2734AE_13</vt:lpwstr>
  </property>
</Properties>
</file>