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C38D5">
      <w:pPr>
        <w:pStyle w:val="10"/>
        <w:jc w:val="both"/>
        <w:rPr>
          <w:rFonts w:hint="eastAsia" w:ascii="仿宋" w:hAnsi="仿宋" w:eastAsia="仿宋" w:cs="仿宋"/>
          <w:b/>
          <w:bCs/>
          <w:color w:val="auto"/>
          <w:sz w:val="52"/>
          <w:szCs w:val="52"/>
          <w:highlight w:val="none"/>
        </w:rPr>
      </w:pPr>
      <w:bookmarkStart w:id="0" w:name="_Toc519156735"/>
      <w:bookmarkStart w:id="1" w:name="_Toc268"/>
      <w:bookmarkStart w:id="2" w:name="_Toc495908398"/>
      <w:bookmarkStart w:id="3" w:name="_Toc21955"/>
    </w:p>
    <w:p w14:paraId="3A878C36">
      <w:pPr>
        <w:jc w:val="center"/>
        <w:rPr>
          <w:rFonts w:hint="eastAsia" w:ascii="仿宋" w:hAnsi="仿宋" w:eastAsia="仿宋" w:cs="仿宋"/>
          <w:b/>
          <w:bCs/>
          <w:sz w:val="44"/>
          <w:szCs w:val="52"/>
          <w:highlight w:val="none"/>
          <w:lang w:eastAsia="zh-CN"/>
        </w:rPr>
      </w:pPr>
      <w:r>
        <w:rPr>
          <w:rFonts w:hint="eastAsia" w:ascii="仿宋" w:hAnsi="仿宋" w:eastAsia="仿宋" w:cs="仿宋"/>
          <w:b/>
          <w:bCs/>
          <w:sz w:val="44"/>
          <w:szCs w:val="52"/>
          <w:highlight w:val="none"/>
          <w:lang w:eastAsia="zh-CN"/>
        </w:rPr>
        <w:t>陕西省档案馆《三秦珍档·水润旱塬》</w:t>
      </w:r>
    </w:p>
    <w:p w14:paraId="4064B7E9">
      <w:pPr>
        <w:jc w:val="center"/>
        <w:rPr>
          <w:rFonts w:hint="eastAsia" w:ascii="仿宋" w:hAnsi="仿宋" w:eastAsia="仿宋" w:cs="仿宋"/>
          <w:sz w:val="22"/>
          <w:szCs w:val="28"/>
          <w:highlight w:val="none"/>
          <w:lang w:eastAsia="zh-CN"/>
        </w:rPr>
      </w:pPr>
      <w:r>
        <w:rPr>
          <w:rFonts w:hint="eastAsia" w:ascii="仿宋" w:hAnsi="仿宋" w:eastAsia="仿宋" w:cs="仿宋"/>
          <w:b/>
          <w:bCs/>
          <w:sz w:val="44"/>
          <w:szCs w:val="52"/>
          <w:highlight w:val="none"/>
          <w:lang w:eastAsia="zh-CN"/>
        </w:rPr>
        <w:t>纪录片项目</w:t>
      </w:r>
    </w:p>
    <w:p w14:paraId="00FD85DE"/>
    <w:p w14:paraId="7EE93622"/>
    <w:p w14:paraId="1698A029"/>
    <w:p w14:paraId="6E62C182">
      <w:bookmarkStart w:id="111" w:name="_GoBack"/>
      <w:bookmarkEnd w:id="111"/>
    </w:p>
    <w:p w14:paraId="66A42A24"/>
    <w:p w14:paraId="151686B1">
      <w:pPr>
        <w:tabs>
          <w:tab w:val="left" w:pos="5145"/>
        </w:tabs>
        <w:spacing w:line="360" w:lineRule="auto"/>
        <w:jc w:val="center"/>
        <w:rPr>
          <w:rFonts w:ascii="仿宋" w:hAnsi="仿宋" w:eastAsia="仿宋" w:cs="仿宋"/>
          <w:b/>
          <w:bCs/>
          <w:sz w:val="72"/>
          <w:szCs w:val="72"/>
          <w:highlight w:val="none"/>
        </w:rPr>
      </w:pPr>
      <w:r>
        <w:rPr>
          <w:rFonts w:hint="eastAsia" w:ascii="仿宋" w:hAnsi="仿宋" w:eastAsia="仿宋" w:cs="仿宋"/>
          <w:b/>
          <w:bCs/>
          <w:sz w:val="72"/>
          <w:szCs w:val="72"/>
          <w:highlight w:val="none"/>
        </w:rPr>
        <w:t>竞争性磋商文件</w:t>
      </w:r>
    </w:p>
    <w:p w14:paraId="23A35447">
      <w:pPr>
        <w:tabs>
          <w:tab w:val="left" w:pos="5145"/>
        </w:tabs>
        <w:spacing w:line="360" w:lineRule="auto"/>
        <w:jc w:val="center"/>
        <w:rPr>
          <w:rFonts w:ascii="仿宋" w:hAnsi="仿宋" w:eastAsia="仿宋" w:cs="仿宋"/>
          <w:sz w:val="28"/>
          <w:szCs w:val="28"/>
          <w:highlight w:val="none"/>
        </w:rPr>
      </w:pPr>
    </w:p>
    <w:p w14:paraId="14298BB9">
      <w:pPr>
        <w:pStyle w:val="10"/>
      </w:pPr>
    </w:p>
    <w:p w14:paraId="289E59FA">
      <w:pPr>
        <w:pStyle w:val="10"/>
        <w:rPr>
          <w:rFonts w:ascii="仿宋" w:hAnsi="仿宋" w:eastAsia="仿宋" w:cs="仿宋"/>
          <w:sz w:val="28"/>
          <w:szCs w:val="28"/>
          <w:highlight w:val="none"/>
        </w:rPr>
      </w:pPr>
    </w:p>
    <w:p w14:paraId="2BEC497B">
      <w:pPr>
        <w:pStyle w:val="22"/>
      </w:pPr>
    </w:p>
    <w:p w14:paraId="7392A44A">
      <w:pPr>
        <w:pStyle w:val="10"/>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default" w:ascii="仿宋" w:hAnsi="仿宋" w:eastAsia="仿宋" w:cs="仿宋"/>
          <w:b/>
          <w:bCs/>
          <w:i w:val="0"/>
          <w:iCs w:val="0"/>
          <w:snapToGrid w:val="0"/>
          <w:color w:val="000000"/>
          <w:spacing w:val="6"/>
          <w:kern w:val="0"/>
          <w:position w:val="32"/>
          <w:sz w:val="35"/>
          <w:szCs w:val="35"/>
          <w:u w:val="single"/>
          <w:lang w:val="en-US" w:eastAsia="zh-CN"/>
        </w:rPr>
      </w:pPr>
      <w:r>
        <w:rPr>
          <w:rFonts w:ascii="仿宋" w:hAnsi="仿宋" w:eastAsia="仿宋" w:cs="仿宋"/>
          <w:b/>
          <w:bCs/>
          <w:i w:val="0"/>
          <w:iCs w:val="0"/>
          <w:snapToGrid w:val="0"/>
          <w:color w:val="000000"/>
          <w:spacing w:val="6"/>
          <w:kern w:val="0"/>
          <w:position w:val="32"/>
          <w:sz w:val="35"/>
          <w:szCs w:val="35"/>
          <w:lang w:eastAsia="en-US"/>
        </w:rPr>
        <w:t>项目编号：</w:t>
      </w:r>
      <w:r>
        <w:rPr>
          <w:rFonts w:hint="eastAsia" w:ascii="仿宋" w:hAnsi="仿宋" w:eastAsia="仿宋" w:cs="仿宋"/>
          <w:b/>
          <w:bCs/>
          <w:i w:val="0"/>
          <w:iCs w:val="0"/>
          <w:snapToGrid w:val="0"/>
          <w:color w:val="000000"/>
          <w:spacing w:val="6"/>
          <w:kern w:val="0"/>
          <w:position w:val="32"/>
          <w:sz w:val="35"/>
          <w:szCs w:val="35"/>
          <w:u w:val="single"/>
          <w:lang w:eastAsia="en-US"/>
        </w:rPr>
        <w:t xml:space="preserve">DRZB2025-ZC-131 </w:t>
      </w:r>
    </w:p>
    <w:p w14:paraId="5A3140D8">
      <w:pPr>
        <w:pStyle w:val="10"/>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eastAsia" w:ascii="仿宋" w:hAnsi="仿宋" w:eastAsia="仿宋" w:cs="仿宋"/>
          <w:b/>
          <w:bCs/>
          <w:i w:val="0"/>
          <w:iCs w:val="0"/>
          <w:snapToGrid w:val="0"/>
          <w:color w:val="000000"/>
          <w:spacing w:val="6"/>
          <w:kern w:val="0"/>
          <w:position w:val="32"/>
          <w:sz w:val="35"/>
          <w:szCs w:val="35"/>
          <w:u w:val="single"/>
          <w:lang w:val="en-US" w:eastAsia="zh-CN"/>
        </w:rPr>
      </w:pPr>
      <w:r>
        <w:rPr>
          <w:rFonts w:ascii="仿宋" w:hAnsi="仿宋" w:eastAsia="仿宋" w:cs="仿宋"/>
          <w:b/>
          <w:bCs/>
          <w:i w:val="0"/>
          <w:iCs w:val="0"/>
          <w:snapToGrid w:val="0"/>
          <w:color w:val="000000"/>
          <w:spacing w:val="6"/>
          <w:kern w:val="0"/>
          <w:position w:val="32"/>
          <w:sz w:val="35"/>
          <w:szCs w:val="35"/>
          <w:lang w:eastAsia="en-US"/>
        </w:rPr>
        <w:t>采</w:t>
      </w:r>
      <w:r>
        <w:rPr>
          <w:rFonts w:hint="eastAsia" w:ascii="仿宋" w:hAnsi="仿宋" w:eastAsia="仿宋" w:cs="仿宋"/>
          <w:b/>
          <w:bCs/>
          <w:i w:val="0"/>
          <w:iCs w:val="0"/>
          <w:snapToGrid w:val="0"/>
          <w:color w:val="000000"/>
          <w:spacing w:val="6"/>
          <w:kern w:val="0"/>
          <w:position w:val="32"/>
          <w:sz w:val="35"/>
          <w:szCs w:val="35"/>
          <w:lang w:val="en-US" w:eastAsia="zh-CN"/>
        </w:rPr>
        <w:t xml:space="preserve"> </w:t>
      </w:r>
      <w:r>
        <w:rPr>
          <w:rFonts w:ascii="仿宋" w:hAnsi="仿宋" w:eastAsia="仿宋" w:cs="仿宋"/>
          <w:b/>
          <w:bCs/>
          <w:i w:val="0"/>
          <w:iCs w:val="0"/>
          <w:snapToGrid w:val="0"/>
          <w:color w:val="000000"/>
          <w:spacing w:val="6"/>
          <w:kern w:val="0"/>
          <w:position w:val="32"/>
          <w:sz w:val="35"/>
          <w:szCs w:val="35"/>
          <w:lang w:eastAsia="en-US"/>
        </w:rPr>
        <w:t>购</w:t>
      </w:r>
      <w:r>
        <w:rPr>
          <w:rFonts w:hint="eastAsia" w:ascii="仿宋" w:hAnsi="仿宋" w:eastAsia="仿宋" w:cs="仿宋"/>
          <w:b/>
          <w:bCs/>
          <w:i w:val="0"/>
          <w:iCs w:val="0"/>
          <w:snapToGrid w:val="0"/>
          <w:color w:val="000000"/>
          <w:spacing w:val="6"/>
          <w:kern w:val="0"/>
          <w:position w:val="32"/>
          <w:sz w:val="35"/>
          <w:szCs w:val="35"/>
          <w:lang w:val="en-US" w:eastAsia="zh-CN"/>
        </w:rPr>
        <w:t xml:space="preserve"> </w:t>
      </w:r>
      <w:r>
        <w:rPr>
          <w:rFonts w:ascii="仿宋" w:hAnsi="仿宋" w:eastAsia="仿宋" w:cs="仿宋"/>
          <w:b/>
          <w:bCs/>
          <w:i w:val="0"/>
          <w:iCs w:val="0"/>
          <w:snapToGrid w:val="0"/>
          <w:color w:val="000000"/>
          <w:spacing w:val="6"/>
          <w:kern w:val="0"/>
          <w:position w:val="32"/>
          <w:sz w:val="35"/>
          <w:szCs w:val="35"/>
          <w:lang w:eastAsia="en-US"/>
        </w:rPr>
        <w:t>人：</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w:t>
      </w:r>
      <w:r>
        <w:rPr>
          <w:rFonts w:hint="eastAsia" w:ascii="仿宋" w:hAnsi="仿宋" w:eastAsia="仿宋" w:cs="仿宋"/>
          <w:b/>
          <w:bCs/>
          <w:i w:val="0"/>
          <w:iCs w:val="0"/>
          <w:snapToGrid w:val="0"/>
          <w:color w:val="000000"/>
          <w:spacing w:val="6"/>
          <w:kern w:val="0"/>
          <w:position w:val="32"/>
          <w:sz w:val="35"/>
          <w:szCs w:val="35"/>
          <w:u w:val="single"/>
          <w:lang w:eastAsia="en-US"/>
        </w:rPr>
        <w:t>陕西省档案馆</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w:t>
      </w:r>
    </w:p>
    <w:p w14:paraId="07AEF929">
      <w:pPr>
        <w:pStyle w:val="3"/>
        <w:rPr>
          <w:rFonts w:ascii="仿宋" w:hAnsi="仿宋" w:eastAsia="仿宋" w:cs="仿宋"/>
          <w:sz w:val="32"/>
          <w:szCs w:val="36"/>
          <w:highlight w:val="none"/>
        </w:rPr>
      </w:pPr>
    </w:p>
    <w:p w14:paraId="66092A98">
      <w:pPr>
        <w:pStyle w:val="10"/>
      </w:pPr>
    </w:p>
    <w:p w14:paraId="33BC753E">
      <w:pPr>
        <w:pStyle w:val="10"/>
        <w:rPr>
          <w:rFonts w:ascii="仿宋" w:hAnsi="仿宋" w:eastAsia="仿宋" w:cs="仿宋"/>
          <w:sz w:val="28"/>
          <w:szCs w:val="28"/>
          <w:highlight w:val="none"/>
        </w:rPr>
      </w:pPr>
    </w:p>
    <w:p w14:paraId="452A1C10">
      <w:pPr>
        <w:spacing w:line="800" w:lineRule="exact"/>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陕西德仁招标有限公司</w:t>
      </w:r>
    </w:p>
    <w:p w14:paraId="4AD2F57E">
      <w:pPr>
        <w:spacing w:line="800" w:lineRule="exact"/>
        <w:jc w:val="center"/>
        <w:rPr>
          <w:rFonts w:ascii="仿宋" w:hAnsi="仿宋" w:eastAsia="仿宋" w:cs="仿宋"/>
          <w:b/>
          <w:sz w:val="40"/>
          <w:szCs w:val="40"/>
          <w:highlight w:val="none"/>
        </w:rPr>
        <w:sectPr>
          <w:headerReference r:id="rId5" w:type="default"/>
          <w:pgSz w:w="11906" w:h="16838"/>
          <w:pgMar w:top="1440" w:right="1417" w:bottom="1440" w:left="1587" w:header="850" w:footer="992" w:gutter="0"/>
          <w:pgNumType w:fmt="numberInDash" w:start="1"/>
          <w:cols w:space="0" w:num="1"/>
          <w:titlePg/>
          <w:docGrid w:linePitch="312" w:charSpace="0"/>
        </w:sectPr>
      </w:pPr>
      <w:r>
        <w:rPr>
          <w:rFonts w:hint="eastAsia" w:ascii="仿宋" w:hAnsi="仿宋" w:eastAsia="仿宋" w:cs="仿宋"/>
          <w:b/>
          <w:bCs/>
          <w:sz w:val="36"/>
          <w:szCs w:val="36"/>
          <w:highlight w:val="none"/>
        </w:rPr>
        <w:t>二〇二</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年</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月</w:t>
      </w:r>
    </w:p>
    <w:p w14:paraId="18754447">
      <w:pPr>
        <w:tabs>
          <w:tab w:val="left" w:pos="2530"/>
          <w:tab w:val="center" w:pos="4513"/>
        </w:tabs>
        <w:snapToGrid w:val="0"/>
        <w:spacing w:line="360" w:lineRule="auto"/>
        <w:jc w:val="left"/>
        <w:rPr>
          <w:rFonts w:hint="eastAsia" w:ascii="仿宋" w:hAnsi="仿宋" w:eastAsia="仿宋" w:cs="仿宋"/>
          <w:szCs w:val="32"/>
          <w:highlight w:val="none"/>
        </w:rPr>
      </w:pPr>
      <w:r>
        <w:rPr>
          <w:rFonts w:hint="eastAsia" w:ascii="仿宋" w:hAnsi="仿宋" w:eastAsia="仿宋" w:cs="仿宋"/>
          <w:b/>
          <w:bCs/>
          <w:sz w:val="40"/>
          <w:szCs w:val="40"/>
          <w:highlight w:val="none"/>
        </w:rPr>
        <w:tab/>
      </w:r>
      <w:r>
        <w:rPr>
          <w:rFonts w:hint="eastAsia" w:ascii="仿宋" w:hAnsi="仿宋" w:eastAsia="仿宋" w:cs="仿宋"/>
          <w:b/>
          <w:bCs/>
          <w:sz w:val="40"/>
          <w:szCs w:val="40"/>
          <w:highlight w:val="none"/>
        </w:rPr>
        <w:tab/>
      </w:r>
      <w:r>
        <w:rPr>
          <w:rFonts w:hint="eastAsia" w:ascii="仿宋" w:hAnsi="仿宋" w:eastAsia="仿宋" w:cs="仿宋"/>
          <w:b/>
          <w:bCs/>
          <w:sz w:val="40"/>
          <w:szCs w:val="40"/>
          <w:highlight w:val="none"/>
        </w:rPr>
        <w:t>目录</w:t>
      </w:r>
    </w:p>
    <w:p w14:paraId="657C5F6C">
      <w:pPr>
        <w:pStyle w:val="19"/>
        <w:tabs>
          <w:tab w:val="right" w:leader="dot" w:pos="8902"/>
        </w:tabs>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TOC \o "1-2" \h \u </w:instrText>
      </w:r>
      <w:r>
        <w:rPr>
          <w:rFonts w:hint="eastAsia" w:ascii="仿宋" w:hAnsi="仿宋" w:eastAsia="仿宋" w:cs="仿宋"/>
          <w:sz w:val="24"/>
          <w:szCs w:val="24"/>
          <w:highlight w:val="none"/>
        </w:rPr>
        <w:fldChar w:fldCharType="separate"/>
      </w: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_Toc32402 </w:instrText>
      </w:r>
      <w:r>
        <w:rPr>
          <w:rFonts w:hint="eastAsia" w:ascii="仿宋" w:hAnsi="仿宋" w:eastAsia="仿宋" w:cs="仿宋"/>
          <w:szCs w:val="24"/>
          <w:highlight w:val="none"/>
        </w:rPr>
        <w:fldChar w:fldCharType="separate"/>
      </w:r>
      <w:r>
        <w:rPr>
          <w:rFonts w:hint="eastAsia" w:ascii="仿宋" w:hAnsi="仿宋" w:eastAsia="仿宋" w:cs="仿宋"/>
          <w:bCs/>
          <w:kern w:val="44"/>
          <w:szCs w:val="32"/>
          <w:highlight w:val="none"/>
          <w:lang w:val="en-US" w:eastAsia="zh-CN"/>
        </w:rPr>
        <w:t>第一章 竞争性磋商</w:t>
      </w:r>
      <w:r>
        <w:rPr>
          <w:rFonts w:hint="eastAsia" w:ascii="仿宋" w:hAnsi="仿宋" w:eastAsia="仿宋" w:cs="仿宋"/>
          <w:bCs/>
          <w:kern w:val="44"/>
          <w:szCs w:val="32"/>
          <w:highlight w:val="none"/>
        </w:rPr>
        <w:t>公告</w:t>
      </w:r>
      <w:r>
        <w:tab/>
      </w:r>
      <w:r>
        <w:fldChar w:fldCharType="begin"/>
      </w:r>
      <w:r>
        <w:instrText xml:space="preserve"> PAGEREF _Toc32402 \h </w:instrText>
      </w:r>
      <w:r>
        <w:fldChar w:fldCharType="separate"/>
      </w:r>
      <w:r>
        <w:t>- 1 -</w:t>
      </w:r>
      <w:r>
        <w:fldChar w:fldCharType="end"/>
      </w:r>
      <w:r>
        <w:rPr>
          <w:rFonts w:hint="eastAsia" w:ascii="仿宋" w:hAnsi="仿宋" w:eastAsia="仿宋" w:cs="仿宋"/>
          <w:szCs w:val="24"/>
          <w:highlight w:val="none"/>
        </w:rPr>
        <w:fldChar w:fldCharType="end"/>
      </w:r>
    </w:p>
    <w:p w14:paraId="3C4D9E51">
      <w:pPr>
        <w:pStyle w:val="19"/>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_Toc23643 </w:instrText>
      </w:r>
      <w:r>
        <w:rPr>
          <w:rFonts w:hint="eastAsia" w:ascii="仿宋" w:hAnsi="仿宋" w:eastAsia="仿宋" w:cs="仿宋"/>
          <w:szCs w:val="24"/>
          <w:highlight w:val="none"/>
        </w:rPr>
        <w:fldChar w:fldCharType="separate"/>
      </w:r>
      <w:r>
        <w:rPr>
          <w:rFonts w:hint="eastAsia" w:ascii="仿宋" w:hAnsi="仿宋" w:eastAsia="仿宋" w:cs="仿宋"/>
          <w:szCs w:val="32"/>
          <w:highlight w:val="none"/>
        </w:rPr>
        <w:t>第二章  供应商须知</w:t>
      </w:r>
      <w:r>
        <w:rPr>
          <w:rFonts w:hint="eastAsia" w:ascii="仿宋" w:hAnsi="仿宋" w:eastAsia="仿宋" w:cs="仿宋"/>
          <w:szCs w:val="30"/>
          <w:highlight w:val="none"/>
        </w:rPr>
        <w:t>前附表</w:t>
      </w:r>
      <w:r>
        <w:tab/>
      </w:r>
      <w:r>
        <w:fldChar w:fldCharType="begin"/>
      </w:r>
      <w:r>
        <w:instrText xml:space="preserve"> PAGEREF _Toc23643 \h </w:instrText>
      </w:r>
      <w:r>
        <w:fldChar w:fldCharType="separate"/>
      </w:r>
      <w:r>
        <w:t>- 5 -</w:t>
      </w:r>
      <w:r>
        <w:fldChar w:fldCharType="end"/>
      </w:r>
      <w:r>
        <w:rPr>
          <w:rFonts w:hint="eastAsia" w:ascii="仿宋" w:hAnsi="仿宋" w:eastAsia="仿宋" w:cs="仿宋"/>
          <w:szCs w:val="24"/>
          <w:highlight w:val="none"/>
        </w:rPr>
        <w:fldChar w:fldCharType="end"/>
      </w:r>
    </w:p>
    <w:p w14:paraId="3E5E7797">
      <w:pPr>
        <w:pStyle w:val="21"/>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_Toc20127 </w:instrText>
      </w:r>
      <w:r>
        <w:rPr>
          <w:rFonts w:hint="eastAsia" w:ascii="仿宋" w:hAnsi="仿宋" w:eastAsia="仿宋" w:cs="仿宋"/>
          <w:szCs w:val="24"/>
          <w:highlight w:val="none"/>
        </w:rPr>
        <w:fldChar w:fldCharType="separate"/>
      </w:r>
      <w:r>
        <w:rPr>
          <w:rFonts w:hint="eastAsia" w:ascii="仿宋" w:hAnsi="仿宋" w:eastAsia="仿宋" w:cs="仿宋"/>
          <w:szCs w:val="30"/>
          <w:highlight w:val="none"/>
        </w:rPr>
        <w:t>一</w:t>
      </w:r>
      <w:r>
        <w:rPr>
          <w:rFonts w:hint="eastAsia" w:ascii="仿宋" w:hAnsi="仿宋" w:eastAsia="仿宋" w:cs="仿宋"/>
          <w:szCs w:val="30"/>
          <w:highlight w:val="none"/>
          <w:lang w:eastAsia="zh-CN"/>
        </w:rPr>
        <w:t>、</w:t>
      </w:r>
      <w:r>
        <w:rPr>
          <w:rFonts w:hint="eastAsia" w:ascii="仿宋" w:hAnsi="仿宋" w:eastAsia="仿宋" w:cs="仿宋"/>
          <w:szCs w:val="30"/>
          <w:highlight w:val="none"/>
        </w:rPr>
        <w:t>名词解释</w:t>
      </w:r>
      <w:r>
        <w:tab/>
      </w:r>
      <w:r>
        <w:fldChar w:fldCharType="begin"/>
      </w:r>
      <w:r>
        <w:instrText xml:space="preserve"> PAGEREF _Toc20127 \h </w:instrText>
      </w:r>
      <w:r>
        <w:fldChar w:fldCharType="separate"/>
      </w:r>
      <w:r>
        <w:t>- 13 -</w:t>
      </w:r>
      <w:r>
        <w:fldChar w:fldCharType="end"/>
      </w:r>
      <w:r>
        <w:rPr>
          <w:rFonts w:hint="eastAsia" w:ascii="仿宋" w:hAnsi="仿宋" w:eastAsia="仿宋" w:cs="仿宋"/>
          <w:szCs w:val="24"/>
          <w:highlight w:val="none"/>
        </w:rPr>
        <w:fldChar w:fldCharType="end"/>
      </w:r>
    </w:p>
    <w:p w14:paraId="05811C71">
      <w:pPr>
        <w:pStyle w:val="21"/>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_Toc2985 </w:instrText>
      </w:r>
      <w:r>
        <w:rPr>
          <w:rFonts w:hint="eastAsia" w:ascii="仿宋" w:hAnsi="仿宋" w:eastAsia="仿宋" w:cs="仿宋"/>
          <w:szCs w:val="24"/>
          <w:highlight w:val="none"/>
        </w:rPr>
        <w:fldChar w:fldCharType="separate"/>
      </w:r>
      <w:r>
        <w:rPr>
          <w:rFonts w:hint="eastAsia" w:ascii="仿宋" w:hAnsi="仿宋" w:eastAsia="仿宋" w:cs="仿宋"/>
          <w:szCs w:val="30"/>
          <w:highlight w:val="none"/>
        </w:rPr>
        <w:t>二</w:t>
      </w:r>
      <w:r>
        <w:rPr>
          <w:rFonts w:hint="eastAsia" w:ascii="仿宋" w:hAnsi="仿宋" w:eastAsia="仿宋" w:cs="仿宋"/>
          <w:szCs w:val="30"/>
          <w:highlight w:val="none"/>
          <w:lang w:eastAsia="zh-CN"/>
        </w:rPr>
        <w:t>、</w:t>
      </w:r>
      <w:r>
        <w:rPr>
          <w:rFonts w:hint="eastAsia" w:ascii="仿宋" w:hAnsi="仿宋" w:eastAsia="仿宋" w:cs="仿宋"/>
          <w:szCs w:val="30"/>
          <w:highlight w:val="none"/>
        </w:rPr>
        <w:t>磋商供应商</w:t>
      </w:r>
      <w:r>
        <w:tab/>
      </w:r>
      <w:r>
        <w:fldChar w:fldCharType="begin"/>
      </w:r>
      <w:r>
        <w:instrText xml:space="preserve"> PAGEREF _Toc2985 \h </w:instrText>
      </w:r>
      <w:r>
        <w:fldChar w:fldCharType="separate"/>
      </w:r>
      <w:r>
        <w:t>- 13 -</w:t>
      </w:r>
      <w:r>
        <w:fldChar w:fldCharType="end"/>
      </w:r>
      <w:r>
        <w:rPr>
          <w:rFonts w:hint="eastAsia" w:ascii="仿宋" w:hAnsi="仿宋" w:eastAsia="仿宋" w:cs="仿宋"/>
          <w:szCs w:val="24"/>
          <w:highlight w:val="none"/>
        </w:rPr>
        <w:fldChar w:fldCharType="end"/>
      </w:r>
    </w:p>
    <w:p w14:paraId="1C2CB979">
      <w:pPr>
        <w:pStyle w:val="21"/>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_Toc13561 </w:instrText>
      </w:r>
      <w:r>
        <w:rPr>
          <w:rFonts w:hint="eastAsia" w:ascii="仿宋" w:hAnsi="仿宋" w:eastAsia="仿宋" w:cs="仿宋"/>
          <w:szCs w:val="24"/>
          <w:highlight w:val="none"/>
        </w:rPr>
        <w:fldChar w:fldCharType="separate"/>
      </w:r>
      <w:r>
        <w:rPr>
          <w:rFonts w:hint="eastAsia" w:ascii="仿宋" w:hAnsi="仿宋" w:eastAsia="仿宋" w:cs="仿宋"/>
          <w:szCs w:val="30"/>
          <w:highlight w:val="none"/>
        </w:rPr>
        <w:t>三</w:t>
      </w:r>
      <w:r>
        <w:rPr>
          <w:rFonts w:hint="eastAsia" w:ascii="仿宋" w:hAnsi="仿宋" w:eastAsia="仿宋" w:cs="仿宋"/>
          <w:szCs w:val="30"/>
          <w:highlight w:val="none"/>
          <w:lang w:eastAsia="zh-CN"/>
        </w:rPr>
        <w:t>、</w:t>
      </w:r>
      <w:r>
        <w:rPr>
          <w:rFonts w:hint="eastAsia" w:ascii="仿宋" w:hAnsi="仿宋" w:eastAsia="仿宋" w:cs="仿宋"/>
          <w:szCs w:val="30"/>
          <w:highlight w:val="none"/>
        </w:rPr>
        <w:t>磋商文件</w:t>
      </w:r>
      <w:r>
        <w:tab/>
      </w:r>
      <w:r>
        <w:fldChar w:fldCharType="begin"/>
      </w:r>
      <w:r>
        <w:instrText xml:space="preserve"> PAGEREF _Toc13561 \h </w:instrText>
      </w:r>
      <w:r>
        <w:fldChar w:fldCharType="separate"/>
      </w:r>
      <w:r>
        <w:t>- 15 -</w:t>
      </w:r>
      <w:r>
        <w:fldChar w:fldCharType="end"/>
      </w:r>
      <w:r>
        <w:rPr>
          <w:rFonts w:hint="eastAsia" w:ascii="仿宋" w:hAnsi="仿宋" w:eastAsia="仿宋" w:cs="仿宋"/>
          <w:szCs w:val="24"/>
          <w:highlight w:val="none"/>
        </w:rPr>
        <w:fldChar w:fldCharType="end"/>
      </w:r>
    </w:p>
    <w:p w14:paraId="12C4CB63">
      <w:pPr>
        <w:pStyle w:val="21"/>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_Toc1009 </w:instrText>
      </w:r>
      <w:r>
        <w:rPr>
          <w:rFonts w:hint="eastAsia" w:ascii="仿宋" w:hAnsi="仿宋" w:eastAsia="仿宋" w:cs="仿宋"/>
          <w:szCs w:val="24"/>
          <w:highlight w:val="none"/>
        </w:rPr>
        <w:fldChar w:fldCharType="separate"/>
      </w:r>
      <w:r>
        <w:rPr>
          <w:rFonts w:hint="eastAsia" w:ascii="仿宋" w:hAnsi="仿宋" w:eastAsia="仿宋" w:cs="仿宋"/>
          <w:szCs w:val="30"/>
          <w:highlight w:val="none"/>
        </w:rPr>
        <w:t>四</w:t>
      </w:r>
      <w:r>
        <w:rPr>
          <w:rFonts w:hint="eastAsia" w:ascii="仿宋" w:hAnsi="仿宋" w:eastAsia="仿宋" w:cs="仿宋"/>
          <w:szCs w:val="30"/>
          <w:highlight w:val="none"/>
          <w:lang w:eastAsia="zh-CN"/>
        </w:rPr>
        <w:t>、</w:t>
      </w:r>
      <w:r>
        <w:rPr>
          <w:rFonts w:hint="eastAsia" w:ascii="仿宋" w:hAnsi="仿宋" w:eastAsia="仿宋" w:cs="仿宋"/>
          <w:szCs w:val="30"/>
          <w:highlight w:val="none"/>
        </w:rPr>
        <w:t>磋商响应文件的编制</w:t>
      </w:r>
      <w:r>
        <w:tab/>
      </w:r>
      <w:r>
        <w:fldChar w:fldCharType="begin"/>
      </w:r>
      <w:r>
        <w:instrText xml:space="preserve"> PAGEREF _Toc1009 \h </w:instrText>
      </w:r>
      <w:r>
        <w:fldChar w:fldCharType="separate"/>
      </w:r>
      <w:r>
        <w:t>- 16 -</w:t>
      </w:r>
      <w:r>
        <w:fldChar w:fldCharType="end"/>
      </w:r>
      <w:r>
        <w:rPr>
          <w:rFonts w:hint="eastAsia" w:ascii="仿宋" w:hAnsi="仿宋" w:eastAsia="仿宋" w:cs="仿宋"/>
          <w:szCs w:val="24"/>
          <w:highlight w:val="none"/>
        </w:rPr>
        <w:fldChar w:fldCharType="end"/>
      </w:r>
    </w:p>
    <w:p w14:paraId="2241DD26">
      <w:pPr>
        <w:pStyle w:val="21"/>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_Toc12736 </w:instrText>
      </w:r>
      <w:r>
        <w:rPr>
          <w:rFonts w:hint="eastAsia" w:ascii="仿宋" w:hAnsi="仿宋" w:eastAsia="仿宋" w:cs="仿宋"/>
          <w:szCs w:val="24"/>
          <w:highlight w:val="none"/>
        </w:rPr>
        <w:fldChar w:fldCharType="separate"/>
      </w:r>
      <w:r>
        <w:rPr>
          <w:rFonts w:hint="eastAsia" w:ascii="仿宋" w:hAnsi="仿宋" w:eastAsia="仿宋" w:cs="仿宋"/>
          <w:szCs w:val="30"/>
          <w:highlight w:val="none"/>
        </w:rPr>
        <w:t>五</w:t>
      </w:r>
      <w:r>
        <w:rPr>
          <w:rFonts w:hint="eastAsia" w:ascii="仿宋" w:hAnsi="仿宋" w:eastAsia="仿宋" w:cs="仿宋"/>
          <w:szCs w:val="30"/>
          <w:highlight w:val="none"/>
          <w:lang w:eastAsia="zh-CN"/>
        </w:rPr>
        <w:t>、</w:t>
      </w:r>
      <w:r>
        <w:rPr>
          <w:rFonts w:hint="eastAsia" w:ascii="仿宋" w:hAnsi="仿宋" w:eastAsia="仿宋" w:cs="仿宋"/>
          <w:szCs w:val="30"/>
          <w:highlight w:val="none"/>
        </w:rPr>
        <w:t>磋商响应文件封装、递交</w:t>
      </w:r>
      <w:r>
        <w:tab/>
      </w:r>
      <w:r>
        <w:fldChar w:fldCharType="begin"/>
      </w:r>
      <w:r>
        <w:instrText xml:space="preserve"> PAGEREF _Toc12736 \h </w:instrText>
      </w:r>
      <w:r>
        <w:fldChar w:fldCharType="separate"/>
      </w:r>
      <w:r>
        <w:t>- 20 -</w:t>
      </w:r>
      <w:r>
        <w:fldChar w:fldCharType="end"/>
      </w:r>
      <w:r>
        <w:rPr>
          <w:rFonts w:hint="eastAsia" w:ascii="仿宋" w:hAnsi="仿宋" w:eastAsia="仿宋" w:cs="仿宋"/>
          <w:szCs w:val="24"/>
          <w:highlight w:val="none"/>
        </w:rPr>
        <w:fldChar w:fldCharType="end"/>
      </w:r>
    </w:p>
    <w:p w14:paraId="5D18F29E">
      <w:pPr>
        <w:pStyle w:val="21"/>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_Toc9691 </w:instrText>
      </w:r>
      <w:r>
        <w:rPr>
          <w:rFonts w:hint="eastAsia" w:ascii="仿宋" w:hAnsi="仿宋" w:eastAsia="仿宋" w:cs="仿宋"/>
          <w:szCs w:val="24"/>
          <w:highlight w:val="none"/>
        </w:rPr>
        <w:fldChar w:fldCharType="separate"/>
      </w:r>
      <w:r>
        <w:rPr>
          <w:rFonts w:hint="eastAsia" w:ascii="仿宋" w:hAnsi="仿宋" w:eastAsia="仿宋" w:cs="仿宋"/>
          <w:szCs w:val="30"/>
          <w:highlight w:val="none"/>
        </w:rPr>
        <w:t>六</w:t>
      </w:r>
      <w:r>
        <w:rPr>
          <w:rFonts w:hint="eastAsia" w:ascii="仿宋" w:hAnsi="仿宋" w:eastAsia="仿宋" w:cs="仿宋"/>
          <w:szCs w:val="30"/>
          <w:highlight w:val="none"/>
          <w:lang w:eastAsia="zh-CN"/>
        </w:rPr>
        <w:t>、</w:t>
      </w:r>
      <w:r>
        <w:rPr>
          <w:rFonts w:hint="eastAsia" w:ascii="仿宋" w:hAnsi="仿宋" w:eastAsia="仿宋" w:cs="仿宋"/>
          <w:szCs w:val="30"/>
          <w:highlight w:val="none"/>
        </w:rPr>
        <w:t>磋商与评审</w:t>
      </w:r>
      <w:r>
        <w:tab/>
      </w:r>
      <w:r>
        <w:fldChar w:fldCharType="begin"/>
      </w:r>
      <w:r>
        <w:instrText xml:space="preserve"> PAGEREF _Toc9691 \h </w:instrText>
      </w:r>
      <w:r>
        <w:fldChar w:fldCharType="separate"/>
      </w:r>
      <w:r>
        <w:t>- 22 -</w:t>
      </w:r>
      <w:r>
        <w:fldChar w:fldCharType="end"/>
      </w:r>
      <w:r>
        <w:rPr>
          <w:rFonts w:hint="eastAsia" w:ascii="仿宋" w:hAnsi="仿宋" w:eastAsia="仿宋" w:cs="仿宋"/>
          <w:szCs w:val="24"/>
          <w:highlight w:val="none"/>
        </w:rPr>
        <w:fldChar w:fldCharType="end"/>
      </w:r>
    </w:p>
    <w:p w14:paraId="04A8DCD7">
      <w:pPr>
        <w:pStyle w:val="21"/>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_Toc10208 </w:instrText>
      </w:r>
      <w:r>
        <w:rPr>
          <w:rFonts w:hint="eastAsia" w:ascii="仿宋" w:hAnsi="仿宋" w:eastAsia="仿宋" w:cs="仿宋"/>
          <w:szCs w:val="24"/>
          <w:highlight w:val="none"/>
        </w:rPr>
        <w:fldChar w:fldCharType="separate"/>
      </w:r>
      <w:r>
        <w:rPr>
          <w:rFonts w:hint="eastAsia" w:ascii="仿宋" w:hAnsi="仿宋" w:eastAsia="仿宋" w:cs="仿宋"/>
          <w:szCs w:val="30"/>
          <w:highlight w:val="none"/>
        </w:rPr>
        <w:t>七</w:t>
      </w:r>
      <w:r>
        <w:rPr>
          <w:rFonts w:hint="eastAsia" w:ascii="仿宋" w:hAnsi="仿宋" w:eastAsia="仿宋" w:cs="仿宋"/>
          <w:szCs w:val="30"/>
          <w:highlight w:val="none"/>
          <w:lang w:eastAsia="zh-CN"/>
        </w:rPr>
        <w:t>、</w:t>
      </w:r>
      <w:r>
        <w:rPr>
          <w:rFonts w:hint="eastAsia" w:ascii="仿宋" w:hAnsi="仿宋" w:eastAsia="仿宋" w:cs="仿宋"/>
          <w:szCs w:val="30"/>
          <w:highlight w:val="none"/>
        </w:rPr>
        <w:t>确定成交人、成交通知与签约</w:t>
      </w:r>
      <w:r>
        <w:tab/>
      </w:r>
      <w:r>
        <w:fldChar w:fldCharType="begin"/>
      </w:r>
      <w:r>
        <w:instrText xml:space="preserve"> PAGEREF _Toc10208 \h </w:instrText>
      </w:r>
      <w:r>
        <w:fldChar w:fldCharType="separate"/>
      </w:r>
      <w:r>
        <w:t>- 23 -</w:t>
      </w:r>
      <w:r>
        <w:fldChar w:fldCharType="end"/>
      </w:r>
      <w:r>
        <w:rPr>
          <w:rFonts w:hint="eastAsia" w:ascii="仿宋" w:hAnsi="仿宋" w:eastAsia="仿宋" w:cs="仿宋"/>
          <w:szCs w:val="24"/>
          <w:highlight w:val="none"/>
        </w:rPr>
        <w:fldChar w:fldCharType="end"/>
      </w:r>
    </w:p>
    <w:p w14:paraId="4066AC2D">
      <w:pPr>
        <w:pStyle w:val="21"/>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_Toc16897 </w:instrText>
      </w:r>
      <w:r>
        <w:rPr>
          <w:rFonts w:hint="eastAsia" w:ascii="仿宋" w:hAnsi="仿宋" w:eastAsia="仿宋" w:cs="仿宋"/>
          <w:szCs w:val="24"/>
          <w:highlight w:val="none"/>
        </w:rPr>
        <w:fldChar w:fldCharType="separate"/>
      </w:r>
      <w:r>
        <w:rPr>
          <w:rFonts w:hint="eastAsia" w:ascii="仿宋" w:hAnsi="仿宋" w:eastAsia="仿宋" w:cs="仿宋"/>
          <w:szCs w:val="30"/>
          <w:highlight w:val="none"/>
        </w:rPr>
        <w:t>八、其他事项</w:t>
      </w:r>
      <w:r>
        <w:tab/>
      </w:r>
      <w:r>
        <w:fldChar w:fldCharType="begin"/>
      </w:r>
      <w:r>
        <w:instrText xml:space="preserve"> PAGEREF _Toc16897 \h </w:instrText>
      </w:r>
      <w:r>
        <w:fldChar w:fldCharType="separate"/>
      </w:r>
      <w:r>
        <w:t>- 24 -</w:t>
      </w:r>
      <w:r>
        <w:fldChar w:fldCharType="end"/>
      </w:r>
      <w:r>
        <w:rPr>
          <w:rFonts w:hint="eastAsia" w:ascii="仿宋" w:hAnsi="仿宋" w:eastAsia="仿宋" w:cs="仿宋"/>
          <w:szCs w:val="24"/>
          <w:highlight w:val="none"/>
        </w:rPr>
        <w:fldChar w:fldCharType="end"/>
      </w:r>
    </w:p>
    <w:p w14:paraId="6AE003C9">
      <w:pPr>
        <w:pStyle w:val="21"/>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_Toc8572 </w:instrText>
      </w:r>
      <w:r>
        <w:rPr>
          <w:rFonts w:hint="eastAsia" w:ascii="仿宋" w:hAnsi="仿宋" w:eastAsia="仿宋" w:cs="仿宋"/>
          <w:szCs w:val="24"/>
          <w:highlight w:val="none"/>
        </w:rPr>
        <w:fldChar w:fldCharType="separate"/>
      </w:r>
      <w:r>
        <w:rPr>
          <w:rFonts w:hint="eastAsia" w:ascii="仿宋" w:hAnsi="仿宋" w:eastAsia="仿宋" w:cs="仿宋"/>
          <w:szCs w:val="30"/>
          <w:highlight w:val="none"/>
        </w:rPr>
        <w:t>九</w:t>
      </w:r>
      <w:r>
        <w:rPr>
          <w:rFonts w:hint="eastAsia" w:ascii="仿宋" w:hAnsi="仿宋" w:eastAsia="仿宋" w:cs="仿宋"/>
          <w:szCs w:val="30"/>
          <w:highlight w:val="none"/>
          <w:lang w:eastAsia="zh-CN"/>
        </w:rPr>
        <w:t>、</w:t>
      </w:r>
      <w:r>
        <w:rPr>
          <w:rFonts w:hint="eastAsia" w:ascii="仿宋" w:hAnsi="仿宋" w:eastAsia="仿宋" w:cs="仿宋"/>
          <w:szCs w:val="30"/>
          <w:highlight w:val="none"/>
        </w:rPr>
        <w:t>成交服务费</w:t>
      </w:r>
      <w:r>
        <w:tab/>
      </w:r>
      <w:r>
        <w:fldChar w:fldCharType="begin"/>
      </w:r>
      <w:r>
        <w:instrText xml:space="preserve"> PAGEREF _Toc8572 \h </w:instrText>
      </w:r>
      <w:r>
        <w:fldChar w:fldCharType="separate"/>
      </w:r>
      <w:r>
        <w:t>- 25 -</w:t>
      </w:r>
      <w:r>
        <w:fldChar w:fldCharType="end"/>
      </w:r>
      <w:r>
        <w:rPr>
          <w:rFonts w:hint="eastAsia" w:ascii="仿宋" w:hAnsi="仿宋" w:eastAsia="仿宋" w:cs="仿宋"/>
          <w:szCs w:val="24"/>
          <w:highlight w:val="none"/>
        </w:rPr>
        <w:fldChar w:fldCharType="end"/>
      </w:r>
    </w:p>
    <w:p w14:paraId="2340DA28">
      <w:pPr>
        <w:pStyle w:val="21"/>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_Toc3621 </w:instrText>
      </w:r>
      <w:r>
        <w:rPr>
          <w:rFonts w:hint="eastAsia" w:ascii="仿宋" w:hAnsi="仿宋" w:eastAsia="仿宋" w:cs="仿宋"/>
          <w:szCs w:val="24"/>
          <w:highlight w:val="none"/>
        </w:rPr>
        <w:fldChar w:fldCharType="separate"/>
      </w:r>
      <w:r>
        <w:rPr>
          <w:rFonts w:hint="eastAsia" w:ascii="仿宋" w:hAnsi="仿宋" w:eastAsia="仿宋" w:cs="仿宋"/>
          <w:szCs w:val="30"/>
          <w:highlight w:val="none"/>
        </w:rPr>
        <w:t>十</w:t>
      </w:r>
      <w:r>
        <w:rPr>
          <w:rFonts w:hint="eastAsia" w:ascii="仿宋" w:hAnsi="仿宋" w:eastAsia="仿宋" w:cs="仿宋"/>
          <w:szCs w:val="30"/>
          <w:highlight w:val="none"/>
          <w:lang w:eastAsia="zh-CN"/>
        </w:rPr>
        <w:t>、</w:t>
      </w:r>
      <w:r>
        <w:rPr>
          <w:rFonts w:hint="eastAsia" w:ascii="仿宋" w:hAnsi="仿宋" w:eastAsia="仿宋" w:cs="仿宋"/>
          <w:szCs w:val="30"/>
          <w:highlight w:val="none"/>
        </w:rPr>
        <w:t>质疑与投诉</w:t>
      </w:r>
      <w:r>
        <w:tab/>
      </w:r>
      <w:r>
        <w:fldChar w:fldCharType="begin"/>
      </w:r>
      <w:r>
        <w:instrText xml:space="preserve"> PAGEREF _Toc3621 \h </w:instrText>
      </w:r>
      <w:r>
        <w:fldChar w:fldCharType="separate"/>
      </w:r>
      <w:r>
        <w:t>- 25 -</w:t>
      </w:r>
      <w:r>
        <w:fldChar w:fldCharType="end"/>
      </w:r>
      <w:r>
        <w:rPr>
          <w:rFonts w:hint="eastAsia" w:ascii="仿宋" w:hAnsi="仿宋" w:eastAsia="仿宋" w:cs="仿宋"/>
          <w:szCs w:val="24"/>
          <w:highlight w:val="none"/>
        </w:rPr>
        <w:fldChar w:fldCharType="end"/>
      </w:r>
    </w:p>
    <w:p w14:paraId="1799AF2C">
      <w:pPr>
        <w:pStyle w:val="19"/>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_Toc10449 </w:instrText>
      </w:r>
      <w:r>
        <w:rPr>
          <w:rFonts w:hint="eastAsia" w:ascii="仿宋" w:hAnsi="仿宋" w:eastAsia="仿宋" w:cs="仿宋"/>
          <w:szCs w:val="24"/>
          <w:highlight w:val="none"/>
        </w:rPr>
        <w:fldChar w:fldCharType="separate"/>
      </w:r>
      <w:r>
        <w:rPr>
          <w:rFonts w:hint="eastAsia" w:ascii="仿宋" w:hAnsi="仿宋" w:eastAsia="仿宋" w:cs="仿宋"/>
          <w:bCs/>
          <w:szCs w:val="32"/>
          <w:highlight w:val="none"/>
        </w:rPr>
        <w:t>第</w:t>
      </w:r>
      <w:r>
        <w:rPr>
          <w:rFonts w:hint="eastAsia" w:ascii="仿宋" w:hAnsi="仿宋" w:eastAsia="仿宋" w:cs="仿宋"/>
          <w:bCs/>
          <w:szCs w:val="32"/>
          <w:highlight w:val="none"/>
          <w:lang w:val="en-US" w:eastAsia="zh-CN"/>
        </w:rPr>
        <w:t>三</w:t>
      </w:r>
      <w:r>
        <w:rPr>
          <w:rFonts w:hint="eastAsia" w:ascii="仿宋" w:hAnsi="仿宋" w:eastAsia="仿宋" w:cs="仿宋"/>
          <w:bCs/>
          <w:szCs w:val="32"/>
          <w:highlight w:val="none"/>
        </w:rPr>
        <w:t>章  评审办法</w:t>
      </w:r>
      <w:r>
        <w:rPr>
          <w:rFonts w:hint="eastAsia" w:ascii="仿宋" w:hAnsi="仿宋" w:eastAsia="仿宋" w:cs="仿宋"/>
          <w:bCs/>
          <w:szCs w:val="32"/>
          <w:highlight w:val="none"/>
          <w:lang w:val="en-US" w:eastAsia="zh-CN"/>
        </w:rPr>
        <w:t>及标准</w:t>
      </w:r>
      <w:r>
        <w:tab/>
      </w:r>
      <w:r>
        <w:fldChar w:fldCharType="begin"/>
      </w:r>
      <w:r>
        <w:instrText xml:space="preserve"> PAGEREF _Toc10449 \h </w:instrText>
      </w:r>
      <w:r>
        <w:fldChar w:fldCharType="separate"/>
      </w:r>
      <w:r>
        <w:t>- 28 -</w:t>
      </w:r>
      <w:r>
        <w:fldChar w:fldCharType="end"/>
      </w:r>
      <w:r>
        <w:rPr>
          <w:rFonts w:hint="eastAsia" w:ascii="仿宋" w:hAnsi="仿宋" w:eastAsia="仿宋" w:cs="仿宋"/>
          <w:szCs w:val="24"/>
          <w:highlight w:val="none"/>
        </w:rPr>
        <w:fldChar w:fldCharType="end"/>
      </w:r>
    </w:p>
    <w:p w14:paraId="755AFCDE">
      <w:pPr>
        <w:pStyle w:val="19"/>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_Toc24893 </w:instrText>
      </w:r>
      <w:r>
        <w:rPr>
          <w:rFonts w:hint="eastAsia" w:ascii="仿宋" w:hAnsi="仿宋" w:eastAsia="仿宋" w:cs="仿宋"/>
          <w:szCs w:val="24"/>
          <w:highlight w:val="none"/>
        </w:rPr>
        <w:fldChar w:fldCharType="separate"/>
      </w:r>
      <w:r>
        <w:rPr>
          <w:rFonts w:hint="eastAsia" w:ascii="仿宋" w:hAnsi="仿宋" w:eastAsia="仿宋" w:cs="仿宋"/>
          <w:bCs w:val="0"/>
          <w:kern w:val="2"/>
          <w:szCs w:val="32"/>
          <w:highlight w:val="none"/>
        </w:rPr>
        <w:t>第</w:t>
      </w:r>
      <w:r>
        <w:rPr>
          <w:rFonts w:hint="eastAsia" w:ascii="仿宋" w:hAnsi="仿宋" w:eastAsia="仿宋" w:cs="仿宋"/>
          <w:bCs w:val="0"/>
          <w:kern w:val="2"/>
          <w:szCs w:val="32"/>
          <w:highlight w:val="none"/>
          <w:lang w:val="en-US" w:eastAsia="zh-CN"/>
        </w:rPr>
        <w:t>四</w:t>
      </w:r>
      <w:r>
        <w:rPr>
          <w:rFonts w:hint="eastAsia" w:ascii="仿宋" w:hAnsi="仿宋" w:eastAsia="仿宋" w:cs="仿宋"/>
          <w:bCs w:val="0"/>
          <w:kern w:val="2"/>
          <w:szCs w:val="32"/>
          <w:highlight w:val="none"/>
        </w:rPr>
        <w:t xml:space="preserve">章  </w:t>
      </w:r>
      <w:r>
        <w:rPr>
          <w:rFonts w:hint="eastAsia" w:ascii="仿宋" w:hAnsi="仿宋" w:eastAsia="仿宋" w:cs="仿宋"/>
          <w:bCs w:val="0"/>
          <w:kern w:val="2"/>
          <w:szCs w:val="32"/>
          <w:highlight w:val="none"/>
          <w:lang w:val="en-US" w:eastAsia="zh-CN"/>
        </w:rPr>
        <w:t>磋商</w:t>
      </w:r>
      <w:r>
        <w:rPr>
          <w:rFonts w:hint="eastAsia" w:ascii="仿宋" w:hAnsi="仿宋" w:eastAsia="仿宋" w:cs="仿宋"/>
          <w:bCs w:val="0"/>
          <w:kern w:val="2"/>
          <w:szCs w:val="32"/>
          <w:highlight w:val="none"/>
        </w:rPr>
        <w:t>要求及说明</w:t>
      </w:r>
      <w:r>
        <w:tab/>
      </w:r>
      <w:r>
        <w:fldChar w:fldCharType="begin"/>
      </w:r>
      <w:r>
        <w:instrText xml:space="preserve"> PAGEREF _Toc24893 \h </w:instrText>
      </w:r>
      <w:r>
        <w:fldChar w:fldCharType="separate"/>
      </w:r>
      <w:r>
        <w:t>- 39 -</w:t>
      </w:r>
      <w:r>
        <w:fldChar w:fldCharType="end"/>
      </w:r>
      <w:r>
        <w:rPr>
          <w:rFonts w:hint="eastAsia" w:ascii="仿宋" w:hAnsi="仿宋" w:eastAsia="仿宋" w:cs="仿宋"/>
          <w:szCs w:val="24"/>
          <w:highlight w:val="none"/>
        </w:rPr>
        <w:fldChar w:fldCharType="end"/>
      </w:r>
    </w:p>
    <w:p w14:paraId="1BCBEC8F">
      <w:pPr>
        <w:pStyle w:val="19"/>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_Toc16849 </w:instrText>
      </w:r>
      <w:r>
        <w:rPr>
          <w:rFonts w:hint="eastAsia" w:ascii="仿宋" w:hAnsi="仿宋" w:eastAsia="仿宋" w:cs="仿宋"/>
          <w:szCs w:val="24"/>
          <w:highlight w:val="none"/>
        </w:rPr>
        <w:fldChar w:fldCharType="separate"/>
      </w:r>
      <w:r>
        <w:rPr>
          <w:rFonts w:hint="eastAsia" w:ascii="仿宋" w:hAnsi="仿宋" w:eastAsia="仿宋" w:cs="仿宋"/>
          <w:bCs w:val="0"/>
          <w:kern w:val="2"/>
          <w:szCs w:val="32"/>
          <w:highlight w:val="none"/>
        </w:rPr>
        <w:t>第</w:t>
      </w:r>
      <w:r>
        <w:rPr>
          <w:rFonts w:hint="eastAsia" w:ascii="仿宋" w:hAnsi="仿宋" w:eastAsia="仿宋" w:cs="仿宋"/>
          <w:bCs w:val="0"/>
          <w:kern w:val="2"/>
          <w:szCs w:val="32"/>
          <w:highlight w:val="none"/>
          <w:lang w:val="en-US" w:eastAsia="zh-CN"/>
        </w:rPr>
        <w:t>五</w:t>
      </w:r>
      <w:r>
        <w:rPr>
          <w:rFonts w:hint="eastAsia" w:ascii="仿宋" w:hAnsi="仿宋" w:eastAsia="仿宋" w:cs="仿宋"/>
          <w:bCs w:val="0"/>
          <w:kern w:val="2"/>
          <w:szCs w:val="32"/>
          <w:highlight w:val="none"/>
        </w:rPr>
        <w:t>章  商务及合同主要条款</w:t>
      </w:r>
      <w:r>
        <w:tab/>
      </w:r>
      <w:r>
        <w:fldChar w:fldCharType="begin"/>
      </w:r>
      <w:r>
        <w:instrText xml:space="preserve"> PAGEREF _Toc16849 \h </w:instrText>
      </w:r>
      <w:r>
        <w:fldChar w:fldCharType="separate"/>
      </w:r>
      <w:r>
        <w:t>- 42 -</w:t>
      </w:r>
      <w:r>
        <w:fldChar w:fldCharType="end"/>
      </w:r>
      <w:r>
        <w:rPr>
          <w:rFonts w:hint="eastAsia" w:ascii="仿宋" w:hAnsi="仿宋" w:eastAsia="仿宋" w:cs="仿宋"/>
          <w:szCs w:val="24"/>
          <w:highlight w:val="none"/>
        </w:rPr>
        <w:fldChar w:fldCharType="end"/>
      </w:r>
    </w:p>
    <w:p w14:paraId="3418B22A">
      <w:pPr>
        <w:pStyle w:val="19"/>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_Toc10557 </w:instrText>
      </w:r>
      <w:r>
        <w:rPr>
          <w:rFonts w:hint="eastAsia" w:ascii="仿宋" w:hAnsi="仿宋" w:eastAsia="仿宋" w:cs="仿宋"/>
          <w:szCs w:val="24"/>
          <w:highlight w:val="none"/>
        </w:rPr>
        <w:fldChar w:fldCharType="separate"/>
      </w:r>
      <w:r>
        <w:rPr>
          <w:rFonts w:hint="eastAsia" w:ascii="仿宋" w:hAnsi="仿宋" w:eastAsia="仿宋" w:cs="仿宋"/>
          <w:bCs/>
          <w:szCs w:val="32"/>
          <w:highlight w:val="none"/>
        </w:rPr>
        <w:t>第六章  竞争性磋商响应文件格式</w:t>
      </w:r>
      <w:r>
        <w:tab/>
      </w:r>
      <w:r>
        <w:fldChar w:fldCharType="begin"/>
      </w:r>
      <w:r>
        <w:instrText xml:space="preserve"> PAGEREF _Toc10557 \h </w:instrText>
      </w:r>
      <w:r>
        <w:fldChar w:fldCharType="separate"/>
      </w:r>
      <w:r>
        <w:t>- 49 -</w:t>
      </w:r>
      <w:r>
        <w:fldChar w:fldCharType="end"/>
      </w:r>
      <w:r>
        <w:rPr>
          <w:rFonts w:hint="eastAsia" w:ascii="仿宋" w:hAnsi="仿宋" w:eastAsia="仿宋" w:cs="仿宋"/>
          <w:szCs w:val="24"/>
          <w:highlight w:val="none"/>
        </w:rPr>
        <w:fldChar w:fldCharType="end"/>
      </w:r>
    </w:p>
    <w:p w14:paraId="12F17E2B">
      <w:pPr>
        <w:pStyle w:val="21"/>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_Toc16560 </w:instrText>
      </w:r>
      <w:r>
        <w:rPr>
          <w:rFonts w:hint="eastAsia" w:ascii="仿宋" w:hAnsi="仿宋" w:eastAsia="仿宋" w:cs="仿宋"/>
          <w:szCs w:val="24"/>
          <w:highlight w:val="none"/>
        </w:rPr>
        <w:fldChar w:fldCharType="separate"/>
      </w:r>
      <w:r>
        <w:rPr>
          <w:rFonts w:hint="eastAsia" w:ascii="仿宋" w:hAnsi="仿宋" w:eastAsia="仿宋" w:cs="仿宋"/>
          <w:bCs/>
          <w:szCs w:val="30"/>
          <w:highlight w:val="none"/>
        </w:rPr>
        <w:t>一、磋商函</w:t>
      </w:r>
      <w:r>
        <w:tab/>
      </w:r>
      <w:r>
        <w:fldChar w:fldCharType="begin"/>
      </w:r>
      <w:r>
        <w:instrText xml:space="preserve"> PAGEREF _Toc16560 \h </w:instrText>
      </w:r>
      <w:r>
        <w:fldChar w:fldCharType="separate"/>
      </w:r>
      <w:r>
        <w:t>- 50 -</w:t>
      </w:r>
      <w:r>
        <w:fldChar w:fldCharType="end"/>
      </w:r>
      <w:r>
        <w:rPr>
          <w:rFonts w:hint="eastAsia" w:ascii="仿宋" w:hAnsi="仿宋" w:eastAsia="仿宋" w:cs="仿宋"/>
          <w:szCs w:val="24"/>
          <w:highlight w:val="none"/>
        </w:rPr>
        <w:fldChar w:fldCharType="end"/>
      </w:r>
    </w:p>
    <w:p w14:paraId="7042507D">
      <w:pPr>
        <w:pStyle w:val="21"/>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_Toc5540 </w:instrText>
      </w:r>
      <w:r>
        <w:rPr>
          <w:rFonts w:hint="eastAsia" w:ascii="仿宋" w:hAnsi="仿宋" w:eastAsia="仿宋" w:cs="仿宋"/>
          <w:szCs w:val="24"/>
          <w:highlight w:val="none"/>
        </w:rPr>
        <w:fldChar w:fldCharType="separate"/>
      </w:r>
      <w:r>
        <w:rPr>
          <w:rFonts w:hint="eastAsia" w:ascii="仿宋" w:hAnsi="仿宋" w:eastAsia="仿宋" w:cs="仿宋"/>
          <w:bCs/>
          <w:szCs w:val="30"/>
          <w:highlight w:val="none"/>
        </w:rPr>
        <w:t>二、法定代表人身份证明</w:t>
      </w:r>
      <w:r>
        <w:tab/>
      </w:r>
      <w:r>
        <w:fldChar w:fldCharType="begin"/>
      </w:r>
      <w:r>
        <w:instrText xml:space="preserve"> PAGEREF _Toc5540 \h </w:instrText>
      </w:r>
      <w:r>
        <w:fldChar w:fldCharType="separate"/>
      </w:r>
      <w:r>
        <w:t>- 52 -</w:t>
      </w:r>
      <w:r>
        <w:fldChar w:fldCharType="end"/>
      </w:r>
      <w:r>
        <w:rPr>
          <w:rFonts w:hint="eastAsia" w:ascii="仿宋" w:hAnsi="仿宋" w:eastAsia="仿宋" w:cs="仿宋"/>
          <w:szCs w:val="24"/>
          <w:highlight w:val="none"/>
        </w:rPr>
        <w:fldChar w:fldCharType="end"/>
      </w:r>
    </w:p>
    <w:p w14:paraId="2B91BAC9">
      <w:pPr>
        <w:pStyle w:val="21"/>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_Toc30607 </w:instrText>
      </w:r>
      <w:r>
        <w:rPr>
          <w:rFonts w:hint="eastAsia" w:ascii="仿宋" w:hAnsi="仿宋" w:eastAsia="仿宋" w:cs="仿宋"/>
          <w:szCs w:val="24"/>
          <w:highlight w:val="none"/>
        </w:rPr>
        <w:fldChar w:fldCharType="separate"/>
      </w:r>
      <w:r>
        <w:rPr>
          <w:rFonts w:hint="eastAsia" w:ascii="仿宋" w:hAnsi="仿宋" w:eastAsia="仿宋" w:cs="仿宋"/>
          <w:bCs/>
          <w:szCs w:val="30"/>
          <w:highlight w:val="none"/>
        </w:rPr>
        <w:t>三、</w:t>
      </w:r>
      <w:r>
        <w:rPr>
          <w:rFonts w:hint="eastAsia" w:ascii="仿宋" w:hAnsi="仿宋" w:eastAsia="仿宋" w:cs="仿宋"/>
          <w:bCs/>
          <w:szCs w:val="30"/>
          <w:highlight w:val="none"/>
          <w:lang w:val="en-US" w:eastAsia="zh-CN"/>
        </w:rPr>
        <w:t>法定代表人</w:t>
      </w:r>
      <w:r>
        <w:rPr>
          <w:rFonts w:hint="eastAsia" w:ascii="仿宋" w:hAnsi="仿宋" w:eastAsia="仿宋" w:cs="仿宋"/>
          <w:bCs/>
          <w:szCs w:val="30"/>
          <w:highlight w:val="none"/>
        </w:rPr>
        <w:t>授权委托书</w:t>
      </w:r>
      <w:r>
        <w:tab/>
      </w:r>
      <w:r>
        <w:fldChar w:fldCharType="begin"/>
      </w:r>
      <w:r>
        <w:instrText xml:space="preserve"> PAGEREF _Toc30607 \h </w:instrText>
      </w:r>
      <w:r>
        <w:fldChar w:fldCharType="separate"/>
      </w:r>
      <w:r>
        <w:t>- 53 -</w:t>
      </w:r>
      <w:r>
        <w:fldChar w:fldCharType="end"/>
      </w:r>
      <w:r>
        <w:rPr>
          <w:rFonts w:hint="eastAsia" w:ascii="仿宋" w:hAnsi="仿宋" w:eastAsia="仿宋" w:cs="仿宋"/>
          <w:szCs w:val="24"/>
          <w:highlight w:val="none"/>
        </w:rPr>
        <w:fldChar w:fldCharType="end"/>
      </w:r>
    </w:p>
    <w:p w14:paraId="3C64B6AF">
      <w:pPr>
        <w:pStyle w:val="21"/>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_Toc22371 </w:instrText>
      </w:r>
      <w:r>
        <w:rPr>
          <w:rFonts w:hint="eastAsia" w:ascii="仿宋" w:hAnsi="仿宋" w:eastAsia="仿宋" w:cs="仿宋"/>
          <w:szCs w:val="24"/>
          <w:highlight w:val="none"/>
        </w:rPr>
        <w:fldChar w:fldCharType="separate"/>
      </w:r>
      <w:r>
        <w:rPr>
          <w:rFonts w:hint="eastAsia" w:ascii="仿宋" w:hAnsi="仿宋" w:eastAsia="仿宋" w:cs="仿宋"/>
          <w:bCs/>
          <w:szCs w:val="30"/>
          <w:highlight w:val="none"/>
        </w:rPr>
        <w:t>四、报价表（第一次）</w:t>
      </w:r>
      <w:r>
        <w:tab/>
      </w:r>
      <w:r>
        <w:fldChar w:fldCharType="begin"/>
      </w:r>
      <w:r>
        <w:instrText xml:space="preserve"> PAGEREF _Toc22371 \h </w:instrText>
      </w:r>
      <w:r>
        <w:fldChar w:fldCharType="separate"/>
      </w:r>
      <w:r>
        <w:t>- 55 -</w:t>
      </w:r>
      <w:r>
        <w:fldChar w:fldCharType="end"/>
      </w:r>
      <w:r>
        <w:rPr>
          <w:rFonts w:hint="eastAsia" w:ascii="仿宋" w:hAnsi="仿宋" w:eastAsia="仿宋" w:cs="仿宋"/>
          <w:szCs w:val="24"/>
          <w:highlight w:val="none"/>
        </w:rPr>
        <w:fldChar w:fldCharType="end"/>
      </w:r>
    </w:p>
    <w:p w14:paraId="2B10113B">
      <w:pPr>
        <w:pStyle w:val="21"/>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_Toc28507 </w:instrText>
      </w:r>
      <w:r>
        <w:rPr>
          <w:rFonts w:hint="eastAsia" w:ascii="仿宋" w:hAnsi="仿宋" w:eastAsia="仿宋" w:cs="仿宋"/>
          <w:szCs w:val="24"/>
          <w:highlight w:val="none"/>
        </w:rPr>
        <w:fldChar w:fldCharType="separate"/>
      </w:r>
      <w:r>
        <w:rPr>
          <w:rFonts w:hint="eastAsia" w:ascii="仿宋" w:hAnsi="仿宋" w:eastAsia="仿宋" w:cs="仿宋"/>
          <w:bCs/>
          <w:szCs w:val="30"/>
          <w:highlight w:val="none"/>
        </w:rPr>
        <w:t>五、</w:t>
      </w:r>
      <w:r>
        <w:rPr>
          <w:rFonts w:hint="eastAsia" w:ascii="仿宋" w:hAnsi="仿宋" w:eastAsia="仿宋" w:cs="仿宋"/>
          <w:bCs/>
          <w:szCs w:val="30"/>
          <w:highlight w:val="none"/>
          <w:lang w:val="en-US" w:eastAsia="zh-CN"/>
        </w:rPr>
        <w:t>近年</w:t>
      </w:r>
      <w:r>
        <w:rPr>
          <w:rFonts w:hint="eastAsia" w:ascii="仿宋" w:hAnsi="仿宋" w:eastAsia="仿宋" w:cs="仿宋"/>
          <w:bCs/>
          <w:szCs w:val="30"/>
          <w:highlight w:val="none"/>
        </w:rPr>
        <w:t>承接的类似项目情况表</w:t>
      </w:r>
      <w:r>
        <w:tab/>
      </w:r>
      <w:r>
        <w:fldChar w:fldCharType="begin"/>
      </w:r>
      <w:r>
        <w:instrText xml:space="preserve"> PAGEREF _Toc28507 \h </w:instrText>
      </w:r>
      <w:r>
        <w:fldChar w:fldCharType="separate"/>
      </w:r>
      <w:r>
        <w:t>- 57 -</w:t>
      </w:r>
      <w:r>
        <w:fldChar w:fldCharType="end"/>
      </w:r>
      <w:r>
        <w:rPr>
          <w:rFonts w:hint="eastAsia" w:ascii="仿宋" w:hAnsi="仿宋" w:eastAsia="仿宋" w:cs="仿宋"/>
          <w:szCs w:val="24"/>
          <w:highlight w:val="none"/>
        </w:rPr>
        <w:fldChar w:fldCharType="end"/>
      </w:r>
    </w:p>
    <w:p w14:paraId="657A0902">
      <w:pPr>
        <w:pStyle w:val="21"/>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_Toc26761 </w:instrText>
      </w:r>
      <w:r>
        <w:rPr>
          <w:rFonts w:hint="eastAsia" w:ascii="仿宋" w:hAnsi="仿宋" w:eastAsia="仿宋" w:cs="仿宋"/>
          <w:szCs w:val="24"/>
          <w:highlight w:val="none"/>
        </w:rPr>
        <w:fldChar w:fldCharType="separate"/>
      </w:r>
      <w:r>
        <w:rPr>
          <w:rFonts w:hint="eastAsia" w:ascii="仿宋" w:hAnsi="仿宋" w:eastAsia="仿宋" w:cs="仿宋"/>
          <w:bCs/>
          <w:szCs w:val="30"/>
          <w:highlight w:val="none"/>
        </w:rPr>
        <w:t>六、项目实施方案</w:t>
      </w:r>
      <w:r>
        <w:tab/>
      </w:r>
      <w:r>
        <w:fldChar w:fldCharType="begin"/>
      </w:r>
      <w:r>
        <w:instrText xml:space="preserve"> PAGEREF _Toc26761 \h </w:instrText>
      </w:r>
      <w:r>
        <w:fldChar w:fldCharType="separate"/>
      </w:r>
      <w:r>
        <w:t>- 58 -</w:t>
      </w:r>
      <w:r>
        <w:fldChar w:fldCharType="end"/>
      </w:r>
      <w:r>
        <w:rPr>
          <w:rFonts w:hint="eastAsia" w:ascii="仿宋" w:hAnsi="仿宋" w:eastAsia="仿宋" w:cs="仿宋"/>
          <w:szCs w:val="24"/>
          <w:highlight w:val="none"/>
        </w:rPr>
        <w:fldChar w:fldCharType="end"/>
      </w:r>
    </w:p>
    <w:p w14:paraId="5CF9DCE1">
      <w:pPr>
        <w:pStyle w:val="21"/>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_Toc17258 </w:instrText>
      </w:r>
      <w:r>
        <w:rPr>
          <w:rFonts w:hint="eastAsia" w:ascii="仿宋" w:hAnsi="仿宋" w:eastAsia="仿宋" w:cs="仿宋"/>
          <w:szCs w:val="24"/>
          <w:highlight w:val="none"/>
        </w:rPr>
        <w:fldChar w:fldCharType="separate"/>
      </w:r>
      <w:r>
        <w:rPr>
          <w:rFonts w:hint="eastAsia" w:ascii="仿宋" w:hAnsi="仿宋" w:eastAsia="仿宋" w:cs="仿宋"/>
          <w:szCs w:val="32"/>
          <w:lang w:val="en-US" w:eastAsia="zh-CN"/>
        </w:rPr>
        <w:t>七</w:t>
      </w:r>
      <w:r>
        <w:rPr>
          <w:rFonts w:hint="eastAsia" w:ascii="仿宋" w:hAnsi="仿宋" w:eastAsia="仿宋" w:cs="仿宋"/>
          <w:szCs w:val="32"/>
        </w:rPr>
        <w:t>、商务和</w:t>
      </w:r>
      <w:r>
        <w:rPr>
          <w:rFonts w:hint="eastAsia" w:ascii="仿宋" w:hAnsi="仿宋" w:eastAsia="仿宋" w:cs="仿宋"/>
          <w:szCs w:val="32"/>
          <w:lang w:val="en-US" w:eastAsia="zh-CN"/>
        </w:rPr>
        <w:t>服务</w:t>
      </w:r>
      <w:r>
        <w:rPr>
          <w:rFonts w:hint="eastAsia" w:ascii="仿宋" w:hAnsi="仿宋" w:eastAsia="仿宋" w:cs="仿宋"/>
          <w:szCs w:val="32"/>
        </w:rPr>
        <w:t>响应说明</w:t>
      </w:r>
      <w:r>
        <w:tab/>
      </w:r>
      <w:r>
        <w:fldChar w:fldCharType="begin"/>
      </w:r>
      <w:r>
        <w:instrText xml:space="preserve"> PAGEREF _Toc17258 \h </w:instrText>
      </w:r>
      <w:r>
        <w:fldChar w:fldCharType="separate"/>
      </w:r>
      <w:r>
        <w:t>- 61 -</w:t>
      </w:r>
      <w:r>
        <w:fldChar w:fldCharType="end"/>
      </w:r>
      <w:r>
        <w:rPr>
          <w:rFonts w:hint="eastAsia" w:ascii="仿宋" w:hAnsi="仿宋" w:eastAsia="仿宋" w:cs="仿宋"/>
          <w:szCs w:val="24"/>
          <w:highlight w:val="none"/>
        </w:rPr>
        <w:fldChar w:fldCharType="end"/>
      </w:r>
    </w:p>
    <w:p w14:paraId="2AB99301">
      <w:pPr>
        <w:pStyle w:val="21"/>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_Toc627 </w:instrText>
      </w:r>
      <w:r>
        <w:rPr>
          <w:rFonts w:hint="eastAsia" w:ascii="仿宋" w:hAnsi="仿宋" w:eastAsia="仿宋" w:cs="仿宋"/>
          <w:szCs w:val="24"/>
          <w:highlight w:val="none"/>
        </w:rPr>
        <w:fldChar w:fldCharType="separate"/>
      </w:r>
      <w:r>
        <w:rPr>
          <w:rFonts w:hint="eastAsia" w:ascii="仿宋" w:hAnsi="仿宋" w:eastAsia="仿宋" w:cs="仿宋"/>
          <w:bCs/>
          <w:szCs w:val="30"/>
          <w:highlight w:val="none"/>
          <w:lang w:val="en-US" w:eastAsia="zh-CN"/>
        </w:rPr>
        <w:t>八</w:t>
      </w:r>
      <w:r>
        <w:rPr>
          <w:rFonts w:hint="eastAsia" w:ascii="仿宋" w:hAnsi="仿宋" w:eastAsia="仿宋" w:cs="仿宋"/>
          <w:bCs/>
          <w:szCs w:val="30"/>
          <w:highlight w:val="none"/>
        </w:rPr>
        <w:t>、资格证明文件</w:t>
      </w:r>
      <w:r>
        <w:tab/>
      </w:r>
      <w:r>
        <w:fldChar w:fldCharType="begin"/>
      </w:r>
      <w:r>
        <w:instrText xml:space="preserve"> PAGEREF _Toc627 \h </w:instrText>
      </w:r>
      <w:r>
        <w:fldChar w:fldCharType="separate"/>
      </w:r>
      <w:r>
        <w:t>- 63 -</w:t>
      </w:r>
      <w:r>
        <w:fldChar w:fldCharType="end"/>
      </w:r>
      <w:r>
        <w:rPr>
          <w:rFonts w:hint="eastAsia" w:ascii="仿宋" w:hAnsi="仿宋" w:eastAsia="仿宋" w:cs="仿宋"/>
          <w:szCs w:val="24"/>
          <w:highlight w:val="none"/>
        </w:rPr>
        <w:fldChar w:fldCharType="end"/>
      </w:r>
    </w:p>
    <w:p w14:paraId="0C582903">
      <w:pPr>
        <w:pStyle w:val="21"/>
        <w:tabs>
          <w:tab w:val="right" w:leader="dot" w:pos="8902"/>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_Toc11652 </w:instrText>
      </w:r>
      <w:r>
        <w:rPr>
          <w:rFonts w:hint="eastAsia" w:ascii="仿宋" w:hAnsi="仿宋" w:eastAsia="仿宋" w:cs="仿宋"/>
          <w:szCs w:val="24"/>
          <w:highlight w:val="none"/>
        </w:rPr>
        <w:fldChar w:fldCharType="separate"/>
      </w:r>
      <w:r>
        <w:rPr>
          <w:rFonts w:hint="eastAsia" w:ascii="仿宋" w:hAnsi="仿宋" w:eastAsia="仿宋" w:cs="仿宋"/>
          <w:bCs/>
          <w:szCs w:val="30"/>
          <w:highlight w:val="none"/>
          <w:lang w:val="en-US" w:eastAsia="zh-CN"/>
        </w:rPr>
        <w:t>九、其他资料（如有）</w:t>
      </w:r>
      <w:r>
        <w:tab/>
      </w:r>
      <w:r>
        <w:fldChar w:fldCharType="begin"/>
      </w:r>
      <w:r>
        <w:instrText xml:space="preserve"> PAGEREF _Toc11652 \h </w:instrText>
      </w:r>
      <w:r>
        <w:fldChar w:fldCharType="separate"/>
      </w:r>
      <w:r>
        <w:t>- 76 -</w:t>
      </w:r>
      <w:r>
        <w:fldChar w:fldCharType="end"/>
      </w:r>
      <w:r>
        <w:rPr>
          <w:rFonts w:hint="eastAsia" w:ascii="仿宋" w:hAnsi="仿宋" w:eastAsia="仿宋" w:cs="仿宋"/>
          <w:szCs w:val="24"/>
          <w:highlight w:val="none"/>
        </w:rPr>
        <w:fldChar w:fldCharType="end"/>
      </w:r>
    </w:p>
    <w:p w14:paraId="38C8CAAA">
      <w:pPr>
        <w:pStyle w:val="21"/>
        <w:keepNext w:val="0"/>
        <w:keepLines w:val="0"/>
        <w:pageBreakBefore w:val="0"/>
        <w:widowControl w:val="0"/>
        <w:tabs>
          <w:tab w:val="right" w:leader="hyphen" w:pos="9016"/>
        </w:tabs>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b/>
          <w:bCs/>
          <w:kern w:val="44"/>
          <w:sz w:val="32"/>
          <w:szCs w:val="32"/>
          <w:highlight w:val="none"/>
          <w:lang w:val="en-US" w:eastAsia="zh-CN"/>
        </w:rPr>
        <w:sectPr>
          <w:footerReference r:id="rId8" w:type="first"/>
          <w:headerReference r:id="rId6" w:type="default"/>
          <w:footerReference r:id="rId7" w:type="default"/>
          <w:pgSz w:w="11906" w:h="16838"/>
          <w:pgMar w:top="1440" w:right="1417" w:bottom="1440" w:left="1587" w:header="850" w:footer="992" w:gutter="0"/>
          <w:pgNumType w:fmt="numberInDash" w:start="1"/>
          <w:cols w:space="0" w:num="1"/>
          <w:rtlGutter w:val="0"/>
          <w:docGrid w:type="lines" w:linePitch="317" w:charSpace="0"/>
        </w:sectPr>
      </w:pPr>
      <w:r>
        <w:rPr>
          <w:rFonts w:hint="eastAsia" w:ascii="仿宋" w:hAnsi="仿宋" w:eastAsia="仿宋" w:cs="仿宋"/>
          <w:szCs w:val="24"/>
          <w:highlight w:val="none"/>
        </w:rPr>
        <w:fldChar w:fldCharType="end"/>
      </w:r>
    </w:p>
    <w:p w14:paraId="7BE19929">
      <w:pPr>
        <w:pStyle w:val="21"/>
        <w:numPr>
          <w:ilvl w:val="0"/>
          <w:numId w:val="0"/>
        </w:numPr>
        <w:tabs>
          <w:tab w:val="right" w:leader="hyphen" w:pos="9016"/>
        </w:tabs>
        <w:spacing w:line="520" w:lineRule="exact"/>
        <w:jc w:val="center"/>
        <w:outlineLvl w:val="0"/>
        <w:rPr>
          <w:rFonts w:hint="eastAsia" w:ascii="仿宋" w:hAnsi="仿宋" w:eastAsia="仿宋" w:cs="仿宋"/>
          <w:color w:val="auto"/>
          <w:sz w:val="24"/>
          <w:szCs w:val="24"/>
          <w:highlight w:val="yellow"/>
        </w:rPr>
      </w:pPr>
      <w:bookmarkStart w:id="4" w:name="_Toc31183"/>
      <w:bookmarkStart w:id="5" w:name="_Toc32402"/>
      <w:r>
        <w:rPr>
          <w:rFonts w:hint="eastAsia" w:ascii="仿宋" w:hAnsi="仿宋" w:eastAsia="仿宋" w:cs="仿宋"/>
          <w:b/>
          <w:bCs/>
          <w:kern w:val="44"/>
          <w:sz w:val="32"/>
          <w:szCs w:val="32"/>
          <w:highlight w:val="none"/>
          <w:lang w:val="en-US" w:eastAsia="zh-CN"/>
        </w:rPr>
        <w:t>第一章 竞争性磋商</w:t>
      </w:r>
      <w:r>
        <w:rPr>
          <w:rFonts w:hint="eastAsia" w:ascii="仿宋" w:hAnsi="仿宋" w:eastAsia="仿宋" w:cs="仿宋"/>
          <w:b/>
          <w:bCs/>
          <w:kern w:val="44"/>
          <w:sz w:val="32"/>
          <w:szCs w:val="32"/>
          <w:highlight w:val="none"/>
        </w:rPr>
        <w:t>公告</w:t>
      </w:r>
      <w:bookmarkEnd w:id="0"/>
      <w:bookmarkEnd w:id="1"/>
      <w:bookmarkEnd w:id="2"/>
      <w:bookmarkEnd w:id="3"/>
      <w:bookmarkEnd w:id="4"/>
      <w:bookmarkEnd w:id="5"/>
      <w:bookmarkStart w:id="6" w:name="_Toc519156736"/>
      <w:bookmarkStart w:id="7" w:name="_Toc28842"/>
      <w:bookmarkStart w:id="8" w:name="_Toc495908399"/>
      <w:bookmarkStart w:id="9" w:name="_Toc26933"/>
    </w:p>
    <w:p w14:paraId="5A72FE49">
      <w:pPr>
        <w:pStyle w:val="6"/>
        <w:keepNext w:val="0"/>
        <w:keepLines w:val="0"/>
        <w:widowControl/>
        <w:pBdr>
          <w:top w:val="single" w:color="auto" w:sz="4" w:space="0"/>
          <w:left w:val="single" w:color="auto" w:sz="4" w:space="0"/>
          <w:bottom w:val="single" w:color="auto" w:sz="4" w:space="0"/>
          <w:right w:val="single" w:color="auto" w:sz="4" w:space="0"/>
        </w:pBdr>
        <w:wordWrap w:val="0"/>
        <w:spacing w:before="150" w:after="150" w:line="360" w:lineRule="auto"/>
        <w:jc w:val="left"/>
        <w:rPr>
          <w:rFonts w:ascii="仿宋" w:hAnsi="仿宋" w:eastAsia="仿宋" w:cs="仿宋"/>
          <w:b w:val="0"/>
          <w:bCs w:val="0"/>
          <w:highlight w:val="none"/>
        </w:rPr>
      </w:pPr>
      <w:r>
        <w:rPr>
          <w:rStyle w:val="29"/>
          <w:rFonts w:hint="eastAsia" w:ascii="仿宋" w:hAnsi="仿宋" w:eastAsia="仿宋" w:cs="仿宋"/>
          <w:b/>
          <w:bCs/>
          <w:highlight w:val="none"/>
        </w:rPr>
        <w:t>项目概况</w:t>
      </w:r>
    </w:p>
    <w:p w14:paraId="5A696F37">
      <w:pPr>
        <w:pStyle w:val="23"/>
        <w:pBdr>
          <w:top w:val="single" w:color="auto" w:sz="4" w:space="0"/>
          <w:left w:val="single" w:color="auto" w:sz="4" w:space="0"/>
          <w:bottom w:val="single" w:color="auto" w:sz="4" w:space="0"/>
          <w:right w:val="single" w:color="auto" w:sz="4" w:space="0"/>
        </w:pBdr>
        <w:wordWrap w:val="0"/>
        <w:spacing w:before="150" w:beforeAutospacing="0" w:after="150" w:afterAutospacing="0" w:line="360" w:lineRule="auto"/>
        <w:ind w:firstLine="480"/>
        <w:jc w:val="both"/>
        <w:rPr>
          <w:rFonts w:ascii="仿宋" w:hAnsi="仿宋" w:eastAsia="仿宋" w:cs="仿宋"/>
          <w:highlight w:val="none"/>
        </w:rPr>
      </w:pPr>
      <w:r>
        <w:rPr>
          <w:rFonts w:hint="eastAsia" w:ascii="仿宋" w:hAnsi="仿宋" w:eastAsia="仿宋" w:cs="仿宋"/>
          <w:highlight w:val="none"/>
          <w:lang w:eastAsia="zh-CN"/>
        </w:rPr>
        <w:t>《三秦珍档·水润旱塬》纪录片项目</w:t>
      </w:r>
      <w:r>
        <w:rPr>
          <w:rFonts w:hint="eastAsia" w:ascii="仿宋" w:hAnsi="仿宋" w:eastAsia="仿宋" w:cs="仿宋"/>
          <w:highlight w:val="none"/>
        </w:rPr>
        <w:t>的潜在供应商应在西安市唐延路37号class公馆B栋1103室获取采购文件，并于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6</w:t>
      </w:r>
      <w:r>
        <w:rPr>
          <w:rFonts w:hint="eastAsia" w:ascii="仿宋" w:hAnsi="仿宋" w:eastAsia="仿宋" w:cs="仿宋"/>
          <w:highlight w:val="none"/>
        </w:rPr>
        <w:t>月</w:t>
      </w:r>
      <w:r>
        <w:rPr>
          <w:rFonts w:hint="eastAsia" w:ascii="仿宋" w:hAnsi="仿宋" w:eastAsia="仿宋" w:cs="仿宋"/>
          <w:highlight w:val="none"/>
          <w:lang w:val="en-US" w:eastAsia="zh-CN"/>
        </w:rPr>
        <w:t>11</w:t>
      </w:r>
      <w:r>
        <w:rPr>
          <w:rFonts w:hint="eastAsia" w:ascii="仿宋" w:hAnsi="仿宋" w:eastAsia="仿宋" w:cs="仿宋"/>
          <w:highlight w:val="none"/>
        </w:rPr>
        <w:t xml:space="preserve">日 </w:t>
      </w:r>
      <w:r>
        <w:rPr>
          <w:rFonts w:hint="eastAsia" w:ascii="仿宋" w:hAnsi="仿宋" w:eastAsia="仿宋" w:cs="仿宋"/>
          <w:highlight w:val="none"/>
          <w:lang w:val="en-US" w:eastAsia="zh-CN"/>
        </w:rPr>
        <w:t>14</w:t>
      </w:r>
      <w:r>
        <w:rPr>
          <w:rFonts w:hint="eastAsia" w:ascii="仿宋" w:hAnsi="仿宋" w:eastAsia="仿宋" w:cs="仿宋"/>
          <w:highlight w:val="none"/>
        </w:rPr>
        <w:t>时</w:t>
      </w:r>
      <w:r>
        <w:rPr>
          <w:rFonts w:hint="eastAsia" w:ascii="仿宋" w:hAnsi="仿宋" w:eastAsia="仿宋" w:cs="仿宋"/>
          <w:highlight w:val="none"/>
          <w:lang w:val="en-US" w:eastAsia="zh-CN"/>
        </w:rPr>
        <w:t>00</w:t>
      </w:r>
      <w:r>
        <w:rPr>
          <w:rFonts w:hint="eastAsia" w:ascii="仿宋" w:hAnsi="仿宋" w:eastAsia="仿宋" w:cs="仿宋"/>
          <w:highlight w:val="none"/>
        </w:rPr>
        <w:t>分（北京时间）前提交响应文件。</w:t>
      </w:r>
    </w:p>
    <w:p w14:paraId="43C2BFA6">
      <w:pPr>
        <w:pStyle w:val="5"/>
        <w:keepNext w:val="0"/>
        <w:keepLines w:val="0"/>
        <w:widowControl/>
        <w:wordWrap w:val="0"/>
        <w:spacing w:before="150" w:after="0" w:line="360" w:lineRule="auto"/>
        <w:jc w:val="left"/>
        <w:rPr>
          <w:rFonts w:ascii="仿宋" w:hAnsi="仿宋" w:eastAsia="仿宋" w:cs="仿宋"/>
          <w:b w:val="0"/>
          <w:sz w:val="24"/>
          <w:highlight w:val="none"/>
        </w:rPr>
      </w:pPr>
      <w:r>
        <w:rPr>
          <w:rStyle w:val="29"/>
          <w:rFonts w:hint="eastAsia" w:ascii="仿宋" w:hAnsi="仿宋" w:eastAsia="仿宋" w:cs="仿宋"/>
          <w:b/>
          <w:spacing w:val="0"/>
          <w:sz w:val="24"/>
          <w:highlight w:val="none"/>
        </w:rPr>
        <w:t>一、项目基本情况</w:t>
      </w:r>
    </w:p>
    <w:p w14:paraId="48337EF7">
      <w:pPr>
        <w:pStyle w:val="23"/>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 xml:space="preserve">项目编号：DRZB2025-ZC-131 </w:t>
      </w:r>
    </w:p>
    <w:p w14:paraId="499F1864">
      <w:pPr>
        <w:pStyle w:val="23"/>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项目名称：</w:t>
      </w:r>
      <w:r>
        <w:rPr>
          <w:rFonts w:hint="eastAsia" w:ascii="仿宋" w:hAnsi="仿宋" w:eastAsia="仿宋" w:cs="仿宋"/>
          <w:highlight w:val="none"/>
          <w:lang w:eastAsia="zh-CN"/>
        </w:rPr>
        <w:t>《三秦珍档·水润旱塬》纪录片项目</w:t>
      </w:r>
    </w:p>
    <w:p w14:paraId="194507FA">
      <w:pPr>
        <w:pStyle w:val="23"/>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采购方式：竞争性磋商</w:t>
      </w:r>
    </w:p>
    <w:p w14:paraId="6A94AD18">
      <w:pPr>
        <w:pStyle w:val="23"/>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316200</w:t>
      </w:r>
      <w:r>
        <w:rPr>
          <w:rFonts w:hint="eastAsia" w:ascii="仿宋" w:hAnsi="仿宋" w:eastAsia="仿宋" w:cs="仿宋"/>
          <w:highlight w:val="none"/>
          <w:lang w:eastAsia="zh-CN"/>
        </w:rPr>
        <w:t>.00</w:t>
      </w:r>
      <w:r>
        <w:rPr>
          <w:rFonts w:hint="eastAsia" w:ascii="仿宋" w:hAnsi="仿宋" w:eastAsia="仿宋" w:cs="仿宋"/>
          <w:highlight w:val="none"/>
        </w:rPr>
        <w:t>元</w:t>
      </w:r>
    </w:p>
    <w:p w14:paraId="4CDF7428">
      <w:pPr>
        <w:pStyle w:val="23"/>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采购需求：</w:t>
      </w:r>
    </w:p>
    <w:p w14:paraId="6B2536DB">
      <w:pPr>
        <w:pStyle w:val="23"/>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合同包1(</w:t>
      </w:r>
      <w:r>
        <w:rPr>
          <w:rFonts w:hint="eastAsia" w:ascii="仿宋" w:hAnsi="仿宋" w:eastAsia="仿宋" w:cs="仿宋"/>
          <w:highlight w:val="none"/>
          <w:lang w:eastAsia="zh-CN"/>
        </w:rPr>
        <w:t>《三秦珍档·水润旱塬》纪录片项目</w:t>
      </w:r>
      <w:r>
        <w:rPr>
          <w:rFonts w:hint="eastAsia" w:ascii="仿宋" w:hAnsi="仿宋" w:eastAsia="仿宋" w:cs="仿宋"/>
          <w:highlight w:val="none"/>
        </w:rPr>
        <w:t>):</w:t>
      </w:r>
    </w:p>
    <w:p w14:paraId="2BC2884C">
      <w:pPr>
        <w:pStyle w:val="23"/>
        <w:wordWrap w:val="0"/>
        <w:spacing w:beforeAutospacing="0" w:afterAutospacing="0" w:line="360" w:lineRule="auto"/>
        <w:ind w:firstLine="630"/>
        <w:jc w:val="both"/>
        <w:rPr>
          <w:rFonts w:ascii="仿宋" w:hAnsi="仿宋" w:eastAsia="仿宋" w:cs="仿宋"/>
          <w:highlight w:val="none"/>
        </w:rPr>
      </w:pPr>
      <w:r>
        <w:rPr>
          <w:rFonts w:hint="eastAsia" w:ascii="仿宋" w:hAnsi="仿宋" w:eastAsia="仿宋" w:cs="仿宋"/>
          <w:highlight w:val="none"/>
        </w:rPr>
        <w:t>合同包预算金额：</w:t>
      </w:r>
      <w:r>
        <w:rPr>
          <w:rFonts w:hint="eastAsia" w:ascii="仿宋" w:hAnsi="仿宋" w:eastAsia="仿宋" w:cs="仿宋"/>
          <w:highlight w:val="none"/>
          <w:lang w:val="en-US" w:eastAsia="zh-CN"/>
        </w:rPr>
        <w:t>316200</w:t>
      </w:r>
      <w:r>
        <w:rPr>
          <w:rFonts w:hint="eastAsia" w:ascii="仿宋" w:hAnsi="仿宋" w:eastAsia="仿宋" w:cs="仿宋"/>
          <w:highlight w:val="none"/>
          <w:lang w:eastAsia="zh-CN"/>
        </w:rPr>
        <w:t>.00</w:t>
      </w:r>
      <w:r>
        <w:rPr>
          <w:rFonts w:hint="eastAsia" w:ascii="仿宋" w:hAnsi="仿宋" w:eastAsia="仿宋" w:cs="仿宋"/>
          <w:highlight w:val="none"/>
        </w:rPr>
        <w:t>元</w:t>
      </w:r>
    </w:p>
    <w:p w14:paraId="598AA7CF">
      <w:pPr>
        <w:pStyle w:val="23"/>
        <w:wordWrap w:val="0"/>
        <w:spacing w:beforeAutospacing="0" w:afterAutospacing="0" w:line="360" w:lineRule="auto"/>
        <w:ind w:firstLine="630"/>
        <w:jc w:val="both"/>
        <w:rPr>
          <w:rFonts w:ascii="仿宋" w:hAnsi="仿宋" w:eastAsia="仿宋" w:cs="仿宋"/>
          <w:highlight w:val="none"/>
        </w:rPr>
      </w:pPr>
      <w:r>
        <w:rPr>
          <w:rFonts w:hint="eastAsia" w:ascii="仿宋" w:hAnsi="仿宋" w:eastAsia="仿宋" w:cs="仿宋"/>
          <w:highlight w:val="none"/>
        </w:rPr>
        <w:t>合同包最高限价：</w:t>
      </w:r>
      <w:r>
        <w:rPr>
          <w:rFonts w:hint="eastAsia" w:ascii="仿宋" w:hAnsi="仿宋" w:eastAsia="仿宋" w:cs="仿宋"/>
          <w:highlight w:val="none"/>
          <w:lang w:val="en-US" w:eastAsia="zh-CN"/>
        </w:rPr>
        <w:t>316200</w:t>
      </w:r>
      <w:r>
        <w:rPr>
          <w:rFonts w:hint="eastAsia" w:ascii="仿宋" w:hAnsi="仿宋" w:eastAsia="仿宋" w:cs="仿宋"/>
          <w:highlight w:val="none"/>
          <w:lang w:eastAsia="zh-CN"/>
        </w:rPr>
        <w:t>.00</w:t>
      </w:r>
      <w:r>
        <w:rPr>
          <w:rFonts w:hint="eastAsia" w:ascii="仿宋" w:hAnsi="仿宋" w:eastAsia="仿宋" w:cs="仿宋"/>
          <w:highlight w:val="none"/>
        </w:rPr>
        <w:t>元</w:t>
      </w:r>
    </w:p>
    <w:tbl>
      <w:tblPr>
        <w:tblStyle w:val="26"/>
        <w:tblW w:w="92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24"/>
        <w:gridCol w:w="979"/>
        <w:gridCol w:w="1718"/>
        <w:gridCol w:w="1221"/>
        <w:gridCol w:w="1687"/>
        <w:gridCol w:w="1488"/>
        <w:gridCol w:w="1500"/>
      </w:tblGrid>
      <w:tr w14:paraId="524264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74" w:hRule="atLeast"/>
          <w:tblHeader/>
          <w:jc w:val="center"/>
        </w:trPr>
        <w:tc>
          <w:tcPr>
            <w:tcW w:w="6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FCA2DE">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品目号</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BE971E">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品目名称</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DB7E69">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采购标的</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F460C7">
            <w:pPr>
              <w:widowControl/>
              <w:wordWrap w:val="0"/>
              <w:spacing w:line="360" w:lineRule="auto"/>
              <w:jc w:val="center"/>
              <w:rPr>
                <w:rFonts w:hint="eastAsia" w:ascii="仿宋" w:hAnsi="仿宋" w:eastAsia="仿宋" w:cs="仿宋"/>
                <w:b/>
                <w:bCs/>
                <w:kern w:val="0"/>
                <w:highlight w:val="none"/>
                <w:lang w:bidi="ar"/>
              </w:rPr>
            </w:pPr>
            <w:r>
              <w:rPr>
                <w:rFonts w:hint="eastAsia" w:ascii="仿宋" w:hAnsi="仿宋" w:eastAsia="仿宋" w:cs="仿宋"/>
                <w:b/>
                <w:bCs/>
                <w:kern w:val="0"/>
                <w:highlight w:val="none"/>
                <w:lang w:bidi="ar"/>
              </w:rPr>
              <w:t>数量</w:t>
            </w:r>
          </w:p>
          <w:p w14:paraId="7B613520">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（单位）</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7AE6DA">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技术规格、参数及要求</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561F56">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369CDA">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最高限价(元)</w:t>
            </w:r>
          </w:p>
        </w:tc>
      </w:tr>
      <w:tr w14:paraId="37AEE9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8" w:hRule="atLeast"/>
          <w:jc w:val="center"/>
        </w:trPr>
        <w:tc>
          <w:tcPr>
            <w:tcW w:w="6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464B97">
            <w:pPr>
              <w:widowControl/>
              <w:wordWrap w:val="0"/>
              <w:spacing w:line="360" w:lineRule="auto"/>
              <w:jc w:val="center"/>
              <w:rPr>
                <w:rFonts w:ascii="仿宋" w:hAnsi="仿宋" w:eastAsia="仿宋" w:cs="仿宋"/>
                <w:highlight w:val="none"/>
              </w:rPr>
            </w:pPr>
            <w:r>
              <w:rPr>
                <w:rFonts w:hint="eastAsia" w:ascii="仿宋" w:hAnsi="仿宋" w:eastAsia="仿宋" w:cs="仿宋"/>
                <w:kern w:val="0"/>
                <w:highlight w:val="none"/>
                <w:lang w:bidi="ar"/>
              </w:rPr>
              <w:t>1-1</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0282A3">
            <w:pPr>
              <w:widowControl/>
              <w:wordWrap w:val="0"/>
              <w:spacing w:line="360" w:lineRule="auto"/>
              <w:jc w:val="center"/>
              <w:rPr>
                <w:rFonts w:hint="eastAsia" w:ascii="仿宋" w:hAnsi="仿宋" w:eastAsia="仿宋" w:cs="仿宋"/>
                <w:kern w:val="0"/>
                <w:highlight w:val="none"/>
                <w:lang w:eastAsia="zh-CN"/>
              </w:rPr>
            </w:pPr>
            <w:r>
              <w:rPr>
                <w:rFonts w:hint="eastAsia" w:ascii="仿宋" w:hAnsi="仿宋" w:eastAsia="仿宋" w:cs="仿宋"/>
                <w:highlight w:val="none"/>
                <w:lang w:eastAsia="zh-CN"/>
              </w:rPr>
              <w:t>图书馆和档案馆服务</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AAE6F2">
            <w:pPr>
              <w:widowControl/>
              <w:wordWrap w:val="0"/>
              <w:spacing w:line="360" w:lineRule="auto"/>
              <w:jc w:val="center"/>
              <w:rPr>
                <w:rFonts w:ascii="仿宋" w:hAnsi="仿宋" w:eastAsia="仿宋" w:cs="仿宋"/>
                <w:kern w:val="0"/>
                <w:highlight w:val="none"/>
              </w:rPr>
            </w:pPr>
            <w:r>
              <w:rPr>
                <w:rFonts w:hint="eastAsia" w:ascii="仿宋" w:hAnsi="仿宋" w:eastAsia="仿宋" w:cs="仿宋"/>
                <w:highlight w:val="none"/>
                <w:lang w:eastAsia="zh-CN"/>
              </w:rPr>
              <w:t>《三秦珍档·水润旱塬》纪录片项目</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FCC621">
            <w:pPr>
              <w:widowControl/>
              <w:wordWrap w:val="0"/>
              <w:spacing w:line="360" w:lineRule="auto"/>
              <w:jc w:val="center"/>
              <w:rPr>
                <w:rFonts w:ascii="仿宋" w:hAnsi="仿宋" w:eastAsia="仿宋" w:cs="仿宋"/>
                <w:highlight w:val="none"/>
              </w:rPr>
            </w:pPr>
            <w:r>
              <w:rPr>
                <w:rFonts w:hint="eastAsia" w:ascii="仿宋" w:hAnsi="仿宋" w:eastAsia="仿宋" w:cs="仿宋"/>
                <w:kern w:val="0"/>
                <w:highlight w:val="none"/>
                <w:lang w:bidi="ar"/>
              </w:rPr>
              <w:t>1(项)</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A8B074">
            <w:pPr>
              <w:widowControl/>
              <w:wordWrap w:val="0"/>
              <w:spacing w:line="360" w:lineRule="auto"/>
              <w:jc w:val="center"/>
              <w:rPr>
                <w:rFonts w:ascii="仿宋" w:hAnsi="仿宋" w:eastAsia="仿宋" w:cs="仿宋"/>
                <w:highlight w:val="none"/>
              </w:rPr>
            </w:pPr>
            <w:r>
              <w:rPr>
                <w:rFonts w:hint="eastAsia" w:ascii="仿宋" w:hAnsi="仿宋" w:eastAsia="仿宋" w:cs="仿宋"/>
                <w:highlight w:val="none"/>
                <w:lang w:eastAsia="zh-CN"/>
              </w:rPr>
              <w:t>《三秦珍档·水润旱塬》纪录片项目，</w:t>
            </w:r>
            <w:r>
              <w:rPr>
                <w:rFonts w:hint="eastAsia" w:ascii="仿宋" w:hAnsi="仿宋" w:eastAsia="仿宋" w:cs="仿宋"/>
                <w:kern w:val="0"/>
                <w:highlight w:val="none"/>
                <w:lang w:bidi="ar"/>
              </w:rPr>
              <w:t>详见采购文件</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6A7337">
            <w:pPr>
              <w:widowControl/>
              <w:wordWrap w:val="0"/>
              <w:spacing w:line="360" w:lineRule="auto"/>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316200</w:t>
            </w:r>
            <w:r>
              <w:rPr>
                <w:rFonts w:hint="eastAsia" w:ascii="仿宋" w:hAnsi="仿宋" w:eastAsia="仿宋" w:cs="仿宋"/>
                <w:highlight w:val="none"/>
                <w:lang w:eastAsia="zh-CN"/>
              </w:rPr>
              <w:t>.00</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3DCF0E">
            <w:pPr>
              <w:widowControl/>
              <w:wordWrap w:val="0"/>
              <w:spacing w:line="360" w:lineRule="auto"/>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316200</w:t>
            </w:r>
            <w:r>
              <w:rPr>
                <w:rFonts w:hint="eastAsia" w:ascii="仿宋" w:hAnsi="仿宋" w:eastAsia="仿宋" w:cs="仿宋"/>
                <w:highlight w:val="none"/>
                <w:lang w:eastAsia="zh-CN"/>
              </w:rPr>
              <w:t>.00</w:t>
            </w:r>
          </w:p>
        </w:tc>
      </w:tr>
    </w:tbl>
    <w:p w14:paraId="213B6402">
      <w:pPr>
        <w:pStyle w:val="23"/>
        <w:wordWrap w:val="0"/>
        <w:spacing w:beforeAutospacing="0" w:afterAutospacing="0" w:line="360" w:lineRule="auto"/>
        <w:ind w:firstLine="630"/>
        <w:jc w:val="both"/>
        <w:rPr>
          <w:rFonts w:ascii="仿宋" w:hAnsi="仿宋" w:eastAsia="仿宋" w:cs="仿宋"/>
          <w:highlight w:val="none"/>
        </w:rPr>
      </w:pPr>
      <w:r>
        <w:rPr>
          <w:rFonts w:hint="eastAsia" w:ascii="仿宋" w:hAnsi="仿宋" w:eastAsia="仿宋" w:cs="仿宋"/>
          <w:highlight w:val="none"/>
        </w:rPr>
        <w:t>本合同包不接受联合体投标</w:t>
      </w:r>
    </w:p>
    <w:p w14:paraId="2765325D">
      <w:pPr>
        <w:pStyle w:val="23"/>
        <w:wordWrap w:val="0"/>
        <w:spacing w:beforeAutospacing="0" w:afterAutospacing="0" w:line="360" w:lineRule="auto"/>
        <w:ind w:firstLine="630"/>
        <w:jc w:val="both"/>
        <w:rPr>
          <w:rFonts w:hint="eastAsia" w:ascii="仿宋" w:hAnsi="仿宋" w:eastAsia="仿宋" w:cs="仿宋"/>
          <w:highlight w:val="none"/>
          <w:lang w:val="en-US" w:eastAsia="zh-CN"/>
        </w:rPr>
      </w:pPr>
      <w:r>
        <w:rPr>
          <w:rFonts w:hint="eastAsia" w:ascii="仿宋" w:hAnsi="仿宋" w:eastAsia="仿宋" w:cs="仿宋"/>
          <w:highlight w:val="none"/>
        </w:rPr>
        <w:t>合同履行期限：2025年10月31日前完成</w:t>
      </w:r>
      <w:r>
        <w:rPr>
          <w:rFonts w:hint="eastAsia" w:ascii="仿宋" w:hAnsi="仿宋" w:eastAsia="仿宋" w:cs="仿宋"/>
          <w:highlight w:val="none"/>
          <w:lang w:val="en-US" w:eastAsia="zh-CN"/>
        </w:rPr>
        <w:t>。</w:t>
      </w:r>
    </w:p>
    <w:p w14:paraId="37E82358">
      <w:pPr>
        <w:pStyle w:val="5"/>
        <w:keepNext w:val="0"/>
        <w:keepLines w:val="0"/>
        <w:widowControl/>
        <w:wordWrap w:val="0"/>
        <w:spacing w:before="150" w:after="0" w:line="360" w:lineRule="auto"/>
        <w:jc w:val="left"/>
        <w:rPr>
          <w:rFonts w:ascii="仿宋" w:hAnsi="仿宋" w:eastAsia="仿宋" w:cs="仿宋"/>
          <w:b w:val="0"/>
          <w:sz w:val="24"/>
          <w:highlight w:val="none"/>
        </w:rPr>
      </w:pPr>
      <w:r>
        <w:rPr>
          <w:rStyle w:val="29"/>
          <w:rFonts w:hint="eastAsia" w:ascii="仿宋" w:hAnsi="仿宋" w:eastAsia="仿宋" w:cs="仿宋"/>
          <w:b/>
          <w:spacing w:val="0"/>
          <w:sz w:val="24"/>
          <w:highlight w:val="none"/>
        </w:rPr>
        <w:t>二、申请人的资格要求：</w:t>
      </w:r>
    </w:p>
    <w:p w14:paraId="1F9C09DA">
      <w:pPr>
        <w:pStyle w:val="23"/>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1.满足《中华人民共和国政府釆购法》第二十二条规定;</w:t>
      </w:r>
    </w:p>
    <w:p w14:paraId="1C253964">
      <w:pPr>
        <w:pStyle w:val="23"/>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2.落实政府采购政策需满足的资格要求：</w:t>
      </w:r>
    </w:p>
    <w:p w14:paraId="61263D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sz w:val="24"/>
          <w:szCs w:val="24"/>
          <w:highlight w:val="none"/>
        </w:rPr>
        <w:t>合同包1(</w:t>
      </w:r>
      <w:r>
        <w:rPr>
          <w:rFonts w:hint="eastAsia" w:ascii="仿宋" w:hAnsi="仿宋" w:eastAsia="仿宋" w:cs="仿宋"/>
          <w:sz w:val="24"/>
          <w:szCs w:val="24"/>
          <w:highlight w:val="none"/>
          <w:lang w:eastAsia="zh-CN"/>
        </w:rPr>
        <w:t>《三秦珍档·水润旱塬》纪录片项目</w:t>
      </w:r>
      <w:r>
        <w:rPr>
          <w:rFonts w:hint="eastAsia" w:ascii="仿宋" w:hAnsi="仿宋" w:eastAsia="仿宋" w:cs="仿宋"/>
          <w:sz w:val="24"/>
          <w:szCs w:val="24"/>
          <w:highlight w:val="none"/>
        </w:rPr>
        <w:t>)落实政府采购政策需满足的资格要求如下:</w:t>
      </w:r>
      <w:r>
        <w:rPr>
          <w:rFonts w:hint="eastAsia" w:ascii="仿宋" w:hAnsi="仿宋" w:eastAsia="仿宋" w:cs="仿宋"/>
          <w:i w:val="0"/>
          <w:iCs w:val="0"/>
          <w:caps w:val="0"/>
          <w:color w:val="auto"/>
          <w:spacing w:val="0"/>
          <w:sz w:val="24"/>
          <w:szCs w:val="24"/>
          <w:highlight w:val="none"/>
          <w:lang w:eastAsia="zh-CN"/>
        </w:rPr>
        <w:t>本项目专门面向中小企业采购。</w:t>
      </w:r>
    </w:p>
    <w:p w14:paraId="21C3ED91">
      <w:pPr>
        <w:pStyle w:val="23"/>
        <w:wordWrap w:val="0"/>
        <w:spacing w:beforeAutospacing="0" w:afterAutospacing="0" w:line="360" w:lineRule="auto"/>
        <w:ind w:firstLine="480"/>
        <w:jc w:val="both"/>
        <w:rPr>
          <w:rFonts w:ascii="仿宋" w:hAnsi="仿宋" w:eastAsia="仿宋" w:cs="仿宋"/>
          <w:sz w:val="24"/>
          <w:szCs w:val="24"/>
          <w:highlight w:val="none"/>
        </w:rPr>
      </w:pPr>
      <w:r>
        <w:rPr>
          <w:rFonts w:hint="eastAsia" w:ascii="仿宋" w:hAnsi="仿宋" w:eastAsia="仿宋" w:cs="仿宋"/>
          <w:sz w:val="24"/>
          <w:szCs w:val="24"/>
          <w:highlight w:val="none"/>
        </w:rPr>
        <w:t>3.本项目的特定资格要求：</w:t>
      </w:r>
    </w:p>
    <w:p w14:paraId="0D6FE831">
      <w:pPr>
        <w:pStyle w:val="23"/>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合同包1(</w:t>
      </w:r>
      <w:r>
        <w:rPr>
          <w:rFonts w:hint="eastAsia" w:ascii="仿宋" w:hAnsi="仿宋" w:eastAsia="仿宋" w:cs="仿宋"/>
          <w:highlight w:val="none"/>
          <w:lang w:eastAsia="zh-CN"/>
        </w:rPr>
        <w:t>《三秦珍档·水润旱塬》纪录片项目</w:t>
      </w:r>
      <w:r>
        <w:rPr>
          <w:rFonts w:hint="eastAsia" w:ascii="仿宋" w:hAnsi="仿宋" w:eastAsia="仿宋" w:cs="仿宋"/>
          <w:highlight w:val="none"/>
        </w:rPr>
        <w:t>)特定资格要求如下:</w:t>
      </w:r>
    </w:p>
    <w:p w14:paraId="0AF8A4C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67880B9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2、财务状况报告：提供2023年或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4352AF5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0675AED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p>
    <w:p w14:paraId="2979ED1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5、提供具有履行本合同所必需的专业技术能力的书面声明。</w:t>
      </w:r>
    </w:p>
    <w:p w14:paraId="10E55AA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6、参加本次政府采购活动前3年内在经营活动中没有重大违纪，以及未被列入失信被执行人、重大税收违法失信主体、政府采购严重违法失信行为记录名单的书面声明。</w:t>
      </w:r>
    </w:p>
    <w:p w14:paraId="04D5A07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yellow"/>
          <w:lang w:eastAsia="zh-CN"/>
        </w:rPr>
      </w:pPr>
      <w:r>
        <w:rPr>
          <w:rFonts w:hint="eastAsia" w:ascii="仿宋" w:hAnsi="仿宋" w:eastAsia="仿宋" w:cs="仿宋"/>
          <w:highlight w:val="none"/>
          <w:lang w:eastAsia="zh-CN"/>
        </w:rPr>
        <w:t>7、法定代表人直接参加磋商的，须出具法定代表人身份证明书及身份证；授权代表参加磋商的，须出具法定代表人授权书及授权代表身份</w:t>
      </w:r>
      <w:r>
        <w:rPr>
          <w:rFonts w:hint="eastAsia" w:ascii="仿宋" w:hAnsi="仿宋" w:eastAsia="仿宋" w:cs="仿宋"/>
          <w:b w:val="0"/>
          <w:bCs w:val="0"/>
          <w:highlight w:val="none"/>
          <w:lang w:eastAsia="zh-CN"/>
        </w:rPr>
        <w:t>证。（被授权人需提供文件递交截止时间前六个月内任意一个月的社会保障资金的缴纳证明）</w:t>
      </w:r>
    </w:p>
    <w:p w14:paraId="3FFC92E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5A558E2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647AC79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10、本项目专门面向中小企业采购，供应商须提供中小企业声明函；</w:t>
      </w:r>
    </w:p>
    <w:p w14:paraId="55D6A70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11、本项目不允许联合体</w:t>
      </w:r>
      <w:r>
        <w:rPr>
          <w:rFonts w:hint="eastAsia" w:ascii="仿宋" w:hAnsi="仿宋" w:eastAsia="仿宋" w:cs="仿宋"/>
          <w:highlight w:val="none"/>
          <w:lang w:val="en-US" w:eastAsia="zh-CN"/>
        </w:rPr>
        <w:t>磋商</w:t>
      </w:r>
      <w:r>
        <w:rPr>
          <w:rFonts w:hint="eastAsia" w:ascii="仿宋" w:hAnsi="仿宋" w:eastAsia="仿宋" w:cs="仿宋"/>
          <w:highlight w:val="none"/>
          <w:lang w:eastAsia="zh-CN"/>
        </w:rPr>
        <w:t>。</w:t>
      </w:r>
    </w:p>
    <w:p w14:paraId="2913F9B7">
      <w:pPr>
        <w:pStyle w:val="5"/>
        <w:keepNext w:val="0"/>
        <w:keepLines w:val="0"/>
        <w:pageBreakBefore w:val="0"/>
        <w:widowControl/>
        <w:kinsoku/>
        <w:wordWrap w:val="0"/>
        <w:overflowPunct/>
        <w:topLinePunct w:val="0"/>
        <w:autoSpaceDE/>
        <w:autoSpaceDN/>
        <w:bidi w:val="0"/>
        <w:adjustRightInd w:val="0"/>
        <w:snapToGrid/>
        <w:spacing w:before="0" w:after="0" w:line="360" w:lineRule="auto"/>
        <w:jc w:val="left"/>
        <w:textAlignment w:val="baseline"/>
        <w:rPr>
          <w:rFonts w:ascii="仿宋" w:hAnsi="仿宋" w:eastAsia="仿宋" w:cs="仿宋"/>
          <w:b w:val="0"/>
          <w:sz w:val="24"/>
          <w:highlight w:val="none"/>
        </w:rPr>
      </w:pPr>
      <w:r>
        <w:rPr>
          <w:rStyle w:val="29"/>
          <w:rFonts w:hint="eastAsia" w:ascii="仿宋" w:hAnsi="仿宋" w:eastAsia="仿宋" w:cs="仿宋"/>
          <w:b/>
          <w:spacing w:val="0"/>
          <w:sz w:val="24"/>
          <w:highlight w:val="none"/>
        </w:rPr>
        <w:t>三、获取采购文件</w:t>
      </w:r>
    </w:p>
    <w:p w14:paraId="06421FC4">
      <w:pPr>
        <w:pStyle w:val="23"/>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时间：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5</w:t>
      </w:r>
      <w:r>
        <w:rPr>
          <w:rFonts w:hint="eastAsia" w:ascii="仿宋" w:hAnsi="仿宋" w:eastAsia="仿宋" w:cs="仿宋"/>
          <w:highlight w:val="none"/>
        </w:rPr>
        <w:t>月</w:t>
      </w:r>
      <w:r>
        <w:rPr>
          <w:rFonts w:hint="eastAsia" w:ascii="仿宋" w:hAnsi="仿宋" w:eastAsia="仿宋" w:cs="仿宋"/>
          <w:highlight w:val="none"/>
          <w:lang w:val="en-US" w:eastAsia="zh-CN"/>
        </w:rPr>
        <w:t>28</w:t>
      </w:r>
      <w:r>
        <w:rPr>
          <w:rFonts w:hint="eastAsia" w:ascii="仿宋" w:hAnsi="仿宋" w:eastAsia="仿宋" w:cs="仿宋"/>
          <w:highlight w:val="none"/>
        </w:rPr>
        <w:t>日 至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6</w:t>
      </w:r>
      <w:r>
        <w:rPr>
          <w:rFonts w:hint="eastAsia" w:ascii="仿宋" w:hAnsi="仿宋" w:eastAsia="仿宋" w:cs="仿宋"/>
          <w:highlight w:val="none"/>
        </w:rPr>
        <w:t>月</w:t>
      </w:r>
      <w:r>
        <w:rPr>
          <w:rFonts w:hint="eastAsia" w:ascii="仿宋" w:hAnsi="仿宋" w:eastAsia="仿宋" w:cs="仿宋"/>
          <w:highlight w:val="none"/>
          <w:lang w:val="en-US" w:eastAsia="zh-CN"/>
        </w:rPr>
        <w:t>5</w:t>
      </w:r>
      <w:r>
        <w:rPr>
          <w:rFonts w:hint="eastAsia" w:ascii="仿宋" w:hAnsi="仿宋" w:eastAsia="仿宋" w:cs="仿宋"/>
          <w:highlight w:val="none"/>
        </w:rPr>
        <w:t>日 ，每天上午 09:00:00 至 12:00:00 ，下午 14:00:00 至 17:00:00 （北京时间,法定节假日除外）</w:t>
      </w:r>
    </w:p>
    <w:p w14:paraId="0FE507A0">
      <w:pPr>
        <w:pStyle w:val="23"/>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地点：西安市唐延路37号class公馆B栋1103室</w:t>
      </w:r>
    </w:p>
    <w:p w14:paraId="1B9BD8AB">
      <w:pPr>
        <w:pStyle w:val="23"/>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方式：现场获取</w:t>
      </w:r>
    </w:p>
    <w:p w14:paraId="284752F8">
      <w:pPr>
        <w:pStyle w:val="23"/>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售价： 500元</w:t>
      </w:r>
    </w:p>
    <w:p w14:paraId="325CCB4D">
      <w:pPr>
        <w:pStyle w:val="5"/>
        <w:keepNext w:val="0"/>
        <w:keepLines w:val="0"/>
        <w:widowControl/>
        <w:wordWrap w:val="0"/>
        <w:spacing w:before="150" w:after="0" w:line="360" w:lineRule="auto"/>
        <w:jc w:val="left"/>
        <w:rPr>
          <w:rFonts w:ascii="仿宋" w:hAnsi="仿宋" w:eastAsia="仿宋" w:cs="仿宋"/>
          <w:b w:val="0"/>
          <w:sz w:val="24"/>
          <w:highlight w:val="none"/>
        </w:rPr>
      </w:pPr>
      <w:r>
        <w:rPr>
          <w:rStyle w:val="29"/>
          <w:rFonts w:hint="eastAsia" w:ascii="仿宋" w:hAnsi="仿宋" w:eastAsia="仿宋" w:cs="仿宋"/>
          <w:b/>
          <w:spacing w:val="0"/>
          <w:sz w:val="24"/>
          <w:highlight w:val="none"/>
        </w:rPr>
        <w:t>四、响应文件提交</w:t>
      </w:r>
    </w:p>
    <w:p w14:paraId="0B10257C">
      <w:pPr>
        <w:pStyle w:val="23"/>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截止时间：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6</w:t>
      </w:r>
      <w:r>
        <w:rPr>
          <w:rFonts w:hint="eastAsia" w:ascii="仿宋" w:hAnsi="仿宋" w:eastAsia="仿宋" w:cs="仿宋"/>
          <w:highlight w:val="none"/>
        </w:rPr>
        <w:t>月</w:t>
      </w:r>
      <w:r>
        <w:rPr>
          <w:rFonts w:hint="eastAsia" w:ascii="仿宋" w:hAnsi="仿宋" w:eastAsia="仿宋" w:cs="仿宋"/>
          <w:highlight w:val="none"/>
          <w:lang w:val="en-US" w:eastAsia="zh-CN"/>
        </w:rPr>
        <w:t>11</w:t>
      </w:r>
      <w:r>
        <w:rPr>
          <w:rFonts w:hint="eastAsia" w:ascii="仿宋" w:hAnsi="仿宋" w:eastAsia="仿宋" w:cs="仿宋"/>
          <w:highlight w:val="none"/>
        </w:rPr>
        <w:t>日</w:t>
      </w:r>
      <w:r>
        <w:rPr>
          <w:rFonts w:hint="eastAsia" w:ascii="仿宋" w:hAnsi="仿宋" w:eastAsia="仿宋" w:cs="仿宋"/>
          <w:highlight w:val="none"/>
          <w:lang w:val="en-US" w:eastAsia="zh-CN"/>
        </w:rPr>
        <w:t>14</w:t>
      </w:r>
      <w:r>
        <w:rPr>
          <w:rFonts w:hint="eastAsia" w:ascii="仿宋" w:hAnsi="仿宋" w:eastAsia="仿宋" w:cs="仿宋"/>
          <w:highlight w:val="none"/>
        </w:rPr>
        <w:t>时</w:t>
      </w:r>
      <w:r>
        <w:rPr>
          <w:rFonts w:hint="eastAsia" w:ascii="仿宋" w:hAnsi="仿宋" w:eastAsia="仿宋" w:cs="仿宋"/>
          <w:highlight w:val="none"/>
          <w:lang w:val="en-US" w:eastAsia="zh-CN"/>
        </w:rPr>
        <w:t>00</w:t>
      </w:r>
      <w:r>
        <w:rPr>
          <w:rFonts w:hint="eastAsia" w:ascii="仿宋" w:hAnsi="仿宋" w:eastAsia="仿宋" w:cs="仿宋"/>
          <w:highlight w:val="none"/>
        </w:rPr>
        <w:t>分00秒 （北京时间）</w:t>
      </w:r>
    </w:p>
    <w:p w14:paraId="393ED536">
      <w:pPr>
        <w:pStyle w:val="23"/>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地点：西安市唐延路37号class公馆B栋1103室</w:t>
      </w:r>
    </w:p>
    <w:p w14:paraId="256A4277">
      <w:pPr>
        <w:pStyle w:val="5"/>
        <w:keepNext w:val="0"/>
        <w:keepLines w:val="0"/>
        <w:widowControl/>
        <w:wordWrap w:val="0"/>
        <w:spacing w:before="150" w:after="0" w:line="360" w:lineRule="auto"/>
        <w:jc w:val="left"/>
        <w:rPr>
          <w:rFonts w:ascii="仿宋" w:hAnsi="仿宋" w:eastAsia="仿宋" w:cs="仿宋"/>
          <w:b w:val="0"/>
          <w:sz w:val="24"/>
          <w:highlight w:val="none"/>
        </w:rPr>
      </w:pPr>
      <w:r>
        <w:rPr>
          <w:rStyle w:val="29"/>
          <w:rFonts w:hint="eastAsia" w:ascii="仿宋" w:hAnsi="仿宋" w:eastAsia="仿宋" w:cs="仿宋"/>
          <w:b/>
          <w:spacing w:val="0"/>
          <w:sz w:val="24"/>
          <w:highlight w:val="none"/>
        </w:rPr>
        <w:t>五、开启</w:t>
      </w:r>
    </w:p>
    <w:p w14:paraId="74E27FD3">
      <w:pPr>
        <w:pStyle w:val="23"/>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时间：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6</w:t>
      </w:r>
      <w:r>
        <w:rPr>
          <w:rFonts w:hint="eastAsia" w:ascii="仿宋" w:hAnsi="仿宋" w:eastAsia="仿宋" w:cs="仿宋"/>
          <w:highlight w:val="none"/>
        </w:rPr>
        <w:t>月</w:t>
      </w:r>
      <w:r>
        <w:rPr>
          <w:rFonts w:hint="eastAsia" w:ascii="仿宋" w:hAnsi="仿宋" w:eastAsia="仿宋" w:cs="仿宋"/>
          <w:highlight w:val="none"/>
          <w:lang w:val="en-US" w:eastAsia="zh-CN"/>
        </w:rPr>
        <w:t>11</w:t>
      </w:r>
      <w:r>
        <w:rPr>
          <w:rFonts w:hint="eastAsia" w:ascii="仿宋" w:hAnsi="仿宋" w:eastAsia="仿宋" w:cs="仿宋"/>
          <w:highlight w:val="none"/>
        </w:rPr>
        <w:t>日</w:t>
      </w:r>
      <w:r>
        <w:rPr>
          <w:rFonts w:hint="eastAsia" w:ascii="仿宋" w:hAnsi="仿宋" w:eastAsia="仿宋" w:cs="仿宋"/>
          <w:highlight w:val="none"/>
          <w:lang w:val="en-US" w:eastAsia="zh-CN"/>
        </w:rPr>
        <w:t>14</w:t>
      </w:r>
      <w:r>
        <w:rPr>
          <w:rFonts w:hint="eastAsia" w:ascii="仿宋" w:hAnsi="仿宋" w:eastAsia="仿宋" w:cs="仿宋"/>
          <w:highlight w:val="none"/>
        </w:rPr>
        <w:t>时</w:t>
      </w:r>
      <w:r>
        <w:rPr>
          <w:rFonts w:hint="eastAsia" w:ascii="仿宋" w:hAnsi="仿宋" w:eastAsia="仿宋" w:cs="仿宋"/>
          <w:highlight w:val="none"/>
          <w:lang w:val="en-US" w:eastAsia="zh-CN"/>
        </w:rPr>
        <w:t>00</w:t>
      </w:r>
      <w:r>
        <w:rPr>
          <w:rFonts w:hint="eastAsia" w:ascii="仿宋" w:hAnsi="仿宋" w:eastAsia="仿宋" w:cs="仿宋"/>
          <w:highlight w:val="none"/>
        </w:rPr>
        <w:t>分00秒 （北京时间）</w:t>
      </w:r>
    </w:p>
    <w:p w14:paraId="65186F9A">
      <w:pPr>
        <w:pStyle w:val="23"/>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地点：西安市唐延路37号class公馆B栋1103室</w:t>
      </w:r>
    </w:p>
    <w:p w14:paraId="4E7107D3">
      <w:pPr>
        <w:pStyle w:val="5"/>
        <w:keepNext w:val="0"/>
        <w:keepLines w:val="0"/>
        <w:widowControl/>
        <w:wordWrap w:val="0"/>
        <w:spacing w:before="150" w:after="0" w:line="360" w:lineRule="auto"/>
        <w:jc w:val="left"/>
        <w:rPr>
          <w:rFonts w:ascii="仿宋" w:hAnsi="仿宋" w:eastAsia="仿宋" w:cs="仿宋"/>
          <w:b w:val="0"/>
          <w:sz w:val="24"/>
          <w:highlight w:val="none"/>
        </w:rPr>
      </w:pPr>
      <w:r>
        <w:rPr>
          <w:rStyle w:val="29"/>
          <w:rFonts w:hint="eastAsia" w:ascii="仿宋" w:hAnsi="仿宋" w:eastAsia="仿宋" w:cs="仿宋"/>
          <w:b/>
          <w:spacing w:val="0"/>
          <w:sz w:val="24"/>
          <w:highlight w:val="none"/>
        </w:rPr>
        <w:t>六、公告期限</w:t>
      </w:r>
    </w:p>
    <w:p w14:paraId="1603FB58">
      <w:pPr>
        <w:pStyle w:val="23"/>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自本公告发布之日起3个工作日。</w:t>
      </w:r>
    </w:p>
    <w:p w14:paraId="7119ACD6">
      <w:pPr>
        <w:pStyle w:val="5"/>
        <w:keepNext w:val="0"/>
        <w:keepLines w:val="0"/>
        <w:widowControl/>
        <w:wordWrap w:val="0"/>
        <w:spacing w:before="150" w:after="0" w:line="360" w:lineRule="auto"/>
        <w:jc w:val="left"/>
        <w:rPr>
          <w:rFonts w:ascii="仿宋" w:hAnsi="仿宋" w:eastAsia="仿宋" w:cs="仿宋"/>
          <w:b w:val="0"/>
          <w:sz w:val="24"/>
          <w:highlight w:val="none"/>
        </w:rPr>
      </w:pPr>
      <w:r>
        <w:rPr>
          <w:rStyle w:val="29"/>
          <w:rFonts w:hint="eastAsia" w:ascii="仿宋" w:hAnsi="仿宋" w:eastAsia="仿宋" w:cs="仿宋"/>
          <w:b/>
          <w:spacing w:val="0"/>
          <w:sz w:val="24"/>
          <w:highlight w:val="none"/>
        </w:rPr>
        <w:t>七、其他补充事宜</w:t>
      </w:r>
    </w:p>
    <w:p w14:paraId="06049C1B">
      <w:pPr>
        <w:pStyle w:val="23"/>
        <w:wordWrap w:val="0"/>
        <w:spacing w:beforeAutospacing="0" w:afterAutospacing="0" w:line="360" w:lineRule="auto"/>
        <w:ind w:firstLine="480"/>
        <w:jc w:val="both"/>
        <w:rPr>
          <w:rFonts w:hint="eastAsia" w:ascii="仿宋" w:hAnsi="仿宋" w:eastAsia="仿宋" w:cs="仿宋"/>
          <w:b w:val="0"/>
          <w:bCs w:val="0"/>
          <w:shd w:val="clear" w:color="auto" w:fill="FFFFFF"/>
          <w:lang w:val="en-US" w:eastAsia="zh-CN"/>
        </w:rPr>
      </w:pPr>
      <w:r>
        <w:rPr>
          <w:rFonts w:hint="eastAsia" w:ascii="仿宋" w:hAnsi="仿宋" w:eastAsia="仿宋" w:cs="仿宋"/>
          <w:b w:val="0"/>
          <w:bCs w:val="0"/>
          <w:shd w:val="clear" w:color="auto" w:fill="FFFFFF"/>
          <w:lang w:val="en-US" w:eastAsia="zh-CN"/>
        </w:rPr>
        <w:t>1、购买采购文件时需携带经办人单位介绍信、身份证原件及复印件加盖公章，采购文件售后不退；</w:t>
      </w:r>
    </w:p>
    <w:p w14:paraId="08AB2E76">
      <w:pPr>
        <w:pStyle w:val="23"/>
        <w:wordWrap w:val="0"/>
        <w:spacing w:beforeAutospacing="0" w:afterAutospacing="0" w:line="360" w:lineRule="auto"/>
        <w:ind w:firstLine="480"/>
        <w:jc w:val="both"/>
        <w:rPr>
          <w:rFonts w:hint="eastAsia" w:ascii="仿宋" w:hAnsi="仿宋" w:eastAsia="仿宋" w:cs="仿宋"/>
          <w:b w:val="0"/>
          <w:bCs w:val="0"/>
          <w:shd w:val="clear" w:color="auto" w:fill="FFFFFF"/>
          <w:lang w:val="en-US" w:eastAsia="zh-CN"/>
        </w:rPr>
      </w:pPr>
      <w:r>
        <w:rPr>
          <w:rFonts w:hint="eastAsia" w:ascii="仿宋" w:hAnsi="仿宋" w:eastAsia="仿宋" w:cs="仿宋"/>
          <w:b w:val="0"/>
          <w:bCs w:val="0"/>
          <w:shd w:val="clear" w:color="auto" w:fill="FFFFFF"/>
          <w:lang w:val="en-US" w:eastAsia="zh-CN"/>
        </w:rPr>
        <w:t>2、开户名称：陕西德仁招标有限公司； 开户银行：招商银行股份有限公司西安城南支行； 账 号：1299 0904 6810 901；</w:t>
      </w:r>
    </w:p>
    <w:p w14:paraId="154AC3A0">
      <w:pPr>
        <w:pStyle w:val="23"/>
        <w:wordWrap w:val="0"/>
        <w:spacing w:beforeAutospacing="0" w:afterAutospacing="0" w:line="360" w:lineRule="auto"/>
        <w:ind w:firstLine="480"/>
        <w:jc w:val="both"/>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lang w:val="en-US" w:eastAsia="zh-CN"/>
        </w:rPr>
        <w:t>3、</w:t>
      </w:r>
      <w:r>
        <w:rPr>
          <w:rFonts w:hint="eastAsia" w:ascii="仿宋" w:hAnsi="仿宋" w:eastAsia="仿宋" w:cs="仿宋"/>
          <w:b w:val="0"/>
          <w:bCs w:val="0"/>
          <w:shd w:val="clear" w:color="auto" w:fill="FFFFFF"/>
        </w:rPr>
        <w:t>请供应商按照陕西省财政厅关于政府采购供应商注册登记有关事项的通知中的要求，通过陕西省政府采购网注册登记入库。</w:t>
      </w:r>
    </w:p>
    <w:p w14:paraId="0A0128A4">
      <w:pPr>
        <w:pStyle w:val="23"/>
        <w:wordWrap w:val="0"/>
        <w:spacing w:before="0" w:beforeAutospacing="0" w:after="0" w:afterAutospacing="0" w:line="360" w:lineRule="auto"/>
        <w:ind w:firstLine="420"/>
        <w:rPr>
          <w:rFonts w:hint="eastAsia" w:ascii="仿宋" w:hAnsi="仿宋" w:eastAsia="仿宋" w:cs="仿宋"/>
          <w:color w:val="333333"/>
          <w:shd w:val="clear" w:color="auto" w:fill="FFFFFF"/>
        </w:rPr>
      </w:pPr>
      <w:r>
        <w:rPr>
          <w:rFonts w:hint="eastAsia" w:ascii="仿宋" w:hAnsi="仿宋" w:eastAsia="仿宋" w:cs="仿宋"/>
          <w:b w:val="0"/>
          <w:bCs w:val="0"/>
          <w:shd w:val="clear" w:color="auto" w:fill="FFFFFF"/>
          <w:lang w:val="en-US" w:eastAsia="zh-CN"/>
        </w:rPr>
        <w:t>4、落实政府采购政策需满足的政策要求：（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管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办法》（财库〔2020〕46号）；（11）《财政部 农业农村部 国家乡村振兴局关于运用政府采购政策支持乡村产业振兴的通知》（财库〔2021〕19号）；（12）《关于进一步加强政府绿色采购有关问题的通知》（陕财办采〔2021〕29号）；（13）《陕西省财政厅关于进一步加大政府采购支持中小企业力度的通知》（陕财办采〔2022〕5号）；（14）其他需要落实的政府采购政策。注：若享受以上政策优惠的企业，提供相应声明函或品目范围内产品有效认证证书。</w:t>
      </w:r>
    </w:p>
    <w:p w14:paraId="4B090455">
      <w:pPr>
        <w:pStyle w:val="5"/>
        <w:keepNext w:val="0"/>
        <w:keepLines w:val="0"/>
        <w:widowControl/>
        <w:wordWrap w:val="0"/>
        <w:spacing w:before="150" w:after="0" w:line="360" w:lineRule="auto"/>
        <w:jc w:val="left"/>
        <w:rPr>
          <w:rFonts w:ascii="仿宋" w:hAnsi="仿宋" w:eastAsia="仿宋" w:cs="仿宋"/>
          <w:b w:val="0"/>
          <w:sz w:val="24"/>
          <w:highlight w:val="none"/>
        </w:rPr>
      </w:pPr>
      <w:r>
        <w:rPr>
          <w:rStyle w:val="29"/>
          <w:rFonts w:hint="eastAsia" w:ascii="仿宋" w:hAnsi="仿宋" w:eastAsia="仿宋" w:cs="仿宋"/>
          <w:b/>
          <w:spacing w:val="0"/>
          <w:sz w:val="24"/>
          <w:highlight w:val="none"/>
        </w:rPr>
        <w:t>八、凡对本次采购提出询问，请按以下方式联系。</w:t>
      </w:r>
    </w:p>
    <w:p w14:paraId="42BFC799">
      <w:pPr>
        <w:pStyle w:val="6"/>
        <w:keepNext w:val="0"/>
        <w:keepLines w:val="0"/>
        <w:widowControl/>
        <w:wordWrap w:val="0"/>
        <w:spacing w:before="0" w:after="0" w:line="360" w:lineRule="auto"/>
        <w:jc w:val="left"/>
        <w:rPr>
          <w:rFonts w:ascii="仿宋" w:hAnsi="仿宋" w:eastAsia="仿宋" w:cs="仿宋"/>
          <w:b w:val="0"/>
          <w:bCs w:val="0"/>
          <w:highlight w:val="none"/>
        </w:rPr>
      </w:pPr>
      <w:r>
        <w:rPr>
          <w:rFonts w:hint="eastAsia" w:ascii="仿宋" w:hAnsi="仿宋" w:eastAsia="仿宋" w:cs="仿宋"/>
          <w:b w:val="0"/>
          <w:bCs w:val="0"/>
          <w:highlight w:val="none"/>
        </w:rPr>
        <w:t>1.釆购人信息</w:t>
      </w:r>
    </w:p>
    <w:p w14:paraId="115F61BB">
      <w:pPr>
        <w:pStyle w:val="23"/>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名称：陕西省档案馆</w:t>
      </w:r>
    </w:p>
    <w:p w14:paraId="43BD6266">
      <w:pPr>
        <w:pStyle w:val="23"/>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地址：西安市长安区子午大道与学府大街十字东北角</w:t>
      </w:r>
    </w:p>
    <w:p w14:paraId="0B932DBA">
      <w:pPr>
        <w:pStyle w:val="23"/>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联系方式：029-89230869</w:t>
      </w:r>
    </w:p>
    <w:p w14:paraId="24C492FC">
      <w:pPr>
        <w:pStyle w:val="6"/>
        <w:keepNext w:val="0"/>
        <w:keepLines w:val="0"/>
        <w:widowControl/>
        <w:wordWrap w:val="0"/>
        <w:spacing w:before="0" w:after="0" w:line="360" w:lineRule="auto"/>
        <w:jc w:val="left"/>
        <w:rPr>
          <w:rFonts w:ascii="仿宋" w:hAnsi="仿宋" w:eastAsia="仿宋" w:cs="仿宋"/>
          <w:b w:val="0"/>
          <w:bCs w:val="0"/>
          <w:highlight w:val="none"/>
        </w:rPr>
      </w:pPr>
      <w:r>
        <w:rPr>
          <w:rFonts w:hint="eastAsia" w:ascii="仿宋" w:hAnsi="仿宋" w:eastAsia="仿宋" w:cs="仿宋"/>
          <w:b w:val="0"/>
          <w:bCs w:val="0"/>
          <w:highlight w:val="none"/>
        </w:rPr>
        <w:t>2.釆购代理机构信息</w:t>
      </w:r>
    </w:p>
    <w:p w14:paraId="52E0363D">
      <w:pPr>
        <w:pStyle w:val="23"/>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名称：陕西德仁招标有限公司</w:t>
      </w:r>
    </w:p>
    <w:p w14:paraId="38E939E4">
      <w:pPr>
        <w:pStyle w:val="23"/>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地址：西安市唐延路37号class公馆B栋1103室</w:t>
      </w:r>
    </w:p>
    <w:p w14:paraId="13C8C445">
      <w:pPr>
        <w:pStyle w:val="23"/>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联系方式：</w:t>
      </w:r>
      <w:r>
        <w:rPr>
          <w:rFonts w:hint="eastAsia" w:ascii="仿宋" w:hAnsi="仿宋" w:eastAsia="仿宋" w:cs="仿宋"/>
          <w:color w:val="333333"/>
          <w:highlight w:val="none"/>
          <w:shd w:val="clear" w:color="auto" w:fill="FFFFFF"/>
        </w:rPr>
        <w:t>029-85565073</w:t>
      </w:r>
    </w:p>
    <w:p w14:paraId="5116AEBE">
      <w:pPr>
        <w:pStyle w:val="6"/>
        <w:keepNext w:val="0"/>
        <w:keepLines w:val="0"/>
        <w:widowControl/>
        <w:wordWrap w:val="0"/>
        <w:spacing w:before="0" w:after="0" w:line="360" w:lineRule="auto"/>
        <w:jc w:val="left"/>
        <w:rPr>
          <w:rFonts w:ascii="仿宋" w:hAnsi="仿宋" w:eastAsia="仿宋" w:cs="仿宋"/>
          <w:b w:val="0"/>
          <w:bCs w:val="0"/>
          <w:highlight w:val="none"/>
        </w:rPr>
      </w:pPr>
      <w:r>
        <w:rPr>
          <w:rFonts w:hint="eastAsia" w:ascii="仿宋" w:hAnsi="仿宋" w:eastAsia="仿宋" w:cs="仿宋"/>
          <w:b w:val="0"/>
          <w:bCs w:val="0"/>
          <w:highlight w:val="none"/>
        </w:rPr>
        <w:t>3.项目联系方式</w:t>
      </w:r>
    </w:p>
    <w:p w14:paraId="39C6F71B">
      <w:pPr>
        <w:pStyle w:val="23"/>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项目联系人：</w:t>
      </w:r>
      <w:r>
        <w:rPr>
          <w:rFonts w:hint="eastAsia" w:ascii="仿宋" w:hAnsi="仿宋" w:eastAsia="仿宋" w:cs="仿宋"/>
          <w:highlight w:val="none"/>
          <w:lang w:eastAsia="zh-CN"/>
        </w:rPr>
        <w:t>贺培文、赵璐</w:t>
      </w:r>
    </w:p>
    <w:p w14:paraId="58315460">
      <w:pPr>
        <w:pStyle w:val="23"/>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电话：</w:t>
      </w:r>
      <w:r>
        <w:rPr>
          <w:rFonts w:hint="eastAsia" w:ascii="仿宋" w:hAnsi="仿宋" w:eastAsia="仿宋" w:cs="仿宋"/>
          <w:color w:val="333333"/>
          <w:highlight w:val="none"/>
          <w:shd w:val="clear" w:color="auto" w:fill="FFFFFF"/>
        </w:rPr>
        <w:t>029-85565073</w:t>
      </w:r>
    </w:p>
    <w:p w14:paraId="2013B54B">
      <w:pPr>
        <w:rPr>
          <w:rFonts w:hint="eastAsia" w:ascii="仿宋" w:hAnsi="仿宋" w:eastAsia="仿宋" w:cs="仿宋"/>
          <w:sz w:val="32"/>
          <w:szCs w:val="32"/>
          <w:highlight w:val="none"/>
        </w:rPr>
      </w:pPr>
      <w:bookmarkStart w:id="10" w:name="_Toc13775"/>
      <w:bookmarkStart w:id="11" w:name="_Toc8474"/>
      <w:r>
        <w:rPr>
          <w:rFonts w:hint="eastAsia" w:ascii="仿宋" w:hAnsi="仿宋" w:eastAsia="仿宋" w:cs="仿宋"/>
          <w:sz w:val="32"/>
          <w:szCs w:val="32"/>
          <w:highlight w:val="none"/>
        </w:rPr>
        <w:br w:type="page"/>
      </w:r>
    </w:p>
    <w:p w14:paraId="54420194">
      <w:pPr>
        <w:pStyle w:val="2"/>
        <w:keepNext w:val="0"/>
        <w:keepLines w:val="0"/>
        <w:rPr>
          <w:rFonts w:hint="eastAsia" w:ascii="仿宋" w:hAnsi="仿宋" w:eastAsia="仿宋" w:cs="仿宋"/>
          <w:b/>
          <w:sz w:val="30"/>
          <w:szCs w:val="30"/>
          <w:highlight w:val="none"/>
        </w:rPr>
      </w:pPr>
      <w:bookmarkStart w:id="12" w:name="_Toc23643"/>
      <w:r>
        <w:rPr>
          <w:rFonts w:hint="eastAsia" w:ascii="仿宋" w:hAnsi="仿宋" w:eastAsia="仿宋" w:cs="仿宋"/>
          <w:sz w:val="32"/>
          <w:szCs w:val="32"/>
          <w:highlight w:val="none"/>
        </w:rPr>
        <w:t>第二章  供应商须知</w:t>
      </w:r>
      <w:bookmarkEnd w:id="6"/>
      <w:bookmarkEnd w:id="7"/>
      <w:bookmarkEnd w:id="8"/>
      <w:bookmarkEnd w:id="9"/>
      <w:bookmarkEnd w:id="10"/>
      <w:bookmarkEnd w:id="11"/>
      <w:r>
        <w:rPr>
          <w:rFonts w:hint="eastAsia" w:ascii="仿宋" w:hAnsi="仿宋" w:eastAsia="仿宋" w:cs="仿宋"/>
          <w:b/>
          <w:sz w:val="30"/>
          <w:szCs w:val="30"/>
          <w:highlight w:val="none"/>
        </w:rPr>
        <w:t>前附表</w:t>
      </w:r>
      <w:bookmarkEnd w:id="12"/>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91"/>
        <w:gridCol w:w="6398"/>
      </w:tblGrid>
      <w:tr w14:paraId="5F20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97" w:type="pct"/>
            <w:vAlign w:val="center"/>
          </w:tcPr>
          <w:p w14:paraId="3788206E">
            <w:pPr>
              <w:spacing w:line="360" w:lineRule="auto"/>
              <w:jc w:val="center"/>
              <w:rPr>
                <w:rFonts w:hint="eastAsia" w:ascii="仿宋" w:hAnsi="仿宋" w:eastAsia="仿宋" w:cs="仿宋"/>
                <w:sz w:val="24"/>
                <w:szCs w:val="24"/>
                <w:highlight w:val="none"/>
              </w:rPr>
            </w:pPr>
            <w:bookmarkStart w:id="13" w:name="_Toc32286"/>
            <w:bookmarkStart w:id="14" w:name="_Toc519156737"/>
            <w:r>
              <w:rPr>
                <w:rFonts w:hint="eastAsia" w:ascii="仿宋" w:hAnsi="仿宋" w:eastAsia="仿宋" w:cs="仿宋"/>
                <w:sz w:val="24"/>
                <w:szCs w:val="24"/>
                <w:highlight w:val="none"/>
              </w:rPr>
              <w:t>序号</w:t>
            </w:r>
          </w:p>
        </w:tc>
        <w:tc>
          <w:tcPr>
            <w:tcW w:w="1092" w:type="pct"/>
            <w:vAlign w:val="center"/>
          </w:tcPr>
          <w:p w14:paraId="6F943DA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条款名称</w:t>
            </w:r>
          </w:p>
        </w:tc>
        <w:tc>
          <w:tcPr>
            <w:tcW w:w="3509" w:type="pct"/>
            <w:vAlign w:val="center"/>
          </w:tcPr>
          <w:p w14:paraId="5D1FC53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编列内容</w:t>
            </w:r>
          </w:p>
        </w:tc>
      </w:tr>
      <w:tr w14:paraId="3AF4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7A38C5A3">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w:t>
            </w:r>
          </w:p>
        </w:tc>
        <w:tc>
          <w:tcPr>
            <w:tcW w:w="1092" w:type="pct"/>
            <w:vAlign w:val="center"/>
          </w:tcPr>
          <w:p w14:paraId="23121F2B">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highlight w:val="none"/>
              </w:rPr>
              <w:t>采购人</w:t>
            </w:r>
          </w:p>
        </w:tc>
        <w:tc>
          <w:tcPr>
            <w:tcW w:w="3509" w:type="pct"/>
            <w:vAlign w:val="center"/>
          </w:tcPr>
          <w:p w14:paraId="3DBE9E9C">
            <w:pPr>
              <w:spacing w:line="4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名称：陕西省档案馆</w:t>
            </w:r>
          </w:p>
          <w:p w14:paraId="5C340DE6">
            <w:pPr>
              <w:spacing w:line="4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地址：西安市长安区子午大道与学府大街十字东北角</w:t>
            </w:r>
          </w:p>
          <w:p w14:paraId="6568EEBA">
            <w:pPr>
              <w:spacing w:line="440" w:lineRule="exact"/>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联系人：熊洋</w:t>
            </w:r>
          </w:p>
          <w:p w14:paraId="3CF603D5">
            <w:pPr>
              <w:spacing w:line="4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联系方式：029-89230869</w:t>
            </w:r>
          </w:p>
        </w:tc>
      </w:tr>
      <w:tr w14:paraId="09E8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26B4D7A7">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2</w:t>
            </w:r>
          </w:p>
        </w:tc>
        <w:tc>
          <w:tcPr>
            <w:tcW w:w="1092" w:type="pct"/>
            <w:vAlign w:val="center"/>
          </w:tcPr>
          <w:p w14:paraId="47AF3CD9">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highlight w:val="none"/>
              </w:rPr>
              <w:t>采购代理机构</w:t>
            </w:r>
          </w:p>
        </w:tc>
        <w:tc>
          <w:tcPr>
            <w:tcW w:w="3509" w:type="pct"/>
            <w:vAlign w:val="center"/>
          </w:tcPr>
          <w:p w14:paraId="7A0C44C9">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名  称：陕西德仁招标有限公司</w:t>
            </w:r>
          </w:p>
          <w:p w14:paraId="5621EC7F">
            <w:pPr>
              <w:spacing w:line="440" w:lineRule="exact"/>
              <w:jc w:val="left"/>
              <w:rPr>
                <w:rFonts w:hint="eastAsia" w:ascii="仿宋" w:hAnsi="仿宋" w:eastAsia="仿宋" w:cs="仿宋"/>
                <w:sz w:val="24"/>
                <w:highlight w:val="none"/>
                <w:lang w:eastAsia="zh-CN"/>
              </w:rPr>
            </w:pPr>
            <w:r>
              <w:rPr>
                <w:rFonts w:hint="eastAsia" w:ascii="仿宋" w:hAnsi="仿宋" w:eastAsia="仿宋" w:cs="仿宋"/>
                <w:sz w:val="24"/>
                <w:highlight w:val="none"/>
              </w:rPr>
              <w:t>地  址：</w:t>
            </w:r>
            <w:r>
              <w:rPr>
                <w:rFonts w:hint="eastAsia" w:ascii="仿宋" w:hAnsi="仿宋" w:eastAsia="仿宋" w:cs="仿宋"/>
                <w:sz w:val="24"/>
                <w:highlight w:val="none"/>
                <w:lang w:eastAsia="zh-CN"/>
              </w:rPr>
              <w:t>西安市唐延路37号class公馆B栋1103室</w:t>
            </w:r>
          </w:p>
          <w:p w14:paraId="344AE74D">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lang w:eastAsia="zh-CN"/>
              </w:rPr>
              <w:t>贺培文、赵璐</w:t>
            </w:r>
            <w:r>
              <w:rPr>
                <w:rFonts w:hint="eastAsia" w:ascii="仿宋" w:hAnsi="仿宋" w:eastAsia="仿宋" w:cs="仿宋"/>
                <w:sz w:val="24"/>
                <w:highlight w:val="none"/>
              </w:rPr>
              <w:t xml:space="preserve">  </w:t>
            </w:r>
          </w:p>
          <w:p w14:paraId="523DC2FF">
            <w:pPr>
              <w:spacing w:line="440" w:lineRule="exact"/>
              <w:jc w:val="left"/>
              <w:rPr>
                <w:rFonts w:hint="eastAsia" w:ascii="仿宋" w:hAnsi="仿宋" w:eastAsia="仿宋" w:cs="仿宋"/>
                <w:sz w:val="24"/>
                <w:szCs w:val="24"/>
                <w:highlight w:val="none"/>
              </w:rPr>
            </w:pPr>
            <w:r>
              <w:rPr>
                <w:rFonts w:hint="eastAsia" w:ascii="仿宋" w:hAnsi="仿宋" w:eastAsia="仿宋" w:cs="仿宋"/>
                <w:sz w:val="24"/>
                <w:highlight w:val="none"/>
              </w:rPr>
              <w:t>电  话：029-85565073</w:t>
            </w:r>
          </w:p>
        </w:tc>
      </w:tr>
      <w:tr w14:paraId="54B5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97" w:type="pct"/>
            <w:vAlign w:val="center"/>
          </w:tcPr>
          <w:p w14:paraId="217B6023">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w:t>
            </w:r>
          </w:p>
        </w:tc>
        <w:tc>
          <w:tcPr>
            <w:tcW w:w="1092" w:type="pct"/>
            <w:shd w:val="clear" w:color="auto" w:fill="auto"/>
            <w:vAlign w:val="center"/>
          </w:tcPr>
          <w:p w14:paraId="4E9DB185">
            <w:pPr>
              <w:spacing w:line="396"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采购预算</w:t>
            </w:r>
          </w:p>
        </w:tc>
        <w:tc>
          <w:tcPr>
            <w:tcW w:w="3509" w:type="pct"/>
            <w:shd w:val="clear" w:color="auto" w:fill="auto"/>
            <w:vAlign w:val="center"/>
          </w:tcPr>
          <w:p w14:paraId="02389A40">
            <w:pPr>
              <w:spacing w:line="440" w:lineRule="exact"/>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采购预算：31.62万元</w:t>
            </w:r>
          </w:p>
          <w:p w14:paraId="61561334">
            <w:pPr>
              <w:spacing w:line="440" w:lineRule="exact"/>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最高限价：31.62万元</w:t>
            </w:r>
          </w:p>
        </w:tc>
      </w:tr>
      <w:tr w14:paraId="72F3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3A6D8063">
            <w:pPr>
              <w:widowControl/>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
              </w:rPr>
              <w:t>4</w:t>
            </w:r>
          </w:p>
        </w:tc>
        <w:tc>
          <w:tcPr>
            <w:tcW w:w="1092" w:type="pct"/>
            <w:vAlign w:val="center"/>
          </w:tcPr>
          <w:p w14:paraId="038F4A43">
            <w:pPr>
              <w:spacing w:line="396"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采购内容</w:t>
            </w:r>
          </w:p>
        </w:tc>
        <w:tc>
          <w:tcPr>
            <w:tcW w:w="3509" w:type="pct"/>
            <w:vAlign w:val="center"/>
          </w:tcPr>
          <w:p w14:paraId="5290B8F5">
            <w:pPr>
              <w:spacing w:line="440" w:lineRule="exact"/>
              <w:jc w:val="left"/>
              <w:rPr>
                <w:rFonts w:hint="eastAsia" w:ascii="仿宋" w:hAnsi="仿宋" w:eastAsia="仿宋" w:cs="仿宋"/>
                <w:sz w:val="24"/>
                <w:highlight w:val="none"/>
                <w:lang w:val="en-US" w:eastAsia="zh-CN"/>
              </w:rPr>
            </w:pPr>
            <w:r>
              <w:rPr>
                <w:rFonts w:hint="eastAsia" w:ascii="仿宋" w:hAnsi="仿宋" w:eastAsia="仿宋" w:cs="仿宋"/>
                <w:sz w:val="24"/>
                <w:highlight w:val="none"/>
              </w:rPr>
              <w:t>详见竞争性磋商文件第</w:t>
            </w:r>
            <w:r>
              <w:rPr>
                <w:rFonts w:hint="eastAsia" w:ascii="仿宋" w:hAnsi="仿宋" w:eastAsia="仿宋" w:cs="仿宋"/>
                <w:sz w:val="24"/>
                <w:highlight w:val="none"/>
                <w:lang w:val="en-US" w:eastAsia="zh-CN"/>
              </w:rPr>
              <w:t>四</w:t>
            </w:r>
            <w:r>
              <w:rPr>
                <w:rFonts w:hint="eastAsia" w:ascii="仿宋" w:hAnsi="仿宋" w:eastAsia="仿宋" w:cs="仿宋"/>
                <w:sz w:val="24"/>
                <w:highlight w:val="none"/>
              </w:rPr>
              <w:t>部分磋商要求及说明。</w:t>
            </w:r>
          </w:p>
        </w:tc>
      </w:tr>
      <w:tr w14:paraId="3514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7441FF32">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w:t>
            </w:r>
          </w:p>
        </w:tc>
        <w:tc>
          <w:tcPr>
            <w:tcW w:w="1092" w:type="pct"/>
            <w:vAlign w:val="center"/>
          </w:tcPr>
          <w:p w14:paraId="0CE96B21">
            <w:pPr>
              <w:spacing w:line="396"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公告媒体</w:t>
            </w:r>
          </w:p>
        </w:tc>
        <w:tc>
          <w:tcPr>
            <w:tcW w:w="3509" w:type="pct"/>
            <w:vAlign w:val="center"/>
          </w:tcPr>
          <w:p w14:paraId="0E47878E">
            <w:pPr>
              <w:spacing w:line="396"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陕西省政府采购网</w:t>
            </w:r>
          </w:p>
        </w:tc>
      </w:tr>
      <w:tr w14:paraId="05AD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50580D55">
            <w:pPr>
              <w:widowControl/>
              <w:jc w:val="center"/>
              <w:textAlignment w:val="center"/>
              <w:rPr>
                <w:rFonts w:hint="eastAsia" w:ascii="仿宋" w:hAnsi="仿宋" w:eastAsia="仿宋" w:cs="仿宋"/>
                <w:sz w:val="24"/>
                <w:szCs w:val="24"/>
                <w:highlight w:val="none"/>
                <w:lang w:eastAsia="zh-CN"/>
              </w:rPr>
            </w:pPr>
            <w:r>
              <w:rPr>
                <w:rFonts w:hint="eastAsia" w:ascii="仿宋" w:hAnsi="仿宋" w:eastAsia="仿宋" w:cs="仿宋"/>
                <w:color w:val="000000"/>
                <w:kern w:val="0"/>
                <w:sz w:val="24"/>
                <w:szCs w:val="24"/>
                <w:highlight w:val="none"/>
                <w:lang w:val="en-US" w:eastAsia="zh-CN" w:bidi="ar"/>
              </w:rPr>
              <w:t>6</w:t>
            </w:r>
          </w:p>
        </w:tc>
        <w:tc>
          <w:tcPr>
            <w:tcW w:w="1092" w:type="pct"/>
            <w:vAlign w:val="center"/>
          </w:tcPr>
          <w:p w14:paraId="477D7C19">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项目属性</w:t>
            </w:r>
          </w:p>
        </w:tc>
        <w:tc>
          <w:tcPr>
            <w:tcW w:w="3509" w:type="pct"/>
            <w:vAlign w:val="center"/>
          </w:tcPr>
          <w:p w14:paraId="2E111CE8">
            <w:pPr>
              <w:pStyle w:val="23"/>
              <w:spacing w:beforeAutospacing="0" w:afterAutospacing="0" w:line="360" w:lineRule="auto"/>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rPr>
              <w:t>服务类</w:t>
            </w:r>
          </w:p>
        </w:tc>
      </w:tr>
      <w:tr w14:paraId="3091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3EBCEF42">
            <w:pPr>
              <w:widowControl/>
              <w:jc w:val="center"/>
              <w:textAlignment w:val="center"/>
              <w:rPr>
                <w:rFonts w:hint="eastAsia" w:ascii="仿宋" w:hAnsi="仿宋" w:eastAsia="仿宋" w:cs="仿宋"/>
                <w:sz w:val="24"/>
                <w:szCs w:val="24"/>
                <w:highlight w:val="none"/>
                <w:lang w:eastAsia="zh-CN"/>
              </w:rPr>
            </w:pPr>
            <w:r>
              <w:rPr>
                <w:rFonts w:hint="eastAsia" w:ascii="仿宋" w:hAnsi="仿宋" w:eastAsia="仿宋" w:cs="仿宋"/>
                <w:color w:val="000000"/>
                <w:kern w:val="0"/>
                <w:sz w:val="24"/>
                <w:szCs w:val="24"/>
                <w:highlight w:val="none"/>
                <w:lang w:val="en-US" w:eastAsia="zh-CN" w:bidi="ar"/>
              </w:rPr>
              <w:t>7</w:t>
            </w:r>
          </w:p>
        </w:tc>
        <w:tc>
          <w:tcPr>
            <w:tcW w:w="1092" w:type="pct"/>
            <w:vAlign w:val="center"/>
          </w:tcPr>
          <w:p w14:paraId="2A1770F0">
            <w:pPr>
              <w:pStyle w:val="14"/>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采购标的所属行业</w:t>
            </w:r>
          </w:p>
        </w:tc>
        <w:tc>
          <w:tcPr>
            <w:tcW w:w="3509" w:type="pct"/>
            <w:vAlign w:val="center"/>
          </w:tcPr>
          <w:p w14:paraId="1BB5966E">
            <w:pPr>
              <w:pStyle w:val="23"/>
              <w:spacing w:beforeAutospacing="0" w:afterAutospacing="0" w:line="360" w:lineRule="auto"/>
              <w:rPr>
                <w:rFonts w:hint="eastAsia" w:ascii="仿宋" w:hAnsi="仿宋" w:eastAsia="仿宋" w:cs="仿宋"/>
                <w:sz w:val="24"/>
                <w:szCs w:val="24"/>
                <w:highlight w:val="none"/>
                <w:lang w:val="en-US" w:eastAsia="zh-CN"/>
              </w:rPr>
            </w:pPr>
            <w:r>
              <w:rPr>
                <w:rFonts w:hint="eastAsia" w:ascii="仿宋" w:hAnsi="仿宋" w:eastAsia="仿宋" w:cs="仿宋"/>
                <w:color w:val="auto"/>
                <w:sz w:val="24"/>
                <w:highlight w:val="none"/>
                <w:lang w:val="en-US" w:eastAsia="zh-CN"/>
              </w:rPr>
              <w:t>其他未列明行业</w:t>
            </w:r>
          </w:p>
        </w:tc>
      </w:tr>
      <w:tr w14:paraId="304E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7595A879">
            <w:pPr>
              <w:widowControl/>
              <w:jc w:val="center"/>
              <w:textAlignment w:val="center"/>
              <w:rPr>
                <w:rFonts w:hint="eastAsia" w:ascii="仿宋" w:hAnsi="仿宋" w:eastAsia="仿宋" w:cs="仿宋"/>
                <w:sz w:val="24"/>
                <w:szCs w:val="24"/>
                <w:highlight w:val="none"/>
                <w:lang w:eastAsia="zh-CN"/>
              </w:rPr>
            </w:pPr>
            <w:r>
              <w:rPr>
                <w:rFonts w:hint="eastAsia" w:ascii="仿宋" w:hAnsi="仿宋" w:eastAsia="仿宋" w:cs="仿宋"/>
                <w:color w:val="000000"/>
                <w:kern w:val="0"/>
                <w:sz w:val="24"/>
                <w:szCs w:val="24"/>
                <w:highlight w:val="none"/>
                <w:lang w:val="en-US" w:eastAsia="zh-CN" w:bidi="ar"/>
              </w:rPr>
              <w:t>8</w:t>
            </w:r>
          </w:p>
        </w:tc>
        <w:tc>
          <w:tcPr>
            <w:tcW w:w="1092" w:type="pct"/>
            <w:vAlign w:val="center"/>
          </w:tcPr>
          <w:p w14:paraId="43F47B6F">
            <w:pPr>
              <w:pStyle w:val="14"/>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是否为专门面向中小企业采购</w:t>
            </w:r>
          </w:p>
        </w:tc>
        <w:tc>
          <w:tcPr>
            <w:tcW w:w="3509" w:type="pct"/>
            <w:vAlign w:val="center"/>
          </w:tcPr>
          <w:p w14:paraId="0EBC0134">
            <w:pPr>
              <w:pStyle w:val="14"/>
              <w:spacing w:line="500" w:lineRule="exact"/>
              <w:jc w:val="left"/>
              <w:rPr>
                <w:rFonts w:hint="eastAsia" w:ascii="仿宋" w:hAnsi="仿宋" w:eastAsia="仿宋" w:cs="仿宋"/>
                <w:sz w:val="24"/>
                <w:szCs w:val="24"/>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是</w:t>
            </w:r>
          </w:p>
        </w:tc>
      </w:tr>
      <w:tr w14:paraId="6A3D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09FAFA10">
            <w:pPr>
              <w:widowControl/>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9</w:t>
            </w:r>
          </w:p>
        </w:tc>
        <w:tc>
          <w:tcPr>
            <w:tcW w:w="1092" w:type="pct"/>
            <w:vAlign w:val="center"/>
          </w:tcPr>
          <w:p w14:paraId="3A417A48">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资金来源</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资金落实情况</w:t>
            </w:r>
          </w:p>
        </w:tc>
        <w:tc>
          <w:tcPr>
            <w:tcW w:w="3509" w:type="pct"/>
            <w:vAlign w:val="center"/>
          </w:tcPr>
          <w:p w14:paraId="770B5475">
            <w:pPr>
              <w:spacing w:line="5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财政</w:t>
            </w:r>
            <w:r>
              <w:rPr>
                <w:rFonts w:hint="eastAsia" w:ascii="仿宋" w:hAnsi="仿宋" w:eastAsia="仿宋" w:cs="仿宋"/>
                <w:sz w:val="24"/>
                <w:szCs w:val="24"/>
                <w:highlight w:val="none"/>
              </w:rPr>
              <w:t>资金</w:t>
            </w:r>
            <w:r>
              <w:rPr>
                <w:rFonts w:hint="eastAsia" w:ascii="仿宋" w:hAnsi="仿宋" w:eastAsia="仿宋" w:cs="仿宋"/>
                <w:sz w:val="24"/>
                <w:szCs w:val="24"/>
                <w:highlight w:val="none"/>
                <w:lang w:val="en-US" w:eastAsia="zh-CN"/>
              </w:rPr>
              <w:t>已落实</w:t>
            </w:r>
          </w:p>
        </w:tc>
      </w:tr>
      <w:tr w14:paraId="0CF1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77DE1B1E">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10</w:t>
            </w:r>
          </w:p>
        </w:tc>
        <w:tc>
          <w:tcPr>
            <w:tcW w:w="1092" w:type="pct"/>
            <w:vAlign w:val="center"/>
          </w:tcPr>
          <w:p w14:paraId="28D2409C">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质量标准</w:t>
            </w:r>
          </w:p>
        </w:tc>
        <w:tc>
          <w:tcPr>
            <w:tcW w:w="3509" w:type="pct"/>
            <w:vAlign w:val="center"/>
          </w:tcPr>
          <w:p w14:paraId="32E026C6">
            <w:pPr>
              <w:spacing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合格</w:t>
            </w:r>
          </w:p>
        </w:tc>
      </w:tr>
      <w:tr w14:paraId="302C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42BACC4C">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11</w:t>
            </w:r>
          </w:p>
        </w:tc>
        <w:tc>
          <w:tcPr>
            <w:tcW w:w="1092" w:type="pct"/>
            <w:vAlign w:val="center"/>
          </w:tcPr>
          <w:p w14:paraId="2069B941">
            <w:pPr>
              <w:pStyle w:val="14"/>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现场踏勘</w:t>
            </w:r>
          </w:p>
        </w:tc>
        <w:tc>
          <w:tcPr>
            <w:tcW w:w="3509" w:type="pct"/>
            <w:vAlign w:val="center"/>
          </w:tcPr>
          <w:p w14:paraId="40833265">
            <w:pPr>
              <w:pStyle w:val="14"/>
              <w:spacing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不组织</w:t>
            </w:r>
          </w:p>
        </w:tc>
      </w:tr>
      <w:tr w14:paraId="788F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15AAC645">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15</w:t>
            </w:r>
          </w:p>
        </w:tc>
        <w:tc>
          <w:tcPr>
            <w:tcW w:w="1092" w:type="pct"/>
            <w:vAlign w:val="center"/>
          </w:tcPr>
          <w:p w14:paraId="3A515241">
            <w:pPr>
              <w:spacing w:line="396"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分包/转包</w:t>
            </w:r>
          </w:p>
        </w:tc>
        <w:tc>
          <w:tcPr>
            <w:tcW w:w="3509" w:type="pct"/>
            <w:vAlign w:val="center"/>
          </w:tcPr>
          <w:p w14:paraId="5605C392">
            <w:pPr>
              <w:spacing w:line="396"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不允许。</w:t>
            </w:r>
          </w:p>
        </w:tc>
      </w:tr>
      <w:tr w14:paraId="1B0B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76E11BC2">
            <w:pPr>
              <w:widowControl/>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13</w:t>
            </w:r>
          </w:p>
        </w:tc>
        <w:tc>
          <w:tcPr>
            <w:tcW w:w="1092" w:type="pct"/>
            <w:vAlign w:val="center"/>
          </w:tcPr>
          <w:p w14:paraId="68FBAFE3">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服务期</w:t>
            </w:r>
          </w:p>
        </w:tc>
        <w:tc>
          <w:tcPr>
            <w:tcW w:w="3509" w:type="pct"/>
            <w:shd w:val="clear" w:color="auto" w:fill="auto"/>
            <w:vAlign w:val="center"/>
          </w:tcPr>
          <w:p w14:paraId="2A150630">
            <w:pPr>
              <w:pStyle w:val="31"/>
              <w:spacing w:line="440" w:lineRule="exact"/>
              <w:jc w:val="both"/>
              <w:rPr>
                <w:rFonts w:hint="eastAsia" w:ascii="仿宋" w:hAnsi="仿宋" w:eastAsia="仿宋" w:cs="仿宋"/>
                <w:sz w:val="24"/>
                <w:szCs w:val="24"/>
                <w:highlight w:val="none"/>
                <w:u w:val="single"/>
                <w:lang w:val="en-US" w:eastAsia="zh-CN" w:bidi="ar-SA"/>
              </w:rPr>
            </w:pPr>
            <w:r>
              <w:rPr>
                <w:rFonts w:hint="eastAsia" w:ascii="仿宋" w:hAnsi="仿宋" w:eastAsia="仿宋" w:cs="仿宋"/>
                <w:sz w:val="24"/>
                <w:szCs w:val="24"/>
                <w:highlight w:val="none"/>
                <w:u w:val="none"/>
                <w:lang w:val="en-US" w:eastAsia="zh-CN" w:bidi="ar-SA"/>
              </w:rPr>
              <w:t>项目于2025年10月31日前完成全部策划、拍摄、制作、播出工作</w:t>
            </w:r>
          </w:p>
        </w:tc>
      </w:tr>
      <w:tr w14:paraId="5D1A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437D7712">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14</w:t>
            </w:r>
          </w:p>
        </w:tc>
        <w:tc>
          <w:tcPr>
            <w:tcW w:w="1092" w:type="pct"/>
            <w:vAlign w:val="center"/>
          </w:tcPr>
          <w:p w14:paraId="6F4B938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采购资金的支付方式和时间</w:t>
            </w:r>
          </w:p>
        </w:tc>
        <w:tc>
          <w:tcPr>
            <w:tcW w:w="3509" w:type="pct"/>
            <w:vAlign w:val="center"/>
          </w:tcPr>
          <w:p w14:paraId="0F1FEBCC">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1)结算单位：银行转账，由采购人负责结算。在付款前，供应商必须开具与合同金额相应的发票给采购人，附详细清单。</w:t>
            </w:r>
          </w:p>
          <w:p w14:paraId="69437016">
            <w:pPr>
              <w:pStyle w:val="9"/>
              <w:rPr>
                <w:rFonts w:hint="eastAsia" w:ascii="仿宋" w:hAnsi="仿宋" w:eastAsia="仿宋" w:cs="仿宋"/>
                <w:sz w:val="24"/>
                <w:szCs w:val="24"/>
                <w:highlight w:val="none"/>
              </w:rPr>
            </w:pPr>
            <w:r>
              <w:rPr>
                <w:rFonts w:hint="eastAsia" w:ascii="仿宋" w:hAnsi="仿宋" w:eastAsia="仿宋" w:cs="仿宋"/>
                <w:sz w:val="24"/>
                <w:szCs w:val="24"/>
                <w:highlight w:val="none"/>
              </w:rPr>
              <w:t>2)付款方式:</w:t>
            </w:r>
          </w:p>
          <w:p w14:paraId="515EEE8F">
            <w:pPr>
              <w:numPr>
                <w:ilvl w:val="0"/>
                <w:numId w:val="0"/>
              </w:num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钱款分2次支付，合同签订后，项目启动前，乙方先转入甲方指定的账户合同总价的5%作为履约保证金。项目启动后，甲方于合同签署1月内支付40%的费用，项目结束且验收合格后支付60%，半年内无异议，乙方可提出书面申请，甲方全额无息退回履约保证金。若乙方违反合同约定，甲方有权从履约保证金中直接予以扣除违约金。</w:t>
            </w:r>
          </w:p>
        </w:tc>
      </w:tr>
      <w:tr w14:paraId="1B29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42CE98B5">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15</w:t>
            </w:r>
          </w:p>
        </w:tc>
        <w:tc>
          <w:tcPr>
            <w:tcW w:w="1092" w:type="pct"/>
            <w:vAlign w:val="center"/>
          </w:tcPr>
          <w:p w14:paraId="25655DE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供应商</w:t>
            </w:r>
          </w:p>
          <w:p w14:paraId="71216F05">
            <w:pPr>
              <w:spacing w:line="396"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资质证明资料</w:t>
            </w:r>
          </w:p>
        </w:tc>
        <w:tc>
          <w:tcPr>
            <w:tcW w:w="3509" w:type="pct"/>
            <w:vAlign w:val="center"/>
          </w:tcPr>
          <w:p w14:paraId="5E1902EA">
            <w:pPr>
              <w:pStyle w:val="23"/>
              <w:shd w:val="clear" w:color="auto"/>
              <w:spacing w:before="0" w:beforeAutospacing="0" w:after="0" w:afterAutospacing="0" w:line="420" w:lineRule="exact"/>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（1）基本资格条件：符合《中华人民共和国政府采购法》第二十二条的规定的供应商条件，提供以下文件：</w:t>
            </w:r>
          </w:p>
          <w:p w14:paraId="53811AB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3F7D659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财务状况报告：提供2023年或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025F816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0CF0B81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p>
          <w:p w14:paraId="335B3B8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5、提供具有履行本合同所必需的专业技术能力的书面声明。</w:t>
            </w:r>
          </w:p>
          <w:p w14:paraId="33AEA37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6、参加本次政府采购活动前3年内在经营活动中没有重大违纪，以及未被列入失信被执行人、重大税收违法失信主体、政府采购严重违法失信行为记录名单的书面声明。</w:t>
            </w:r>
          </w:p>
          <w:p w14:paraId="42BEFA5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7、法定代表人直接参加磋商的，须出具法定代表人身份证明书及身份证；授权代表参加磋商的，须出具法定代表人授权书及授权代表身份证。</w:t>
            </w:r>
            <w:r>
              <w:rPr>
                <w:rFonts w:hint="eastAsia" w:ascii="仿宋" w:hAnsi="仿宋" w:eastAsia="仿宋" w:cs="仿宋"/>
                <w:b w:val="0"/>
                <w:bCs w:val="0"/>
                <w:sz w:val="24"/>
                <w:szCs w:val="24"/>
                <w:highlight w:val="none"/>
                <w:lang w:val="en-US" w:eastAsia="zh-CN"/>
              </w:rPr>
              <w:t>（被授权人需提供文件递交截止时间前六个月内任意一个月的社会保障资金的缴纳证明）</w:t>
            </w:r>
          </w:p>
          <w:p w14:paraId="6F96B1D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5381E9B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46EC14A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10、本项目专门面向中小企业采购，供应商须提供中小企业声明函；</w:t>
            </w:r>
          </w:p>
          <w:p w14:paraId="5A51228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11、本项目不允许联合体磋商。</w:t>
            </w:r>
          </w:p>
          <w:p w14:paraId="231C81C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w:t>
            </w:r>
          </w:p>
          <w:p w14:paraId="61AEE04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30927AA2">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②分支机构参与磋商时，须提供分支机构的资格要求证明文件； 响应文件中应附法定代表人（非负责人）出具的法定代表人授权委托书。法人只能授权一家分支机构参与本项目采购活动，且不能与分支机构同时参加；</w:t>
            </w:r>
          </w:p>
          <w:p w14:paraId="7657D68B">
            <w:pPr>
              <w:pStyle w:val="23"/>
              <w:shd w:val="clear" w:color="auto"/>
              <w:spacing w:beforeAutospacing="0" w:afterAutospacing="0" w:line="5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③事业单位法人参与响应可不提供财务状况报告、社会保障资金缴纳证明及税收缴纳证明。</w:t>
            </w:r>
          </w:p>
          <w:p w14:paraId="2878ABDB">
            <w:pPr>
              <w:shd w:val="clear"/>
              <w:spacing w:line="440" w:lineRule="exact"/>
              <w:ind w:firstLine="482" w:firstLineChars="200"/>
              <w:jc w:val="left"/>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rPr>
              <w:t>备注：以上资格证明文件（除信用查询结果外）供应商必须完全提供，复印件胶装在响应文件中并加盖单位公章，缺项或未按要求提供的，不通过资格性审查。</w:t>
            </w:r>
          </w:p>
        </w:tc>
      </w:tr>
      <w:tr w14:paraId="29E1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97" w:type="pct"/>
            <w:vAlign w:val="center"/>
          </w:tcPr>
          <w:p w14:paraId="1AF26AA1">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16</w:t>
            </w:r>
          </w:p>
        </w:tc>
        <w:tc>
          <w:tcPr>
            <w:tcW w:w="1092" w:type="pct"/>
            <w:vAlign w:val="center"/>
          </w:tcPr>
          <w:p w14:paraId="10B6BD3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联合体竞争性</w:t>
            </w:r>
          </w:p>
          <w:p w14:paraId="616070C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w:t>
            </w:r>
          </w:p>
        </w:tc>
        <w:tc>
          <w:tcPr>
            <w:tcW w:w="3509" w:type="pct"/>
            <w:vAlign w:val="center"/>
          </w:tcPr>
          <w:p w14:paraId="16FFD654">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不接受</w:t>
            </w:r>
          </w:p>
        </w:tc>
      </w:tr>
      <w:tr w14:paraId="0D22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0138CF9E">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17</w:t>
            </w:r>
          </w:p>
        </w:tc>
        <w:tc>
          <w:tcPr>
            <w:tcW w:w="1092" w:type="pct"/>
            <w:vAlign w:val="center"/>
          </w:tcPr>
          <w:p w14:paraId="2DF9C8A6">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磋商前答疑会</w:t>
            </w:r>
          </w:p>
        </w:tc>
        <w:tc>
          <w:tcPr>
            <w:tcW w:w="3509" w:type="pct"/>
            <w:vAlign w:val="center"/>
          </w:tcPr>
          <w:p w14:paraId="2D855561">
            <w:pPr>
              <w:spacing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不组织</w:t>
            </w:r>
          </w:p>
        </w:tc>
      </w:tr>
      <w:tr w14:paraId="1946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2E49530C">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18</w:t>
            </w:r>
          </w:p>
        </w:tc>
        <w:tc>
          <w:tcPr>
            <w:tcW w:w="1092" w:type="pct"/>
            <w:vAlign w:val="center"/>
          </w:tcPr>
          <w:p w14:paraId="271064D1">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供应商质疑</w:t>
            </w:r>
          </w:p>
        </w:tc>
        <w:tc>
          <w:tcPr>
            <w:tcW w:w="3509" w:type="pct"/>
            <w:vAlign w:val="center"/>
          </w:tcPr>
          <w:p w14:paraId="30579160">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已经购买采购文件的供应商认为采购文件、采购过程和中标、成交结果使自己的权益受到损害的，可以在知道或者应知其权益受到损害之日起七个工作日内，一次性提出针对同一采购程序环节的书面质疑。采购人或采购代理机构将在收到供应商的书面质疑后七个工作日内作出答复。</w:t>
            </w:r>
          </w:p>
        </w:tc>
      </w:tr>
      <w:tr w14:paraId="4FF8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35A4E004">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19</w:t>
            </w:r>
          </w:p>
        </w:tc>
        <w:tc>
          <w:tcPr>
            <w:tcW w:w="1092" w:type="pct"/>
            <w:vAlign w:val="center"/>
          </w:tcPr>
          <w:p w14:paraId="6735E28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供应商询问</w:t>
            </w:r>
          </w:p>
        </w:tc>
        <w:tc>
          <w:tcPr>
            <w:tcW w:w="3509" w:type="pct"/>
            <w:vAlign w:val="center"/>
          </w:tcPr>
          <w:p w14:paraId="66C01FD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供应商对政府采购活动事项有疑问的，可以向采购人或采购代理机构提出询问，采购人或采购代理机构将在三个工作日内答复。</w:t>
            </w:r>
          </w:p>
        </w:tc>
      </w:tr>
      <w:tr w14:paraId="47A4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030DA9DA">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20</w:t>
            </w:r>
          </w:p>
        </w:tc>
        <w:tc>
          <w:tcPr>
            <w:tcW w:w="1092" w:type="pct"/>
            <w:vAlign w:val="center"/>
          </w:tcPr>
          <w:p w14:paraId="6BAE17B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磋商有效期</w:t>
            </w:r>
          </w:p>
        </w:tc>
        <w:tc>
          <w:tcPr>
            <w:tcW w:w="3509" w:type="pct"/>
            <w:vAlign w:val="center"/>
          </w:tcPr>
          <w:p w14:paraId="24407CB4">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90日历天（自磋商截止之日算起）</w:t>
            </w:r>
          </w:p>
        </w:tc>
      </w:tr>
      <w:tr w14:paraId="794E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14:paraId="7601E3A4">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21</w:t>
            </w:r>
          </w:p>
        </w:tc>
        <w:tc>
          <w:tcPr>
            <w:tcW w:w="1092" w:type="pct"/>
            <w:vAlign w:val="center"/>
          </w:tcPr>
          <w:p w14:paraId="07CB743E">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报价要求</w:t>
            </w:r>
          </w:p>
        </w:tc>
        <w:tc>
          <w:tcPr>
            <w:tcW w:w="3509" w:type="pct"/>
            <w:vAlign w:val="center"/>
          </w:tcPr>
          <w:p w14:paraId="73B4C822">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总价及分项报价</w:t>
            </w:r>
          </w:p>
          <w:p w14:paraId="560FCD78">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1）报价应包含完成该项目工作所发生的全部费用以及供应商利润、税金和政策性文件规定及合同包含的所有风险、责任等一切费用；</w:t>
            </w:r>
          </w:p>
          <w:p w14:paraId="164022D9">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2）供应商必须对所投项目全部内容进行完整报价，并列出明细及价格组成。采购人不接受（将拒绝）只对项目部分内容进行报价的磋商响应。</w:t>
            </w:r>
          </w:p>
        </w:tc>
      </w:tr>
      <w:tr w14:paraId="7315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97" w:type="pct"/>
            <w:vAlign w:val="center"/>
          </w:tcPr>
          <w:p w14:paraId="29FEBFEB">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22</w:t>
            </w:r>
          </w:p>
        </w:tc>
        <w:tc>
          <w:tcPr>
            <w:tcW w:w="1092" w:type="pct"/>
            <w:vAlign w:val="center"/>
          </w:tcPr>
          <w:p w14:paraId="15B59B26">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是否允许</w:t>
            </w:r>
          </w:p>
          <w:p w14:paraId="1E0E992A">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备选磋商响应方案</w:t>
            </w:r>
          </w:p>
        </w:tc>
        <w:tc>
          <w:tcPr>
            <w:tcW w:w="3509" w:type="pct"/>
            <w:vAlign w:val="center"/>
          </w:tcPr>
          <w:p w14:paraId="7CFC757A">
            <w:pPr>
              <w:spacing w:line="500" w:lineRule="exact"/>
              <w:ind w:left="360" w:hanging="360" w:hangingChars="150"/>
              <w:rPr>
                <w:rFonts w:hint="eastAsia" w:ascii="仿宋" w:hAnsi="仿宋" w:eastAsia="仿宋" w:cs="仿宋"/>
                <w:sz w:val="24"/>
                <w:szCs w:val="24"/>
                <w:highlight w:val="none"/>
              </w:rPr>
            </w:pPr>
            <w:r>
              <w:rPr>
                <w:rFonts w:hint="eastAsia" w:ascii="仿宋" w:hAnsi="仿宋" w:eastAsia="仿宋" w:cs="仿宋"/>
                <w:sz w:val="24"/>
                <w:szCs w:val="24"/>
                <w:highlight w:val="none"/>
              </w:rPr>
              <w:t>否</w:t>
            </w:r>
          </w:p>
        </w:tc>
      </w:tr>
      <w:tr w14:paraId="08CD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397" w:type="pct"/>
            <w:vAlign w:val="center"/>
          </w:tcPr>
          <w:p w14:paraId="52370157">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23</w:t>
            </w:r>
          </w:p>
        </w:tc>
        <w:tc>
          <w:tcPr>
            <w:tcW w:w="1092" w:type="pct"/>
            <w:vAlign w:val="center"/>
          </w:tcPr>
          <w:p w14:paraId="71A9E350">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w:t>
            </w:r>
          </w:p>
        </w:tc>
        <w:tc>
          <w:tcPr>
            <w:tcW w:w="3509" w:type="pct"/>
            <w:vAlign w:val="center"/>
          </w:tcPr>
          <w:p w14:paraId="1F98694A">
            <w:pPr>
              <w:spacing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合同签订后，项目启动前，乙方先转入甲方指定的账户合同总价的5%作为履约保证金。</w:t>
            </w:r>
          </w:p>
        </w:tc>
      </w:tr>
      <w:tr w14:paraId="6B10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97" w:type="pct"/>
            <w:vAlign w:val="center"/>
          </w:tcPr>
          <w:p w14:paraId="08269C99">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24</w:t>
            </w:r>
          </w:p>
        </w:tc>
        <w:tc>
          <w:tcPr>
            <w:tcW w:w="1092" w:type="pct"/>
            <w:vAlign w:val="center"/>
          </w:tcPr>
          <w:p w14:paraId="43B53EDA">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磋商保证金</w:t>
            </w:r>
          </w:p>
        </w:tc>
        <w:tc>
          <w:tcPr>
            <w:tcW w:w="3509" w:type="pct"/>
            <w:vAlign w:val="center"/>
          </w:tcPr>
          <w:p w14:paraId="51363626">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1、本项目的磋商保证金为：人民币</w:t>
            </w:r>
            <w:r>
              <w:rPr>
                <w:rFonts w:hint="eastAsia" w:ascii="仿宋" w:hAnsi="仿宋" w:eastAsia="仿宋" w:cs="仿宋"/>
                <w:sz w:val="24"/>
                <w:szCs w:val="24"/>
                <w:highlight w:val="none"/>
                <w:u w:val="single"/>
                <w:lang w:val="en-US" w:eastAsia="zh-CN"/>
              </w:rPr>
              <w:t>陆仟元整</w:t>
            </w: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lang w:val="en-US" w:eastAsia="zh-CN"/>
              </w:rPr>
              <w:t>6000</w:t>
            </w:r>
            <w:r>
              <w:rPr>
                <w:rFonts w:hint="eastAsia" w:ascii="仿宋" w:hAnsi="仿宋" w:eastAsia="仿宋" w:cs="仿宋"/>
                <w:sz w:val="24"/>
                <w:szCs w:val="24"/>
                <w:highlight w:val="none"/>
                <w:u w:val="single"/>
              </w:rPr>
              <w:t>.00</w:t>
            </w:r>
            <w:r>
              <w:rPr>
                <w:rFonts w:hint="eastAsia" w:ascii="仿宋" w:hAnsi="仿宋" w:eastAsia="仿宋" w:cs="仿宋"/>
                <w:sz w:val="24"/>
                <w:szCs w:val="24"/>
                <w:highlight w:val="none"/>
              </w:rPr>
              <w:t>）；</w:t>
            </w:r>
          </w:p>
          <w:p w14:paraId="51A591A5">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2、交纳方式：磋商保证金应当以网银、支票、汇票、本票或者金融机构、担保机构出具的保函等非现金形式提交。</w:t>
            </w:r>
          </w:p>
          <w:p w14:paraId="5C8C3E55">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3、交纳截止时间：磋商截止时间前到达指定账户。</w:t>
            </w:r>
          </w:p>
          <w:p w14:paraId="0B0F0C7C">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4、以转账方式交纳磋商保证金须注明</w:t>
            </w:r>
            <w:r>
              <w:rPr>
                <w:rFonts w:hint="eastAsia" w:ascii="仿宋" w:hAnsi="仿宋" w:eastAsia="仿宋" w:cs="仿宋"/>
                <w:b/>
                <w:bCs/>
                <w:sz w:val="24"/>
                <w:szCs w:val="24"/>
                <w:highlight w:val="none"/>
              </w:rPr>
              <w:t>项目编号+用途</w:t>
            </w:r>
            <w:r>
              <w:rPr>
                <w:rFonts w:hint="eastAsia" w:ascii="仿宋" w:hAnsi="仿宋" w:eastAsia="仿宋" w:cs="仿宋"/>
                <w:sz w:val="24"/>
                <w:szCs w:val="24"/>
                <w:highlight w:val="none"/>
              </w:rPr>
              <w:t>便于采购代理机构财务部查询登记。</w:t>
            </w:r>
          </w:p>
          <w:p w14:paraId="5FF58491">
            <w:pPr>
              <w:spacing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户    名：陕西德仁招标有限公司</w:t>
            </w:r>
          </w:p>
          <w:p w14:paraId="44AD12AD">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r>
              <w:rPr>
                <w:rFonts w:hint="eastAsia" w:ascii="仿宋" w:hAnsi="仿宋" w:eastAsia="仿宋" w:cs="仿宋"/>
                <w:sz w:val="24"/>
                <w:highlight w:val="none"/>
                <w:lang w:eastAsia="zh-CN"/>
              </w:rPr>
              <w:t>中国建设银行股份有限公司西安吉祥路支行</w:t>
            </w:r>
            <w:r>
              <w:rPr>
                <w:rFonts w:hint="eastAsia" w:ascii="仿宋" w:hAnsi="仿宋" w:eastAsia="仿宋" w:cs="仿宋"/>
                <w:sz w:val="24"/>
                <w:szCs w:val="24"/>
                <w:highlight w:val="none"/>
              </w:rPr>
              <w:t xml:space="preserve"> </w:t>
            </w:r>
          </w:p>
          <w:p w14:paraId="7BDF116D">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账    号：6105 0172 6500 0000 0081 </w:t>
            </w:r>
          </w:p>
          <w:p w14:paraId="7A548C1F">
            <w:pPr>
              <w:spacing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采购代理机构公司财务室电话：</w:t>
            </w:r>
            <w:r>
              <w:rPr>
                <w:rFonts w:hint="eastAsia" w:ascii="仿宋" w:hAnsi="仿宋" w:eastAsia="仿宋" w:cs="仿宋"/>
                <w:sz w:val="24"/>
                <w:szCs w:val="24"/>
                <w:highlight w:val="none"/>
              </w:rPr>
              <w:t>029-89185132</w:t>
            </w:r>
          </w:p>
          <w:p w14:paraId="3204081E">
            <w:pPr>
              <w:pStyle w:val="40"/>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重要提示：</w:t>
            </w:r>
          </w:p>
          <w:p w14:paraId="2EC993AD">
            <w:pPr>
              <w:pStyle w:val="40"/>
              <w:numPr>
                <w:ilvl w:val="0"/>
                <w:numId w:val="0"/>
              </w:num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磋商保证金必须在磋商截止时间之前交纳方为有效。请供应商考虑资金在银行之间的转账要求和时间成本，确保在磋商截止时间之前采购代理机构上述指定的账户能收到所交的磋商保证金，供应商应将保证金缴纳凭证复印件加盖公章装订在响应文件（正、副本）中，凡响应文件中未附保证金缴纳凭证的供应商，其磋商文件无效。</w:t>
            </w:r>
          </w:p>
          <w:p w14:paraId="6102B438">
            <w:pPr>
              <w:pStyle w:val="40"/>
              <w:numPr>
                <w:ilvl w:val="0"/>
                <w:numId w:val="0"/>
              </w:numPr>
              <w:rPr>
                <w:rFonts w:hint="eastAsia" w:ascii="仿宋" w:hAnsi="仿宋" w:eastAsia="仿宋" w:cs="仿宋"/>
                <w:sz w:val="24"/>
                <w:szCs w:val="24"/>
                <w:highlight w:val="none"/>
              </w:rPr>
            </w:pPr>
            <w:r>
              <w:rPr>
                <w:rFonts w:hint="eastAsia" w:ascii="仿宋" w:hAnsi="仿宋" w:eastAsia="仿宋" w:cs="仿宋"/>
                <w:sz w:val="24"/>
                <w:szCs w:val="24"/>
                <w:highlight w:val="none"/>
              </w:rPr>
              <w:t>2.磋商保证金采用保函形式的供应商，需要在响应文件递交截止时间之前，携带保函原件在代理公司处换取保证金收据，并将保函复印件及收据复印件装订在响应文件中。</w:t>
            </w:r>
          </w:p>
        </w:tc>
      </w:tr>
      <w:tr w14:paraId="7938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97" w:type="pct"/>
            <w:vAlign w:val="center"/>
          </w:tcPr>
          <w:p w14:paraId="0C1D7EF8">
            <w:pPr>
              <w:widowControl/>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25</w:t>
            </w:r>
          </w:p>
        </w:tc>
        <w:tc>
          <w:tcPr>
            <w:tcW w:w="1092" w:type="pct"/>
            <w:vAlign w:val="center"/>
          </w:tcPr>
          <w:p w14:paraId="26A21FC1">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签字或盖章要求</w:t>
            </w:r>
          </w:p>
        </w:tc>
        <w:tc>
          <w:tcPr>
            <w:tcW w:w="3509" w:type="pct"/>
            <w:vAlign w:val="center"/>
          </w:tcPr>
          <w:p w14:paraId="79871773">
            <w:pPr>
              <w:spacing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磋商响应文件中要求盖章签字的地方，均应按竞争性磋商文件要求签字或盖章。副本可以为正本的复印件。 </w:t>
            </w:r>
          </w:p>
        </w:tc>
      </w:tr>
      <w:tr w14:paraId="69C3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6FB58747">
            <w:pPr>
              <w:widowControl/>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26</w:t>
            </w:r>
          </w:p>
        </w:tc>
        <w:tc>
          <w:tcPr>
            <w:tcW w:w="1092" w:type="pct"/>
            <w:tcBorders>
              <w:top w:val="single" w:color="auto" w:sz="4" w:space="0"/>
              <w:left w:val="single" w:color="auto" w:sz="4" w:space="0"/>
              <w:bottom w:val="single" w:color="auto" w:sz="4" w:space="0"/>
              <w:right w:val="single" w:color="auto" w:sz="4" w:space="0"/>
            </w:tcBorders>
            <w:vAlign w:val="center"/>
          </w:tcPr>
          <w:p w14:paraId="4FC2ADE6">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磋商响应文件份数</w:t>
            </w:r>
          </w:p>
        </w:tc>
        <w:tc>
          <w:tcPr>
            <w:tcW w:w="3509" w:type="pct"/>
            <w:tcBorders>
              <w:top w:val="single" w:color="auto" w:sz="4" w:space="0"/>
              <w:left w:val="single" w:color="auto" w:sz="4" w:space="0"/>
              <w:bottom w:val="single" w:color="auto" w:sz="4" w:space="0"/>
              <w:right w:val="single" w:color="auto" w:sz="4" w:space="0"/>
            </w:tcBorders>
            <w:vAlign w:val="center"/>
          </w:tcPr>
          <w:p w14:paraId="12D5F0A1">
            <w:pPr>
              <w:spacing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正本壹份，副本贰份，电子版（U盘）壹份</w:t>
            </w:r>
          </w:p>
        </w:tc>
      </w:tr>
      <w:tr w14:paraId="73E7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25D13601">
            <w:pPr>
              <w:widowControl/>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27</w:t>
            </w:r>
          </w:p>
        </w:tc>
        <w:tc>
          <w:tcPr>
            <w:tcW w:w="1092" w:type="pct"/>
            <w:tcBorders>
              <w:top w:val="single" w:color="auto" w:sz="4" w:space="0"/>
              <w:left w:val="single" w:color="auto" w:sz="4" w:space="0"/>
              <w:bottom w:val="single" w:color="auto" w:sz="4" w:space="0"/>
              <w:right w:val="single" w:color="auto" w:sz="4" w:space="0"/>
            </w:tcBorders>
            <w:vAlign w:val="center"/>
          </w:tcPr>
          <w:p w14:paraId="29D26740">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电子版文件要求</w:t>
            </w:r>
          </w:p>
        </w:tc>
        <w:tc>
          <w:tcPr>
            <w:tcW w:w="3509" w:type="pct"/>
            <w:tcBorders>
              <w:top w:val="single" w:color="auto" w:sz="4" w:space="0"/>
              <w:left w:val="single" w:color="auto" w:sz="4" w:space="0"/>
              <w:bottom w:val="single" w:color="auto" w:sz="4" w:space="0"/>
              <w:right w:val="single" w:color="auto" w:sz="4" w:space="0"/>
            </w:tcBorders>
            <w:vAlign w:val="center"/>
          </w:tcPr>
          <w:p w14:paraId="4ED72244">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1.电子文件应与纸质磋商响应文件正本一致，电子文档格式为Word及</w:t>
            </w:r>
            <w:r>
              <w:rPr>
                <w:rFonts w:hint="eastAsia" w:ascii="仿宋" w:hAnsi="仿宋" w:eastAsia="仿宋" w:cs="仿宋"/>
                <w:b/>
                <w:bCs/>
                <w:sz w:val="24"/>
                <w:szCs w:val="24"/>
                <w:highlight w:val="none"/>
              </w:rPr>
              <w:t>PDF（签字盖章后的扫描件PDF版）</w:t>
            </w:r>
            <w:r>
              <w:rPr>
                <w:rFonts w:hint="eastAsia" w:ascii="仿宋" w:hAnsi="仿宋" w:eastAsia="仿宋" w:cs="仿宋"/>
                <w:sz w:val="24"/>
                <w:szCs w:val="24"/>
                <w:highlight w:val="none"/>
              </w:rPr>
              <w:t>；</w:t>
            </w:r>
          </w:p>
          <w:p w14:paraId="2344A1DB">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2.当电子文件电子文本与纸质不一致时，以纸质文件为准；</w:t>
            </w:r>
          </w:p>
          <w:p w14:paraId="6E787172">
            <w:pPr>
              <w:spacing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3.电子文档需标明项目编号、供应商名称等信息。</w:t>
            </w:r>
          </w:p>
        </w:tc>
      </w:tr>
      <w:tr w14:paraId="528B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7663537E">
            <w:pPr>
              <w:widowControl/>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28</w:t>
            </w:r>
          </w:p>
        </w:tc>
        <w:tc>
          <w:tcPr>
            <w:tcW w:w="1092" w:type="pct"/>
            <w:tcBorders>
              <w:top w:val="single" w:color="auto" w:sz="4" w:space="0"/>
              <w:left w:val="single" w:color="auto" w:sz="4" w:space="0"/>
              <w:bottom w:val="single" w:color="auto" w:sz="4" w:space="0"/>
              <w:right w:val="single" w:color="auto" w:sz="4" w:space="0"/>
            </w:tcBorders>
            <w:vAlign w:val="center"/>
          </w:tcPr>
          <w:p w14:paraId="7AA41DBF">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装订、包装、密封及标记要求</w:t>
            </w:r>
          </w:p>
        </w:tc>
        <w:tc>
          <w:tcPr>
            <w:tcW w:w="3509" w:type="pct"/>
            <w:tcBorders>
              <w:top w:val="single" w:color="auto" w:sz="4" w:space="0"/>
              <w:left w:val="single" w:color="auto" w:sz="4" w:space="0"/>
              <w:bottom w:val="single" w:color="auto" w:sz="4" w:space="0"/>
              <w:right w:val="single" w:color="auto" w:sz="4" w:space="0"/>
            </w:tcBorders>
            <w:vAlign w:val="center"/>
          </w:tcPr>
          <w:p w14:paraId="783F1F4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1．磋商响应文件正、副本应分别胶装成册，胶装应牢固、不易拆散和换页，不得采用活页装订，建议双面打印。</w:t>
            </w:r>
          </w:p>
          <w:p w14:paraId="7EDA47A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2．密封包装方式：</w:t>
            </w:r>
          </w:p>
          <w:p w14:paraId="22B8CD9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（1）磋商响应文件正本一包密封；</w:t>
            </w:r>
          </w:p>
          <w:p w14:paraId="26D914A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（2）磋商响应文件副本一包密封。</w:t>
            </w:r>
          </w:p>
          <w:p w14:paraId="599829C5">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（3）磋商响应文件电子版一包密封。</w:t>
            </w:r>
          </w:p>
          <w:p w14:paraId="5DB55E9A">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封套上应写明：</w:t>
            </w:r>
          </w:p>
          <w:p w14:paraId="215B434C">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                       正本/副本/电子版</w:t>
            </w:r>
          </w:p>
          <w:p w14:paraId="15568DD4">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4A0268AB">
            <w:pPr>
              <w:spacing w:line="500" w:lineRule="exact"/>
              <w:ind w:firstLine="2160" w:firstLineChars="900"/>
              <w:rPr>
                <w:rFonts w:hint="eastAsia" w:ascii="仿宋" w:hAnsi="仿宋" w:eastAsia="仿宋" w:cs="仿宋"/>
                <w:sz w:val="24"/>
                <w:szCs w:val="24"/>
                <w:highlight w:val="none"/>
              </w:rPr>
            </w:pPr>
            <w:r>
              <w:rPr>
                <w:rFonts w:hint="eastAsia" w:ascii="仿宋" w:hAnsi="仿宋" w:eastAsia="仿宋" w:cs="仿宋"/>
                <w:sz w:val="24"/>
                <w:szCs w:val="24"/>
                <w:highlight w:val="none"/>
              </w:rPr>
              <w:t>磋商响应文件</w:t>
            </w:r>
          </w:p>
          <w:p w14:paraId="598D75CD">
            <w:pPr>
              <w:spacing w:line="50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在    年  月  日 时  分前</w:t>
            </w:r>
            <w:r>
              <w:rPr>
                <w:rFonts w:hint="eastAsia" w:ascii="仿宋" w:hAnsi="仿宋" w:eastAsia="仿宋" w:cs="仿宋"/>
                <w:sz w:val="24"/>
                <w:szCs w:val="24"/>
                <w:highlight w:val="none"/>
              </w:rPr>
              <w:t>不得开启</w:t>
            </w:r>
          </w:p>
          <w:p w14:paraId="106755F7">
            <w:pPr>
              <w:spacing w:line="50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xml:space="preserve">              （公章）</w:t>
            </w:r>
          </w:p>
          <w:p w14:paraId="6F62FAE9">
            <w:pPr>
              <w:spacing w:line="500" w:lineRule="exact"/>
              <w:ind w:left="447" w:leftChars="213" w:firstLine="268" w:firstLineChars="112"/>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w:t>
            </w:r>
            <w:r>
              <w:rPr>
                <w:rFonts w:hint="eastAsia" w:ascii="仿宋" w:hAnsi="仿宋" w:eastAsia="仿宋" w:cs="仿宋"/>
                <w:sz w:val="24"/>
                <w:szCs w:val="24"/>
                <w:highlight w:val="none"/>
                <w:u w:val="single"/>
              </w:rPr>
              <w:t xml:space="preserve">   （签字或盖章）</w:t>
            </w:r>
          </w:p>
        </w:tc>
      </w:tr>
      <w:tr w14:paraId="319B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145396B5">
            <w:pPr>
              <w:widowControl/>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29</w:t>
            </w:r>
          </w:p>
        </w:tc>
        <w:tc>
          <w:tcPr>
            <w:tcW w:w="1092" w:type="pct"/>
            <w:tcBorders>
              <w:top w:val="single" w:color="auto" w:sz="4" w:space="0"/>
              <w:left w:val="single" w:color="auto" w:sz="4" w:space="0"/>
              <w:bottom w:val="single" w:color="auto" w:sz="4" w:space="0"/>
              <w:right w:val="single" w:color="auto" w:sz="4" w:space="0"/>
            </w:tcBorders>
            <w:vAlign w:val="center"/>
          </w:tcPr>
          <w:p w14:paraId="2E4EF95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响应文件递交截止时间和地点</w:t>
            </w:r>
          </w:p>
        </w:tc>
        <w:tc>
          <w:tcPr>
            <w:tcW w:w="3509" w:type="pct"/>
            <w:tcBorders>
              <w:top w:val="single" w:color="auto" w:sz="4" w:space="0"/>
              <w:left w:val="single" w:color="auto" w:sz="4" w:space="0"/>
              <w:bottom w:val="single" w:color="auto" w:sz="4" w:space="0"/>
              <w:right w:val="single" w:color="auto" w:sz="4" w:space="0"/>
            </w:tcBorders>
            <w:vAlign w:val="center"/>
          </w:tcPr>
          <w:p w14:paraId="30845FDF">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时间： 2025年6月11日14时00分00秒 </w:t>
            </w:r>
          </w:p>
          <w:p w14:paraId="0409AF4E">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地点：西安市唐延路37号class公馆B栋1103室</w:t>
            </w:r>
          </w:p>
        </w:tc>
      </w:tr>
      <w:tr w14:paraId="6047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13E7B0F5">
            <w:pPr>
              <w:widowControl/>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30</w:t>
            </w:r>
          </w:p>
        </w:tc>
        <w:tc>
          <w:tcPr>
            <w:tcW w:w="1092" w:type="pct"/>
            <w:tcBorders>
              <w:top w:val="single" w:color="auto" w:sz="4" w:space="0"/>
              <w:left w:val="single" w:color="auto" w:sz="4" w:space="0"/>
              <w:bottom w:val="single" w:color="auto" w:sz="4" w:space="0"/>
              <w:right w:val="single" w:color="auto" w:sz="4" w:space="0"/>
            </w:tcBorders>
            <w:vAlign w:val="center"/>
          </w:tcPr>
          <w:p w14:paraId="5E4608C0">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磋商时间和地点</w:t>
            </w:r>
          </w:p>
        </w:tc>
        <w:tc>
          <w:tcPr>
            <w:tcW w:w="3509" w:type="pct"/>
            <w:tcBorders>
              <w:top w:val="single" w:color="auto" w:sz="4" w:space="0"/>
              <w:left w:val="single" w:color="auto" w:sz="4" w:space="0"/>
              <w:bottom w:val="single" w:color="auto" w:sz="4" w:space="0"/>
              <w:right w:val="single" w:color="auto" w:sz="4" w:space="0"/>
            </w:tcBorders>
            <w:vAlign w:val="center"/>
          </w:tcPr>
          <w:p w14:paraId="0438D815">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时间：2025年6月11日14时00分00秒  </w:t>
            </w:r>
          </w:p>
          <w:p w14:paraId="7B568366">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地点：西安市唐延路37号class公馆B栋1103室</w:t>
            </w:r>
          </w:p>
        </w:tc>
      </w:tr>
      <w:tr w14:paraId="1CEA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598E5640">
            <w:pPr>
              <w:widowControl/>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31</w:t>
            </w:r>
          </w:p>
        </w:tc>
        <w:tc>
          <w:tcPr>
            <w:tcW w:w="1092" w:type="pct"/>
            <w:tcBorders>
              <w:top w:val="single" w:color="auto" w:sz="4" w:space="0"/>
              <w:left w:val="single" w:color="auto" w:sz="4" w:space="0"/>
              <w:bottom w:val="single" w:color="auto" w:sz="4" w:space="0"/>
              <w:right w:val="single" w:color="auto" w:sz="4" w:space="0"/>
            </w:tcBorders>
            <w:vAlign w:val="center"/>
          </w:tcPr>
          <w:p w14:paraId="245CEF76">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是否退还磋商响应文件</w:t>
            </w:r>
          </w:p>
        </w:tc>
        <w:tc>
          <w:tcPr>
            <w:tcW w:w="3509" w:type="pct"/>
            <w:tcBorders>
              <w:top w:val="single" w:color="auto" w:sz="4" w:space="0"/>
              <w:left w:val="single" w:color="auto" w:sz="4" w:space="0"/>
              <w:bottom w:val="single" w:color="auto" w:sz="4" w:space="0"/>
              <w:right w:val="single" w:color="auto" w:sz="4" w:space="0"/>
            </w:tcBorders>
            <w:vAlign w:val="center"/>
          </w:tcPr>
          <w:p w14:paraId="5A6AF879">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否</w:t>
            </w:r>
          </w:p>
        </w:tc>
      </w:tr>
      <w:tr w14:paraId="0801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0E1928B8">
            <w:pPr>
              <w:widowControl/>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32</w:t>
            </w:r>
          </w:p>
        </w:tc>
        <w:tc>
          <w:tcPr>
            <w:tcW w:w="1092" w:type="pct"/>
            <w:tcBorders>
              <w:top w:val="single" w:color="auto" w:sz="4" w:space="0"/>
              <w:left w:val="single" w:color="auto" w:sz="4" w:space="0"/>
              <w:bottom w:val="single" w:color="auto" w:sz="4" w:space="0"/>
              <w:right w:val="single" w:color="auto" w:sz="4" w:space="0"/>
            </w:tcBorders>
            <w:vAlign w:val="center"/>
          </w:tcPr>
          <w:p w14:paraId="4B6EBA28">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磋商小组的组建</w:t>
            </w:r>
          </w:p>
        </w:tc>
        <w:tc>
          <w:tcPr>
            <w:tcW w:w="3509" w:type="pct"/>
            <w:tcBorders>
              <w:top w:val="single" w:color="auto" w:sz="4" w:space="0"/>
              <w:left w:val="single" w:color="auto" w:sz="4" w:space="0"/>
              <w:bottom w:val="single" w:color="auto" w:sz="4" w:space="0"/>
              <w:right w:val="single" w:color="auto" w:sz="4" w:space="0"/>
            </w:tcBorders>
            <w:vAlign w:val="center"/>
          </w:tcPr>
          <w:p w14:paraId="3D290E49">
            <w:pPr>
              <w:spacing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磋商小组构成：3人，其中项目采购人代表1人，专家2人；</w:t>
            </w:r>
          </w:p>
          <w:p w14:paraId="42048780">
            <w:pPr>
              <w:spacing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专家确定方式：从陕西省财政厅政府采购专家库随机抽取</w:t>
            </w:r>
          </w:p>
        </w:tc>
      </w:tr>
      <w:tr w14:paraId="0E9F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3351CB01">
            <w:pPr>
              <w:widowControl/>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33</w:t>
            </w:r>
          </w:p>
        </w:tc>
        <w:tc>
          <w:tcPr>
            <w:tcW w:w="1092" w:type="pct"/>
            <w:tcBorders>
              <w:top w:val="single" w:color="auto" w:sz="4" w:space="0"/>
              <w:left w:val="single" w:color="auto" w:sz="4" w:space="0"/>
              <w:bottom w:val="single" w:color="auto" w:sz="4" w:space="0"/>
              <w:right w:val="single" w:color="auto" w:sz="4" w:space="0"/>
            </w:tcBorders>
            <w:vAlign w:val="center"/>
          </w:tcPr>
          <w:p w14:paraId="486A8B7F">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是否授权磋商小组确定磋商供应商</w:t>
            </w:r>
          </w:p>
        </w:tc>
        <w:tc>
          <w:tcPr>
            <w:tcW w:w="3509" w:type="pct"/>
            <w:tcBorders>
              <w:top w:val="single" w:color="auto" w:sz="4" w:space="0"/>
              <w:left w:val="single" w:color="auto" w:sz="4" w:space="0"/>
              <w:bottom w:val="single" w:color="auto" w:sz="4" w:space="0"/>
              <w:right w:val="single" w:color="auto" w:sz="4" w:space="0"/>
            </w:tcBorders>
            <w:vAlign w:val="center"/>
          </w:tcPr>
          <w:p w14:paraId="42F792D3">
            <w:pPr>
              <w:spacing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否，推荐1-3名成交候选人；</w:t>
            </w:r>
          </w:p>
        </w:tc>
      </w:tr>
      <w:tr w14:paraId="35C0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1D888E7D">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34</w:t>
            </w:r>
          </w:p>
        </w:tc>
        <w:tc>
          <w:tcPr>
            <w:tcW w:w="1092" w:type="pct"/>
            <w:tcBorders>
              <w:top w:val="single" w:color="auto" w:sz="4" w:space="0"/>
              <w:left w:val="single" w:color="auto" w:sz="4" w:space="0"/>
              <w:bottom w:val="single" w:color="auto" w:sz="4" w:space="0"/>
              <w:right w:val="single" w:color="auto" w:sz="4" w:space="0"/>
            </w:tcBorders>
            <w:vAlign w:val="center"/>
          </w:tcPr>
          <w:p w14:paraId="67151FFA">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信用查询</w:t>
            </w:r>
          </w:p>
        </w:tc>
        <w:tc>
          <w:tcPr>
            <w:tcW w:w="3509" w:type="pct"/>
            <w:tcBorders>
              <w:top w:val="single" w:color="auto" w:sz="4" w:space="0"/>
              <w:left w:val="single" w:color="auto" w:sz="4" w:space="0"/>
              <w:bottom w:val="single" w:color="auto" w:sz="4" w:space="0"/>
              <w:right w:val="single" w:color="auto" w:sz="4" w:space="0"/>
            </w:tcBorders>
            <w:vAlign w:val="top"/>
          </w:tcPr>
          <w:p w14:paraId="6053CEE2">
            <w:pPr>
              <w:pStyle w:val="14"/>
              <w:spacing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供应商通过“信用中国”网站(www.creditchina.gov.cn)和中国政府采购网(www.ccgp.gov.cn) 查询相关主体信用记录，查询节点应在采购文件发售期至磋商截止时间之间。（供应商可将“信用中国”网站“中国政府采购网”网页查询截图加盖供应商公章附在响应文件中，采购人、采购代理机构有权对各供应商信用记录情况进行甄别查询，并对查询结果予以截图留存，企业信用记录以现场甄别查询结果为准。对被列入失信被执行人、政府采购严重违法失信行为记录名单及其他不符合《中华人民共和国政府采购法》第二十二条规定条件的供应商，采购代理机构即视为无效磋商）</w:t>
            </w:r>
          </w:p>
        </w:tc>
      </w:tr>
      <w:tr w14:paraId="59F8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5CB957DA">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35</w:t>
            </w:r>
          </w:p>
        </w:tc>
        <w:tc>
          <w:tcPr>
            <w:tcW w:w="1092" w:type="pct"/>
            <w:tcBorders>
              <w:top w:val="single" w:color="auto" w:sz="4" w:space="0"/>
              <w:left w:val="single" w:color="auto" w:sz="4" w:space="0"/>
              <w:bottom w:val="single" w:color="auto" w:sz="4" w:space="0"/>
              <w:right w:val="single" w:color="auto" w:sz="4" w:space="0"/>
            </w:tcBorders>
            <w:vAlign w:val="center"/>
          </w:tcPr>
          <w:p w14:paraId="749D40E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失信行为</w:t>
            </w:r>
          </w:p>
        </w:tc>
        <w:tc>
          <w:tcPr>
            <w:tcW w:w="3509" w:type="pct"/>
            <w:tcBorders>
              <w:top w:val="single" w:color="auto" w:sz="4" w:space="0"/>
              <w:left w:val="single" w:color="auto" w:sz="4" w:space="0"/>
              <w:bottom w:val="single" w:color="auto" w:sz="4" w:space="0"/>
              <w:right w:val="single" w:color="auto" w:sz="4" w:space="0"/>
            </w:tcBorders>
            <w:vAlign w:val="center"/>
          </w:tcPr>
          <w:p w14:paraId="7C253C5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有《陕西省政府采购领域</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14:paraId="0B5A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36E7BA47">
            <w:pPr>
              <w:widowControl/>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36</w:t>
            </w:r>
          </w:p>
        </w:tc>
        <w:tc>
          <w:tcPr>
            <w:tcW w:w="1092" w:type="pct"/>
            <w:tcBorders>
              <w:top w:val="single" w:color="auto" w:sz="4" w:space="0"/>
              <w:left w:val="single" w:color="auto" w:sz="4" w:space="0"/>
              <w:bottom w:val="single" w:color="auto" w:sz="4" w:space="0"/>
              <w:right w:val="single" w:color="auto" w:sz="4" w:space="0"/>
            </w:tcBorders>
            <w:vAlign w:val="center"/>
          </w:tcPr>
          <w:p w14:paraId="64D5E29C">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磋商报价次数、磋商程序和最终报价的产生原则</w:t>
            </w:r>
          </w:p>
        </w:tc>
        <w:tc>
          <w:tcPr>
            <w:tcW w:w="3509" w:type="pct"/>
            <w:tcBorders>
              <w:top w:val="single" w:color="auto" w:sz="4" w:space="0"/>
              <w:left w:val="single" w:color="auto" w:sz="4" w:space="0"/>
              <w:bottom w:val="single" w:color="auto" w:sz="4" w:space="0"/>
              <w:right w:val="single" w:color="auto" w:sz="4" w:space="0"/>
            </w:tcBorders>
            <w:vAlign w:val="center"/>
          </w:tcPr>
          <w:p w14:paraId="310E96E7">
            <w:pPr>
              <w:spacing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本次磋商采用二次报价。</w:t>
            </w:r>
          </w:p>
          <w:p w14:paraId="4CC0397B">
            <w:pPr>
              <w:spacing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磋商程序为：</w:t>
            </w:r>
          </w:p>
          <w:p w14:paraId="2525C775">
            <w:pPr>
              <w:spacing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1.磋商小组对所有提交的响应文件进行评审；</w:t>
            </w:r>
          </w:p>
          <w:p w14:paraId="02D59B5B">
            <w:pPr>
              <w:spacing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2.磋商小组所有成员集中与单一供应商分别进行磋商；</w:t>
            </w:r>
          </w:p>
          <w:p w14:paraId="39B03F91">
            <w:pPr>
              <w:spacing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3.供应商按照要求提交二次报价；</w:t>
            </w:r>
          </w:p>
          <w:p w14:paraId="56480704">
            <w:pPr>
              <w:spacing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4.磋商小组评审、推荐成交候选人。</w:t>
            </w:r>
          </w:p>
          <w:p w14:paraId="31407096">
            <w:pPr>
              <w:spacing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在磋商过程中，磋商小组可以根据磋商文件和磋商情况实质性变动采购需求中的技术、服务要求以及合同草案条款，二次报价为最终报价。</w:t>
            </w:r>
          </w:p>
        </w:tc>
      </w:tr>
      <w:tr w14:paraId="6D2D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97" w:type="pct"/>
            <w:tcBorders>
              <w:top w:val="single" w:color="auto" w:sz="4" w:space="0"/>
              <w:left w:val="single" w:color="auto" w:sz="4" w:space="0"/>
              <w:bottom w:val="single" w:color="auto" w:sz="4" w:space="0"/>
              <w:right w:val="single" w:color="auto" w:sz="4" w:space="0"/>
            </w:tcBorders>
            <w:vAlign w:val="center"/>
          </w:tcPr>
          <w:p w14:paraId="361BEC21">
            <w:pPr>
              <w:widowControl/>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37</w:t>
            </w:r>
          </w:p>
        </w:tc>
        <w:tc>
          <w:tcPr>
            <w:tcW w:w="1092" w:type="pct"/>
            <w:tcBorders>
              <w:top w:val="single" w:color="auto" w:sz="4" w:space="0"/>
              <w:left w:val="single" w:color="auto" w:sz="4" w:space="0"/>
              <w:bottom w:val="single" w:color="auto" w:sz="4" w:space="0"/>
              <w:right w:val="single" w:color="auto" w:sz="4" w:space="0"/>
            </w:tcBorders>
            <w:vAlign w:val="center"/>
          </w:tcPr>
          <w:p w14:paraId="193A778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招标代理费</w:t>
            </w:r>
          </w:p>
        </w:tc>
        <w:tc>
          <w:tcPr>
            <w:tcW w:w="3509" w:type="pct"/>
            <w:tcBorders>
              <w:top w:val="single" w:color="auto" w:sz="4" w:space="0"/>
              <w:left w:val="single" w:color="auto" w:sz="4" w:space="0"/>
              <w:bottom w:val="single" w:color="auto" w:sz="4" w:space="0"/>
              <w:right w:val="single" w:color="auto" w:sz="4" w:space="0"/>
            </w:tcBorders>
            <w:vAlign w:val="center"/>
          </w:tcPr>
          <w:p w14:paraId="01607397">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在领取《</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通知书》之前，向采购代理机构一次付清招标代理服务费。</w:t>
            </w:r>
          </w:p>
          <w:p w14:paraId="4630BEC3">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代理服务费参照发改办价格[2015]299号、国家计委关于印发《招标代理服务收费管理暂行办法》的通知（计价格[2002]1980号）、《国家发展和改革委员会办公厅关于招标代理服务收费有关问题的通知》（发改办价格[2003]857号）规定，向中标人收取代理服务费，</w:t>
            </w:r>
            <w:r>
              <w:rPr>
                <w:rFonts w:hint="eastAsia" w:ascii="仿宋" w:hAnsi="仿宋" w:eastAsia="仿宋" w:cs="仿宋"/>
                <w:color w:val="auto"/>
                <w:sz w:val="24"/>
                <w:szCs w:val="24"/>
                <w:highlight w:val="none"/>
                <w:lang w:val="en-US" w:eastAsia="zh-CN"/>
              </w:rPr>
              <w:t>若项目代理服务费按收费标准计算不足6000元，按6000元计取</w:t>
            </w:r>
            <w:r>
              <w:rPr>
                <w:rFonts w:hint="eastAsia" w:ascii="仿宋" w:hAnsi="仿宋" w:eastAsia="仿宋" w:cs="仿宋"/>
                <w:color w:val="auto"/>
                <w:sz w:val="24"/>
                <w:szCs w:val="24"/>
                <w:highlight w:val="none"/>
              </w:rPr>
              <w:t>。</w:t>
            </w:r>
          </w:p>
          <w:p w14:paraId="3174F2AC">
            <w:pPr>
              <w:spacing w:line="44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代理费缴纳账户：</w:t>
            </w:r>
          </w:p>
          <w:p w14:paraId="283A5EDA">
            <w:pPr>
              <w:spacing w:line="44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银行户名：陕西德仁招标有限公司</w:t>
            </w:r>
          </w:p>
          <w:p w14:paraId="6F4D0F88">
            <w:pPr>
              <w:spacing w:line="44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开户银行：招商银行股份有限公司西安城南支行</w:t>
            </w:r>
          </w:p>
          <w:p w14:paraId="5D226EE0">
            <w:pPr>
              <w:spacing w:line="44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账    号：1299 0904 6810 901</w:t>
            </w:r>
          </w:p>
          <w:p w14:paraId="7780D6BE">
            <w:pPr>
              <w:spacing w:line="44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联 系 人：苏会计  </w:t>
            </w:r>
          </w:p>
          <w:p w14:paraId="09741E51">
            <w:pPr>
              <w:spacing w:line="44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联系电话：029-89185132</w:t>
            </w:r>
          </w:p>
          <w:p w14:paraId="7FD83C9A">
            <w:pPr>
              <w:pStyle w:val="41"/>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邮    箱：sxdrzb@qq.com</w:t>
            </w:r>
          </w:p>
        </w:tc>
      </w:tr>
    </w:tbl>
    <w:p w14:paraId="0C8452D9">
      <w:pPr>
        <w:spacing w:line="400" w:lineRule="exact"/>
        <w:rPr>
          <w:rFonts w:ascii="仿宋" w:hAnsi="仿宋" w:eastAsia="仿宋" w:cs="仿宋"/>
          <w:b/>
          <w:sz w:val="32"/>
          <w:szCs w:val="32"/>
          <w:highlight w:val="none"/>
        </w:rPr>
      </w:pPr>
      <w:bookmarkStart w:id="15" w:name="_Toc8921"/>
      <w:r>
        <w:rPr>
          <w:rFonts w:hint="eastAsia" w:ascii="仿宋" w:hAnsi="仿宋" w:eastAsia="仿宋" w:cs="仿宋"/>
          <w:b/>
          <w:sz w:val="22"/>
          <w:szCs w:val="22"/>
          <w:highlight w:val="none"/>
        </w:rPr>
        <w:t>注：供应商须知前附表与采购文件正文对同一事项描述不一致的，以供应商须知前附表为准</w:t>
      </w:r>
      <w:r>
        <w:rPr>
          <w:rFonts w:hint="eastAsia" w:ascii="仿宋" w:hAnsi="仿宋" w:eastAsia="仿宋" w:cs="仿宋"/>
          <w:b/>
          <w:sz w:val="28"/>
          <w:szCs w:val="28"/>
          <w:highlight w:val="none"/>
        </w:rPr>
        <w:t>。</w:t>
      </w:r>
    </w:p>
    <w:p w14:paraId="50FBCE4E">
      <w:pPr>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p>
    <w:p w14:paraId="07394A42">
      <w:pPr>
        <w:spacing w:before="156" w:beforeLines="50" w:after="156" w:afterLines="50" w:line="500" w:lineRule="exact"/>
        <w:jc w:val="center"/>
        <w:outlineLvl w:val="1"/>
        <w:rPr>
          <w:rFonts w:hint="eastAsia" w:ascii="仿宋" w:hAnsi="仿宋" w:eastAsia="仿宋" w:cs="仿宋"/>
          <w:b/>
          <w:sz w:val="30"/>
          <w:szCs w:val="30"/>
          <w:highlight w:val="none"/>
        </w:rPr>
      </w:pPr>
      <w:bookmarkStart w:id="16" w:name="_Toc20127"/>
      <w:r>
        <w:rPr>
          <w:rFonts w:hint="eastAsia" w:ascii="仿宋" w:hAnsi="仿宋" w:eastAsia="仿宋" w:cs="仿宋"/>
          <w:b/>
          <w:sz w:val="30"/>
          <w:szCs w:val="30"/>
          <w:highlight w:val="none"/>
        </w:rPr>
        <w:t>一</w:t>
      </w:r>
      <w:r>
        <w:rPr>
          <w:rFonts w:hint="eastAsia" w:ascii="仿宋" w:hAnsi="仿宋" w:eastAsia="仿宋" w:cs="仿宋"/>
          <w:b/>
          <w:sz w:val="30"/>
          <w:szCs w:val="30"/>
          <w:highlight w:val="none"/>
          <w:lang w:eastAsia="zh-CN"/>
        </w:rPr>
        <w:t>、</w:t>
      </w:r>
      <w:r>
        <w:rPr>
          <w:rFonts w:hint="eastAsia" w:ascii="仿宋" w:hAnsi="仿宋" w:eastAsia="仿宋" w:cs="仿宋"/>
          <w:b/>
          <w:sz w:val="30"/>
          <w:szCs w:val="30"/>
          <w:highlight w:val="none"/>
        </w:rPr>
        <w:t>名词解释</w:t>
      </w:r>
      <w:bookmarkEnd w:id="13"/>
      <w:bookmarkEnd w:id="14"/>
      <w:bookmarkEnd w:id="15"/>
      <w:bookmarkEnd w:id="16"/>
    </w:p>
    <w:p w14:paraId="56A190DA">
      <w:pPr>
        <w:numPr>
          <w:ilvl w:val="0"/>
          <w:numId w:val="1"/>
        </w:numPr>
        <w:tabs>
          <w:tab w:val="left" w:pos="240"/>
          <w:tab w:val="clear" w:pos="840"/>
        </w:tabs>
        <w:spacing w:line="500" w:lineRule="exact"/>
        <w:ind w:left="-120" w:leftChars="-57" w:firstLine="0"/>
        <w:rPr>
          <w:rFonts w:hint="eastAsia" w:ascii="仿宋" w:hAnsi="仿宋" w:eastAsia="仿宋" w:cs="仿宋"/>
          <w:sz w:val="24"/>
          <w:highlight w:val="none"/>
        </w:rPr>
      </w:pPr>
      <w:r>
        <w:rPr>
          <w:rFonts w:hint="eastAsia" w:ascii="仿宋" w:hAnsi="仿宋" w:eastAsia="仿宋" w:cs="仿宋"/>
          <w:sz w:val="24"/>
          <w:highlight w:val="none"/>
        </w:rPr>
        <w:t>采购人：</w:t>
      </w:r>
      <w:r>
        <w:rPr>
          <w:rFonts w:hint="eastAsia" w:ascii="仿宋" w:hAnsi="仿宋" w:eastAsia="仿宋" w:cs="仿宋"/>
          <w:sz w:val="24"/>
          <w:highlight w:val="none"/>
          <w:lang w:eastAsia="zh-CN"/>
        </w:rPr>
        <w:t>陕西省</w:t>
      </w:r>
      <w:r>
        <w:rPr>
          <w:rFonts w:hint="eastAsia" w:ascii="仿宋" w:hAnsi="仿宋" w:eastAsia="仿宋" w:cs="仿宋"/>
          <w:sz w:val="24"/>
          <w:highlight w:val="none"/>
          <w:lang w:val="en-US" w:eastAsia="zh-CN"/>
        </w:rPr>
        <w:t>档案馆</w:t>
      </w:r>
    </w:p>
    <w:p w14:paraId="0EA072A9">
      <w:pPr>
        <w:numPr>
          <w:ilvl w:val="0"/>
          <w:numId w:val="1"/>
        </w:numPr>
        <w:tabs>
          <w:tab w:val="left" w:pos="240"/>
          <w:tab w:val="clear" w:pos="840"/>
        </w:tabs>
        <w:spacing w:line="460" w:lineRule="exact"/>
        <w:ind w:left="-120" w:leftChars="-57" w:firstLine="0"/>
        <w:rPr>
          <w:rFonts w:ascii="仿宋" w:hAnsi="仿宋" w:eastAsia="仿宋" w:cs="仿宋"/>
          <w:sz w:val="24"/>
          <w:szCs w:val="24"/>
          <w:highlight w:val="none"/>
        </w:rPr>
      </w:pPr>
      <w:bookmarkStart w:id="17" w:name="_Toc519156738"/>
      <w:bookmarkStart w:id="18" w:name="_Toc26384"/>
      <w:bookmarkStart w:id="19" w:name="_Toc12298"/>
      <w:r>
        <w:rPr>
          <w:rFonts w:hint="eastAsia" w:ascii="仿宋" w:hAnsi="仿宋" w:eastAsia="仿宋" w:cs="仿宋"/>
          <w:sz w:val="24"/>
          <w:szCs w:val="24"/>
          <w:highlight w:val="none"/>
        </w:rPr>
        <w:t>监督机构：政府采购监督管理部门及监察部门</w:t>
      </w:r>
    </w:p>
    <w:p w14:paraId="1E065EAD">
      <w:pPr>
        <w:numPr>
          <w:ilvl w:val="0"/>
          <w:numId w:val="1"/>
        </w:numPr>
        <w:tabs>
          <w:tab w:val="left" w:pos="240"/>
          <w:tab w:val="clear" w:pos="840"/>
        </w:tabs>
        <w:spacing w:line="460" w:lineRule="exact"/>
        <w:ind w:left="-120" w:leftChars="-57" w:firstLine="0"/>
        <w:rPr>
          <w:rFonts w:ascii="仿宋" w:hAnsi="仿宋" w:eastAsia="仿宋" w:cs="仿宋"/>
          <w:sz w:val="24"/>
          <w:szCs w:val="24"/>
          <w:highlight w:val="none"/>
        </w:rPr>
      </w:pPr>
      <w:r>
        <w:rPr>
          <w:rFonts w:hint="eastAsia" w:ascii="仿宋" w:hAnsi="仿宋" w:eastAsia="仿宋" w:cs="仿宋"/>
          <w:sz w:val="24"/>
          <w:szCs w:val="24"/>
          <w:highlight w:val="none"/>
        </w:rPr>
        <w:t>采购代理机构：陕西德仁招标有限公司</w:t>
      </w:r>
    </w:p>
    <w:p w14:paraId="7C12C848">
      <w:pPr>
        <w:numPr>
          <w:ilvl w:val="0"/>
          <w:numId w:val="1"/>
        </w:numPr>
        <w:tabs>
          <w:tab w:val="left" w:pos="240"/>
          <w:tab w:val="clear" w:pos="840"/>
        </w:tabs>
        <w:spacing w:line="460" w:lineRule="exact"/>
        <w:ind w:left="-120" w:leftChars="-57" w:firstLine="0"/>
        <w:rPr>
          <w:rFonts w:ascii="仿宋" w:hAnsi="仿宋" w:eastAsia="仿宋" w:cs="仿宋"/>
          <w:sz w:val="24"/>
          <w:szCs w:val="24"/>
          <w:highlight w:val="none"/>
        </w:rPr>
      </w:pPr>
      <w:r>
        <w:rPr>
          <w:rFonts w:hint="eastAsia" w:ascii="仿宋" w:hAnsi="仿宋" w:eastAsia="仿宋" w:cs="仿宋"/>
          <w:sz w:val="24"/>
          <w:szCs w:val="24"/>
          <w:highlight w:val="none"/>
        </w:rPr>
        <w:t>磋商供应商：满足本次磋商要求具有相应资质和完成项目能力的供应商</w:t>
      </w:r>
    </w:p>
    <w:p w14:paraId="3A4246AD">
      <w:pPr>
        <w:numPr>
          <w:ilvl w:val="0"/>
          <w:numId w:val="1"/>
        </w:numPr>
        <w:tabs>
          <w:tab w:val="left" w:pos="240"/>
          <w:tab w:val="clear" w:pos="840"/>
        </w:tabs>
        <w:spacing w:line="460" w:lineRule="exact"/>
        <w:ind w:left="-120" w:leftChars="-57" w:firstLine="0"/>
        <w:rPr>
          <w:rFonts w:ascii="仿宋" w:hAnsi="仿宋" w:eastAsia="仿宋" w:cs="仿宋"/>
          <w:sz w:val="24"/>
          <w:szCs w:val="24"/>
          <w:highlight w:val="none"/>
        </w:rPr>
      </w:pPr>
      <w:r>
        <w:rPr>
          <w:rFonts w:hint="eastAsia" w:ascii="仿宋" w:hAnsi="仿宋" w:eastAsia="仿宋" w:cs="仿宋"/>
          <w:sz w:val="24"/>
          <w:szCs w:val="24"/>
          <w:highlight w:val="none"/>
        </w:rPr>
        <w:t>成交供应商：由磋商小组推荐经采购人确认的磋商供应商</w:t>
      </w:r>
    </w:p>
    <w:p w14:paraId="5D017CA8">
      <w:pPr>
        <w:spacing w:before="156" w:beforeLines="50" w:after="156" w:afterLines="50" w:line="500" w:lineRule="exact"/>
        <w:jc w:val="center"/>
        <w:outlineLvl w:val="1"/>
        <w:rPr>
          <w:rFonts w:hint="eastAsia" w:ascii="仿宋" w:hAnsi="仿宋" w:eastAsia="仿宋" w:cs="仿宋"/>
          <w:sz w:val="30"/>
          <w:szCs w:val="30"/>
          <w:highlight w:val="none"/>
        </w:rPr>
      </w:pPr>
      <w:bookmarkStart w:id="20" w:name="_Toc2985"/>
      <w:r>
        <w:rPr>
          <w:rFonts w:hint="eastAsia" w:ascii="仿宋" w:hAnsi="仿宋" w:eastAsia="仿宋" w:cs="仿宋"/>
          <w:b/>
          <w:sz w:val="30"/>
          <w:szCs w:val="30"/>
          <w:highlight w:val="none"/>
        </w:rPr>
        <w:t>二</w:t>
      </w:r>
      <w:r>
        <w:rPr>
          <w:rFonts w:hint="eastAsia" w:ascii="仿宋" w:hAnsi="仿宋" w:eastAsia="仿宋" w:cs="仿宋"/>
          <w:b/>
          <w:sz w:val="30"/>
          <w:szCs w:val="30"/>
          <w:highlight w:val="none"/>
          <w:lang w:eastAsia="zh-CN"/>
        </w:rPr>
        <w:t>、</w:t>
      </w:r>
      <w:r>
        <w:rPr>
          <w:rFonts w:hint="eastAsia" w:ascii="仿宋" w:hAnsi="仿宋" w:eastAsia="仿宋" w:cs="仿宋"/>
          <w:b/>
          <w:sz w:val="30"/>
          <w:szCs w:val="30"/>
          <w:highlight w:val="none"/>
        </w:rPr>
        <w:t>磋商供应商</w:t>
      </w:r>
      <w:bookmarkEnd w:id="17"/>
      <w:bookmarkEnd w:id="18"/>
      <w:bookmarkEnd w:id="19"/>
      <w:bookmarkEnd w:id="20"/>
    </w:p>
    <w:p w14:paraId="70153E5E">
      <w:pPr>
        <w:spacing w:line="500" w:lineRule="exact"/>
        <w:rPr>
          <w:rFonts w:hint="eastAsia" w:ascii="仿宋" w:hAnsi="仿宋" w:eastAsia="仿宋" w:cs="仿宋"/>
          <w:b/>
          <w:sz w:val="24"/>
          <w:highlight w:val="none"/>
        </w:rPr>
      </w:pPr>
      <w:r>
        <w:rPr>
          <w:rFonts w:hint="eastAsia" w:ascii="仿宋" w:hAnsi="仿宋" w:eastAsia="仿宋" w:cs="仿宋"/>
          <w:b/>
          <w:sz w:val="24"/>
          <w:highlight w:val="none"/>
        </w:rPr>
        <w:t>1.合格磋商供应商</w:t>
      </w:r>
    </w:p>
    <w:p w14:paraId="548A0CFA">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63AFA279">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2）具有良好的商业信誉和健全的财务会计制度</w:t>
      </w:r>
    </w:p>
    <w:p w14:paraId="347DFB3A">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3）具有履行合同所必需的专业技术能力</w:t>
      </w:r>
    </w:p>
    <w:p w14:paraId="144AF43A">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3F5E6141">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w:t>
      </w:r>
      <w:r>
        <w:rPr>
          <w:rFonts w:hint="eastAsia" w:ascii="仿宋" w:hAnsi="仿宋" w:eastAsia="仿宋" w:cs="仿宋"/>
          <w:sz w:val="24"/>
          <w:highlight w:val="none"/>
          <w:lang w:val="en-US" w:eastAsia="zh-CN"/>
        </w:rPr>
        <w:t>近</w:t>
      </w:r>
      <w:r>
        <w:rPr>
          <w:rFonts w:hint="eastAsia" w:ascii="仿宋" w:hAnsi="仿宋" w:eastAsia="仿宋" w:cs="仿宋"/>
          <w:sz w:val="24"/>
          <w:highlight w:val="none"/>
        </w:rPr>
        <w:t>三年内，在经营活动中没有重大违法记录</w:t>
      </w:r>
    </w:p>
    <w:p w14:paraId="697473EE">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6）法律、行政法规规定的其它条件</w:t>
      </w:r>
    </w:p>
    <w:p w14:paraId="52C755C7">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1.1单位负责人为同一人或者存在直接控股、管理关系的不同供应商，不得参加本项目同一合同项下的磋商响应。如果磋商供应商在磋商响应中隐瞒了上述关系，则该磋商响应无效。</w:t>
      </w:r>
    </w:p>
    <w:p w14:paraId="4D87BE44">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1.2为本采购项目提供整体设计、项目管理</w:t>
      </w:r>
      <w:r>
        <w:rPr>
          <w:rFonts w:hint="eastAsia" w:ascii="仿宋" w:hAnsi="仿宋" w:eastAsia="仿宋" w:cs="仿宋"/>
          <w:sz w:val="24"/>
          <w:highlight w:val="none"/>
          <w:lang w:val="en-US" w:eastAsia="zh-CN"/>
        </w:rPr>
        <w:t>或</w:t>
      </w:r>
      <w:r>
        <w:rPr>
          <w:rFonts w:hint="eastAsia" w:ascii="仿宋" w:hAnsi="仿宋" w:eastAsia="仿宋" w:cs="仿宋"/>
          <w:sz w:val="24"/>
          <w:highlight w:val="none"/>
        </w:rPr>
        <w:t>监理、检测等服务的供应商，不得再参加本采购项目的磋商响应。如果磋商供应商在磋商响应中隐瞒了上述事实，则该磋商响应无效。</w:t>
      </w:r>
    </w:p>
    <w:p w14:paraId="78EB69B8">
      <w:pPr>
        <w:spacing w:line="500" w:lineRule="exact"/>
        <w:rPr>
          <w:rFonts w:hint="eastAsia" w:ascii="仿宋" w:hAnsi="仿宋" w:eastAsia="仿宋" w:cs="仿宋"/>
          <w:b/>
          <w:sz w:val="24"/>
          <w:highlight w:val="none"/>
        </w:rPr>
      </w:pPr>
      <w:r>
        <w:rPr>
          <w:rFonts w:hint="eastAsia" w:ascii="仿宋" w:hAnsi="仿宋" w:eastAsia="仿宋" w:cs="仿宋"/>
          <w:b/>
          <w:sz w:val="24"/>
          <w:highlight w:val="none"/>
        </w:rPr>
        <w:t>2.磋商委托</w:t>
      </w:r>
    </w:p>
    <w:p w14:paraId="0B9E3EB0">
      <w:pPr>
        <w:spacing w:line="500" w:lineRule="exact"/>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如磋商供应商代表不是法定代表人，须持有《法定代表人授权书》（原件）。</w:t>
      </w:r>
    </w:p>
    <w:p w14:paraId="1B873293">
      <w:pPr>
        <w:spacing w:line="500" w:lineRule="exact"/>
        <w:rPr>
          <w:rFonts w:hint="eastAsia" w:ascii="仿宋" w:hAnsi="仿宋" w:eastAsia="仿宋" w:cs="仿宋"/>
          <w:b/>
          <w:sz w:val="24"/>
          <w:highlight w:val="none"/>
        </w:rPr>
      </w:pPr>
      <w:r>
        <w:rPr>
          <w:rFonts w:hint="eastAsia" w:ascii="仿宋" w:hAnsi="仿宋" w:eastAsia="仿宋" w:cs="仿宋"/>
          <w:b/>
          <w:sz w:val="24"/>
          <w:highlight w:val="none"/>
        </w:rPr>
        <w:t>3.磋商响应文件内容的真实性</w:t>
      </w:r>
    </w:p>
    <w:p w14:paraId="049A851C">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应保证其磋商响应文件中所提供的所有有关磋商响应的资料、信息是真实的，并且来源于合法的渠道。因磋商响应文件中所提供的有关磋商响应的资料、信息不真实，或者其来源不合法而导致的所有法律责任，由供应商自行承担。</w:t>
      </w:r>
    </w:p>
    <w:p w14:paraId="2B1DDC72">
      <w:pPr>
        <w:spacing w:line="500" w:lineRule="exact"/>
        <w:rPr>
          <w:rFonts w:hint="eastAsia" w:ascii="仿宋" w:hAnsi="仿宋" w:eastAsia="仿宋" w:cs="仿宋"/>
          <w:sz w:val="24"/>
          <w:highlight w:val="none"/>
        </w:rPr>
      </w:pPr>
      <w:r>
        <w:rPr>
          <w:rFonts w:hint="eastAsia" w:ascii="仿宋" w:hAnsi="仿宋" w:eastAsia="仿宋" w:cs="仿宋"/>
          <w:b/>
          <w:sz w:val="24"/>
          <w:highlight w:val="none"/>
        </w:rPr>
        <w:t>4.磋商费用</w:t>
      </w:r>
    </w:p>
    <w:p w14:paraId="6A7B277E">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无论磋商结果如何，磋商供应商自行承担参加磋商相关的全部费用。</w:t>
      </w:r>
    </w:p>
    <w:p w14:paraId="7AD1815D">
      <w:pPr>
        <w:spacing w:line="500" w:lineRule="exact"/>
        <w:rPr>
          <w:rFonts w:hint="eastAsia" w:ascii="仿宋" w:hAnsi="仿宋" w:eastAsia="仿宋" w:cs="仿宋"/>
          <w:b/>
          <w:sz w:val="24"/>
          <w:highlight w:val="none"/>
        </w:rPr>
      </w:pPr>
      <w:r>
        <w:rPr>
          <w:rFonts w:hint="eastAsia" w:ascii="仿宋" w:hAnsi="仿宋" w:eastAsia="仿宋" w:cs="仿宋"/>
          <w:b/>
          <w:sz w:val="24"/>
          <w:highlight w:val="none"/>
        </w:rPr>
        <w:t>5.联合体形式</w:t>
      </w:r>
    </w:p>
    <w:p w14:paraId="0CA9066C">
      <w:pPr>
        <w:pStyle w:val="14"/>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5.1本项目是否接受联合体参与及相关要求见磋商须知前附表。</w:t>
      </w:r>
    </w:p>
    <w:p w14:paraId="217E49A1">
      <w:pPr>
        <w:pStyle w:val="14"/>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5.2供应商为联合体形式的，应同时遵守以下规定：</w:t>
      </w:r>
    </w:p>
    <w:p w14:paraId="2BF1E2FD">
      <w:pPr>
        <w:pStyle w:val="14"/>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(1)联合体各方必须签订联合体协议书，明确联合体牵头人和各方权利、义务及分工、合同工作量比例；</w:t>
      </w:r>
    </w:p>
    <w:p w14:paraId="7C9C17A7">
      <w:pPr>
        <w:pStyle w:val="14"/>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(2)联合体各方均应当符合本章第1款规定的供应商基本资格条件；</w:t>
      </w:r>
    </w:p>
    <w:p w14:paraId="3B6F3B6E">
      <w:pPr>
        <w:pStyle w:val="14"/>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(3)除磋商须知前附表中另有规定，联合体各方中至少有一方应当符合本章第1款规定的供应商特定资格条件；</w:t>
      </w:r>
    </w:p>
    <w:p w14:paraId="3E4C552F">
      <w:pPr>
        <w:pStyle w:val="14"/>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(4)联合体中有同类资质的供应商按照联合体分工承担相同工作的，应当按照资质等级较低的供应商确定资质等级；</w:t>
      </w:r>
    </w:p>
    <w:p w14:paraId="18161B5B">
      <w:pPr>
        <w:pStyle w:val="14"/>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(5)联合体各方不得再单独或与其他供应商组成新的联合体参加同一项目的采购活动。</w:t>
      </w:r>
    </w:p>
    <w:p w14:paraId="497CD3EB">
      <w:pPr>
        <w:spacing w:line="500" w:lineRule="exact"/>
        <w:rPr>
          <w:rFonts w:hint="eastAsia" w:ascii="仿宋" w:hAnsi="仿宋" w:eastAsia="仿宋" w:cs="仿宋"/>
          <w:b/>
          <w:sz w:val="24"/>
          <w:highlight w:val="none"/>
        </w:rPr>
      </w:pPr>
      <w:r>
        <w:rPr>
          <w:rFonts w:hint="eastAsia" w:ascii="仿宋" w:hAnsi="仿宋" w:eastAsia="仿宋" w:cs="仿宋"/>
          <w:b/>
          <w:sz w:val="24"/>
          <w:highlight w:val="none"/>
        </w:rPr>
        <w:t>6.项目现场踏勘</w:t>
      </w:r>
    </w:p>
    <w:p w14:paraId="1483D9FF">
      <w:pPr>
        <w:pStyle w:val="14"/>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6.1本项目是否组织现场踏勘见磋商须知前附表。</w:t>
      </w:r>
    </w:p>
    <w:p w14:paraId="53C28CAA">
      <w:pPr>
        <w:pStyle w:val="14"/>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6.2供应商应按磋商须知前附表中规定对采购项目现场和周围环境进行踏勘。供应商未在指定时间进行踏勘的，其踏勘将被拒绝。</w:t>
      </w:r>
    </w:p>
    <w:p w14:paraId="20685353">
      <w:pPr>
        <w:pStyle w:val="14"/>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6.3踏勘现场的费用由供应商自己承担，踏勘期间所发生的人身伤害及财产损失由供应商自己负责。</w:t>
      </w:r>
    </w:p>
    <w:p w14:paraId="306670A7">
      <w:pPr>
        <w:pStyle w:val="14"/>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6.4采购人不对供应商据现场踏勘而做出的推论、理解和结论负责。一旦成交，供应商不得以任何借口，提出额外补偿，或延长合同期限的要求。</w:t>
      </w:r>
    </w:p>
    <w:p w14:paraId="3026E3AB">
      <w:pPr>
        <w:spacing w:line="500" w:lineRule="exact"/>
        <w:rPr>
          <w:rFonts w:hint="eastAsia" w:ascii="仿宋" w:hAnsi="仿宋" w:eastAsia="仿宋" w:cs="仿宋"/>
          <w:b/>
          <w:sz w:val="24"/>
          <w:highlight w:val="none"/>
        </w:rPr>
      </w:pPr>
      <w:r>
        <w:rPr>
          <w:rFonts w:hint="eastAsia" w:ascii="仿宋" w:hAnsi="仿宋" w:eastAsia="仿宋" w:cs="仿宋"/>
          <w:b/>
          <w:sz w:val="24"/>
          <w:highlight w:val="none"/>
        </w:rPr>
        <w:t>7.采购进口产品</w:t>
      </w:r>
    </w:p>
    <w:p w14:paraId="1C84544C">
      <w:pPr>
        <w:pStyle w:val="14"/>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7.1　本项目是否采购进口产品及相关要求见磋商须知前附表。</w:t>
      </w:r>
    </w:p>
    <w:p w14:paraId="55ED67D0">
      <w:pPr>
        <w:pStyle w:val="14"/>
        <w:spacing w:line="5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8.政府采购政策支持与其他规定</w:t>
      </w:r>
    </w:p>
    <w:p w14:paraId="0359C1F3">
      <w:pPr>
        <w:pStyle w:val="14"/>
        <w:spacing w:line="460" w:lineRule="exact"/>
        <w:ind w:firstLine="480" w:firstLineChars="200"/>
        <w:rPr>
          <w:rFonts w:ascii="仿宋" w:hAnsi="仿宋" w:eastAsia="仿宋" w:cs="仿宋"/>
          <w:sz w:val="24"/>
          <w:szCs w:val="24"/>
          <w:highlight w:val="none"/>
        </w:rPr>
      </w:pPr>
      <w:bookmarkStart w:id="21" w:name="_Toc27930"/>
      <w:bookmarkStart w:id="22" w:name="_Toc27408"/>
      <w:bookmarkStart w:id="23" w:name="_Toc4528"/>
      <w:bookmarkStart w:id="24" w:name="_Toc519156739"/>
      <w:bookmarkStart w:id="25" w:name="_Toc519156743"/>
      <w:bookmarkStart w:id="26" w:name="_Toc6759"/>
      <w:r>
        <w:rPr>
          <w:rFonts w:hint="eastAsia" w:ascii="仿宋" w:hAnsi="仿宋" w:eastAsia="仿宋" w:cs="仿宋"/>
          <w:sz w:val="24"/>
          <w:szCs w:val="24"/>
          <w:highlight w:val="none"/>
        </w:rPr>
        <w:t>8.1　产品属于政府强制采购节能产品范围，必须将是否列入最新一期节能清单作为采购产品的资格条件。本项目的详细要求见评审办法。</w:t>
      </w:r>
    </w:p>
    <w:p w14:paraId="73856C6E">
      <w:pPr>
        <w:pStyle w:val="14"/>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8.2　对列入最新一期节能清单(非强制类)、环保清单内的产品，应分别予以相应的加分或价格扣除；对于同时列入“两个清单”的产品，应当优先于只获得其中一项认证的产品。本项目的详细要求见评审办法。</w:t>
      </w:r>
    </w:p>
    <w:p w14:paraId="33C4DC77">
      <w:pPr>
        <w:pStyle w:val="14"/>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8.3　供应商享受支持中小企业发展政策优惠的，可用扣除后的最后报价参与价格比较。本项目价格扣除比例及相关要求见评审办法。</w:t>
      </w:r>
    </w:p>
    <w:p w14:paraId="096D4FDE">
      <w:pPr>
        <w:pStyle w:val="14"/>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8.4　监狱企业视同小型、微型企业，享受促进中小企业发展政策优惠，可用扣除后的最后报价参与价格比较。本项目价格扣除比例及相关要求详见评审办法。</w:t>
      </w:r>
    </w:p>
    <w:p w14:paraId="6B841130">
      <w:pPr>
        <w:pStyle w:val="14"/>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评审办法。</w:t>
      </w:r>
    </w:p>
    <w:p w14:paraId="541679A4">
      <w:pPr>
        <w:pStyle w:val="14"/>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8.6　其他法律法规强制性规定。本项目的详细要求见评审办法。</w:t>
      </w:r>
    </w:p>
    <w:p w14:paraId="53545C32">
      <w:pPr>
        <w:spacing w:before="156" w:beforeLines="50" w:after="156" w:afterLines="50" w:line="500" w:lineRule="exact"/>
        <w:jc w:val="center"/>
        <w:outlineLvl w:val="1"/>
        <w:rPr>
          <w:rFonts w:hint="eastAsia" w:ascii="仿宋" w:hAnsi="仿宋" w:eastAsia="仿宋" w:cs="仿宋"/>
          <w:sz w:val="30"/>
          <w:szCs w:val="30"/>
          <w:highlight w:val="none"/>
        </w:rPr>
      </w:pPr>
      <w:bookmarkStart w:id="27" w:name="_Toc13561"/>
      <w:r>
        <w:rPr>
          <w:rFonts w:hint="eastAsia" w:ascii="仿宋" w:hAnsi="仿宋" w:eastAsia="仿宋" w:cs="仿宋"/>
          <w:b/>
          <w:sz w:val="30"/>
          <w:szCs w:val="30"/>
          <w:highlight w:val="none"/>
        </w:rPr>
        <w:t>三</w:t>
      </w:r>
      <w:r>
        <w:rPr>
          <w:rFonts w:hint="eastAsia" w:ascii="仿宋" w:hAnsi="仿宋" w:eastAsia="仿宋" w:cs="仿宋"/>
          <w:b/>
          <w:sz w:val="30"/>
          <w:szCs w:val="30"/>
          <w:highlight w:val="none"/>
          <w:lang w:eastAsia="zh-CN"/>
        </w:rPr>
        <w:t>、</w:t>
      </w:r>
      <w:r>
        <w:rPr>
          <w:rFonts w:hint="eastAsia" w:ascii="仿宋" w:hAnsi="仿宋" w:eastAsia="仿宋" w:cs="仿宋"/>
          <w:b/>
          <w:sz w:val="30"/>
          <w:szCs w:val="30"/>
          <w:highlight w:val="none"/>
        </w:rPr>
        <w:t>磋商文件</w:t>
      </w:r>
      <w:bookmarkEnd w:id="21"/>
      <w:bookmarkEnd w:id="22"/>
      <w:bookmarkEnd w:id="23"/>
      <w:bookmarkEnd w:id="24"/>
      <w:bookmarkEnd w:id="27"/>
    </w:p>
    <w:p w14:paraId="4392F415">
      <w:pPr>
        <w:spacing w:line="500" w:lineRule="exact"/>
        <w:rPr>
          <w:rFonts w:hint="eastAsia" w:ascii="仿宋" w:hAnsi="仿宋" w:eastAsia="仿宋" w:cs="仿宋"/>
          <w:b/>
          <w:sz w:val="24"/>
          <w:highlight w:val="none"/>
        </w:rPr>
      </w:pPr>
      <w:r>
        <w:rPr>
          <w:rFonts w:hint="eastAsia" w:ascii="仿宋" w:hAnsi="仿宋" w:eastAsia="仿宋" w:cs="仿宋"/>
          <w:b/>
          <w:sz w:val="24"/>
          <w:highlight w:val="none"/>
        </w:rPr>
        <w:t>9.磋商文件构成</w:t>
      </w:r>
    </w:p>
    <w:p w14:paraId="34464092">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9.1 磋商文件要求提供的服务，磋商程序和合同条件在磋商文件中均有说明。磋商文件共六章，内容如下：</w:t>
      </w:r>
    </w:p>
    <w:p w14:paraId="7EB15FEA">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第一章  </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磋商公告</w:t>
      </w:r>
    </w:p>
    <w:p w14:paraId="6A1C6165">
      <w:pPr>
        <w:spacing w:line="5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第二章  供应商须知</w:t>
      </w:r>
      <w:r>
        <w:rPr>
          <w:rFonts w:hint="eastAsia" w:ascii="仿宋" w:hAnsi="仿宋" w:eastAsia="仿宋" w:cs="仿宋"/>
          <w:sz w:val="24"/>
          <w:highlight w:val="none"/>
          <w:lang w:val="en-US" w:eastAsia="zh-CN"/>
        </w:rPr>
        <w:t>前附表</w:t>
      </w:r>
    </w:p>
    <w:p w14:paraId="4371F26D">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第三章  评审办法</w:t>
      </w:r>
      <w:r>
        <w:rPr>
          <w:rFonts w:hint="eastAsia" w:ascii="仿宋" w:hAnsi="仿宋" w:eastAsia="仿宋" w:cs="仿宋"/>
          <w:sz w:val="24"/>
          <w:highlight w:val="none"/>
          <w:lang w:val="en-US" w:eastAsia="zh-CN"/>
        </w:rPr>
        <w:t xml:space="preserve">及标准 </w:t>
      </w:r>
    </w:p>
    <w:p w14:paraId="679914EC">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第四章  </w:t>
      </w:r>
      <w:r>
        <w:rPr>
          <w:rFonts w:hint="eastAsia" w:ascii="仿宋" w:hAnsi="仿宋" w:eastAsia="仿宋" w:cs="仿宋"/>
          <w:sz w:val="24"/>
          <w:highlight w:val="none"/>
          <w:lang w:val="en-US" w:eastAsia="zh-CN"/>
        </w:rPr>
        <w:t>磋商</w:t>
      </w:r>
      <w:r>
        <w:rPr>
          <w:rFonts w:hint="eastAsia" w:ascii="仿宋" w:hAnsi="仿宋" w:eastAsia="仿宋" w:cs="仿宋"/>
          <w:sz w:val="24"/>
          <w:highlight w:val="none"/>
        </w:rPr>
        <w:t>要求及说明</w:t>
      </w:r>
    </w:p>
    <w:p w14:paraId="2C0BE7DB">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第五章  商务及合同主要条款</w:t>
      </w:r>
    </w:p>
    <w:p w14:paraId="1633D2D4">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第六章  竞争性磋商响应文件格式</w:t>
      </w:r>
    </w:p>
    <w:p w14:paraId="38154152">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 供应商应认真阅读磋商文件中所有的事项、格式、条款和规范等要求。如果供应商没有按照磋商文件要求提交全部资料，或者磋商响应文件没有对磋商文件在各方面都做出实质性响应，由此带来不利于供应商的磋商结果，其风险由供应商承担。</w:t>
      </w:r>
    </w:p>
    <w:p w14:paraId="701027F6">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9.3本磋商文件的解释权归陕西德仁招标有限公司。</w:t>
      </w:r>
    </w:p>
    <w:p w14:paraId="47C1B8A0">
      <w:pPr>
        <w:spacing w:line="500" w:lineRule="exact"/>
        <w:rPr>
          <w:rFonts w:hint="eastAsia" w:ascii="仿宋" w:hAnsi="仿宋" w:eastAsia="仿宋" w:cs="仿宋"/>
          <w:sz w:val="24"/>
          <w:highlight w:val="none"/>
        </w:rPr>
      </w:pPr>
      <w:r>
        <w:rPr>
          <w:rFonts w:hint="eastAsia" w:ascii="仿宋" w:hAnsi="仿宋" w:eastAsia="仿宋" w:cs="仿宋"/>
          <w:b/>
          <w:sz w:val="24"/>
          <w:highlight w:val="none"/>
        </w:rPr>
        <w:t>10．磋商文件的澄清修改</w:t>
      </w:r>
    </w:p>
    <w:p w14:paraId="5AAE43D2">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10.1</w:t>
      </w:r>
      <w:r>
        <w:rPr>
          <w:rFonts w:hint="eastAsia" w:ascii="仿宋" w:hAnsi="仿宋" w:eastAsia="仿宋" w:cs="仿宋"/>
          <w:sz w:val="24"/>
          <w:highlight w:val="none"/>
        </w:rPr>
        <w:t>磋商采购单位如果对已发出的磋商文件进行必要的澄清或者修改，将在磋商文件要求提交首次磋商响应文件截止时间5日前，以书面形式通知所有购买磋商文件的供应商，不足5日的，将顺延提交首次磋商响应文件截止时间。该澄清或者修改的内容作为磋商文件的组成部分。</w:t>
      </w:r>
    </w:p>
    <w:p w14:paraId="0A186A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zh-CN" w:eastAsia="zh-CN"/>
        </w:rPr>
        <w:t>10.2在</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lang w:val="zh-CN" w:eastAsia="zh-CN"/>
        </w:rPr>
        <w:t>活动中，采购代理机构按照有关规定对获取</w:t>
      </w:r>
      <w:r>
        <w:rPr>
          <w:rFonts w:hint="eastAsia" w:ascii="仿宋" w:hAnsi="仿宋" w:eastAsia="仿宋" w:cs="仿宋"/>
          <w:sz w:val="24"/>
          <w:highlight w:val="none"/>
          <w:lang w:val="en-US" w:eastAsia="zh-CN"/>
        </w:rPr>
        <w:t>磋商</w:t>
      </w:r>
      <w:r>
        <w:rPr>
          <w:rFonts w:hint="eastAsia" w:ascii="仿宋" w:hAnsi="仿宋" w:eastAsia="仿宋" w:cs="仿宋"/>
          <w:sz w:val="24"/>
          <w:highlight w:val="none"/>
          <w:lang w:val="zh-CN" w:eastAsia="zh-CN"/>
        </w:rPr>
        <w:t>文件的潜在</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lang w:val="zh-CN" w:eastAsia="zh-CN"/>
        </w:rPr>
        <w:t>发出书面形式通知要求其确认的，潜在</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lang w:val="zh-CN" w:eastAsia="zh-CN"/>
        </w:rPr>
        <w:t>应当在规定时间将确认情况原件送达至采购代理机构或通过电子邮件回复至采购代理机构指定的邮箱地址。若潜在</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lang w:val="zh-CN" w:eastAsia="zh-CN"/>
        </w:rPr>
        <w:t>未在规定时间内进行确认的，视同对发出的书面通知已认可，所造成的一切后果由供应商自行承担。</w:t>
      </w:r>
    </w:p>
    <w:p w14:paraId="7A36B5CA">
      <w:pPr>
        <w:spacing w:line="500" w:lineRule="exact"/>
        <w:rPr>
          <w:rFonts w:hint="eastAsia" w:ascii="仿宋" w:hAnsi="仿宋" w:eastAsia="仿宋" w:cs="仿宋"/>
          <w:sz w:val="24"/>
          <w:highlight w:val="none"/>
        </w:rPr>
      </w:pPr>
      <w:r>
        <w:rPr>
          <w:rFonts w:hint="eastAsia" w:ascii="仿宋" w:hAnsi="仿宋" w:eastAsia="仿宋" w:cs="仿宋"/>
          <w:b/>
          <w:sz w:val="24"/>
          <w:highlight w:val="none"/>
        </w:rPr>
        <w:t>11.磋商文件的购买</w:t>
      </w:r>
    </w:p>
    <w:p w14:paraId="1A9908E4">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磋商供应商必须从采购代理机构购买磋商文件，磋商供应商自行转让或复制的磋商文件视为无效文件；磋商文件一经售出，一律不退，仅作为本次磋商使用。</w:t>
      </w:r>
    </w:p>
    <w:p w14:paraId="469C39E8">
      <w:pPr>
        <w:spacing w:line="500" w:lineRule="exact"/>
        <w:rPr>
          <w:rFonts w:hint="eastAsia" w:ascii="仿宋" w:hAnsi="仿宋" w:eastAsia="仿宋" w:cs="仿宋"/>
          <w:b/>
          <w:sz w:val="24"/>
          <w:highlight w:val="none"/>
        </w:rPr>
      </w:pPr>
      <w:r>
        <w:rPr>
          <w:rFonts w:hint="eastAsia" w:ascii="仿宋" w:hAnsi="仿宋" w:eastAsia="仿宋" w:cs="仿宋"/>
          <w:b/>
          <w:sz w:val="24"/>
          <w:highlight w:val="none"/>
        </w:rPr>
        <w:t>12.磋商的处理依据</w:t>
      </w:r>
    </w:p>
    <w:p w14:paraId="13A74146">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根据</w:t>
      </w:r>
      <w:r>
        <w:rPr>
          <w:rFonts w:hint="eastAsia" w:ascii="仿宋" w:hAnsi="仿宋" w:eastAsia="仿宋" w:cs="仿宋"/>
          <w:sz w:val="24"/>
          <w:highlight w:val="none"/>
        </w:rPr>
        <w:t>《中华人民共和国政府采购法》和《政府采购竞争性磋商采购方式管理暂行办法》的条款，本着公开、公平、公正的原则进行处理。</w:t>
      </w:r>
    </w:p>
    <w:p w14:paraId="405F2AB6">
      <w:pPr>
        <w:spacing w:line="500" w:lineRule="exact"/>
        <w:rPr>
          <w:rFonts w:hint="eastAsia" w:ascii="仿宋" w:hAnsi="仿宋" w:eastAsia="仿宋" w:cs="仿宋"/>
          <w:b/>
          <w:sz w:val="24"/>
          <w:highlight w:val="none"/>
        </w:rPr>
      </w:pPr>
      <w:r>
        <w:rPr>
          <w:rFonts w:hint="eastAsia" w:ascii="仿宋" w:hAnsi="仿宋" w:eastAsia="仿宋" w:cs="仿宋"/>
          <w:b/>
          <w:sz w:val="24"/>
          <w:highlight w:val="none"/>
        </w:rPr>
        <w:t>13.解释权归属</w:t>
      </w:r>
    </w:p>
    <w:p w14:paraId="3221A35D">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本次磋商文件的解释权归采购代理机构。</w:t>
      </w:r>
    </w:p>
    <w:p w14:paraId="6F4F7DBD">
      <w:pPr>
        <w:spacing w:before="156" w:beforeLines="50" w:after="156" w:afterLines="50" w:line="500" w:lineRule="exact"/>
        <w:jc w:val="center"/>
        <w:outlineLvl w:val="1"/>
        <w:rPr>
          <w:rFonts w:hint="eastAsia" w:ascii="仿宋" w:hAnsi="仿宋" w:eastAsia="仿宋" w:cs="仿宋"/>
          <w:sz w:val="30"/>
          <w:szCs w:val="30"/>
          <w:highlight w:val="none"/>
        </w:rPr>
      </w:pPr>
      <w:bookmarkStart w:id="28" w:name="_Toc1168"/>
      <w:bookmarkStart w:id="29" w:name="_Toc8808"/>
      <w:bookmarkStart w:id="30" w:name="_Toc17627"/>
      <w:bookmarkStart w:id="31" w:name="_Toc1009"/>
      <w:r>
        <w:rPr>
          <w:rFonts w:hint="eastAsia" w:ascii="仿宋" w:hAnsi="仿宋" w:eastAsia="仿宋" w:cs="仿宋"/>
          <w:b/>
          <w:sz w:val="30"/>
          <w:szCs w:val="30"/>
          <w:highlight w:val="none"/>
        </w:rPr>
        <w:t>四</w:t>
      </w:r>
      <w:r>
        <w:rPr>
          <w:rFonts w:hint="eastAsia" w:ascii="仿宋" w:hAnsi="仿宋" w:eastAsia="仿宋" w:cs="仿宋"/>
          <w:b/>
          <w:sz w:val="30"/>
          <w:szCs w:val="30"/>
          <w:highlight w:val="none"/>
          <w:lang w:eastAsia="zh-CN"/>
        </w:rPr>
        <w:t>、</w:t>
      </w:r>
      <w:r>
        <w:rPr>
          <w:rFonts w:hint="eastAsia" w:ascii="仿宋" w:hAnsi="仿宋" w:eastAsia="仿宋" w:cs="仿宋"/>
          <w:b/>
          <w:sz w:val="30"/>
          <w:szCs w:val="30"/>
          <w:highlight w:val="none"/>
        </w:rPr>
        <w:t>磋商</w:t>
      </w:r>
      <w:bookmarkEnd w:id="28"/>
      <w:bookmarkEnd w:id="29"/>
      <w:r>
        <w:rPr>
          <w:rFonts w:hint="eastAsia" w:ascii="仿宋" w:hAnsi="仿宋" w:eastAsia="仿宋" w:cs="仿宋"/>
          <w:b/>
          <w:sz w:val="30"/>
          <w:szCs w:val="30"/>
          <w:highlight w:val="none"/>
        </w:rPr>
        <w:t>响应文件的编制</w:t>
      </w:r>
      <w:bookmarkEnd w:id="30"/>
      <w:bookmarkEnd w:id="31"/>
    </w:p>
    <w:p w14:paraId="060E1AE6">
      <w:pPr>
        <w:spacing w:line="500" w:lineRule="exact"/>
        <w:rPr>
          <w:rFonts w:hint="eastAsia" w:ascii="仿宋" w:hAnsi="仿宋" w:eastAsia="仿宋" w:cs="仿宋"/>
          <w:b/>
          <w:sz w:val="24"/>
          <w:highlight w:val="none"/>
        </w:rPr>
      </w:pPr>
      <w:r>
        <w:rPr>
          <w:rFonts w:hint="eastAsia" w:ascii="仿宋" w:hAnsi="仿宋" w:eastAsia="仿宋" w:cs="仿宋"/>
          <w:b/>
          <w:sz w:val="24"/>
          <w:highlight w:val="none"/>
        </w:rPr>
        <w:t>14.磋商语言和磋商货币</w:t>
      </w:r>
    </w:p>
    <w:p w14:paraId="1503807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lang w:val="zh-CN" w:eastAsia="zh-CN"/>
        </w:rPr>
      </w:pPr>
      <w:r>
        <w:rPr>
          <w:rFonts w:hint="eastAsia" w:ascii="仿宋" w:hAnsi="仿宋" w:eastAsia="仿宋" w:cs="仿宋"/>
          <w:sz w:val="24"/>
          <w:highlight w:val="none"/>
        </w:rPr>
        <w:t>14.1</w:t>
      </w:r>
      <w:r>
        <w:rPr>
          <w:rFonts w:hint="eastAsia" w:ascii="仿宋" w:hAnsi="仿宋" w:eastAsia="仿宋" w:cs="仿宋"/>
          <w:sz w:val="24"/>
          <w:highlight w:val="none"/>
          <w:lang w:val="zh-CN" w:eastAsia="zh-CN"/>
        </w:rPr>
        <w:t>供应商应保证所提供的响应文件和所有资料的真实性、准确性和完整性。供应商在政府采购过程中提供不真实的材料，无论其材料是否重要，采购人均有权拒绝，并取消其投标资格，供应商需承担相应的后果及法律责任。</w:t>
      </w:r>
    </w:p>
    <w:p w14:paraId="2517B6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lang w:val="zh-CN" w:eastAsia="zh-CN"/>
        </w:rPr>
      </w:pPr>
      <w:r>
        <w:rPr>
          <w:rFonts w:hint="eastAsia" w:ascii="仿宋" w:hAnsi="仿宋" w:eastAsia="仿宋" w:cs="仿宋"/>
          <w:sz w:val="24"/>
          <w:highlight w:val="none"/>
        </w:rPr>
        <w:t>14.2</w:t>
      </w:r>
      <w:r>
        <w:rPr>
          <w:rFonts w:hint="eastAsia" w:ascii="仿宋" w:hAnsi="仿宋" w:eastAsia="仿宋" w:cs="仿宋"/>
          <w:sz w:val="24"/>
          <w:highlight w:val="none"/>
          <w:lang w:val="zh-CN" w:eastAsia="zh-CN"/>
        </w:rPr>
        <w:t>响应文件使用的语言为中文。专用术语使用外文的，应附有中文注释。响应文件中如附有外文资料，必须逐一对应翻译成中文并加盖供应商公章后附在相关外文资料后面。</w:t>
      </w:r>
    </w:p>
    <w:p w14:paraId="3BB2CC2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14.3</w:t>
      </w:r>
      <w:r>
        <w:rPr>
          <w:rFonts w:hint="eastAsia" w:ascii="仿宋" w:hAnsi="仿宋" w:eastAsia="仿宋" w:cs="仿宋"/>
          <w:sz w:val="24"/>
          <w:highlight w:val="none"/>
          <w:lang w:val="zh-CN" w:eastAsia="zh-CN"/>
        </w:rPr>
        <w:t>磋商文件已有明确规定的，使用磋商文件规定的计量单位；磋商文件没有规定的，应采用中华人民共和国法定计量单位(国际单位制和国家选定的其他计量单位)。</w:t>
      </w:r>
    </w:p>
    <w:p w14:paraId="487F109B">
      <w:pPr>
        <w:spacing w:line="500" w:lineRule="exact"/>
        <w:rPr>
          <w:rFonts w:hint="eastAsia" w:ascii="仿宋" w:hAnsi="仿宋" w:eastAsia="仿宋" w:cs="仿宋"/>
          <w:b/>
          <w:sz w:val="24"/>
          <w:highlight w:val="none"/>
        </w:rPr>
      </w:pPr>
      <w:r>
        <w:rPr>
          <w:rFonts w:hint="eastAsia" w:ascii="仿宋" w:hAnsi="仿宋" w:eastAsia="仿宋" w:cs="仿宋"/>
          <w:b/>
          <w:sz w:val="24"/>
          <w:highlight w:val="none"/>
        </w:rPr>
        <w:t>15.磋商响应文件的构成</w:t>
      </w:r>
    </w:p>
    <w:p w14:paraId="69439AF9">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15.1供应商提交的磋商响应文件应包括下列部分的内容：</w:t>
      </w:r>
    </w:p>
    <w:p w14:paraId="04362798">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一、磋商函</w:t>
      </w:r>
    </w:p>
    <w:p w14:paraId="77177603">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二、法定代表人</w:t>
      </w:r>
      <w:r>
        <w:rPr>
          <w:rFonts w:hint="eastAsia" w:ascii="仿宋" w:hAnsi="仿宋" w:eastAsia="仿宋" w:cs="仿宋"/>
          <w:sz w:val="24"/>
          <w:highlight w:val="none"/>
          <w:lang w:val="en-US" w:eastAsia="zh-CN"/>
        </w:rPr>
        <w:t>身份</w:t>
      </w:r>
      <w:r>
        <w:rPr>
          <w:rFonts w:hint="eastAsia" w:ascii="仿宋" w:hAnsi="仿宋" w:eastAsia="仿宋" w:cs="仿宋"/>
          <w:sz w:val="24"/>
          <w:highlight w:val="none"/>
        </w:rPr>
        <w:t>证明</w:t>
      </w:r>
    </w:p>
    <w:p w14:paraId="784775F5">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三、法定代表人授权委托书</w:t>
      </w:r>
    </w:p>
    <w:p w14:paraId="272E2C4C">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四、报价表</w:t>
      </w:r>
    </w:p>
    <w:p w14:paraId="3FE59C71">
      <w:pPr>
        <w:spacing w:line="5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五、近年承接的类似项目情况表</w:t>
      </w:r>
    </w:p>
    <w:p w14:paraId="385ADA57">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六、项目实施方案</w:t>
      </w:r>
    </w:p>
    <w:p w14:paraId="5D4E10DD">
      <w:pPr>
        <w:spacing w:line="5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七、商务和服务响应说明</w:t>
      </w:r>
    </w:p>
    <w:p w14:paraId="57E2A2EA">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八、资格证明文件</w:t>
      </w:r>
    </w:p>
    <w:p w14:paraId="16FC3552">
      <w:pPr>
        <w:spacing w:line="5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九、其他资料</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如有</w:t>
      </w:r>
      <w:r>
        <w:rPr>
          <w:rFonts w:hint="eastAsia" w:ascii="仿宋" w:hAnsi="仿宋" w:eastAsia="仿宋" w:cs="仿宋"/>
          <w:sz w:val="24"/>
          <w:highlight w:val="none"/>
          <w:lang w:eastAsia="zh-CN"/>
        </w:rPr>
        <w:t>）</w:t>
      </w:r>
    </w:p>
    <w:p w14:paraId="6E8087A7">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15.2 如果在磋商文件中没有允许提供备选方案，则每个供应商只允许提交一个磋商方案，否则，将按无效响</w:t>
      </w:r>
      <w:r>
        <w:rPr>
          <w:rFonts w:hint="eastAsia" w:ascii="仿宋" w:hAnsi="仿宋" w:eastAsia="仿宋" w:cs="仿宋"/>
          <w:sz w:val="24"/>
          <w:highlight w:val="none"/>
          <w:lang w:val="en-US" w:eastAsia="zh-CN"/>
        </w:rPr>
        <w:t>应</w:t>
      </w:r>
      <w:r>
        <w:rPr>
          <w:rFonts w:hint="eastAsia" w:ascii="仿宋" w:hAnsi="仿宋" w:eastAsia="仿宋" w:cs="仿宋"/>
          <w:sz w:val="24"/>
          <w:highlight w:val="none"/>
        </w:rPr>
        <w:t>磋商处理。</w:t>
      </w:r>
    </w:p>
    <w:p w14:paraId="23A13598">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15.3本次磋商的最小单元为“项目”。供应商可根据自身的资质情况和经营范围对本次项目进行磋商，不得将其子目再行分解或只对本项目中的品目进行不完全磋商，任何不完全的响应将会被拒绝。</w:t>
      </w:r>
    </w:p>
    <w:p w14:paraId="0E3B98E3">
      <w:pPr>
        <w:spacing w:line="500" w:lineRule="exact"/>
        <w:rPr>
          <w:rFonts w:hint="eastAsia" w:ascii="仿宋" w:hAnsi="仿宋" w:eastAsia="仿宋" w:cs="仿宋"/>
          <w:b/>
          <w:sz w:val="24"/>
          <w:highlight w:val="none"/>
        </w:rPr>
      </w:pPr>
      <w:r>
        <w:rPr>
          <w:rFonts w:hint="eastAsia" w:ascii="仿宋" w:hAnsi="仿宋" w:eastAsia="仿宋" w:cs="仿宋"/>
          <w:b/>
          <w:sz w:val="24"/>
          <w:highlight w:val="none"/>
        </w:rPr>
        <w:t>16.磋商报价</w:t>
      </w:r>
    </w:p>
    <w:p w14:paraId="0826B3F9">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16.1磋商报价是指</w:t>
      </w:r>
      <w:r>
        <w:rPr>
          <w:rFonts w:hint="eastAsia" w:ascii="仿宋" w:hAnsi="仿宋" w:eastAsia="仿宋" w:cs="仿宋"/>
          <w:sz w:val="24"/>
          <w:highlight w:val="none"/>
          <w:lang w:val="en-US" w:eastAsia="zh-CN"/>
        </w:rPr>
        <w:t>完成该项目</w:t>
      </w:r>
      <w:r>
        <w:rPr>
          <w:rFonts w:hint="eastAsia" w:ascii="仿宋" w:hAnsi="仿宋" w:eastAsia="仿宋" w:cs="仿宋"/>
          <w:sz w:val="24"/>
          <w:highlight w:val="none"/>
        </w:rPr>
        <w:t>的所有费用，以磋商文件的内容和要求作为依据；</w:t>
      </w:r>
    </w:p>
    <w:p w14:paraId="172F5A16">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16.2磋商供应商应在磋商响应文件中的响应报价表上，标明费用组成；任何有选择的报价不予接受；</w:t>
      </w:r>
    </w:p>
    <w:p w14:paraId="103A9D6F">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16.3磋商货币：人民币；单位：元（精确到小数点后两位）；</w:t>
      </w:r>
    </w:p>
    <w:p w14:paraId="22C74B66">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16.4响应报价表应有法定代表人或被授权人的签字；</w:t>
      </w:r>
    </w:p>
    <w:p w14:paraId="2D6B99D6">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16.5磋商最终报价，在采购内容无实质性变更下，不得高于首次磋商报价,各供应商分项报价表中所有报价（与最终磋商报价比例一致）同比例下浮。</w:t>
      </w:r>
    </w:p>
    <w:p w14:paraId="57D117A7">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16.6凡因磋商供应商对磋商文件阅读不深、理解不透、误解、疏漏、或因市场行情了解不清造成的后果和风险均由磋商供应商自负；</w:t>
      </w:r>
    </w:p>
    <w:p w14:paraId="798F7AB4">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16.7最低报价不是成交的唯一依据。</w:t>
      </w:r>
    </w:p>
    <w:p w14:paraId="2DCE4B08">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16.8磋商供应商不得以低于成本的报价参加磋商。当磋商小组认为某个磋商供应商的磋商价或者某些分项报价明显不合理或者低于成本，有可能影响设计质量和不能诚信履约的，可要求该磋商供应商在规定的期限内提供书面文件予以解释说明，并提交相关证明材料；否则，磋商小组认定该供应商以低于成本价竞价，其响应文件作无效响应文件处理。</w:t>
      </w:r>
    </w:p>
    <w:p w14:paraId="1E7CF1D8">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16.9供应商对响应项目只允许有一个报价，不接受超过磋商文件中规定的预算金额的报价、可变动性报价、赠送及“零”报价，否则视为无效响应。</w:t>
      </w:r>
    </w:p>
    <w:p w14:paraId="7A127CFE">
      <w:pPr>
        <w:spacing w:line="500" w:lineRule="exact"/>
        <w:rPr>
          <w:rFonts w:hint="eastAsia" w:ascii="仿宋" w:hAnsi="仿宋" w:eastAsia="仿宋" w:cs="仿宋"/>
          <w:b/>
          <w:sz w:val="24"/>
          <w:highlight w:val="none"/>
        </w:rPr>
      </w:pPr>
      <w:r>
        <w:rPr>
          <w:rFonts w:hint="eastAsia" w:ascii="仿宋" w:hAnsi="仿宋" w:eastAsia="仿宋" w:cs="仿宋"/>
          <w:b/>
          <w:sz w:val="24"/>
          <w:highlight w:val="none"/>
        </w:rPr>
        <w:t>17.证明供应商合格的资格证明文件</w:t>
      </w:r>
    </w:p>
    <w:p w14:paraId="30E4A0A2">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17.1供应商应按照磋商文件“供应商须知前附表”的要求，在磋商响应文件中提交合格的资格证明文件。如果资格证明文件不全或不合格的，将按无效磋商处理。</w:t>
      </w:r>
    </w:p>
    <w:p w14:paraId="1A4DA874">
      <w:pPr>
        <w:spacing w:line="500" w:lineRule="exact"/>
        <w:rPr>
          <w:rFonts w:hint="eastAsia" w:ascii="仿宋" w:hAnsi="仿宋" w:eastAsia="仿宋" w:cs="仿宋"/>
          <w:b/>
          <w:sz w:val="24"/>
          <w:highlight w:val="none"/>
        </w:rPr>
      </w:pPr>
      <w:r>
        <w:rPr>
          <w:rFonts w:hint="eastAsia" w:ascii="仿宋" w:hAnsi="仿宋" w:eastAsia="仿宋" w:cs="仿宋"/>
          <w:b/>
          <w:sz w:val="24"/>
          <w:highlight w:val="none"/>
        </w:rPr>
        <w:t>18.证明标的物的合格性和符合磋商文件规定的文件</w:t>
      </w:r>
    </w:p>
    <w:p w14:paraId="297F0912">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18.1供应商应在磋商响应文件中提供货物及服务满足磋商文件要求并符合国家法律法规、行业管理部门要求的其他强制性标准的证明文件。缺少证明文件或证明文件不合格的磋商，与磋商文件要求有重大偏离的磋商，不符合国家法律法规、行业管理部门要求的其他强制性标准的磋商响应文件将被作无效响应处理。</w:t>
      </w:r>
    </w:p>
    <w:p w14:paraId="242115E7">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18.2上述证明文件可以是文字资料、图纸、图片和数据，它包括：</w:t>
      </w:r>
    </w:p>
    <w:p w14:paraId="0556AB36">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18.2.1实施方案、服务期、付款方式等方面的详细说明；</w:t>
      </w:r>
    </w:p>
    <w:p w14:paraId="5EEA5C9E">
      <w:pPr>
        <w:spacing w:line="5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18.2.2 逐条对磋商文件提出的技术要求和商务要求进行应答，说明所提供的货物及服务对磋商的技术和商务要求是否做出了实质性响应并提供支持文件</w:t>
      </w:r>
      <w:r>
        <w:rPr>
          <w:rFonts w:hint="eastAsia" w:ascii="仿宋" w:hAnsi="仿宋" w:eastAsia="仿宋" w:cs="仿宋"/>
          <w:sz w:val="24"/>
          <w:highlight w:val="none"/>
          <w:lang w:eastAsia="zh-CN"/>
        </w:rPr>
        <w:t>。</w:t>
      </w:r>
    </w:p>
    <w:p w14:paraId="6A08991B">
      <w:pPr>
        <w:spacing w:line="500" w:lineRule="exact"/>
        <w:rPr>
          <w:rFonts w:hint="eastAsia" w:ascii="仿宋" w:hAnsi="仿宋" w:eastAsia="仿宋" w:cs="仿宋"/>
          <w:b/>
          <w:sz w:val="24"/>
          <w:highlight w:val="none"/>
        </w:rPr>
      </w:pPr>
      <w:r>
        <w:rPr>
          <w:rFonts w:hint="eastAsia" w:ascii="仿宋" w:hAnsi="仿宋" w:eastAsia="仿宋" w:cs="仿宋"/>
          <w:b/>
          <w:sz w:val="24"/>
          <w:highlight w:val="none"/>
        </w:rPr>
        <w:t>19.磋商保证金</w:t>
      </w:r>
    </w:p>
    <w:p w14:paraId="1CDC1EA1">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19.1保证金是用于保护本次磋商免受磋商供应商的行为而引起的风险。</w:t>
      </w:r>
    </w:p>
    <w:p w14:paraId="10369A10">
      <w:pPr>
        <w:spacing w:line="50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19.2磋商保证金由磋商供应商通过银行转账、电汇、保函等非现金形式缴纳。</w:t>
      </w:r>
    </w:p>
    <w:p w14:paraId="21DD0300">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19.3未交纳、未足额交纳或未按规定时间交纳保证金的，将被视为自动放弃磋商权利。</w:t>
      </w:r>
    </w:p>
    <w:p w14:paraId="02EE88FF">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19.4提交保证金后，各磋商供应商须将其交纳保证金凭证复印件加盖供应商红章附在磋商响应文件中，否则视为无效响应文件。</w:t>
      </w:r>
    </w:p>
    <w:p w14:paraId="79A47870">
      <w:pPr>
        <w:spacing w:line="50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19.5磋商保证金退还:</w:t>
      </w:r>
    </w:p>
    <w:p w14:paraId="2821BE2A">
      <w:pPr>
        <w:spacing w:line="5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A. 未成交供应商：成交通知书发放后5个工作日退还，需提供开户信息资料； </w:t>
      </w:r>
    </w:p>
    <w:p w14:paraId="6C93956D">
      <w:pPr>
        <w:spacing w:line="5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B. 成交供应商：成交供应商与采购单位签订合同后5个工作日退还；（退还时，须向代理机构提供开户信息资料及合同原件或扫描件壹份并加盖供应商公章）；</w:t>
      </w:r>
    </w:p>
    <w:p w14:paraId="2FCE1A7D">
      <w:pPr>
        <w:spacing w:line="500" w:lineRule="exact"/>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以上供应商自身原因导致无法退还的除外。</w:t>
      </w:r>
    </w:p>
    <w:p w14:paraId="72441D96">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19.6 供应商以担保机构保函形式交纳磋商保证金的，磋商结束之后投标单位用收据原件在代理机构财务室换取担保机构保函原件（退还保证金参照19.5条款）</w:t>
      </w:r>
    </w:p>
    <w:p w14:paraId="47C114B0">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19.7发生下列情况之一，磋商保证金将不予退还：</w:t>
      </w:r>
    </w:p>
    <w:p w14:paraId="1812F623">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19.7.1供应商在递交磋商响应文件截止时间后，撤回磋商响应文件的或者擅自退出磋商活动的。</w:t>
      </w:r>
    </w:p>
    <w:p w14:paraId="266E16C8">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19.7.2供应商成交后放弃成交或未能按规定签订合同、无正当理由不与采购人签订合同的或未能按规定交纳代理服务费或由于供应商的原因导致成交无效的。</w:t>
      </w:r>
    </w:p>
    <w:p w14:paraId="12122BBA">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19.7.3将成交项目转让给他人，或者在磋商响应文件中未说明，且未经采购人和</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代理机构同意，将成交项目分包给他人的。</w:t>
      </w:r>
    </w:p>
    <w:p w14:paraId="26D75794">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19.7.4供应商在磋商响应文件中提供伪造、套改、虚假资料参与磋商的。</w:t>
      </w:r>
    </w:p>
    <w:p w14:paraId="2DD4BA15">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19.7.5供应商不按法定程序进行质疑和投诉,捏造事实，查无实据，造成恶劣影响，导致采购活动无法正常进行的;</w:t>
      </w:r>
    </w:p>
    <w:p w14:paraId="2104059F">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19.7.6供应商在磋商响应文件中提供虚假材料的；</w:t>
      </w:r>
    </w:p>
    <w:p w14:paraId="4925E6D7">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19.7.7磋商文件规定的其他情形。</w:t>
      </w:r>
    </w:p>
    <w:p w14:paraId="0293E282">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19.8联合磋商的，可以由联合体中的主体提交磋商保证金，以一方名义提交磋商保证金，对联合体各方均具有约束力；</w:t>
      </w:r>
    </w:p>
    <w:p w14:paraId="4F9A37F1">
      <w:pPr>
        <w:spacing w:line="500" w:lineRule="exact"/>
        <w:rPr>
          <w:rFonts w:hint="eastAsia" w:ascii="仿宋" w:hAnsi="仿宋" w:eastAsia="仿宋" w:cs="仿宋"/>
          <w:b/>
          <w:sz w:val="24"/>
          <w:highlight w:val="none"/>
        </w:rPr>
      </w:pPr>
      <w:r>
        <w:rPr>
          <w:rFonts w:hint="eastAsia" w:ascii="仿宋" w:hAnsi="仿宋" w:eastAsia="仿宋" w:cs="仿宋"/>
          <w:b/>
          <w:sz w:val="24"/>
          <w:highlight w:val="none"/>
        </w:rPr>
        <w:t>20.磋商响应文件的有效期</w:t>
      </w:r>
    </w:p>
    <w:p w14:paraId="7691BE60">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磋商响应文件有效期为自磋商之日起算九十（90）个日历日；有效期短于规定的磋商有效期，视为无效文件。成交供应商的磋商响应文件有效期延长至合同执行完毕。</w:t>
      </w:r>
    </w:p>
    <w:p w14:paraId="346D573E">
      <w:pPr>
        <w:spacing w:line="500" w:lineRule="exact"/>
        <w:rPr>
          <w:rFonts w:hint="eastAsia" w:ascii="仿宋" w:hAnsi="仿宋" w:eastAsia="仿宋" w:cs="仿宋"/>
          <w:b/>
          <w:sz w:val="24"/>
          <w:highlight w:val="none"/>
        </w:rPr>
      </w:pPr>
      <w:r>
        <w:rPr>
          <w:rFonts w:hint="eastAsia" w:ascii="仿宋" w:hAnsi="仿宋" w:eastAsia="仿宋" w:cs="仿宋"/>
          <w:b/>
          <w:sz w:val="24"/>
          <w:highlight w:val="none"/>
        </w:rPr>
        <w:t>21、磋商响应文件的签署及规定</w:t>
      </w:r>
    </w:p>
    <w:p w14:paraId="0E0942F3">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21.1磋商供应商须依据磋商文件内容和磋商响应文件格式的要求编制磋商响应文件；</w:t>
      </w:r>
    </w:p>
    <w:p w14:paraId="7455FF22">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21.2磋商响应文件的正本和所有的副本均需打印或用不褪色的蓝（黑）墨水填写，注明“正本”“副本”字样。统一胶装、编码，在每一页的正下方清楚标明页码等字样；</w:t>
      </w:r>
    </w:p>
    <w:p w14:paraId="4ADFA89C">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21.3磋商响应文件份数，本次磋商需提交磋商响应文件共肆份，其中正本壹份，副本贰份，电子版磋商响应文件（U盘或移动硬盘，谢绝光盘）壹份；在封面标明“正本”、“副本”及“电子版磋商响应文件”字样；</w:t>
      </w:r>
    </w:p>
    <w:p w14:paraId="0005B16A">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21.4磋商供应商在磋商响应文件中指定的页面落款处，必须按磋商文件要求加盖印章或签字；</w:t>
      </w:r>
    </w:p>
    <w:p w14:paraId="6F2C3E8E">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21.5磋商供应商名称应填写全称，同时加盖公章；</w:t>
      </w:r>
    </w:p>
    <w:p w14:paraId="0FC6AAFD">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21.6磋商响应文件的任何行间插字、涂改和增删，必须由法定代表人或被授权人在改动处旁签字方为有效；</w:t>
      </w:r>
    </w:p>
    <w:p w14:paraId="35AC250A">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21.7磋商响应文件因字迹潦草或表达不清所引起的后果由磋商供应商负责。</w:t>
      </w:r>
    </w:p>
    <w:p w14:paraId="23FE7E20">
      <w:pPr>
        <w:spacing w:line="50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21.8为响应国家环保号召，磋商响应文件建议采用双面打印。</w:t>
      </w:r>
    </w:p>
    <w:p w14:paraId="46717E6D">
      <w:pPr>
        <w:spacing w:line="460" w:lineRule="exact"/>
        <w:rPr>
          <w:rFonts w:ascii="仿宋" w:hAnsi="仿宋" w:eastAsia="仿宋" w:cs="仿宋"/>
          <w:b/>
          <w:sz w:val="24"/>
          <w:szCs w:val="24"/>
          <w:highlight w:val="none"/>
        </w:rPr>
      </w:pPr>
      <w:r>
        <w:rPr>
          <w:rFonts w:hint="eastAsia" w:ascii="仿宋" w:hAnsi="仿宋" w:eastAsia="仿宋" w:cs="仿宋"/>
          <w:b/>
          <w:sz w:val="24"/>
          <w:szCs w:val="24"/>
          <w:highlight w:val="none"/>
        </w:rPr>
        <w:t>22.文字要求</w:t>
      </w:r>
    </w:p>
    <w:p w14:paraId="7FB7A58D">
      <w:pPr>
        <w:spacing w:line="460" w:lineRule="exact"/>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本次磋商只接受简体中文文字的磋商响应文件。</w:t>
      </w:r>
    </w:p>
    <w:p w14:paraId="188B0207">
      <w:pPr>
        <w:spacing w:before="156" w:beforeLines="50" w:after="156" w:afterLines="50" w:line="500" w:lineRule="exact"/>
        <w:jc w:val="center"/>
        <w:outlineLvl w:val="1"/>
        <w:rPr>
          <w:rFonts w:hint="eastAsia" w:ascii="仿宋" w:hAnsi="仿宋" w:eastAsia="仿宋" w:cs="仿宋"/>
          <w:sz w:val="30"/>
          <w:szCs w:val="30"/>
          <w:highlight w:val="none"/>
        </w:rPr>
      </w:pPr>
      <w:bookmarkStart w:id="32" w:name="_Toc6694"/>
      <w:bookmarkStart w:id="33" w:name="_Toc12736"/>
      <w:bookmarkStart w:id="34" w:name="_Toc519156741"/>
      <w:bookmarkStart w:id="35" w:name="_Toc24973"/>
      <w:r>
        <w:rPr>
          <w:rFonts w:hint="eastAsia" w:ascii="仿宋" w:hAnsi="仿宋" w:eastAsia="仿宋" w:cs="仿宋"/>
          <w:b/>
          <w:sz w:val="30"/>
          <w:szCs w:val="30"/>
          <w:highlight w:val="none"/>
        </w:rPr>
        <w:t>五</w:t>
      </w:r>
      <w:r>
        <w:rPr>
          <w:rFonts w:hint="eastAsia" w:ascii="仿宋" w:hAnsi="仿宋" w:eastAsia="仿宋" w:cs="仿宋"/>
          <w:b/>
          <w:sz w:val="30"/>
          <w:szCs w:val="30"/>
          <w:highlight w:val="none"/>
          <w:lang w:eastAsia="zh-CN"/>
        </w:rPr>
        <w:t>、</w:t>
      </w:r>
      <w:r>
        <w:rPr>
          <w:rFonts w:hint="eastAsia" w:ascii="仿宋" w:hAnsi="仿宋" w:eastAsia="仿宋" w:cs="仿宋"/>
          <w:b/>
          <w:sz w:val="30"/>
          <w:szCs w:val="30"/>
          <w:highlight w:val="none"/>
        </w:rPr>
        <w:t>磋商响应文件封装、递交</w:t>
      </w:r>
      <w:bookmarkEnd w:id="32"/>
      <w:bookmarkEnd w:id="33"/>
      <w:bookmarkEnd w:id="34"/>
      <w:bookmarkEnd w:id="35"/>
    </w:p>
    <w:p w14:paraId="3E396618">
      <w:pPr>
        <w:spacing w:line="500" w:lineRule="exact"/>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b/>
          <w:sz w:val="24"/>
          <w:highlight w:val="none"/>
          <w:lang w:val="en-US" w:eastAsia="zh-CN"/>
        </w:rPr>
        <w:t>3</w:t>
      </w:r>
      <w:r>
        <w:rPr>
          <w:rFonts w:hint="eastAsia" w:ascii="仿宋" w:hAnsi="仿宋" w:eastAsia="仿宋" w:cs="仿宋"/>
          <w:b/>
          <w:sz w:val="24"/>
          <w:highlight w:val="none"/>
        </w:rPr>
        <w:t>.磋商响应文件的封装及标记</w:t>
      </w:r>
    </w:p>
    <w:p w14:paraId="4D88791F">
      <w:pPr>
        <w:spacing w:line="46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23.1</w:t>
      </w:r>
      <w:r>
        <w:rPr>
          <w:rFonts w:hint="eastAsia" w:ascii="仿宋" w:hAnsi="仿宋" w:eastAsia="仿宋" w:cs="仿宋"/>
          <w:sz w:val="24"/>
          <w:szCs w:val="24"/>
          <w:highlight w:val="none"/>
          <w:lang w:val="zh-CN"/>
        </w:rPr>
        <w:t>供应商按要求</w:t>
      </w:r>
      <w:r>
        <w:rPr>
          <w:rFonts w:hint="eastAsia" w:ascii="仿宋" w:hAnsi="仿宋" w:eastAsia="仿宋" w:cs="仿宋"/>
          <w:sz w:val="24"/>
          <w:szCs w:val="24"/>
          <w:highlight w:val="none"/>
          <w:lang w:val="en-US" w:eastAsia="zh-CN"/>
        </w:rPr>
        <w:t>准备</w:t>
      </w:r>
      <w:r>
        <w:rPr>
          <w:rFonts w:hint="eastAsia" w:ascii="仿宋" w:hAnsi="仿宋" w:eastAsia="仿宋" w:cs="仿宋"/>
          <w:sz w:val="24"/>
          <w:szCs w:val="24"/>
          <w:highlight w:val="none"/>
          <w:lang w:val="zh-CN"/>
        </w:rPr>
        <w:t>纸质版响应文件正本</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rPr>
        <w:t>份、副本</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份，电子版</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val="zh-CN"/>
        </w:rPr>
        <w:t>文件（</w:t>
      </w:r>
      <w:r>
        <w:rPr>
          <w:rFonts w:hint="eastAsia" w:ascii="仿宋" w:hAnsi="仿宋" w:eastAsia="仿宋" w:cs="仿宋"/>
          <w:sz w:val="24"/>
          <w:szCs w:val="24"/>
          <w:highlight w:val="none"/>
          <w:lang w:val="en-US" w:eastAsia="zh-CN"/>
        </w:rPr>
        <w:t>U盘</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rPr>
        <w:t>份。</w:t>
      </w:r>
    </w:p>
    <w:p w14:paraId="0520D17A">
      <w:pPr>
        <w:spacing w:line="46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23.2</w:t>
      </w:r>
      <w:r>
        <w:rPr>
          <w:rFonts w:hint="eastAsia" w:ascii="仿宋" w:hAnsi="仿宋" w:eastAsia="仿宋" w:cs="仿宋"/>
          <w:sz w:val="24"/>
          <w:szCs w:val="24"/>
          <w:highlight w:val="none"/>
          <w:lang w:val="zh-CN"/>
        </w:rPr>
        <w:t>纸质版响应文件的正本和所有的副本均需打（复）印或用不褪色墨水填写，副本可以采用正本签字盖章后的完整复印件，但要保证正副本内容一致，纸质版响应文件封面上应清楚地标记“正本”、“副本”字样。</w:t>
      </w:r>
    </w:p>
    <w:p w14:paraId="5B528849">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23.3</w:t>
      </w:r>
      <w:r>
        <w:rPr>
          <w:rFonts w:hint="eastAsia" w:ascii="仿宋" w:hAnsi="仿宋" w:eastAsia="仿宋" w:cs="仿宋"/>
          <w:sz w:val="24"/>
          <w:szCs w:val="24"/>
          <w:highlight w:val="none"/>
        </w:rPr>
        <w:t>响应文件必须按照磋商文件第</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部分“</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格式”中的要求</w:t>
      </w:r>
      <w:r>
        <w:rPr>
          <w:rFonts w:hint="eastAsia" w:ascii="仿宋" w:hAnsi="仿宋" w:eastAsia="仿宋" w:cs="仿宋"/>
          <w:sz w:val="24"/>
          <w:szCs w:val="24"/>
          <w:highlight w:val="none"/>
          <w:lang w:eastAsia="zh-CN"/>
        </w:rPr>
        <w:t>编制，</w:t>
      </w:r>
      <w:r>
        <w:rPr>
          <w:rFonts w:hint="eastAsia" w:ascii="仿宋" w:hAnsi="仿宋" w:eastAsia="仿宋" w:cs="仿宋"/>
          <w:sz w:val="24"/>
          <w:szCs w:val="24"/>
          <w:highlight w:val="none"/>
          <w:lang w:val="zh-CN"/>
        </w:rPr>
        <w:t>响应文件应除封面外应逐页编码，为节约纸张建议采用A4纸张双面打印，牢固胶状成册，</w:t>
      </w:r>
      <w:r>
        <w:rPr>
          <w:rFonts w:hint="eastAsia" w:ascii="仿宋" w:hAnsi="仿宋" w:eastAsia="仿宋" w:cs="仿宋"/>
          <w:sz w:val="24"/>
          <w:szCs w:val="24"/>
          <w:highlight w:val="none"/>
          <w:lang w:eastAsia="zh-CN"/>
        </w:rPr>
        <w:t>并按格式要求</w:t>
      </w:r>
      <w:r>
        <w:rPr>
          <w:rFonts w:hint="eastAsia" w:ascii="仿宋" w:hAnsi="仿宋" w:eastAsia="仿宋" w:cs="仿宋"/>
          <w:sz w:val="24"/>
          <w:szCs w:val="24"/>
          <w:highlight w:val="none"/>
        </w:rPr>
        <w:t>签署盖章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val="zh-CN"/>
        </w:rPr>
        <w:t>文件中供应商名称盖章处必须加盖供应商公章，</w:t>
      </w:r>
      <w:r>
        <w:rPr>
          <w:rFonts w:hint="eastAsia" w:ascii="仿宋" w:hAnsi="仿宋" w:eastAsia="仿宋" w:cs="仿宋"/>
          <w:sz w:val="24"/>
          <w:szCs w:val="24"/>
          <w:highlight w:val="none"/>
        </w:rPr>
        <w:t>磋商文件中凡是需要法定代表人签字或盖章之处非法人单位的负责人均参照执行。</w:t>
      </w:r>
    </w:p>
    <w:p w14:paraId="4463F56B">
      <w:pPr>
        <w:spacing w:line="46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23.4</w:t>
      </w:r>
      <w:r>
        <w:rPr>
          <w:rFonts w:hint="eastAsia" w:ascii="仿宋" w:hAnsi="仿宋" w:eastAsia="仿宋" w:cs="仿宋"/>
          <w:sz w:val="24"/>
          <w:szCs w:val="24"/>
          <w:highlight w:val="none"/>
          <w:lang w:val="zh-CN"/>
        </w:rPr>
        <w:t>除供应商对错处做必要修改外，</w:t>
      </w:r>
      <w:r>
        <w:rPr>
          <w:rFonts w:hint="eastAsia" w:ascii="仿宋" w:hAnsi="仿宋" w:eastAsia="仿宋" w:cs="仿宋"/>
          <w:sz w:val="24"/>
          <w:szCs w:val="24"/>
          <w:highlight w:val="none"/>
          <w:lang w:val="en-US" w:eastAsia="zh-CN"/>
        </w:rPr>
        <w:t>响应文件</w:t>
      </w:r>
      <w:r>
        <w:rPr>
          <w:rFonts w:hint="eastAsia" w:ascii="仿宋" w:hAnsi="仿宋" w:eastAsia="仿宋" w:cs="仿宋"/>
          <w:sz w:val="24"/>
          <w:szCs w:val="24"/>
          <w:highlight w:val="none"/>
          <w:lang w:val="zh-CN"/>
        </w:rPr>
        <w:t>不得行间插字、涂改和增删，如有修改错漏处，必须由供应商法定代表人或其授权代表签字或盖章。</w:t>
      </w:r>
    </w:p>
    <w:p w14:paraId="0501349D">
      <w:pPr>
        <w:spacing w:line="460" w:lineRule="exact"/>
        <w:ind w:firstLine="480" w:firstLineChars="200"/>
        <w:rPr>
          <w:rFonts w:hint="eastAsia" w:ascii="仿宋" w:hAnsi="仿宋" w:eastAsia="仿宋" w:cs="仿宋"/>
          <w:b/>
          <w:sz w:val="24"/>
          <w:highlight w:val="none"/>
        </w:rPr>
      </w:pPr>
      <w:r>
        <w:rPr>
          <w:rFonts w:hint="eastAsia" w:ascii="仿宋" w:hAnsi="仿宋" w:eastAsia="仿宋" w:cs="仿宋"/>
          <w:sz w:val="24"/>
          <w:szCs w:val="24"/>
          <w:highlight w:val="none"/>
          <w:lang w:val="en-US" w:eastAsia="zh-CN"/>
        </w:rPr>
        <w:t>23.5</w:t>
      </w:r>
      <w:r>
        <w:rPr>
          <w:rFonts w:hint="eastAsia" w:ascii="仿宋" w:hAnsi="仿宋" w:eastAsia="仿宋" w:cs="仿宋"/>
          <w:b/>
          <w:bCs/>
          <w:sz w:val="24"/>
          <w:szCs w:val="24"/>
          <w:highlight w:val="none"/>
        </w:rPr>
        <w:t>电子版</w:t>
      </w:r>
      <w:r>
        <w:rPr>
          <w:rFonts w:hint="eastAsia" w:ascii="仿宋" w:hAnsi="仿宋" w:eastAsia="仿宋" w:cs="仿宋"/>
          <w:b/>
          <w:bCs/>
          <w:sz w:val="24"/>
          <w:szCs w:val="24"/>
          <w:highlight w:val="none"/>
          <w:lang w:eastAsia="zh-CN"/>
        </w:rPr>
        <w:t>响应文件</w:t>
      </w:r>
      <w:r>
        <w:rPr>
          <w:rFonts w:hint="eastAsia" w:ascii="仿宋" w:hAnsi="仿宋" w:eastAsia="仿宋" w:cs="仿宋"/>
          <w:b/>
          <w:bCs/>
          <w:sz w:val="24"/>
          <w:szCs w:val="24"/>
          <w:highlight w:val="none"/>
        </w:rPr>
        <w:t>内容与纸质版正本</w:t>
      </w:r>
      <w:r>
        <w:rPr>
          <w:rFonts w:hint="eastAsia" w:ascii="仿宋" w:hAnsi="仿宋" w:eastAsia="仿宋" w:cs="仿宋"/>
          <w:b/>
          <w:bCs/>
          <w:sz w:val="24"/>
          <w:szCs w:val="24"/>
          <w:highlight w:val="none"/>
          <w:lang w:eastAsia="zh-CN"/>
        </w:rPr>
        <w:t>响应文件</w:t>
      </w:r>
      <w:r>
        <w:rPr>
          <w:rFonts w:hint="eastAsia" w:ascii="仿宋" w:hAnsi="仿宋" w:eastAsia="仿宋" w:cs="仿宋"/>
          <w:b/>
          <w:bCs/>
          <w:sz w:val="24"/>
          <w:szCs w:val="24"/>
          <w:highlight w:val="none"/>
        </w:rPr>
        <w:t>的内容保持一致，具有同等法律效力，须将</w:t>
      </w:r>
      <w:r>
        <w:rPr>
          <w:rFonts w:hint="eastAsia" w:ascii="仿宋" w:hAnsi="仿宋" w:eastAsia="仿宋" w:cs="仿宋"/>
          <w:b/>
          <w:bCs/>
          <w:sz w:val="24"/>
          <w:szCs w:val="24"/>
          <w:highlight w:val="none"/>
          <w:lang w:val="zh-CN"/>
        </w:rPr>
        <w:t>签字、盖章</w:t>
      </w:r>
      <w:r>
        <w:rPr>
          <w:rFonts w:hint="eastAsia" w:ascii="仿宋" w:hAnsi="仿宋" w:eastAsia="仿宋" w:cs="仿宋"/>
          <w:b/>
          <w:bCs/>
          <w:sz w:val="24"/>
          <w:szCs w:val="24"/>
          <w:highlight w:val="none"/>
        </w:rPr>
        <w:t>后</w:t>
      </w:r>
      <w:r>
        <w:rPr>
          <w:rFonts w:hint="eastAsia" w:ascii="仿宋" w:hAnsi="仿宋" w:eastAsia="仿宋" w:cs="仿宋"/>
          <w:b/>
          <w:bCs/>
          <w:sz w:val="24"/>
          <w:szCs w:val="24"/>
          <w:highlight w:val="none"/>
          <w:lang w:val="zh-CN"/>
        </w:rPr>
        <w:t>的</w:t>
      </w:r>
      <w:r>
        <w:rPr>
          <w:rFonts w:hint="eastAsia" w:ascii="仿宋" w:hAnsi="仿宋" w:eastAsia="仿宋" w:cs="仿宋"/>
          <w:b/>
          <w:bCs/>
          <w:sz w:val="24"/>
          <w:szCs w:val="24"/>
          <w:highlight w:val="none"/>
        </w:rPr>
        <w:t>纸质版</w:t>
      </w:r>
      <w:r>
        <w:rPr>
          <w:rFonts w:hint="eastAsia" w:ascii="仿宋" w:hAnsi="仿宋" w:eastAsia="仿宋" w:cs="仿宋"/>
          <w:b/>
          <w:bCs/>
          <w:sz w:val="24"/>
          <w:szCs w:val="24"/>
          <w:highlight w:val="none"/>
          <w:lang w:eastAsia="zh-CN"/>
        </w:rPr>
        <w:t>响应文件</w:t>
      </w:r>
      <w:r>
        <w:rPr>
          <w:rFonts w:hint="eastAsia" w:ascii="仿宋" w:hAnsi="仿宋" w:eastAsia="仿宋" w:cs="仿宋"/>
          <w:b/>
          <w:bCs/>
          <w:sz w:val="24"/>
          <w:szCs w:val="24"/>
          <w:highlight w:val="none"/>
          <w:lang w:val="zh-CN"/>
        </w:rPr>
        <w:t>正本扫描</w:t>
      </w:r>
      <w:r>
        <w:rPr>
          <w:rFonts w:hint="eastAsia" w:ascii="仿宋" w:hAnsi="仿宋" w:eastAsia="仿宋" w:cs="仿宋"/>
          <w:b/>
          <w:bCs/>
          <w:sz w:val="24"/>
          <w:szCs w:val="24"/>
          <w:highlight w:val="none"/>
        </w:rPr>
        <w:t>后生成的</w:t>
      </w:r>
      <w:r>
        <w:rPr>
          <w:rFonts w:hint="eastAsia" w:ascii="仿宋" w:hAnsi="仿宋" w:eastAsia="仿宋" w:cs="仿宋"/>
          <w:b/>
          <w:bCs/>
          <w:sz w:val="24"/>
          <w:szCs w:val="24"/>
          <w:highlight w:val="none"/>
          <w:lang w:val="zh-CN"/>
        </w:rPr>
        <w:t>PDF文件</w:t>
      </w:r>
      <w:r>
        <w:rPr>
          <w:rFonts w:hint="eastAsia" w:ascii="仿宋" w:hAnsi="仿宋" w:eastAsia="仿宋" w:cs="仿宋"/>
          <w:b/>
          <w:bCs/>
          <w:sz w:val="24"/>
          <w:szCs w:val="24"/>
          <w:highlight w:val="none"/>
        </w:rPr>
        <w:t>刻录入U盘存储。注：为便于扫描，可在正本未装订、无骑缝章时扫描；</w:t>
      </w:r>
      <w:r>
        <w:rPr>
          <w:rFonts w:hint="eastAsia" w:ascii="仿宋" w:hAnsi="仿宋" w:eastAsia="仿宋" w:cs="仿宋"/>
          <w:b/>
          <w:bCs/>
          <w:sz w:val="24"/>
          <w:szCs w:val="24"/>
          <w:highlight w:val="none"/>
          <w:lang w:val="en-US" w:eastAsia="zh-CN"/>
        </w:rPr>
        <w:t>递交</w:t>
      </w:r>
      <w:r>
        <w:rPr>
          <w:rFonts w:hint="eastAsia" w:ascii="仿宋" w:hAnsi="仿宋" w:eastAsia="仿宋" w:cs="仿宋"/>
          <w:b/>
          <w:bCs/>
          <w:sz w:val="24"/>
          <w:szCs w:val="24"/>
          <w:highlight w:val="none"/>
        </w:rPr>
        <w:t>的U盘应仅存储该文件；U盘作为投标资料介质不予退还。</w:t>
      </w:r>
    </w:p>
    <w:p w14:paraId="6211490F">
      <w:pPr>
        <w:spacing w:line="500" w:lineRule="exact"/>
        <w:rPr>
          <w:rFonts w:hint="eastAsia" w:ascii="仿宋" w:hAnsi="仿宋" w:eastAsia="仿宋" w:cs="仿宋"/>
          <w:sz w:val="24"/>
          <w:highlight w:val="none"/>
        </w:rPr>
      </w:pPr>
      <w:r>
        <w:rPr>
          <w:rFonts w:hint="eastAsia" w:ascii="仿宋" w:hAnsi="仿宋" w:eastAsia="仿宋" w:cs="仿宋"/>
          <w:b/>
          <w:sz w:val="24"/>
          <w:highlight w:val="none"/>
        </w:rPr>
        <w:t>2</w:t>
      </w:r>
      <w:r>
        <w:rPr>
          <w:rFonts w:hint="eastAsia" w:ascii="仿宋" w:hAnsi="仿宋" w:eastAsia="仿宋" w:cs="仿宋"/>
          <w:b/>
          <w:sz w:val="24"/>
          <w:highlight w:val="none"/>
          <w:lang w:val="en-US" w:eastAsia="zh-CN"/>
        </w:rPr>
        <w:t>4</w:t>
      </w:r>
      <w:r>
        <w:rPr>
          <w:rFonts w:hint="eastAsia" w:ascii="仿宋" w:hAnsi="仿宋" w:eastAsia="仿宋" w:cs="仿宋"/>
          <w:b/>
          <w:sz w:val="24"/>
          <w:highlight w:val="none"/>
        </w:rPr>
        <w:t>.磋商响应文件递交</w:t>
      </w:r>
    </w:p>
    <w:p w14:paraId="16AE18EA">
      <w:pPr>
        <w:spacing w:line="4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24.1</w:t>
      </w:r>
      <w:r>
        <w:rPr>
          <w:rFonts w:hint="eastAsia" w:ascii="仿宋" w:hAnsi="仿宋" w:eastAsia="仿宋" w:cs="仿宋"/>
          <w:sz w:val="24"/>
          <w:szCs w:val="24"/>
          <w:highlight w:val="none"/>
          <w:lang w:val="zh-CN" w:eastAsia="zh-CN"/>
        </w:rPr>
        <w:t>供应商应在</w:t>
      </w:r>
      <w:r>
        <w:rPr>
          <w:rFonts w:hint="eastAsia" w:ascii="仿宋" w:hAnsi="仿宋" w:eastAsia="仿宋" w:cs="仿宋"/>
          <w:sz w:val="24"/>
          <w:szCs w:val="24"/>
          <w:highlight w:val="none"/>
          <w:lang w:val="en-US" w:eastAsia="zh-CN"/>
        </w:rPr>
        <w:t>开标当日并于递</w:t>
      </w:r>
      <w:r>
        <w:rPr>
          <w:rFonts w:hint="eastAsia" w:ascii="仿宋" w:hAnsi="仿宋" w:eastAsia="仿宋" w:cs="仿宋"/>
          <w:sz w:val="24"/>
          <w:szCs w:val="24"/>
          <w:highlight w:val="none"/>
          <w:lang w:val="zh-CN" w:eastAsia="zh-CN"/>
        </w:rPr>
        <w:t>交响应文件的截止时间前</w:t>
      </w:r>
      <w:r>
        <w:rPr>
          <w:rFonts w:hint="eastAsia" w:ascii="仿宋" w:hAnsi="仿宋" w:eastAsia="仿宋" w:cs="仿宋"/>
          <w:sz w:val="24"/>
          <w:szCs w:val="24"/>
          <w:highlight w:val="none"/>
          <w:lang w:val="en-US" w:eastAsia="zh-CN"/>
        </w:rPr>
        <w:t>将响应文件</w:t>
      </w:r>
      <w:r>
        <w:rPr>
          <w:rFonts w:hint="eastAsia" w:ascii="仿宋" w:hAnsi="仿宋" w:eastAsia="仿宋" w:cs="仿宋"/>
          <w:sz w:val="24"/>
          <w:szCs w:val="24"/>
          <w:highlight w:val="none"/>
          <w:lang w:val="zh-CN" w:eastAsia="zh-CN"/>
        </w:rPr>
        <w:t>密封送达至响应文件</w:t>
      </w:r>
      <w:r>
        <w:rPr>
          <w:rFonts w:hint="eastAsia" w:ascii="仿宋" w:hAnsi="仿宋" w:eastAsia="仿宋" w:cs="仿宋"/>
          <w:sz w:val="24"/>
          <w:szCs w:val="24"/>
          <w:highlight w:val="none"/>
          <w:lang w:val="en-US" w:eastAsia="zh-CN"/>
        </w:rPr>
        <w:t>递交</w:t>
      </w:r>
      <w:r>
        <w:rPr>
          <w:rFonts w:hint="eastAsia" w:ascii="仿宋" w:hAnsi="仿宋" w:eastAsia="仿宋" w:cs="仿宋"/>
          <w:sz w:val="24"/>
          <w:szCs w:val="24"/>
          <w:highlight w:val="none"/>
          <w:lang w:val="zh-CN" w:eastAsia="zh-CN"/>
        </w:rPr>
        <w:t>地点。</w:t>
      </w:r>
    </w:p>
    <w:p w14:paraId="1F816C52">
      <w:pPr>
        <w:spacing w:line="4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24.2</w:t>
      </w:r>
      <w:r>
        <w:rPr>
          <w:rFonts w:hint="eastAsia" w:ascii="仿宋" w:hAnsi="仿宋" w:eastAsia="仿宋" w:cs="仿宋"/>
          <w:sz w:val="24"/>
          <w:szCs w:val="24"/>
          <w:highlight w:val="none"/>
          <w:lang w:val="zh-CN" w:eastAsia="zh-CN"/>
        </w:rPr>
        <w:t>采购代理机构在磋商文件规定的响应文件递交截止时间前，只负责响应文件的接收、登记和组织工作，对其响应文件的有效性不负任何责任。</w:t>
      </w:r>
    </w:p>
    <w:p w14:paraId="09CBCDB7">
      <w:pPr>
        <w:spacing w:line="4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24.3</w:t>
      </w:r>
      <w:r>
        <w:rPr>
          <w:rFonts w:hint="eastAsia" w:ascii="仿宋" w:hAnsi="仿宋" w:eastAsia="仿宋" w:cs="仿宋"/>
          <w:sz w:val="24"/>
          <w:szCs w:val="24"/>
          <w:highlight w:val="none"/>
          <w:lang w:val="zh-CN" w:eastAsia="zh-CN"/>
        </w:rPr>
        <w:t>响应文件递</w:t>
      </w:r>
      <w:r>
        <w:rPr>
          <w:rFonts w:hint="eastAsia" w:ascii="仿宋" w:hAnsi="仿宋" w:eastAsia="仿宋" w:cs="仿宋"/>
          <w:sz w:val="24"/>
          <w:szCs w:val="24"/>
          <w:highlight w:val="none"/>
          <w:lang w:val="en-US" w:eastAsia="zh-CN"/>
        </w:rPr>
        <w:t>交</w:t>
      </w:r>
      <w:r>
        <w:rPr>
          <w:rFonts w:hint="eastAsia" w:ascii="仿宋" w:hAnsi="仿宋" w:eastAsia="仿宋" w:cs="仿宋"/>
          <w:sz w:val="24"/>
          <w:szCs w:val="24"/>
          <w:highlight w:val="none"/>
          <w:lang w:val="zh-CN" w:eastAsia="zh-CN"/>
        </w:rPr>
        <w:t>后，在</w:t>
      </w:r>
      <w:r>
        <w:rPr>
          <w:rFonts w:hint="eastAsia" w:ascii="仿宋" w:hAnsi="仿宋" w:eastAsia="仿宋" w:cs="仿宋"/>
          <w:sz w:val="24"/>
          <w:szCs w:val="24"/>
          <w:highlight w:val="none"/>
          <w:lang w:val="en-US" w:eastAsia="zh-CN"/>
        </w:rPr>
        <w:t>响应文件递交</w:t>
      </w:r>
      <w:r>
        <w:rPr>
          <w:rFonts w:hint="eastAsia" w:ascii="仿宋" w:hAnsi="仿宋" w:eastAsia="仿宋" w:cs="仿宋"/>
          <w:sz w:val="24"/>
          <w:szCs w:val="24"/>
          <w:highlight w:val="none"/>
          <w:lang w:val="zh-CN" w:eastAsia="zh-CN"/>
        </w:rPr>
        <w:t>截止</w:t>
      </w:r>
      <w:r>
        <w:rPr>
          <w:rFonts w:hint="eastAsia" w:ascii="仿宋" w:hAnsi="仿宋" w:eastAsia="仿宋" w:cs="仿宋"/>
          <w:sz w:val="24"/>
          <w:szCs w:val="24"/>
          <w:highlight w:val="none"/>
          <w:lang w:val="en-US" w:eastAsia="zh-CN"/>
        </w:rPr>
        <w:t>时间</w:t>
      </w:r>
      <w:r>
        <w:rPr>
          <w:rFonts w:hint="eastAsia" w:ascii="仿宋" w:hAnsi="仿宋" w:eastAsia="仿宋" w:cs="仿宋"/>
          <w:sz w:val="24"/>
          <w:szCs w:val="24"/>
          <w:highlight w:val="none"/>
          <w:lang w:val="zh-CN" w:eastAsia="zh-CN"/>
        </w:rPr>
        <w:t>前，</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lang w:val="zh-CN" w:eastAsia="zh-CN"/>
        </w:rPr>
        <w:t>可以补充、修改或撤回其响应文件，并书面通知采购代理机构。补充、修改的内容应按磋商文件的要求签署、盖章，密封后，作为响应文件的组成部分。</w:t>
      </w:r>
    </w:p>
    <w:p w14:paraId="676E69AF">
      <w:pPr>
        <w:spacing w:line="4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24.4响应文件递交</w:t>
      </w:r>
      <w:r>
        <w:rPr>
          <w:rFonts w:hint="eastAsia" w:ascii="仿宋" w:hAnsi="仿宋" w:eastAsia="仿宋" w:cs="仿宋"/>
          <w:sz w:val="24"/>
          <w:szCs w:val="24"/>
          <w:highlight w:val="none"/>
          <w:lang w:val="zh-CN" w:eastAsia="zh-CN"/>
        </w:rPr>
        <w:t>截止时间后，</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lang w:val="zh-CN" w:eastAsia="zh-CN"/>
        </w:rPr>
        <w:t>不得对其响应文件做任何修改。</w:t>
      </w:r>
    </w:p>
    <w:p w14:paraId="4E123CF7">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24.5采购代理机构因采购人推迟磋商截止时间时，应以书面的形式，通知所有磋商供应商；在这种情况下，采购代理机构和磋商供应商的权利和义务将受到新的截止期的约束。</w:t>
      </w:r>
    </w:p>
    <w:p w14:paraId="3FA0DB8D">
      <w:pPr>
        <w:spacing w:line="460" w:lineRule="exact"/>
        <w:ind w:firstLine="120" w:firstLineChars="50"/>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rPr>
        <w:t>25.磋商响应文件递交时间截止</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zh-CN"/>
        </w:rPr>
        <w:t>出现下列情况之一的，其响应文件将被拒绝接收：</w:t>
      </w:r>
    </w:p>
    <w:p w14:paraId="60F1334D">
      <w:pPr>
        <w:spacing w:line="4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25.1</w:t>
      </w:r>
      <w:r>
        <w:rPr>
          <w:rFonts w:hint="eastAsia" w:ascii="仿宋" w:hAnsi="仿宋" w:eastAsia="仿宋" w:cs="仿宋"/>
          <w:sz w:val="24"/>
          <w:szCs w:val="24"/>
          <w:highlight w:val="none"/>
          <w:lang w:val="zh-CN" w:eastAsia="zh-CN"/>
        </w:rPr>
        <w:t>逾期送达的；</w:t>
      </w:r>
    </w:p>
    <w:p w14:paraId="2F87DA61">
      <w:pPr>
        <w:spacing w:line="4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25.2</w:t>
      </w:r>
      <w:r>
        <w:rPr>
          <w:rFonts w:hint="eastAsia" w:ascii="仿宋" w:hAnsi="仿宋" w:eastAsia="仿宋" w:cs="仿宋"/>
          <w:sz w:val="24"/>
          <w:szCs w:val="24"/>
          <w:highlight w:val="none"/>
          <w:lang w:val="zh-CN" w:eastAsia="zh-CN"/>
        </w:rPr>
        <w:t>未按照磋商文件要求密封或加写标记的；</w:t>
      </w:r>
    </w:p>
    <w:p w14:paraId="28C355C6">
      <w:pPr>
        <w:spacing w:line="4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25.3</w:t>
      </w:r>
      <w:r>
        <w:rPr>
          <w:rFonts w:hint="eastAsia" w:ascii="仿宋" w:hAnsi="仿宋" w:eastAsia="仿宋" w:cs="仿宋"/>
          <w:sz w:val="24"/>
          <w:szCs w:val="24"/>
          <w:highlight w:val="none"/>
          <w:lang w:val="zh-CN" w:eastAsia="zh-CN"/>
        </w:rPr>
        <w:t>递交的响应文件与本项目不相符的；</w:t>
      </w:r>
    </w:p>
    <w:p w14:paraId="1E8E8092">
      <w:pPr>
        <w:spacing w:line="46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25.4</w:t>
      </w:r>
      <w:r>
        <w:rPr>
          <w:rFonts w:hint="eastAsia" w:ascii="仿宋" w:hAnsi="仿宋" w:eastAsia="仿宋" w:cs="仿宋"/>
          <w:sz w:val="24"/>
          <w:szCs w:val="24"/>
          <w:highlight w:val="none"/>
          <w:lang w:val="zh-CN" w:eastAsia="zh-CN"/>
        </w:rPr>
        <w:t>供应商名称与获取磋商文件时填写的报名登记表中名称不相符的。</w:t>
      </w:r>
    </w:p>
    <w:p w14:paraId="59C66E29">
      <w:pPr>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.5无论磋商供应商成交与否或者废标，其磋商响应文件恕不退还。</w:t>
      </w:r>
    </w:p>
    <w:p w14:paraId="4AB9ADA8">
      <w:pPr>
        <w:spacing w:line="460" w:lineRule="exact"/>
        <w:ind w:firstLine="120" w:firstLineChars="50"/>
        <w:rPr>
          <w:rFonts w:ascii="仿宋" w:hAnsi="仿宋" w:eastAsia="仿宋" w:cs="仿宋"/>
          <w:b/>
          <w:sz w:val="24"/>
          <w:szCs w:val="24"/>
          <w:highlight w:val="none"/>
        </w:rPr>
      </w:pPr>
      <w:r>
        <w:rPr>
          <w:rFonts w:hint="eastAsia" w:ascii="仿宋" w:hAnsi="仿宋" w:eastAsia="仿宋" w:cs="仿宋"/>
          <w:b/>
          <w:sz w:val="24"/>
          <w:szCs w:val="24"/>
          <w:highlight w:val="none"/>
        </w:rPr>
        <w:t>26.磋商响应文件的修改和撤回</w:t>
      </w:r>
    </w:p>
    <w:p w14:paraId="7601F766">
      <w:pPr>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26.1磋商响应文件递交后，如果磋商供应商提出书面修改和撤回磋商响应文件要求，在磋商截止时间前以书面形式送达采购代理机构；</w:t>
      </w:r>
    </w:p>
    <w:p w14:paraId="15042488">
      <w:pPr>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26.2磋商供应商修改磋商响应文件的书面材料，须密封送达采购代理机构，修改或补充的内容应按磋商文件要求签署、盖章、密封、标记，并作为磋商响应文件的组成部分；</w:t>
      </w:r>
    </w:p>
    <w:p w14:paraId="22C0F7F7">
      <w:pPr>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26.3撤回磋商响应文件应以书面（或传真）的形式通知采购代理机构。如采取传真形式撤回磋商响应文件，随后必须补充有法定代表人或被授权人签署的要求撤回磋商响应文件的正式文件；撤回磋商响应文件的时间以送达采购代理机构到达日期为准；</w:t>
      </w:r>
    </w:p>
    <w:p w14:paraId="23E3A46E">
      <w:pPr>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26.4在磋商截止时间后到磋商文件规定的磋商有效期满之间的这段时间内，磋商供应商不得撤回其磋商响应文件；</w:t>
      </w:r>
    </w:p>
    <w:p w14:paraId="76EDE5EB">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26.5磋商供应商在磋商响应文件递交截止时间后，不得对其磋商响应文件做任何修改。</w:t>
      </w:r>
    </w:p>
    <w:p w14:paraId="3DBF26ED">
      <w:pPr>
        <w:pStyle w:val="3"/>
        <w:spacing w:before="156" w:beforeLines="50" w:after="156" w:afterLines="50" w:line="500" w:lineRule="exact"/>
        <w:rPr>
          <w:rFonts w:hint="eastAsia" w:ascii="仿宋" w:hAnsi="仿宋" w:eastAsia="仿宋" w:cs="仿宋"/>
          <w:sz w:val="30"/>
          <w:szCs w:val="30"/>
          <w:highlight w:val="none"/>
        </w:rPr>
      </w:pPr>
      <w:bookmarkStart w:id="36" w:name="_Toc519156742"/>
      <w:bookmarkStart w:id="37" w:name="_Toc32447"/>
      <w:bookmarkStart w:id="38" w:name="_Toc29321"/>
      <w:bookmarkStart w:id="39" w:name="_Toc9691"/>
      <w:bookmarkStart w:id="40" w:name="_Toc30223"/>
      <w:r>
        <w:rPr>
          <w:rFonts w:hint="eastAsia" w:ascii="仿宋" w:hAnsi="仿宋" w:eastAsia="仿宋" w:cs="仿宋"/>
          <w:sz w:val="30"/>
          <w:szCs w:val="30"/>
          <w:highlight w:val="none"/>
        </w:rPr>
        <w:t>六</w:t>
      </w:r>
      <w:bookmarkEnd w:id="36"/>
      <w:bookmarkEnd w:id="37"/>
      <w:bookmarkEnd w:id="38"/>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磋商与评审</w:t>
      </w:r>
      <w:bookmarkEnd w:id="39"/>
      <w:bookmarkEnd w:id="40"/>
    </w:p>
    <w:p w14:paraId="73A31972">
      <w:pPr>
        <w:spacing w:line="460" w:lineRule="exact"/>
        <w:ind w:firstLine="120" w:firstLineChars="50"/>
        <w:rPr>
          <w:rFonts w:hint="eastAsia" w:ascii="仿宋" w:hAnsi="仿宋" w:eastAsia="仿宋" w:cs="仿宋"/>
          <w:b/>
          <w:sz w:val="24"/>
          <w:szCs w:val="24"/>
          <w:highlight w:val="none"/>
        </w:rPr>
      </w:pPr>
      <w:r>
        <w:rPr>
          <w:rFonts w:hint="eastAsia" w:ascii="仿宋" w:hAnsi="仿宋" w:eastAsia="仿宋" w:cs="仿宋"/>
          <w:b/>
          <w:sz w:val="24"/>
          <w:szCs w:val="24"/>
          <w:highlight w:val="none"/>
        </w:rPr>
        <w:t>27.磋商</w:t>
      </w:r>
    </w:p>
    <w:p w14:paraId="686E089E">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27.1</w:t>
      </w:r>
      <w:r>
        <w:rPr>
          <w:rFonts w:hint="eastAsia" w:ascii="仿宋" w:hAnsi="仿宋" w:eastAsia="仿宋" w:cs="仿宋"/>
          <w:sz w:val="24"/>
          <w:szCs w:val="24"/>
          <w:highlight w:val="none"/>
        </w:rPr>
        <w:t>采购代理机构按磋商文件规定的时间、地点组织磋商会议。</w:t>
      </w:r>
    </w:p>
    <w:p w14:paraId="42B4D6CB">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27.2</w:t>
      </w:r>
      <w:r>
        <w:rPr>
          <w:rFonts w:hint="eastAsia" w:ascii="仿宋" w:hAnsi="仿宋" w:eastAsia="仿宋" w:cs="仿宋"/>
          <w:sz w:val="24"/>
          <w:szCs w:val="24"/>
          <w:highlight w:val="none"/>
        </w:rPr>
        <w:t>磋商大会由采购代理机构主持，采购人参会人员、供应商代表及有关工作人员参加，参加磋商的人员应签名报到，以证明其出席。</w:t>
      </w:r>
    </w:p>
    <w:p w14:paraId="3E5FD131">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27.3</w:t>
      </w:r>
      <w:r>
        <w:rPr>
          <w:rFonts w:hint="eastAsia" w:ascii="仿宋" w:hAnsi="仿宋" w:eastAsia="仿宋" w:cs="仿宋"/>
          <w:sz w:val="24"/>
          <w:szCs w:val="24"/>
          <w:highlight w:val="none"/>
        </w:rPr>
        <w:t>由供应商或者其推选的代表检查响应文件的密封情况。</w:t>
      </w:r>
    </w:p>
    <w:p w14:paraId="1D61FD47">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27.4</w:t>
      </w:r>
      <w:r>
        <w:rPr>
          <w:rFonts w:hint="eastAsia" w:ascii="仿宋" w:hAnsi="仿宋" w:eastAsia="仿宋" w:cs="仿宋"/>
          <w:sz w:val="24"/>
          <w:szCs w:val="24"/>
          <w:highlight w:val="none"/>
        </w:rPr>
        <w:t>查验响应文件密封情况，确认无误后拆封，由采购代理机构工作人员负责将供应商的名称、磋商价格和磋商文件中规定的其他内容进行记录，签字确认后并存档备案。</w:t>
      </w:r>
    </w:p>
    <w:p w14:paraId="19EFD8E4">
      <w:pPr>
        <w:spacing w:line="460" w:lineRule="exact"/>
        <w:ind w:firstLine="120" w:firstLineChars="50"/>
        <w:rPr>
          <w:rFonts w:ascii="仿宋" w:hAnsi="仿宋" w:eastAsia="仿宋" w:cs="仿宋"/>
          <w:b/>
          <w:sz w:val="24"/>
          <w:szCs w:val="24"/>
          <w:highlight w:val="none"/>
        </w:rPr>
      </w:pPr>
      <w:r>
        <w:rPr>
          <w:rFonts w:hint="eastAsia" w:ascii="仿宋" w:hAnsi="仿宋" w:eastAsia="仿宋" w:cs="仿宋"/>
          <w:b/>
          <w:sz w:val="24"/>
          <w:szCs w:val="24"/>
          <w:highlight w:val="none"/>
          <w:lang w:val="en-US" w:eastAsia="zh-CN"/>
        </w:rPr>
        <w:t>28.</w:t>
      </w:r>
      <w:r>
        <w:rPr>
          <w:rFonts w:hint="eastAsia" w:ascii="仿宋" w:hAnsi="仿宋" w:eastAsia="仿宋" w:cs="仿宋"/>
          <w:b/>
          <w:sz w:val="24"/>
          <w:szCs w:val="24"/>
          <w:highlight w:val="none"/>
        </w:rPr>
        <w:t>磋商及评审程序</w:t>
      </w:r>
    </w:p>
    <w:p w14:paraId="2CEA7DCF">
      <w:pPr>
        <w:spacing w:line="46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28.1采购代理</w:t>
      </w:r>
      <w:r>
        <w:rPr>
          <w:rFonts w:hint="eastAsia" w:ascii="仿宋" w:hAnsi="仿宋" w:eastAsia="仿宋" w:cs="仿宋"/>
          <w:sz w:val="24"/>
          <w:szCs w:val="24"/>
          <w:highlight w:val="none"/>
        </w:rPr>
        <w:t>机构</w:t>
      </w:r>
      <w:r>
        <w:rPr>
          <w:rFonts w:hint="eastAsia" w:ascii="仿宋" w:hAnsi="仿宋" w:eastAsia="仿宋" w:cs="仿宋"/>
          <w:bCs/>
          <w:sz w:val="24"/>
          <w:szCs w:val="24"/>
          <w:highlight w:val="none"/>
        </w:rPr>
        <w:t>在规定的时间和地点组织磋商。</w:t>
      </w:r>
    </w:p>
    <w:p w14:paraId="70455B9B">
      <w:pPr>
        <w:spacing w:line="46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28.2本次磋商的报价次数、磋商程序和最终报价的产生原则见“磋商须知前附表”的规定。</w:t>
      </w:r>
    </w:p>
    <w:p w14:paraId="3F83CBF7">
      <w:pPr>
        <w:spacing w:line="46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28.3磋商开始后，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14:paraId="2F8CD20A">
      <w:pPr>
        <w:spacing w:line="46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28.4磋商小组所有成员集中与单一供应商分别进行磋商，并给予所有参加磋商的供应商平等的磋商机会。</w:t>
      </w:r>
    </w:p>
    <w:p w14:paraId="121E32B9">
      <w:pPr>
        <w:spacing w:line="460" w:lineRule="exact"/>
        <w:ind w:firstLine="480" w:firstLineChars="200"/>
        <w:rPr>
          <w:rFonts w:ascii="仿宋" w:hAnsi="仿宋" w:eastAsia="仿宋" w:cs="仿宋"/>
          <w:sz w:val="24"/>
          <w:szCs w:val="24"/>
          <w:highlight w:val="none"/>
        </w:rPr>
      </w:pPr>
      <w:r>
        <w:rPr>
          <w:rFonts w:hint="eastAsia" w:ascii="仿宋" w:hAnsi="仿宋" w:eastAsia="仿宋" w:cs="仿宋"/>
          <w:bCs/>
          <w:sz w:val="24"/>
          <w:szCs w:val="24"/>
          <w:highlight w:val="none"/>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递交响应文件，并由其法定代表人或被授权委托人签字或盖章。由授权代表签字的，应当附法定代表人授权书。供应商为自然人的，应当由本人签字并附身份证明。</w:t>
      </w:r>
    </w:p>
    <w:p w14:paraId="27B19138">
      <w:pPr>
        <w:spacing w:line="46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28.6磋商结束后，磋商小组要求所有继续参加磋商的供应商在规定时间内提交最后报价，最后报价是供应商响应文件的有效组成部分。</w:t>
      </w:r>
    </w:p>
    <w:p w14:paraId="01237B3E">
      <w:pPr>
        <w:spacing w:line="46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28.7已提交响应文件的供应商，在提交最后报价之前，可以根据磋商情况退出磋商。</w:t>
      </w:r>
    </w:p>
    <w:p w14:paraId="17C00B4B">
      <w:pPr>
        <w:spacing w:line="460" w:lineRule="exact"/>
        <w:ind w:firstLine="120" w:firstLineChars="50"/>
        <w:rPr>
          <w:rFonts w:ascii="仿宋" w:hAnsi="仿宋" w:eastAsia="仿宋" w:cs="仿宋"/>
          <w:b/>
          <w:sz w:val="24"/>
          <w:szCs w:val="24"/>
          <w:highlight w:val="none"/>
        </w:rPr>
      </w:pPr>
      <w:r>
        <w:rPr>
          <w:rFonts w:hint="eastAsia" w:ascii="仿宋" w:hAnsi="仿宋" w:eastAsia="仿宋" w:cs="仿宋"/>
          <w:b/>
          <w:sz w:val="24"/>
          <w:szCs w:val="24"/>
          <w:highlight w:val="none"/>
        </w:rPr>
        <w:t>29.评审过程的保密</w:t>
      </w:r>
    </w:p>
    <w:p w14:paraId="73D669CD">
      <w:pPr>
        <w:spacing w:line="46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29.1竞争性</w:t>
      </w:r>
      <w:r>
        <w:rPr>
          <w:rFonts w:hint="eastAsia" w:ascii="仿宋" w:hAnsi="仿宋" w:eastAsia="仿宋" w:cs="仿宋"/>
          <w:sz w:val="24"/>
          <w:szCs w:val="24"/>
          <w:highlight w:val="none"/>
        </w:rPr>
        <w:t>磋商</w:t>
      </w:r>
      <w:r>
        <w:rPr>
          <w:rFonts w:hint="eastAsia" w:ascii="仿宋" w:hAnsi="仿宋" w:eastAsia="仿宋" w:cs="仿宋"/>
          <w:bCs/>
          <w:sz w:val="24"/>
          <w:szCs w:val="24"/>
          <w:highlight w:val="none"/>
        </w:rPr>
        <w:t>小组成员和与评审活动有关的工作人员不得泄露有关磋商响应文件的评审和比较、成交候选人的推荐以及与评审有关的其他情况。</w:t>
      </w:r>
    </w:p>
    <w:p w14:paraId="4E67C44A">
      <w:pPr>
        <w:spacing w:line="46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29.2在评审过程中，如果磋商供应商试图在磋商响应文件的评审和比较、成交候选人的推荐以及与评审有关的其他方面，向磋商小组、采购人和采购代理机构施加任何影响，其磋商响应文件将按照无效处理。</w:t>
      </w:r>
    </w:p>
    <w:p w14:paraId="76B980BD">
      <w:pPr>
        <w:spacing w:line="460" w:lineRule="exact"/>
        <w:ind w:firstLine="120" w:firstLineChars="50"/>
        <w:rPr>
          <w:rFonts w:ascii="仿宋" w:hAnsi="仿宋" w:eastAsia="仿宋" w:cs="仿宋"/>
          <w:b/>
          <w:sz w:val="24"/>
          <w:szCs w:val="24"/>
          <w:highlight w:val="none"/>
        </w:rPr>
      </w:pPr>
      <w:r>
        <w:rPr>
          <w:rFonts w:hint="eastAsia" w:ascii="仿宋" w:hAnsi="仿宋" w:eastAsia="仿宋" w:cs="仿宋"/>
          <w:b/>
          <w:sz w:val="24"/>
          <w:szCs w:val="24"/>
          <w:highlight w:val="none"/>
        </w:rPr>
        <w:t>30．评审方法</w:t>
      </w:r>
    </w:p>
    <w:p w14:paraId="7D8CFFAE">
      <w:pPr>
        <w:spacing w:line="560" w:lineRule="exact"/>
        <w:ind w:firstLine="480" w:firstLineChars="200"/>
        <w:rPr>
          <w:rFonts w:hint="eastAsia" w:ascii="仿宋" w:hAnsi="仿宋" w:eastAsia="仿宋" w:cs="仿宋"/>
          <w:b/>
          <w:sz w:val="24"/>
          <w:highlight w:val="none"/>
        </w:rPr>
      </w:pPr>
      <w:r>
        <w:rPr>
          <w:rFonts w:hint="eastAsia" w:ascii="仿宋" w:hAnsi="仿宋" w:eastAsia="仿宋" w:cs="仿宋"/>
          <w:bCs/>
          <w:sz w:val="24"/>
          <w:szCs w:val="24"/>
          <w:highlight w:val="none"/>
        </w:rPr>
        <w:t>30.1按照《政府采购竞争性磋商采购方式管理暂行办法》的规定，磋商小组根据综合评分情况，按照评审得分由高到低顺序推荐3名成交候选供应商。</w:t>
      </w:r>
    </w:p>
    <w:p w14:paraId="7936B4E0">
      <w:pPr>
        <w:pStyle w:val="3"/>
        <w:spacing w:before="156" w:beforeLines="50" w:after="156" w:afterLines="50" w:line="500" w:lineRule="exact"/>
        <w:rPr>
          <w:rFonts w:hint="eastAsia" w:ascii="仿宋" w:hAnsi="仿宋" w:eastAsia="仿宋" w:cs="仿宋"/>
          <w:sz w:val="30"/>
          <w:szCs w:val="30"/>
          <w:highlight w:val="none"/>
        </w:rPr>
      </w:pPr>
      <w:bookmarkStart w:id="41" w:name="_Toc21838"/>
      <w:bookmarkStart w:id="42" w:name="_Toc10208"/>
      <w:bookmarkStart w:id="43" w:name="_Toc15022"/>
      <w:r>
        <w:rPr>
          <w:rFonts w:hint="eastAsia" w:ascii="仿宋" w:hAnsi="仿宋" w:eastAsia="仿宋" w:cs="仿宋"/>
          <w:sz w:val="30"/>
          <w:szCs w:val="30"/>
          <w:highlight w:val="none"/>
        </w:rPr>
        <w:t>七</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确定成交人、成交通知与签约</w:t>
      </w:r>
      <w:bookmarkEnd w:id="41"/>
      <w:bookmarkEnd w:id="42"/>
      <w:bookmarkEnd w:id="43"/>
    </w:p>
    <w:bookmarkEnd w:id="25"/>
    <w:bookmarkEnd w:id="26"/>
    <w:p w14:paraId="75327D5A">
      <w:pPr>
        <w:spacing w:line="460" w:lineRule="exact"/>
        <w:rPr>
          <w:rFonts w:ascii="仿宋" w:hAnsi="仿宋" w:eastAsia="仿宋" w:cs="仿宋"/>
          <w:b/>
          <w:sz w:val="24"/>
          <w:szCs w:val="24"/>
          <w:highlight w:val="none"/>
        </w:rPr>
      </w:pPr>
      <w:bookmarkStart w:id="44" w:name="_Toc519156744"/>
      <w:bookmarkStart w:id="45" w:name="_Toc23113"/>
      <w:r>
        <w:rPr>
          <w:rFonts w:hint="eastAsia" w:ascii="仿宋" w:hAnsi="仿宋" w:eastAsia="仿宋" w:cs="仿宋"/>
          <w:b/>
          <w:sz w:val="24"/>
          <w:szCs w:val="24"/>
          <w:highlight w:val="none"/>
        </w:rPr>
        <w:t>31．确定成交人</w:t>
      </w:r>
    </w:p>
    <w:p w14:paraId="08738D69">
      <w:pPr>
        <w:spacing w:line="46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31.1</w:t>
      </w:r>
      <w:r>
        <w:rPr>
          <w:rFonts w:hint="eastAsia" w:ascii="仿宋" w:hAnsi="仿宋" w:eastAsia="仿宋" w:cs="仿宋"/>
          <w:sz w:val="24"/>
          <w:szCs w:val="24"/>
          <w:highlight w:val="none"/>
          <w:lang w:val="zh-CN"/>
        </w:rPr>
        <w:t>采购代理机构应在评审结束后</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个工作日内将评审报告送采购人。</w:t>
      </w:r>
    </w:p>
    <w:p w14:paraId="34B2FFFE">
      <w:pPr>
        <w:spacing w:line="46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31.2</w:t>
      </w:r>
      <w:r>
        <w:rPr>
          <w:rFonts w:hint="eastAsia" w:ascii="仿宋" w:hAnsi="仿宋" w:eastAsia="仿宋" w:cs="仿宋"/>
          <w:sz w:val="24"/>
          <w:szCs w:val="24"/>
          <w:highlight w:val="none"/>
          <w:lang w:val="zh-CN"/>
        </w:rPr>
        <w:t>采购人在收到评审报告后</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CN"/>
        </w:rPr>
        <w:t>个工作日内，</w:t>
      </w:r>
      <w:r>
        <w:rPr>
          <w:rFonts w:hint="eastAsia" w:ascii="仿宋" w:hAnsi="仿宋" w:eastAsia="仿宋" w:cs="仿宋"/>
          <w:sz w:val="24"/>
          <w:szCs w:val="24"/>
          <w:highlight w:val="none"/>
          <w:lang w:val="en-US" w:eastAsia="zh-CN"/>
        </w:rPr>
        <w:t>在</w:t>
      </w:r>
      <w:r>
        <w:rPr>
          <w:rFonts w:hint="eastAsia" w:ascii="仿宋" w:hAnsi="仿宋" w:eastAsia="仿宋" w:cs="仿宋"/>
          <w:sz w:val="24"/>
          <w:szCs w:val="24"/>
          <w:highlight w:val="none"/>
          <w:lang w:val="zh-CN"/>
        </w:rPr>
        <w:t>评审报告</w:t>
      </w:r>
      <w:r>
        <w:rPr>
          <w:rFonts w:hint="eastAsia" w:ascii="仿宋" w:hAnsi="仿宋" w:eastAsia="仿宋" w:cs="仿宋"/>
          <w:sz w:val="24"/>
          <w:szCs w:val="24"/>
          <w:highlight w:val="none"/>
          <w:lang w:val="en-US" w:eastAsia="zh-CN"/>
        </w:rPr>
        <w:t>确定</w:t>
      </w:r>
      <w:r>
        <w:rPr>
          <w:rFonts w:hint="eastAsia" w:ascii="仿宋" w:hAnsi="仿宋" w:eastAsia="仿宋" w:cs="仿宋"/>
          <w:sz w:val="24"/>
          <w:szCs w:val="24"/>
          <w:highlight w:val="none"/>
          <w:lang w:val="zh-CN"/>
        </w:rPr>
        <w:t>的成交候选人</w:t>
      </w:r>
      <w:r>
        <w:rPr>
          <w:rFonts w:hint="eastAsia" w:ascii="仿宋" w:hAnsi="仿宋" w:eastAsia="仿宋" w:cs="仿宋"/>
          <w:sz w:val="24"/>
          <w:szCs w:val="24"/>
          <w:highlight w:val="none"/>
          <w:lang w:val="en-US" w:eastAsia="zh-CN"/>
        </w:rPr>
        <w:t>名单</w:t>
      </w:r>
      <w:r>
        <w:rPr>
          <w:rFonts w:hint="eastAsia" w:ascii="仿宋" w:hAnsi="仿宋" w:eastAsia="仿宋" w:cs="仿宋"/>
          <w:sz w:val="24"/>
          <w:szCs w:val="24"/>
          <w:highlight w:val="none"/>
          <w:lang w:val="zh-CN"/>
        </w:rPr>
        <w:t>中</w:t>
      </w:r>
      <w:r>
        <w:rPr>
          <w:rFonts w:hint="eastAsia" w:ascii="仿宋" w:hAnsi="仿宋" w:eastAsia="仿宋" w:cs="仿宋"/>
          <w:sz w:val="24"/>
          <w:szCs w:val="24"/>
          <w:highlight w:val="none"/>
          <w:lang w:val="en-US" w:eastAsia="zh-CN"/>
        </w:rPr>
        <w:t>按顺序</w:t>
      </w:r>
      <w:r>
        <w:rPr>
          <w:rFonts w:hint="eastAsia" w:ascii="仿宋" w:hAnsi="仿宋" w:eastAsia="仿宋" w:cs="仿宋"/>
          <w:sz w:val="24"/>
          <w:szCs w:val="24"/>
          <w:highlight w:val="none"/>
          <w:lang w:val="zh-CN"/>
        </w:rPr>
        <w:t>确定成交供应商，复函采购代理机构。采购人在收到评</w:t>
      </w:r>
      <w:r>
        <w:rPr>
          <w:rFonts w:hint="eastAsia" w:ascii="仿宋" w:hAnsi="仿宋" w:eastAsia="仿宋" w:cs="仿宋"/>
          <w:sz w:val="24"/>
          <w:szCs w:val="24"/>
          <w:highlight w:val="none"/>
          <w:lang w:val="en-US" w:eastAsia="zh-CN"/>
        </w:rPr>
        <w:t>审</w:t>
      </w:r>
      <w:r>
        <w:rPr>
          <w:rFonts w:hint="eastAsia" w:ascii="仿宋" w:hAnsi="仿宋" w:eastAsia="仿宋" w:cs="仿宋"/>
          <w:sz w:val="24"/>
          <w:szCs w:val="24"/>
          <w:highlight w:val="none"/>
          <w:lang w:val="zh-CN"/>
        </w:rPr>
        <w:t>报告5个工作日内未按评</w:t>
      </w:r>
      <w:r>
        <w:rPr>
          <w:rFonts w:hint="eastAsia" w:ascii="仿宋" w:hAnsi="仿宋" w:eastAsia="仿宋" w:cs="仿宋"/>
          <w:sz w:val="24"/>
          <w:szCs w:val="24"/>
          <w:highlight w:val="none"/>
          <w:lang w:val="en-US" w:eastAsia="zh-CN"/>
        </w:rPr>
        <w:t>审</w:t>
      </w:r>
      <w:r>
        <w:rPr>
          <w:rFonts w:hint="eastAsia" w:ascii="仿宋" w:hAnsi="仿宋" w:eastAsia="仿宋" w:cs="仿宋"/>
          <w:sz w:val="24"/>
          <w:szCs w:val="24"/>
          <w:highlight w:val="none"/>
          <w:lang w:val="zh-CN"/>
        </w:rPr>
        <w:t>报告推荐的</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val="zh-CN"/>
        </w:rPr>
        <w:t>候选人顺序确定</w:t>
      </w: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lang w:val="zh-CN"/>
        </w:rPr>
        <w:t>，又不能说明合法理由的，视同按评</w:t>
      </w:r>
      <w:r>
        <w:rPr>
          <w:rFonts w:hint="eastAsia" w:ascii="仿宋" w:hAnsi="仿宋" w:eastAsia="仿宋" w:cs="仿宋"/>
          <w:sz w:val="24"/>
          <w:szCs w:val="24"/>
          <w:highlight w:val="none"/>
          <w:lang w:val="en-US" w:eastAsia="zh-CN"/>
        </w:rPr>
        <w:t>审</w:t>
      </w:r>
      <w:r>
        <w:rPr>
          <w:rFonts w:hint="eastAsia" w:ascii="仿宋" w:hAnsi="仿宋" w:eastAsia="仿宋" w:cs="仿宋"/>
          <w:sz w:val="24"/>
          <w:szCs w:val="24"/>
          <w:highlight w:val="none"/>
          <w:lang w:val="zh-CN"/>
        </w:rPr>
        <w:t>报告推荐的顺序确定排名第一的</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val="zh-CN"/>
        </w:rPr>
        <w:t>候选人为</w:t>
      </w: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lang w:val="zh-CN"/>
        </w:rPr>
        <w:t>。</w:t>
      </w:r>
    </w:p>
    <w:p w14:paraId="1E5EB6EE">
      <w:pPr>
        <w:spacing w:line="46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31.3</w:t>
      </w:r>
      <w:r>
        <w:rPr>
          <w:rFonts w:hint="eastAsia" w:ascii="仿宋" w:hAnsi="仿宋" w:eastAsia="仿宋" w:cs="仿宋"/>
          <w:sz w:val="24"/>
          <w:szCs w:val="24"/>
          <w:highlight w:val="none"/>
          <w:lang w:val="zh-CN"/>
        </w:rPr>
        <w:t>采购代理机构当自</w:t>
      </w: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lang w:val="zh-CN"/>
        </w:rPr>
        <w:t>确定之日起2个工作日内，在指定的媒体上公告成交结果，公告期限为1个工作日，并向成交供应商发“成交通知书”。</w:t>
      </w:r>
    </w:p>
    <w:p w14:paraId="58911F8E">
      <w:pPr>
        <w:spacing w:line="460" w:lineRule="exact"/>
        <w:rPr>
          <w:rFonts w:ascii="仿宋" w:hAnsi="仿宋" w:eastAsia="仿宋" w:cs="仿宋"/>
          <w:b/>
          <w:sz w:val="24"/>
          <w:szCs w:val="24"/>
          <w:highlight w:val="none"/>
        </w:rPr>
      </w:pPr>
      <w:r>
        <w:rPr>
          <w:rFonts w:hint="eastAsia" w:ascii="仿宋" w:hAnsi="仿宋" w:eastAsia="仿宋" w:cs="仿宋"/>
          <w:b/>
          <w:sz w:val="24"/>
          <w:szCs w:val="24"/>
          <w:highlight w:val="none"/>
        </w:rPr>
        <w:t>32．成交通知</w:t>
      </w:r>
    </w:p>
    <w:p w14:paraId="527E3811">
      <w:pPr>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32.1 成交供应商确定之后，代理公司将发出《成交通知书》。 </w:t>
      </w:r>
    </w:p>
    <w:p w14:paraId="5758CAB7">
      <w:pPr>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32.2成交通知书对采购人和成交供应商具有同等法律效力。成交通知书发出之后，采购人改变成交结果，或者成交供应商放弃成交，应当承担相应的法律责任。</w:t>
      </w:r>
    </w:p>
    <w:p w14:paraId="74AD0126">
      <w:pPr>
        <w:spacing w:line="460" w:lineRule="exact"/>
        <w:rPr>
          <w:rFonts w:ascii="仿宋" w:hAnsi="仿宋" w:eastAsia="仿宋" w:cs="仿宋"/>
          <w:b/>
          <w:sz w:val="24"/>
          <w:szCs w:val="24"/>
          <w:highlight w:val="none"/>
        </w:rPr>
      </w:pPr>
      <w:r>
        <w:rPr>
          <w:rFonts w:hint="eastAsia" w:ascii="仿宋" w:hAnsi="仿宋" w:eastAsia="仿宋" w:cs="仿宋"/>
          <w:b/>
          <w:sz w:val="24"/>
          <w:szCs w:val="24"/>
          <w:highlight w:val="none"/>
        </w:rPr>
        <w:t>33．签订合同</w:t>
      </w:r>
    </w:p>
    <w:p w14:paraId="2B6F6C8F">
      <w:pPr>
        <w:spacing w:line="46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33.1 磋商文件、成交供应商的响应文件及补充文件等均为签订政府采购合同的依据。 </w:t>
      </w:r>
    </w:p>
    <w:p w14:paraId="514AC0FA">
      <w:pPr>
        <w:spacing w:line="46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33.2成交供应商应当在成交通知书发出之日起30日内与采购人签订政府采购合同。 </w:t>
      </w:r>
    </w:p>
    <w:p w14:paraId="00B0C22A">
      <w:pPr>
        <w:spacing w:line="46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33.3 采购人不得向成交供应商提出超出磋商文件以外的任何要求作为签订合同的条件，不得与成交供应商订立背离磋商文件确定的合同文本以及背离采购标的、规格型号、采购金额、采购数量、技术和服务要求等实质性内容的协议。 </w:t>
      </w:r>
    </w:p>
    <w:p w14:paraId="0C0BFC1A">
      <w:pPr>
        <w:spacing w:line="46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33.4 自政府采购合同签订之日起 2 个工作日内，本项目政府采购合同在磋商须知前附表规定的媒体上公告，但政府采购合同中涉及国家秘密、商业秘密的内容除外。 </w:t>
      </w:r>
    </w:p>
    <w:p w14:paraId="66D6885B">
      <w:pPr>
        <w:spacing w:line="46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33.5 政府采购合同履行中，采购人需追加与合同标的相同的货物、工程或者服务的，在不改变合同其他条款的前提下，可以与成交供应商协商签订补充合同，但所有补充合同的采购金额不得超过原合同采购金额的百分之十； </w:t>
      </w:r>
    </w:p>
    <w:p w14:paraId="59C5EDBF">
      <w:pPr>
        <w:spacing w:line="46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33.6 成交供应商因不可抗力或者自身原因不能履行政府采购合同的，采购人可以与排位在成交供应商之后第一位的成交候选人签订政府采购合同，以此类推，也可以重新开展磋商活动。因自身原因拒绝签订政府采购合同的成交供应商不得参加对该项目重新开展的磋商活动。</w:t>
      </w:r>
    </w:p>
    <w:p w14:paraId="42E14E3B">
      <w:pPr>
        <w:spacing w:line="46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33.7 成交后，成交供应商应按照合同约定履行义务，完成磋商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w:t>
      </w:r>
    </w:p>
    <w:p w14:paraId="3687E68A">
      <w:pPr>
        <w:spacing w:line="460" w:lineRule="exact"/>
        <w:rPr>
          <w:rFonts w:ascii="仿宋" w:hAnsi="仿宋" w:eastAsia="仿宋" w:cs="仿宋"/>
          <w:b/>
          <w:sz w:val="24"/>
          <w:szCs w:val="24"/>
          <w:highlight w:val="none"/>
        </w:rPr>
      </w:pPr>
      <w:r>
        <w:rPr>
          <w:rFonts w:hint="eastAsia" w:ascii="仿宋" w:hAnsi="仿宋" w:eastAsia="仿宋" w:cs="仿宋"/>
          <w:b/>
          <w:sz w:val="24"/>
          <w:szCs w:val="24"/>
          <w:highlight w:val="none"/>
        </w:rPr>
        <w:t>34．成交合同的履约验收</w:t>
      </w:r>
    </w:p>
    <w:p w14:paraId="0843CFF7">
      <w:pPr>
        <w:spacing w:line="500" w:lineRule="exact"/>
        <w:ind w:firstLine="480" w:firstLineChars="200"/>
        <w:rPr>
          <w:rFonts w:hint="eastAsia" w:ascii="仿宋" w:hAnsi="仿宋" w:eastAsia="仿宋" w:cs="仿宋"/>
          <w:b/>
          <w:sz w:val="24"/>
          <w:szCs w:val="24"/>
          <w:highlight w:val="none"/>
        </w:rPr>
      </w:pPr>
      <w:r>
        <w:rPr>
          <w:rFonts w:hint="eastAsia" w:ascii="仿宋" w:hAnsi="仿宋" w:eastAsia="仿宋" w:cs="仿宋"/>
          <w:bCs/>
          <w:sz w:val="24"/>
          <w:szCs w:val="24"/>
          <w:highlight w:val="none"/>
          <w:lang w:val="zh-CN"/>
        </w:rPr>
        <w:t>政府采购合同的履行、违约责任和解决争议的方法等适用《中华人民共和国</w:t>
      </w:r>
      <w:r>
        <w:rPr>
          <w:rFonts w:hint="eastAsia" w:ascii="仿宋" w:hAnsi="仿宋" w:eastAsia="仿宋" w:cs="仿宋"/>
          <w:bCs/>
          <w:sz w:val="24"/>
          <w:szCs w:val="24"/>
          <w:highlight w:val="none"/>
          <w:lang w:val="en-US" w:eastAsia="zh-CN"/>
        </w:rPr>
        <w:t>民法典</w:t>
      </w:r>
      <w:r>
        <w:rPr>
          <w:rFonts w:hint="eastAsia" w:ascii="仿宋" w:hAnsi="仿宋" w:eastAsia="仿宋" w:cs="仿宋"/>
          <w:bCs/>
          <w:sz w:val="24"/>
          <w:szCs w:val="24"/>
          <w:highlight w:val="none"/>
          <w:lang w:val="zh-CN"/>
        </w:rPr>
        <w:t>》，采购人按照政府采购合同规定的技术、服务、安全标准组织对供应商履约情况进行验收，并出具验收书。</w:t>
      </w:r>
    </w:p>
    <w:bookmarkEnd w:id="44"/>
    <w:bookmarkEnd w:id="45"/>
    <w:p w14:paraId="3C60C100">
      <w:pPr>
        <w:pStyle w:val="3"/>
        <w:spacing w:before="156" w:beforeLines="50" w:after="156" w:afterLines="50" w:line="500" w:lineRule="exact"/>
        <w:rPr>
          <w:rFonts w:hint="eastAsia" w:ascii="仿宋" w:hAnsi="仿宋" w:eastAsia="仿宋" w:cs="仿宋"/>
          <w:b w:val="0"/>
          <w:sz w:val="30"/>
          <w:szCs w:val="30"/>
          <w:highlight w:val="none"/>
        </w:rPr>
      </w:pPr>
      <w:bookmarkStart w:id="46" w:name="_Toc16897"/>
      <w:bookmarkStart w:id="47" w:name="_Toc24752"/>
      <w:bookmarkStart w:id="48" w:name="_Toc19721"/>
      <w:bookmarkStart w:id="49" w:name="_Toc519156746"/>
      <w:bookmarkStart w:id="50" w:name="_Toc26143"/>
      <w:bookmarkStart w:id="51" w:name="_Toc18268"/>
      <w:bookmarkStart w:id="52" w:name="_Toc29597"/>
      <w:r>
        <w:rPr>
          <w:rFonts w:hint="eastAsia" w:ascii="仿宋" w:hAnsi="仿宋" w:eastAsia="仿宋" w:cs="仿宋"/>
          <w:sz w:val="30"/>
          <w:szCs w:val="30"/>
          <w:highlight w:val="none"/>
        </w:rPr>
        <w:t>八、其他事项</w:t>
      </w:r>
      <w:bookmarkEnd w:id="46"/>
      <w:bookmarkEnd w:id="47"/>
      <w:bookmarkEnd w:id="48"/>
    </w:p>
    <w:p w14:paraId="021A8D9D">
      <w:pPr>
        <w:spacing w:line="460" w:lineRule="exact"/>
        <w:rPr>
          <w:rFonts w:ascii="仿宋" w:hAnsi="仿宋" w:eastAsia="仿宋" w:cs="仿宋"/>
          <w:sz w:val="24"/>
          <w:szCs w:val="24"/>
          <w:highlight w:val="none"/>
        </w:rPr>
      </w:pPr>
      <w:r>
        <w:rPr>
          <w:rFonts w:hint="eastAsia" w:ascii="仿宋" w:hAnsi="仿宋" w:eastAsia="仿宋" w:cs="仿宋"/>
          <w:b/>
          <w:bCs/>
          <w:sz w:val="24"/>
          <w:szCs w:val="24"/>
          <w:highlight w:val="none"/>
        </w:rPr>
        <w:t>35.竞争性磋商项目实行二轮报价</w:t>
      </w:r>
      <w:r>
        <w:rPr>
          <w:rFonts w:hint="eastAsia" w:ascii="仿宋" w:hAnsi="仿宋" w:eastAsia="仿宋" w:cs="仿宋"/>
          <w:sz w:val="24"/>
          <w:szCs w:val="24"/>
          <w:highlight w:val="none"/>
        </w:rPr>
        <w:t>，第一次报价后，磋商小组可以变更采购需求中的技术、服务要求以及合同草案条款，二轮报价为最终报价。</w:t>
      </w:r>
    </w:p>
    <w:p w14:paraId="42F77DE1">
      <w:pPr>
        <w:spacing w:line="460" w:lineRule="exact"/>
        <w:rPr>
          <w:rFonts w:ascii="仿宋" w:hAnsi="仿宋" w:eastAsia="仿宋" w:cs="仿宋"/>
          <w:sz w:val="24"/>
          <w:szCs w:val="24"/>
          <w:highlight w:val="none"/>
        </w:rPr>
      </w:pPr>
      <w:r>
        <w:rPr>
          <w:rFonts w:hint="eastAsia" w:ascii="仿宋" w:hAnsi="仿宋" w:eastAsia="仿宋" w:cs="仿宋"/>
          <w:b/>
          <w:bCs/>
          <w:sz w:val="24"/>
          <w:szCs w:val="24"/>
          <w:highlight w:val="none"/>
        </w:rPr>
        <w:t>36.磋商开始后，出现下列情形之一的，采购代理机构将终止竞争性磋商采购活动，发布项目终止公告并说明原因，重新开展采购活动：</w:t>
      </w:r>
    </w:p>
    <w:p w14:paraId="0C9F8E71">
      <w:pPr>
        <w:spacing w:line="460" w:lineRule="exact"/>
        <w:rPr>
          <w:rFonts w:ascii="仿宋" w:hAnsi="仿宋" w:eastAsia="仿宋" w:cs="仿宋"/>
          <w:sz w:val="24"/>
          <w:szCs w:val="24"/>
          <w:highlight w:val="none"/>
        </w:rPr>
      </w:pPr>
      <w:r>
        <w:rPr>
          <w:rFonts w:hint="eastAsia" w:ascii="仿宋" w:hAnsi="仿宋" w:eastAsia="仿宋" w:cs="仿宋"/>
          <w:sz w:val="24"/>
          <w:szCs w:val="24"/>
          <w:highlight w:val="none"/>
        </w:rPr>
        <w:t>（一）因情况变化，不再符合规定的竞争性磋商采购方式适用情形的；</w:t>
      </w:r>
    </w:p>
    <w:p w14:paraId="07A7E792">
      <w:pPr>
        <w:spacing w:line="460" w:lineRule="exact"/>
        <w:rPr>
          <w:rFonts w:ascii="仿宋" w:hAnsi="仿宋" w:eastAsia="仿宋" w:cs="仿宋"/>
          <w:sz w:val="24"/>
          <w:szCs w:val="24"/>
          <w:highlight w:val="none"/>
        </w:rPr>
      </w:pPr>
      <w:r>
        <w:rPr>
          <w:rFonts w:hint="eastAsia" w:ascii="仿宋" w:hAnsi="仿宋" w:eastAsia="仿宋" w:cs="仿宋"/>
          <w:sz w:val="24"/>
          <w:szCs w:val="24"/>
          <w:highlight w:val="none"/>
        </w:rPr>
        <w:t>（二）出现影响采购公正的违法、违规行为的；</w:t>
      </w:r>
    </w:p>
    <w:p w14:paraId="4C7B8112">
      <w:pPr>
        <w:spacing w:line="460" w:lineRule="exact"/>
        <w:rPr>
          <w:rFonts w:ascii="仿宋" w:hAnsi="仿宋" w:eastAsia="仿宋" w:cs="仿宋"/>
          <w:sz w:val="24"/>
          <w:szCs w:val="24"/>
          <w:highlight w:val="none"/>
        </w:rPr>
      </w:pPr>
      <w:r>
        <w:rPr>
          <w:rFonts w:hint="eastAsia" w:ascii="仿宋" w:hAnsi="仿宋" w:eastAsia="仿宋" w:cs="仿宋"/>
          <w:sz w:val="24"/>
          <w:szCs w:val="24"/>
          <w:highlight w:val="none"/>
        </w:rPr>
        <w:t>（三）在采购过程中符合要求的供应商不足3家的 （不包含政府购买服务项目）；</w:t>
      </w:r>
    </w:p>
    <w:p w14:paraId="37459DDE">
      <w:pPr>
        <w:spacing w:line="460" w:lineRule="exact"/>
        <w:rPr>
          <w:rFonts w:ascii="仿宋" w:hAnsi="仿宋" w:eastAsia="仿宋" w:cs="仿宋"/>
          <w:sz w:val="24"/>
          <w:szCs w:val="24"/>
          <w:highlight w:val="none"/>
        </w:rPr>
      </w:pPr>
      <w:r>
        <w:rPr>
          <w:rFonts w:hint="eastAsia" w:ascii="仿宋" w:hAnsi="仿宋" w:eastAsia="仿宋" w:cs="仿宋"/>
          <w:sz w:val="24"/>
          <w:szCs w:val="24"/>
          <w:highlight w:val="none"/>
        </w:rPr>
        <w:t>（四）</w:t>
      </w:r>
      <w:r>
        <w:rPr>
          <w:rFonts w:hint="eastAsia" w:ascii="仿宋" w:hAnsi="仿宋" w:eastAsia="仿宋" w:cs="仿宋"/>
          <w:sz w:val="24"/>
          <w:szCs w:val="24"/>
          <w:highlight w:val="none"/>
          <w:lang w:val="en-US" w:eastAsia="zh-CN"/>
        </w:rPr>
        <w:t>因重大变故，采购任务取消的</w:t>
      </w:r>
      <w:r>
        <w:rPr>
          <w:rFonts w:hint="eastAsia" w:ascii="仿宋" w:hAnsi="仿宋" w:eastAsia="仿宋" w:cs="仿宋"/>
          <w:sz w:val="24"/>
          <w:szCs w:val="24"/>
          <w:highlight w:val="none"/>
        </w:rPr>
        <w:t>。</w:t>
      </w:r>
    </w:p>
    <w:p w14:paraId="59ED8CD6">
      <w:pPr>
        <w:spacing w:line="460" w:lineRule="exact"/>
        <w:rPr>
          <w:rFonts w:ascii="仿宋" w:hAnsi="仿宋" w:eastAsia="仿宋" w:cs="仿宋"/>
          <w:sz w:val="24"/>
          <w:szCs w:val="24"/>
          <w:highlight w:val="none"/>
        </w:rPr>
      </w:pPr>
      <w:r>
        <w:rPr>
          <w:rFonts w:hint="eastAsia" w:ascii="仿宋" w:hAnsi="仿宋" w:eastAsia="仿宋" w:cs="仿宋"/>
          <w:b/>
          <w:bCs/>
          <w:sz w:val="24"/>
          <w:szCs w:val="24"/>
          <w:highlight w:val="none"/>
        </w:rPr>
        <w:t>37. 提交最后报价的供应商为2家时，可以继续进行磋商的情形：</w:t>
      </w:r>
    </w:p>
    <w:p w14:paraId="5256B2D8">
      <w:pPr>
        <w:spacing w:line="460" w:lineRule="exact"/>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37.1</w:t>
      </w:r>
      <w:r>
        <w:rPr>
          <w:rFonts w:hint="eastAsia" w:ascii="仿宋" w:hAnsi="仿宋" w:eastAsia="仿宋" w:cs="仿宋"/>
          <w:sz w:val="24"/>
          <w:szCs w:val="24"/>
          <w:highlight w:val="none"/>
        </w:rPr>
        <w:t>市场竞争不充分的科研项目，以及需要扶持的科技成果转化项目；</w:t>
      </w:r>
    </w:p>
    <w:p w14:paraId="49814448">
      <w:pPr>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37.2</w:t>
      </w:r>
      <w:r>
        <w:rPr>
          <w:rFonts w:hint="eastAsia" w:ascii="仿宋" w:hAnsi="仿宋" w:eastAsia="仿宋" w:cs="仿宋"/>
          <w:sz w:val="24"/>
          <w:szCs w:val="24"/>
          <w:highlight w:val="none"/>
        </w:rPr>
        <w:t>政府购买服务项目（含政府和社会资本项目）。</w:t>
      </w:r>
    </w:p>
    <w:p w14:paraId="55646F3B">
      <w:pPr>
        <w:pStyle w:val="3"/>
        <w:spacing w:before="156" w:beforeLines="50" w:after="156" w:afterLines="50" w:line="500" w:lineRule="exact"/>
        <w:rPr>
          <w:rFonts w:hint="eastAsia" w:ascii="仿宋" w:hAnsi="仿宋" w:eastAsia="仿宋" w:cs="仿宋"/>
          <w:sz w:val="30"/>
          <w:szCs w:val="30"/>
          <w:highlight w:val="none"/>
        </w:rPr>
      </w:pPr>
      <w:bookmarkStart w:id="53" w:name="_Toc23647"/>
      <w:bookmarkStart w:id="54" w:name="_Toc8572"/>
      <w:bookmarkStart w:id="55" w:name="_Toc23608"/>
      <w:bookmarkStart w:id="56" w:name="_Toc5011"/>
      <w:bookmarkStart w:id="57" w:name="_Toc519156745"/>
      <w:bookmarkStart w:id="58" w:name="_Toc23716"/>
      <w:r>
        <w:rPr>
          <w:rFonts w:hint="eastAsia" w:ascii="仿宋" w:hAnsi="仿宋" w:eastAsia="仿宋" w:cs="仿宋"/>
          <w:sz w:val="30"/>
          <w:szCs w:val="30"/>
          <w:highlight w:val="none"/>
        </w:rPr>
        <w:t>九</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成交服务费</w:t>
      </w:r>
      <w:bookmarkEnd w:id="53"/>
      <w:bookmarkEnd w:id="54"/>
      <w:bookmarkEnd w:id="55"/>
      <w:bookmarkEnd w:id="56"/>
      <w:bookmarkEnd w:id="57"/>
      <w:bookmarkEnd w:id="58"/>
    </w:p>
    <w:p w14:paraId="112FFBC5">
      <w:pPr>
        <w:snapToGrid w:val="0"/>
        <w:spacing w:line="420" w:lineRule="exact"/>
        <w:rPr>
          <w:rFonts w:ascii="仿宋" w:hAnsi="仿宋" w:eastAsia="仿宋" w:cs="仿宋"/>
          <w:sz w:val="24"/>
          <w:szCs w:val="24"/>
          <w:highlight w:val="none"/>
        </w:rPr>
      </w:pPr>
      <w:bookmarkStart w:id="59" w:name="_Toc1380"/>
      <w:bookmarkStart w:id="60" w:name="_Toc5878"/>
      <w:r>
        <w:rPr>
          <w:rFonts w:hint="eastAsia" w:ascii="仿宋" w:hAnsi="仿宋" w:eastAsia="仿宋" w:cs="仿宋"/>
          <w:b/>
          <w:bCs/>
          <w:sz w:val="24"/>
          <w:szCs w:val="24"/>
          <w:highlight w:val="none"/>
        </w:rPr>
        <w:t>39.招标代理服务费</w:t>
      </w:r>
    </w:p>
    <w:p w14:paraId="3E0F79A8">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rPr>
        <w:t>在领取《</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通知书》之前，向采购代理机构一次付清招标代理服务费。</w:t>
      </w:r>
    </w:p>
    <w:p w14:paraId="5AE47E3E">
      <w:pPr>
        <w:keepNext w:val="0"/>
        <w:keepLines w:val="0"/>
        <w:pageBreakBefore w:val="0"/>
        <w:widowControl w:val="0"/>
        <w:kinsoku/>
        <w:wordWrap/>
        <w:overflowPunct/>
        <w:topLinePunct w:val="0"/>
        <w:autoSpaceDE/>
        <w:autoSpaceDN/>
        <w:bidi w:val="0"/>
        <w:adjustRightInd/>
        <w:spacing w:line="360" w:lineRule="auto"/>
        <w:textAlignment w:val="auto"/>
        <w:rPr>
          <w:sz w:val="24"/>
          <w:szCs w:val="24"/>
          <w:highlight w:val="yellow"/>
        </w:rPr>
      </w:pPr>
      <w:r>
        <w:rPr>
          <w:rFonts w:hint="eastAsia" w:ascii="仿宋" w:hAnsi="仿宋" w:eastAsia="仿宋" w:cs="仿宋"/>
          <w:bCs/>
          <w:sz w:val="24"/>
          <w:szCs w:val="24"/>
          <w:highlight w:val="none"/>
          <w:lang w:eastAsia="zh-CN"/>
        </w:rPr>
        <w:t>代理服务费参照发改办价格〔2015〕299号、国家计委关于印发《招标代理服务收费管理暂行办法》的通知（计价格〔2002〕1980号）、《国家发展和改革委员会办公厅关于招标代理服务收费有关问题的通知》（发改办价格〔2003〕857号）规定，向中标人收取代理服务费，</w:t>
      </w:r>
      <w:r>
        <w:rPr>
          <w:rFonts w:hint="eastAsia" w:ascii="仿宋" w:hAnsi="仿宋" w:eastAsia="仿宋" w:cs="仿宋"/>
          <w:bCs/>
          <w:sz w:val="24"/>
          <w:szCs w:val="24"/>
          <w:highlight w:val="none"/>
          <w:lang w:val="en-US" w:eastAsia="zh-CN"/>
        </w:rPr>
        <w:t>若项目代理服务费按收费标准计算不足6000元，按6000元计取</w:t>
      </w:r>
      <w:r>
        <w:rPr>
          <w:rFonts w:hint="eastAsia" w:ascii="仿宋" w:hAnsi="仿宋" w:eastAsia="仿宋" w:cs="仿宋"/>
          <w:bCs/>
          <w:sz w:val="24"/>
          <w:szCs w:val="24"/>
          <w:highlight w:val="none"/>
          <w:lang w:eastAsia="zh-CN"/>
        </w:rPr>
        <w:t>。</w:t>
      </w:r>
    </w:p>
    <w:p w14:paraId="5B2FC70A">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银行户名：陕西德仁招标有限公司</w:t>
      </w:r>
    </w:p>
    <w:p w14:paraId="7A0AB4EE">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开户银行：</w:t>
      </w:r>
      <w:r>
        <w:rPr>
          <w:rFonts w:hint="eastAsia" w:ascii="仿宋" w:hAnsi="仿宋" w:eastAsia="仿宋" w:cs="仿宋"/>
          <w:b/>
          <w:bCs/>
          <w:kern w:val="0"/>
          <w:sz w:val="24"/>
          <w:szCs w:val="24"/>
          <w:highlight w:val="none"/>
        </w:rPr>
        <w:t>招商银行股份有限公司西安城南支行</w:t>
      </w:r>
    </w:p>
    <w:p w14:paraId="6323DD2E">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账    号：1299 0904 6810 901</w:t>
      </w:r>
    </w:p>
    <w:p w14:paraId="67D43B79">
      <w:pPr>
        <w:spacing w:line="44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联系人：苏会计  联系电话：029-89185132</w:t>
      </w:r>
    </w:p>
    <w:p w14:paraId="1533B539">
      <w:pPr>
        <w:spacing w:line="420" w:lineRule="exact"/>
        <w:jc w:val="left"/>
        <w:rPr>
          <w:rFonts w:ascii="仿宋" w:hAnsi="仿宋" w:eastAsia="仿宋" w:cs="仿宋"/>
          <w:sz w:val="24"/>
          <w:szCs w:val="24"/>
          <w:highlight w:val="none"/>
        </w:rPr>
      </w:pPr>
      <w:r>
        <w:rPr>
          <w:rFonts w:hint="eastAsia" w:ascii="仿宋" w:hAnsi="仿宋" w:eastAsia="仿宋" w:cs="仿宋"/>
          <w:b/>
          <w:bCs/>
          <w:sz w:val="24"/>
          <w:szCs w:val="24"/>
          <w:highlight w:val="none"/>
        </w:rPr>
        <w:t>邮箱：sxdrzb@qq.com</w:t>
      </w:r>
    </w:p>
    <w:p w14:paraId="6C041D49">
      <w:pPr>
        <w:pStyle w:val="3"/>
        <w:spacing w:before="156" w:beforeLines="50" w:after="156" w:afterLines="50" w:line="500" w:lineRule="exact"/>
        <w:rPr>
          <w:rFonts w:hint="eastAsia" w:ascii="仿宋" w:hAnsi="仿宋" w:eastAsia="仿宋" w:cs="仿宋"/>
          <w:sz w:val="30"/>
          <w:szCs w:val="30"/>
          <w:highlight w:val="none"/>
        </w:rPr>
      </w:pPr>
      <w:bookmarkStart w:id="61" w:name="_Toc3621"/>
      <w:r>
        <w:rPr>
          <w:rFonts w:hint="eastAsia" w:ascii="仿宋" w:hAnsi="仿宋" w:eastAsia="仿宋" w:cs="仿宋"/>
          <w:sz w:val="30"/>
          <w:szCs w:val="30"/>
          <w:highlight w:val="none"/>
        </w:rPr>
        <w:t>十</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质疑与投诉</w:t>
      </w:r>
      <w:bookmarkEnd w:id="59"/>
      <w:bookmarkEnd w:id="60"/>
      <w:bookmarkEnd w:id="61"/>
    </w:p>
    <w:p w14:paraId="0E206C38">
      <w:pPr>
        <w:pStyle w:val="10"/>
        <w:spacing w:line="460" w:lineRule="exact"/>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40.质疑</w:t>
      </w:r>
    </w:p>
    <w:p w14:paraId="0DF3421C">
      <w:pPr>
        <w:pStyle w:val="10"/>
        <w:spacing w:line="4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40.1供应商对本次磋商采购活动有疑问的，应当按照《中华人民共和国政府采购法实施条例》的有关规定办理。</w:t>
      </w:r>
    </w:p>
    <w:p w14:paraId="1207A338">
      <w:pPr>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40.2 供应商对采购文件、采购过程或成交结果使自身的合法权益受到损害，应当在法定期限内，按照质疑函范本格式要求以书面形式向采购代理机构或采购人提出质疑，供应商提出质疑应当提交质疑函和必要的证明材料原件，代理机构不接受传真、电子邮件、复印件等形式的质疑材料。</w:t>
      </w:r>
    </w:p>
    <w:p w14:paraId="5922A5AB">
      <w:pPr>
        <w:pStyle w:val="10"/>
        <w:spacing w:line="4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40.3 质疑函应当包括下列内容：</w:t>
      </w:r>
    </w:p>
    <w:p w14:paraId="482CFD91">
      <w:pPr>
        <w:pStyle w:val="10"/>
        <w:spacing w:line="4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（1）供应商的姓名或者名称、地址、邮编、联系人及联系电话；</w:t>
      </w:r>
    </w:p>
    <w:p w14:paraId="501E1E85">
      <w:pPr>
        <w:pStyle w:val="10"/>
        <w:spacing w:line="4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（2）质疑项目的名称、编号；</w:t>
      </w:r>
    </w:p>
    <w:p w14:paraId="6E93241B">
      <w:pPr>
        <w:pStyle w:val="10"/>
        <w:spacing w:line="4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（3）具体、明确的质疑事项和与质疑事项相关的请求；</w:t>
      </w:r>
    </w:p>
    <w:p w14:paraId="21E6BAA1">
      <w:pPr>
        <w:pStyle w:val="10"/>
        <w:spacing w:line="4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（4）事实依据；</w:t>
      </w:r>
    </w:p>
    <w:p w14:paraId="4BFCFE1B">
      <w:pPr>
        <w:pStyle w:val="10"/>
        <w:spacing w:line="4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（5）必要的法律依据；</w:t>
      </w:r>
    </w:p>
    <w:p w14:paraId="1100A875">
      <w:pPr>
        <w:pStyle w:val="10"/>
        <w:spacing w:line="4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（6）提出质疑的日期。</w:t>
      </w:r>
    </w:p>
    <w:p w14:paraId="1933DAF1">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供应商为自然人的，应当由本人签字；供应商为法人或者其他组织的，应当由法定代表人、主要负责人，或者其授权代表（附</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rPr>
        <w:t>授权书）签字或者盖章（鲜章），并加盖公章（鲜章）。</w:t>
      </w:r>
    </w:p>
    <w:p w14:paraId="76FEB81D">
      <w:pPr>
        <w:spacing w:line="440" w:lineRule="exact"/>
        <w:ind w:firstLine="480" w:firstLineChars="200"/>
        <w:rPr>
          <w:sz w:val="24"/>
          <w:szCs w:val="24"/>
        </w:rPr>
      </w:pPr>
      <w:r>
        <w:rPr>
          <w:rFonts w:hint="eastAsia" w:ascii="仿宋" w:hAnsi="仿宋" w:eastAsia="仿宋" w:cs="仿宋"/>
          <w:sz w:val="24"/>
          <w:szCs w:val="24"/>
          <w:highlight w:val="none"/>
        </w:rPr>
        <w:t>供应商可以委托代理人进行质疑。其授权委托书应当载明代理人的姓名或者名称、代理事项、具体权限、期限和相关事项。 供应商为自然人的，应当由本人签字；供应商为法人或者其他组织的，应当由法定代表人、主要负责人签字或者盖章，并加盖公章。</w:t>
      </w:r>
    </w:p>
    <w:p w14:paraId="6EE00716">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40.4</w:t>
      </w:r>
      <w:r>
        <w:rPr>
          <w:rFonts w:hint="eastAsia" w:ascii="仿宋" w:hAnsi="仿宋" w:eastAsia="仿宋" w:cs="仿宋"/>
          <w:sz w:val="24"/>
          <w:szCs w:val="24"/>
          <w:highlight w:val="none"/>
        </w:rPr>
        <w:t>有下列情形之一的，属于无效质疑，采购代理机构和采购人不予受理：</w:t>
      </w:r>
    </w:p>
    <w:p w14:paraId="6C0C766A">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质疑</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不是参与本次政府采购项目的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或潜在</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w:t>
      </w:r>
    </w:p>
    <w:p w14:paraId="227360EF">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质疑人与质疑事项不存在利害关系的；</w:t>
      </w:r>
    </w:p>
    <w:p w14:paraId="162315EB">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未在法定期限内提出质疑的；</w:t>
      </w:r>
    </w:p>
    <w:p w14:paraId="7E3B16D9">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）质疑未以书面形式提出，或质疑函主要内容构成不完整的，或缺乏必要的证明材料及证明材料不完整的；</w:t>
      </w:r>
    </w:p>
    <w:p w14:paraId="45041679">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）质疑函没有合法有效的签字、盖章或授权的；</w:t>
      </w:r>
    </w:p>
    <w:p w14:paraId="65392524">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以非法手段取得证据、材料的；</w:t>
      </w:r>
    </w:p>
    <w:p w14:paraId="74397596">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）质疑答复后，同一质疑人就同一事项再次提出质疑的；</w:t>
      </w:r>
    </w:p>
    <w:p w14:paraId="2B068EDB">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）不符合法律、法规、规章和政府采购监管机构规定的其他条件的。</w:t>
      </w:r>
    </w:p>
    <w:p w14:paraId="5402982C">
      <w:pPr>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40.5</w:t>
      </w:r>
      <w:r>
        <w:rPr>
          <w:rFonts w:hint="eastAsia" w:ascii="仿宋" w:hAnsi="仿宋" w:eastAsia="仿宋" w:cs="仿宋"/>
          <w:sz w:val="24"/>
          <w:szCs w:val="24"/>
          <w:highlight w:val="none"/>
        </w:rPr>
        <w:t>质疑人对采购代理机构或采购人的答复不满意，以及采购代理机构或采购人未在规定</w:t>
      </w:r>
      <w:r>
        <w:rPr>
          <w:rFonts w:hint="eastAsia" w:ascii="仿宋" w:hAnsi="仿宋" w:eastAsia="仿宋" w:cs="仿宋"/>
          <w:sz w:val="24"/>
          <w:szCs w:val="24"/>
          <w:highlight w:val="none"/>
          <w:lang w:val="en-US" w:eastAsia="zh-CN"/>
        </w:rPr>
        <w:t>时间内做出答复的，可以在答复期满后 15 个工作日内向政府采购监管机构提出投诉。</w:t>
      </w:r>
    </w:p>
    <w:p w14:paraId="0913AE2E">
      <w:pPr>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40.6供应商投诉的事项不得超出已质疑事项的范围。</w:t>
      </w:r>
    </w:p>
    <w:p w14:paraId="14802C33">
      <w:pPr>
        <w:spacing w:line="440" w:lineRule="exact"/>
        <w:ind w:left="479" w:leftChars="228"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接收质疑函的方式：书面形式；</w:t>
      </w:r>
    </w:p>
    <w:p w14:paraId="5A0C0AB8">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联系部门：陕西德仁招标有限公司；</w:t>
      </w:r>
    </w:p>
    <w:p w14:paraId="10AF46F5">
      <w:pPr>
        <w:pStyle w:val="14"/>
        <w:spacing w:line="440" w:lineRule="exact"/>
        <w:ind w:firstLine="480" w:firstLineChars="200"/>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贺培文、赵璐</w:t>
      </w:r>
    </w:p>
    <w:p w14:paraId="086B1DCF">
      <w:pPr>
        <w:pStyle w:val="14"/>
        <w:spacing w:line="44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eastAsia="zh-CN"/>
        </w:rPr>
        <w:t>029-</w:t>
      </w:r>
      <w:r>
        <w:rPr>
          <w:rFonts w:hint="eastAsia" w:ascii="仿宋" w:hAnsi="仿宋" w:eastAsia="仿宋" w:cs="仿宋"/>
          <w:sz w:val="24"/>
          <w:szCs w:val="24"/>
          <w:highlight w:val="none"/>
          <w:lang w:val="en-US" w:eastAsia="zh-CN"/>
        </w:rPr>
        <w:t>85565073</w:t>
      </w:r>
    </w:p>
    <w:p w14:paraId="0157704F">
      <w:pPr>
        <w:pStyle w:val="14"/>
        <w:spacing w:line="44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通讯地址：西安市唐延路37号class公馆B栋1103室。</w:t>
      </w:r>
    </w:p>
    <w:p w14:paraId="244F8635">
      <w:pPr>
        <w:pStyle w:val="10"/>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40.7 《政府采购供应商质疑函范本》链接地址：</w:t>
      </w:r>
    </w:p>
    <w:p w14:paraId="0A5BD12C">
      <w:pPr>
        <w:pStyle w:val="10"/>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begin"/>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instrText xml:space="preserve"> HYPERLINK "http://gks.mof.gov.cn/ztztz/zhengfucaigouguanli/201802/t201" </w:instrTex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separate"/>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http://gks.mof.gov.cn/ztztz/zhengfucaigouguanli/201802/t201</w: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end"/>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80201_2804589.htm自行下载。</w:t>
      </w:r>
    </w:p>
    <w:p w14:paraId="6640A58A">
      <w:pPr>
        <w:spacing w:line="44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40.8对捏造事实、提供虚假材料进行质疑、投诉的行为予以严肃处理：</w:t>
      </w:r>
      <w:r>
        <w:rPr>
          <w:rFonts w:hint="eastAsia" w:ascii="仿宋" w:hAnsi="仿宋" w:eastAsia="仿宋" w:cs="仿宋"/>
          <w:sz w:val="24"/>
          <w:szCs w:val="24"/>
          <w:highlight w:val="none"/>
          <w:lang w:val="en-US" w:eastAsia="zh-CN"/>
        </w:rPr>
        <w:t>依据《中华人民共和国政府采购法》及其实施条例、《政府采购货物 和服务招标投标管理办法》（财政部令第 87 号）、《政府采购质疑和投诉 办法》等法律法规的规定，供应商质疑、投诉应当有明确的请求和必要的证明材料。</w:t>
      </w:r>
      <w:r>
        <w:rPr>
          <w:rFonts w:hint="eastAsia" w:ascii="仿宋" w:hAnsi="仿宋" w:eastAsia="仿宋" w:cs="仿宋"/>
          <w:b/>
          <w:bCs/>
          <w:sz w:val="24"/>
          <w:szCs w:val="24"/>
          <w:highlight w:val="none"/>
          <w:lang w:val="en-US" w:eastAsia="zh-CN"/>
        </w:rPr>
        <w:t>投诉人在全国范围内十二个月内三次以上投诉查无实据的，由财政部门列入不良行为记录名单。</w:t>
      </w:r>
      <w:r>
        <w:rPr>
          <w:rFonts w:hint="eastAsia" w:ascii="仿宋" w:hAnsi="仿宋" w:eastAsia="仿宋" w:cs="仿宋"/>
          <w:sz w:val="24"/>
          <w:szCs w:val="24"/>
          <w:highlight w:val="none"/>
          <w:lang w:val="en-US" w:eastAsia="zh-CN"/>
        </w:rPr>
        <w:t>对于捏造事实、提供虚假材料或者以非法手段取得证明材料进行投诉的，财政部门应当予以驳回，并将其列入不</w:t>
      </w:r>
      <w:r>
        <w:rPr>
          <w:rFonts w:hint="eastAsia" w:ascii="仿宋" w:hAnsi="仿宋" w:eastAsia="仿宋" w:cs="仿宋"/>
          <w:kern w:val="2"/>
          <w:sz w:val="24"/>
          <w:szCs w:val="24"/>
          <w:highlight w:val="none"/>
          <w:lang w:val="en-US" w:eastAsia="zh-CN" w:bidi="ar-SA"/>
        </w:rPr>
        <w:t>良行为记录名单，禁止其一至三年内参加政府采购活动。</w:t>
      </w:r>
    </w:p>
    <w:p w14:paraId="7FE37B59">
      <w:pPr>
        <w:pStyle w:val="14"/>
        <w:spacing w:line="44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40.9对捏造事实诬告陷害他人、诽谤他人的法律适用：</w:t>
      </w:r>
    </w:p>
    <w:p w14:paraId="7D9DACBD">
      <w:pPr>
        <w:pStyle w:val="14"/>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b w:val="0"/>
          <w:kern w:val="2"/>
          <w:sz w:val="24"/>
          <w:szCs w:val="24"/>
          <w:highlight w:val="none"/>
          <w:lang w:val="en-US" w:eastAsia="zh-CN" w:bidi="ar-SA"/>
        </w:rPr>
        <w:t>《中华人民共和国刑法》第 243 条【诬告陷害罪】捏造事实诬告陷害他人，意图</w:t>
      </w:r>
      <w:r>
        <w:rPr>
          <w:rFonts w:hint="eastAsia" w:ascii="仿宋" w:hAnsi="仿宋" w:eastAsia="仿宋" w:cs="仿宋"/>
          <w:sz w:val="24"/>
          <w:szCs w:val="24"/>
          <w:highlight w:val="none"/>
          <w:lang w:val="en-US" w:eastAsia="zh-CN"/>
        </w:rPr>
        <w:t>使他人受刑事追究，情节严重的，处三年以下有期徒刑、拘役或者管制；造成严重后果的，处三年以上十年以下有期徒刑。</w:t>
      </w:r>
    </w:p>
    <w:p w14:paraId="2F4DE033">
      <w:pPr>
        <w:pStyle w:val="14"/>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《中华人民共和国刑法》第 246 条【侮辱罪、诽谤罪】以暴力或者其他方法公然侮辱他人或者捏造事实诽谤他人，情节严重的，处三年以下有期徒刑、拘役、管制或者剥夺政治权利。</w:t>
      </w:r>
    </w:p>
    <w:p w14:paraId="2383E92A">
      <w:pPr>
        <w:pStyle w:val="1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41.其他规定</w:t>
      </w:r>
    </w:p>
    <w:p w14:paraId="4D1996C2">
      <w:pPr>
        <w:pStyle w:val="14"/>
        <w:rPr>
          <w:rFonts w:ascii="仿宋" w:hAnsi="仿宋" w:eastAsia="仿宋" w:cs="仿宋"/>
          <w:sz w:val="24"/>
          <w:szCs w:val="24"/>
          <w:highlight w:val="none"/>
        </w:rPr>
      </w:pPr>
      <w:r>
        <w:rPr>
          <w:rFonts w:hint="eastAsia" w:ascii="仿宋" w:hAnsi="仿宋" w:eastAsia="仿宋" w:cs="仿宋"/>
          <w:sz w:val="24"/>
          <w:szCs w:val="24"/>
          <w:highlight w:val="none"/>
        </w:rPr>
        <w:t>41.1　磋商文件的其他规定见磋商须知前附表。</w:t>
      </w:r>
    </w:p>
    <w:p w14:paraId="50A542B4">
      <w:pPr>
        <w:pStyle w:val="1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42.未尽事宜</w:t>
      </w:r>
    </w:p>
    <w:p w14:paraId="060397B8">
      <w:pPr>
        <w:pStyle w:val="14"/>
        <w:rPr>
          <w:rFonts w:ascii="仿宋" w:hAnsi="仿宋" w:eastAsia="仿宋" w:cs="仿宋"/>
          <w:sz w:val="24"/>
          <w:szCs w:val="24"/>
          <w:highlight w:val="none"/>
        </w:rPr>
      </w:pPr>
      <w:r>
        <w:rPr>
          <w:rFonts w:hint="eastAsia" w:ascii="仿宋" w:hAnsi="仿宋" w:eastAsia="仿宋" w:cs="仿宋"/>
          <w:sz w:val="24"/>
          <w:szCs w:val="24"/>
          <w:highlight w:val="none"/>
        </w:rPr>
        <w:t>42.1　其他未尽事宜按政府采购法律法规的规定执行。</w:t>
      </w:r>
    </w:p>
    <w:p w14:paraId="3F93C17A">
      <w:pPr>
        <w:pStyle w:val="1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43.文件解释权</w:t>
      </w:r>
    </w:p>
    <w:p w14:paraId="70E88692">
      <w:pPr>
        <w:pStyle w:val="14"/>
        <w:rPr>
          <w:rFonts w:ascii="仿宋" w:hAnsi="仿宋" w:eastAsia="仿宋" w:cs="仿宋"/>
          <w:sz w:val="24"/>
          <w:szCs w:val="24"/>
          <w:highlight w:val="none"/>
        </w:rPr>
      </w:pPr>
      <w:r>
        <w:rPr>
          <w:rFonts w:hint="eastAsia" w:ascii="仿宋" w:hAnsi="仿宋" w:eastAsia="仿宋" w:cs="仿宋"/>
          <w:sz w:val="24"/>
          <w:szCs w:val="24"/>
          <w:highlight w:val="none"/>
        </w:rPr>
        <w:t>43.1　本磋商文件的解释权归采购代理机构所有。</w:t>
      </w:r>
    </w:p>
    <w:p w14:paraId="03D906EB">
      <w:pPr>
        <w:pStyle w:val="14"/>
        <w:rPr>
          <w:rFonts w:ascii="仿宋" w:hAnsi="仿宋" w:eastAsia="仿宋" w:cs="仿宋"/>
          <w:sz w:val="28"/>
          <w:szCs w:val="28"/>
          <w:highlight w:val="none"/>
        </w:rPr>
      </w:pPr>
    </w:p>
    <w:p w14:paraId="65F076AD">
      <w:pPr>
        <w:pStyle w:val="10"/>
        <w:rPr>
          <w:rFonts w:hint="eastAsia" w:ascii="仿宋" w:hAnsi="仿宋" w:eastAsia="仿宋" w:cs="仿宋"/>
          <w:highlight w:val="none"/>
        </w:rPr>
        <w:sectPr>
          <w:footerReference r:id="rId9" w:type="default"/>
          <w:pgSz w:w="11906" w:h="16838"/>
          <w:pgMar w:top="1440" w:right="1417" w:bottom="1440" w:left="1587" w:header="850" w:footer="992" w:gutter="0"/>
          <w:pgNumType w:fmt="numberInDash" w:start="1"/>
          <w:cols w:space="0" w:num="1"/>
          <w:rtlGutter w:val="0"/>
          <w:docGrid w:type="lines" w:linePitch="317" w:charSpace="0"/>
        </w:sectPr>
      </w:pPr>
    </w:p>
    <w:p w14:paraId="5AEB93F3">
      <w:pPr>
        <w:jc w:val="center"/>
        <w:outlineLvl w:val="0"/>
        <w:rPr>
          <w:rFonts w:hint="eastAsia" w:ascii="仿宋" w:hAnsi="仿宋" w:eastAsia="仿宋" w:cs="仿宋"/>
          <w:sz w:val="32"/>
          <w:szCs w:val="32"/>
          <w:highlight w:val="none"/>
          <w:lang w:val="en-US" w:eastAsia="zh-CN"/>
        </w:rPr>
      </w:pPr>
      <w:bookmarkStart w:id="62" w:name="_Toc10449"/>
      <w:bookmarkStart w:id="63" w:name="_Toc18755"/>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val="en-US" w:eastAsia="zh-CN"/>
        </w:rPr>
        <w:t>三</w:t>
      </w:r>
      <w:r>
        <w:rPr>
          <w:rFonts w:hint="eastAsia" w:ascii="仿宋" w:hAnsi="仿宋" w:eastAsia="仿宋" w:cs="仿宋"/>
          <w:b/>
          <w:bCs/>
          <w:sz w:val="32"/>
          <w:szCs w:val="32"/>
          <w:highlight w:val="none"/>
        </w:rPr>
        <w:t>章  评审办法</w:t>
      </w:r>
      <w:r>
        <w:rPr>
          <w:rFonts w:hint="eastAsia" w:ascii="仿宋" w:hAnsi="仿宋" w:eastAsia="仿宋" w:cs="仿宋"/>
          <w:b/>
          <w:bCs/>
          <w:sz w:val="32"/>
          <w:szCs w:val="32"/>
          <w:highlight w:val="none"/>
          <w:lang w:val="en-US" w:eastAsia="zh-CN"/>
        </w:rPr>
        <w:t>及标准</w:t>
      </w:r>
      <w:bookmarkEnd w:id="62"/>
    </w:p>
    <w:p w14:paraId="40F5FCE5">
      <w:pPr>
        <w:spacing w:line="46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1.磋商方法</w:t>
      </w:r>
    </w:p>
    <w:p w14:paraId="70FBE1A0">
      <w:pPr>
        <w:spacing w:line="460" w:lineRule="exact"/>
        <w:ind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1.1磋商方法：按照《中华人民共和国政府采购法》、《中华人民共和国政府采购法实施条例》和</w:t>
      </w:r>
      <w:r>
        <w:rPr>
          <w:rFonts w:hint="eastAsia" w:ascii="仿宋" w:hAnsi="仿宋" w:eastAsia="仿宋" w:cs="仿宋"/>
          <w:kern w:val="0"/>
          <w:sz w:val="24"/>
          <w:szCs w:val="24"/>
          <w:highlight w:val="none"/>
        </w:rPr>
        <w:t>《政府采购竞争性磋商采购方式管理暂行办法》的规定</w:t>
      </w:r>
      <w:r>
        <w:rPr>
          <w:rFonts w:hint="eastAsia" w:ascii="仿宋" w:hAnsi="仿宋" w:eastAsia="仿宋" w:cs="仿宋"/>
          <w:sz w:val="24"/>
          <w:szCs w:val="24"/>
          <w:highlight w:val="none"/>
        </w:rPr>
        <w:t>，竞争性磋商小组采用综合评分法对提交最后报价的供应商的响应文件和最后报价进行综合评分，按照评审得分由高到低顺序推荐3名成交候选供应商。</w:t>
      </w:r>
    </w:p>
    <w:p w14:paraId="352FA5A8">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14:paraId="50D2BB0E">
      <w:pPr>
        <w:spacing w:line="46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2.磋商</w:t>
      </w:r>
    </w:p>
    <w:p w14:paraId="1D8068B6">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采购代理机构按竞争性磋商采购邀请书规定的时间、地点组织磋商；磋商大会由采购人代表、磋商小组成员、监督机构代表、磋商供应商代表及采购代理机构工作人员参加，参会代表应签名报到，以证明其出席；</w:t>
      </w:r>
    </w:p>
    <w:p w14:paraId="3B7A45CF">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为确保磋商工作公开、公平、公正，依法成立磋商小组。磋商小组由采购人及有关专家组成，其中技术、经济等方面的专家不少于磋商小组成员总数的三分之二，专家名单由有关人员在政府采购专家库中随机抽取，磋商小组成员应当遵守并履行下列责任和义务：</w:t>
      </w:r>
    </w:p>
    <w:p w14:paraId="5608D0C0">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2.2.1要严格遵守政府采购相关法律制度，依法履行各自职责，公正、客观、审慎地组织和参与评审工作；</w:t>
      </w:r>
    </w:p>
    <w:p w14:paraId="52034B87">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2.2.2对磋商响应文件</w:t>
      </w:r>
      <w:r>
        <w:rPr>
          <w:rFonts w:hint="eastAsia" w:ascii="仿宋" w:hAnsi="仿宋" w:eastAsia="仿宋" w:cs="仿宋"/>
          <w:sz w:val="24"/>
          <w:szCs w:val="24"/>
          <w:highlight w:val="none"/>
          <w:lang w:val="en-US" w:eastAsia="zh-CN"/>
        </w:rPr>
        <w:t>的有效性、完整性和响应程度进行审查，以确定是否对磋商文件的全部实质性要求做出响应</w:t>
      </w:r>
      <w:r>
        <w:rPr>
          <w:rFonts w:hint="eastAsia" w:ascii="仿宋" w:hAnsi="仿宋" w:eastAsia="仿宋" w:cs="仿宋"/>
          <w:sz w:val="24"/>
          <w:szCs w:val="24"/>
          <w:highlight w:val="none"/>
        </w:rPr>
        <w:t>；</w:t>
      </w:r>
    </w:p>
    <w:p w14:paraId="22F9EC1F">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2.2.3按竞争性磋商</w:t>
      </w:r>
      <w:r>
        <w:rPr>
          <w:rFonts w:hint="eastAsia" w:ascii="仿宋" w:hAnsi="仿宋" w:eastAsia="仿宋" w:cs="仿宋"/>
          <w:sz w:val="24"/>
          <w:szCs w:val="24"/>
          <w:highlight w:val="none"/>
          <w:lang w:val="en-US" w:eastAsia="zh-CN"/>
        </w:rPr>
        <w:t>文件</w:t>
      </w:r>
      <w:r>
        <w:rPr>
          <w:rFonts w:hint="eastAsia" w:ascii="仿宋" w:hAnsi="仿宋" w:eastAsia="仿宋" w:cs="仿宋"/>
          <w:sz w:val="24"/>
          <w:szCs w:val="24"/>
          <w:highlight w:val="none"/>
        </w:rPr>
        <w:t xml:space="preserve">规定的评审方法和标准，进行比较和评价； </w:t>
      </w:r>
    </w:p>
    <w:p w14:paraId="59F753AF">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2.2.4要求磋商供应商对磋商响应文件有关事项作出解释或澄清；</w:t>
      </w:r>
    </w:p>
    <w:p w14:paraId="255D4DFC">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2.2.5要依法独立评审，按照竞争性磋商</w:t>
      </w:r>
      <w:r>
        <w:rPr>
          <w:rFonts w:hint="eastAsia" w:ascii="仿宋" w:hAnsi="仿宋" w:eastAsia="仿宋" w:cs="仿宋"/>
          <w:sz w:val="24"/>
          <w:szCs w:val="24"/>
          <w:highlight w:val="none"/>
          <w:lang w:val="en-US" w:eastAsia="zh-CN"/>
        </w:rPr>
        <w:t>文件</w:t>
      </w:r>
      <w:r>
        <w:rPr>
          <w:rFonts w:hint="eastAsia" w:ascii="仿宋" w:hAnsi="仿宋" w:eastAsia="仿宋" w:cs="仿宋"/>
          <w:sz w:val="24"/>
          <w:szCs w:val="24"/>
          <w:highlight w:val="none"/>
        </w:rPr>
        <w:t>的要求和</w:t>
      </w:r>
      <w:r>
        <w:rPr>
          <w:rFonts w:hint="eastAsia" w:ascii="仿宋" w:hAnsi="仿宋" w:eastAsia="仿宋" w:cs="仿宋"/>
          <w:sz w:val="24"/>
          <w:szCs w:val="24"/>
          <w:highlight w:val="none"/>
          <w:lang w:val="en-US" w:eastAsia="zh-CN"/>
        </w:rPr>
        <w:t>评标</w:t>
      </w:r>
      <w:r>
        <w:rPr>
          <w:rFonts w:hint="eastAsia" w:ascii="仿宋" w:hAnsi="仿宋" w:eastAsia="仿宋" w:cs="仿宋"/>
          <w:sz w:val="24"/>
          <w:szCs w:val="24"/>
          <w:highlight w:val="none"/>
        </w:rPr>
        <w:t>标准进行评标，推荐成交候选供应商名单，对评审意见承担个人责任；</w:t>
      </w:r>
    </w:p>
    <w:p w14:paraId="5BF98E03">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2.2.6对需要共同认定的事项存在争议的，按照少数服从多数原则做出结论。持不同意见的磋商小组成员应当在评审报告上签署不同意见并说明理由，否则视为同意； </w:t>
      </w:r>
    </w:p>
    <w:p w14:paraId="095F69AF">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2.2.7对评审情况以及在评审过程中获悉的国家秘密、商业秘密负有保密责任；</w:t>
      </w:r>
    </w:p>
    <w:p w14:paraId="25B1A875">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2.2.8</w:t>
      </w:r>
      <w:r>
        <w:rPr>
          <w:rFonts w:hint="eastAsia" w:ascii="仿宋" w:hAnsi="仿宋" w:eastAsia="仿宋" w:cs="仿宋"/>
          <w:sz w:val="24"/>
          <w:szCs w:val="24"/>
          <w:highlight w:val="none"/>
          <w:lang w:val="en-US" w:eastAsia="zh-CN"/>
        </w:rPr>
        <w:t>配合答复供应商的询问、质疑和投诉等事项</w:t>
      </w:r>
      <w:r>
        <w:rPr>
          <w:rFonts w:hint="eastAsia" w:ascii="仿宋" w:hAnsi="仿宋" w:eastAsia="仿宋" w:cs="仿宋"/>
          <w:sz w:val="24"/>
          <w:szCs w:val="24"/>
          <w:highlight w:val="none"/>
        </w:rPr>
        <w:t>；</w:t>
      </w:r>
    </w:p>
    <w:p w14:paraId="769BECD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2.2.9须对畸高、畸低的重大差异评分进行复核或书面说明理由。</w:t>
      </w:r>
    </w:p>
    <w:p w14:paraId="4A171CEE">
      <w:pPr>
        <w:spacing w:line="46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3.磋商响应文件的初审</w:t>
      </w:r>
    </w:p>
    <w:p w14:paraId="6C8D29E3">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审查分为资格性检查和符合性检查。分别按照以下内容对响应文件进行检查，一项不合格即按照无效磋商处理。</w:t>
      </w:r>
    </w:p>
    <w:p w14:paraId="73BE3409">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响应文件审查合格的为实质性响应磋商文件要求的供应商。</w:t>
      </w:r>
    </w:p>
    <w:p w14:paraId="0DB47873">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3.1资格性检查（由采购人审查）</w:t>
      </w:r>
    </w:p>
    <w:p w14:paraId="1F233BB5">
      <w:pPr>
        <w:spacing w:line="420" w:lineRule="exact"/>
        <w:ind w:firstLine="496" w:firstLineChars="200"/>
        <w:rPr>
          <w:rFonts w:hint="eastAsia" w:ascii="仿宋" w:hAnsi="仿宋" w:eastAsia="仿宋" w:cs="仿宋"/>
          <w:sz w:val="24"/>
          <w:szCs w:val="24"/>
          <w:highlight w:val="none"/>
          <w:lang w:val="en-US"/>
        </w:rPr>
      </w:pPr>
      <w:r>
        <w:rPr>
          <w:rFonts w:hint="eastAsia" w:ascii="仿宋" w:hAnsi="仿宋" w:eastAsia="仿宋" w:cs="仿宋"/>
          <w:b w:val="0"/>
          <w:spacing w:val="4"/>
          <w:kern w:val="2"/>
          <w:sz w:val="24"/>
          <w:szCs w:val="24"/>
          <w:highlight w:val="none"/>
          <w:lang w:val="en-US" w:eastAsia="zh-CN" w:bidi="ar-SA"/>
        </w:rPr>
        <w:t>开标结束后，由</w:t>
      </w:r>
      <w:r>
        <w:rPr>
          <w:rFonts w:hint="eastAsia" w:ascii="仿宋" w:hAnsi="仿宋" w:eastAsia="仿宋" w:cs="仿宋"/>
          <w:b/>
          <w:bCs/>
          <w:spacing w:val="4"/>
          <w:kern w:val="2"/>
          <w:sz w:val="24"/>
          <w:szCs w:val="24"/>
          <w:highlight w:val="none"/>
          <w:lang w:val="en-US" w:eastAsia="zh-CN" w:bidi="ar-SA"/>
        </w:rPr>
        <w:t>采购人</w:t>
      </w:r>
      <w:r>
        <w:rPr>
          <w:rFonts w:hint="eastAsia" w:ascii="仿宋" w:hAnsi="仿宋" w:eastAsia="仿宋" w:cs="仿宋"/>
          <w:b w:val="0"/>
          <w:spacing w:val="4"/>
          <w:kern w:val="2"/>
          <w:sz w:val="24"/>
          <w:szCs w:val="24"/>
          <w:highlight w:val="none"/>
          <w:lang w:val="en-US" w:eastAsia="zh-CN" w:bidi="ar-SA"/>
        </w:rPr>
        <w:t>依法对供应商的资格进行审查，以确保供应商是否具备相应资格（审查内容详见供应商须知前附表），合格供应商不足3家的，不得继续磋商,第二章第37项除外。</w:t>
      </w:r>
    </w:p>
    <w:p w14:paraId="1E881BFC">
      <w:pPr>
        <w:spacing w:line="46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3.2符合性审查</w:t>
      </w:r>
    </w:p>
    <w:p w14:paraId="429776B0">
      <w:pPr>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3.2.1磋商小组从响应文件的有效性、完整性和对磋商文件的响应程度进行初步审查，以确定其是否对磋商文件实质性内容作出响应（采购人可根据具体项目的情况对实质性要求作特别的具体规定）。初步审查按下表进行：</w:t>
      </w:r>
    </w:p>
    <w:tbl>
      <w:tblPr>
        <w:tblStyle w:val="26"/>
        <w:tblW w:w="9064" w:type="dxa"/>
        <w:jc w:val="center"/>
        <w:tblLayout w:type="fixed"/>
        <w:tblCellMar>
          <w:top w:w="0" w:type="dxa"/>
          <w:left w:w="10" w:type="dxa"/>
          <w:bottom w:w="0" w:type="dxa"/>
          <w:right w:w="10" w:type="dxa"/>
        </w:tblCellMar>
      </w:tblPr>
      <w:tblGrid>
        <w:gridCol w:w="681"/>
        <w:gridCol w:w="2929"/>
        <w:gridCol w:w="5454"/>
      </w:tblGrid>
      <w:tr w14:paraId="2EF42C1A">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2A5539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921023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评审内容</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8452BD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评审标准</w:t>
            </w:r>
          </w:p>
        </w:tc>
      </w:tr>
      <w:tr w14:paraId="4CC6D0B9">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473E5D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A7EB6C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3B0522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供应商名称和公章、营业执照一致</w:t>
            </w:r>
          </w:p>
        </w:tc>
      </w:tr>
      <w:tr w14:paraId="169147CD">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5521E4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FAD483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磋商报价</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C0DECD0">
            <w:pPr>
              <w:rPr>
                <w:rFonts w:hint="eastAsia" w:ascii="仿宋" w:hAnsi="仿宋" w:eastAsia="仿宋" w:cs="仿宋"/>
                <w:sz w:val="24"/>
                <w:szCs w:val="24"/>
                <w:highlight w:val="none"/>
              </w:rPr>
            </w:pPr>
            <w:r>
              <w:rPr>
                <w:rFonts w:hint="eastAsia" w:ascii="仿宋" w:hAnsi="仿宋" w:eastAsia="仿宋" w:cs="仿宋"/>
                <w:sz w:val="24"/>
                <w:szCs w:val="24"/>
                <w:highlight w:val="none"/>
              </w:rPr>
              <w:t>完整无缺项，无选择性报价；</w:t>
            </w:r>
          </w:p>
        </w:tc>
      </w:tr>
      <w:tr w14:paraId="59387945">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D03FB9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F65DDA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响应文件的有效期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6ACAE19">
            <w:pPr>
              <w:rPr>
                <w:rFonts w:hint="eastAsia" w:ascii="仿宋" w:hAnsi="仿宋" w:eastAsia="仿宋" w:cs="仿宋"/>
                <w:sz w:val="24"/>
                <w:szCs w:val="24"/>
                <w:highlight w:val="none"/>
              </w:rPr>
            </w:pPr>
            <w:r>
              <w:rPr>
                <w:rFonts w:hint="eastAsia" w:ascii="仿宋" w:hAnsi="仿宋" w:eastAsia="仿宋" w:cs="仿宋"/>
                <w:sz w:val="24"/>
                <w:szCs w:val="24"/>
                <w:highlight w:val="none"/>
              </w:rPr>
              <w:t>自磋商之日起不少于90个日历日</w:t>
            </w:r>
          </w:p>
        </w:tc>
      </w:tr>
      <w:tr w14:paraId="1A397F1F">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1E19DA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266C8B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响应文件签字、盖章</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CA6844A">
            <w:pPr>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响应文件的签字盖章合格有效；</w:t>
            </w:r>
          </w:p>
        </w:tc>
      </w:tr>
      <w:tr w14:paraId="029C2EF5">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D453B8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2E5D077">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服务期、付款方式</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1749E08">
            <w:pPr>
              <w:rPr>
                <w:rFonts w:hint="eastAsia" w:ascii="仿宋" w:hAnsi="仿宋" w:eastAsia="仿宋" w:cs="仿宋"/>
                <w:sz w:val="24"/>
                <w:szCs w:val="24"/>
                <w:highlight w:val="none"/>
              </w:rPr>
            </w:pPr>
            <w:r>
              <w:rPr>
                <w:rFonts w:hint="eastAsia" w:ascii="仿宋" w:hAnsi="仿宋" w:eastAsia="仿宋" w:cs="仿宋"/>
                <w:sz w:val="24"/>
                <w:szCs w:val="24"/>
                <w:highlight w:val="none"/>
              </w:rPr>
              <w:t>满足磋商文件要求</w:t>
            </w:r>
          </w:p>
        </w:tc>
      </w:tr>
      <w:tr w14:paraId="0CCB9DF1">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932DFE0">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CDC9861">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磋商保证金</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77C7107">
            <w:pP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符合磋商文件要求</w:t>
            </w:r>
          </w:p>
        </w:tc>
      </w:tr>
      <w:tr w14:paraId="211E347B">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DD491E1">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D283082">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其它情形</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B6A20E5">
            <w:pP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无不符合法律法规或磋商文件规定的其他无效条款</w:t>
            </w:r>
          </w:p>
        </w:tc>
      </w:tr>
    </w:tbl>
    <w:p w14:paraId="1B5C16AD">
      <w:pPr>
        <w:spacing w:line="46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说明：以上各项有1项不合格，评审不予通过，作为未实质性响应磋商文件。</w:t>
      </w:r>
    </w:p>
    <w:p w14:paraId="03EB141C">
      <w:pPr>
        <w:spacing w:line="460" w:lineRule="exact"/>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3.2.2有下列情形之一的，视为供应商串通磋商，磋商小组应当认定其响应文件无效：</w:t>
      </w:r>
    </w:p>
    <w:p w14:paraId="6D796881">
      <w:pPr>
        <w:numPr>
          <w:ilvl w:val="0"/>
          <w:numId w:val="2"/>
        </w:num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不同供应商的响应文件由同一单位或者个人编制；</w:t>
      </w:r>
    </w:p>
    <w:p w14:paraId="4EF1B784">
      <w:pPr>
        <w:numPr>
          <w:ilvl w:val="0"/>
          <w:numId w:val="2"/>
        </w:num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不同供应商委托同一单位或者个人办理磋商事宜；</w:t>
      </w:r>
    </w:p>
    <w:p w14:paraId="5FB4355F">
      <w:pPr>
        <w:numPr>
          <w:ilvl w:val="0"/>
          <w:numId w:val="2"/>
        </w:num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不同供应商的响应文件由同一台电脑编制；</w:t>
      </w:r>
      <w:r>
        <w:rPr>
          <w:rFonts w:hint="eastAsia" w:ascii="仿宋" w:hAnsi="仿宋" w:eastAsia="仿宋" w:cs="仿宋"/>
          <w:sz w:val="24"/>
          <w:szCs w:val="24"/>
          <w:highlight w:val="none"/>
        </w:rPr>
        <w:t xml:space="preserve"> </w:t>
      </w:r>
    </w:p>
    <w:p w14:paraId="16059F28">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）不同供应商的响应文件载明的项目管理成员或者联系人员为同一人；</w:t>
      </w:r>
    </w:p>
    <w:p w14:paraId="22FE7E8D">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）不同供应商的响应文件异常一致或者磋商报价呈规律性差异；</w:t>
      </w:r>
    </w:p>
    <w:p w14:paraId="4C2F7FFD">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）不同供应商的响应文件相互混装；</w:t>
      </w:r>
    </w:p>
    <w:p w14:paraId="58EB25E6">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）不同供应商的磋商保证金从同一单位或者个人的账户转出。</w:t>
      </w:r>
    </w:p>
    <w:p w14:paraId="11C828DB">
      <w:pPr>
        <w:spacing w:line="46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政府采购法律法规及磋商文件规定的其他情形。</w:t>
      </w:r>
    </w:p>
    <w:p w14:paraId="030D1E81">
      <w:pPr>
        <w:spacing w:line="460" w:lineRule="exact"/>
        <w:rPr>
          <w:rFonts w:hint="eastAsia" w:ascii="仿宋" w:hAnsi="仿宋" w:eastAsia="仿宋" w:cs="仿宋"/>
          <w:b/>
          <w:bCs/>
          <w:kern w:val="0"/>
          <w:sz w:val="24"/>
          <w:szCs w:val="24"/>
          <w:highlight w:val="none"/>
        </w:rPr>
      </w:pPr>
      <w:r>
        <w:rPr>
          <w:rFonts w:hint="eastAsia" w:ascii="仿宋" w:hAnsi="仿宋" w:eastAsia="仿宋" w:cs="仿宋"/>
          <w:b/>
          <w:bCs/>
          <w:sz w:val="24"/>
          <w:szCs w:val="24"/>
          <w:highlight w:val="none"/>
        </w:rPr>
        <w:t>3.2.3出现下列情况之一者（但不限于），磋商小组应按无效响应文件处理：</w:t>
      </w:r>
    </w:p>
    <w:p w14:paraId="50FE7D18">
      <w:pPr>
        <w:numPr>
          <w:ilvl w:val="0"/>
          <w:numId w:val="3"/>
        </w:numPr>
        <w:spacing w:line="460" w:lineRule="exact"/>
        <w:ind w:left="845"/>
        <w:rPr>
          <w:rFonts w:hint="eastAsia" w:ascii="仿宋" w:hAnsi="仿宋" w:eastAsia="仿宋" w:cs="仿宋"/>
          <w:sz w:val="24"/>
          <w:szCs w:val="24"/>
          <w:highlight w:val="none"/>
        </w:rPr>
      </w:pPr>
      <w:r>
        <w:rPr>
          <w:rFonts w:hint="eastAsia" w:ascii="仿宋" w:hAnsi="仿宋" w:eastAsia="仿宋" w:cs="仿宋"/>
          <w:sz w:val="24"/>
          <w:szCs w:val="24"/>
          <w:highlight w:val="none"/>
        </w:rPr>
        <w:t>供应商的磋商报价超过采购预算的；</w:t>
      </w:r>
    </w:p>
    <w:p w14:paraId="2B97E5B7">
      <w:pPr>
        <w:numPr>
          <w:ilvl w:val="0"/>
          <w:numId w:val="3"/>
        </w:numPr>
        <w:spacing w:line="460" w:lineRule="exact"/>
        <w:ind w:left="845"/>
        <w:rPr>
          <w:rFonts w:hint="eastAsia" w:ascii="仿宋" w:hAnsi="仿宋" w:eastAsia="仿宋" w:cs="仿宋"/>
          <w:sz w:val="24"/>
          <w:szCs w:val="24"/>
          <w:highlight w:val="none"/>
        </w:rPr>
      </w:pPr>
      <w:r>
        <w:rPr>
          <w:rFonts w:hint="eastAsia" w:ascii="仿宋" w:hAnsi="仿宋" w:eastAsia="仿宋" w:cs="仿宋"/>
          <w:sz w:val="24"/>
          <w:szCs w:val="24"/>
          <w:highlight w:val="none"/>
        </w:rPr>
        <w:t>供应商未经过正常渠道购买磋商文件，或供应商名称与购买磋商文件时登记的供应商名称不符的；</w:t>
      </w:r>
    </w:p>
    <w:p w14:paraId="320D0B18">
      <w:pPr>
        <w:numPr>
          <w:ilvl w:val="0"/>
          <w:numId w:val="3"/>
        </w:numPr>
        <w:spacing w:line="460" w:lineRule="exact"/>
        <w:ind w:left="845"/>
        <w:rPr>
          <w:rFonts w:hint="eastAsia" w:ascii="仿宋" w:hAnsi="仿宋" w:eastAsia="仿宋" w:cs="仿宋"/>
          <w:sz w:val="24"/>
          <w:szCs w:val="24"/>
          <w:highlight w:val="none"/>
        </w:rPr>
      </w:pPr>
      <w:r>
        <w:rPr>
          <w:rFonts w:hint="eastAsia" w:ascii="仿宋" w:hAnsi="仿宋" w:eastAsia="仿宋" w:cs="仿宋"/>
          <w:sz w:val="24"/>
          <w:szCs w:val="24"/>
          <w:highlight w:val="none"/>
        </w:rPr>
        <w:t>供应商不具备资格条件的；</w:t>
      </w:r>
    </w:p>
    <w:p w14:paraId="254F192A">
      <w:pPr>
        <w:numPr>
          <w:ilvl w:val="0"/>
          <w:numId w:val="3"/>
        </w:numPr>
        <w:spacing w:line="460" w:lineRule="exact"/>
        <w:ind w:left="845"/>
        <w:rPr>
          <w:rFonts w:hint="eastAsia" w:ascii="仿宋" w:hAnsi="仿宋" w:eastAsia="仿宋" w:cs="仿宋"/>
          <w:sz w:val="24"/>
          <w:szCs w:val="24"/>
          <w:highlight w:val="none"/>
        </w:rPr>
      </w:pPr>
      <w:r>
        <w:rPr>
          <w:rFonts w:hint="eastAsia" w:ascii="仿宋" w:hAnsi="仿宋" w:eastAsia="仿宋" w:cs="仿宋"/>
          <w:sz w:val="24"/>
          <w:szCs w:val="24"/>
          <w:highlight w:val="none"/>
        </w:rPr>
        <w:t>实质性内容不满足或未响应的（包括但不限于：</w:t>
      </w:r>
      <w:r>
        <w:rPr>
          <w:rFonts w:hint="eastAsia" w:ascii="仿宋" w:hAnsi="仿宋" w:eastAsia="仿宋" w:cs="仿宋"/>
          <w:sz w:val="24"/>
          <w:szCs w:val="24"/>
          <w:highlight w:val="none"/>
          <w:lang w:val="en-US" w:eastAsia="zh-CN"/>
        </w:rPr>
        <w:t>服务期/建设周期</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质保期、</w:t>
      </w:r>
      <w:r>
        <w:rPr>
          <w:rFonts w:hint="eastAsia" w:ascii="仿宋" w:hAnsi="仿宋" w:eastAsia="仿宋" w:cs="仿宋"/>
          <w:sz w:val="24"/>
          <w:szCs w:val="24"/>
          <w:highlight w:val="none"/>
        </w:rPr>
        <w:t>付款方式、主要技术指标等）；</w:t>
      </w:r>
    </w:p>
    <w:p w14:paraId="2D82D9A2">
      <w:pPr>
        <w:numPr>
          <w:ilvl w:val="0"/>
          <w:numId w:val="3"/>
        </w:numPr>
        <w:spacing w:line="460" w:lineRule="exact"/>
        <w:ind w:left="845"/>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响应文件的有效性和符合性不符合要求的；</w:t>
      </w:r>
    </w:p>
    <w:p w14:paraId="6B42C234">
      <w:pPr>
        <w:numPr>
          <w:ilvl w:val="0"/>
          <w:numId w:val="3"/>
        </w:numPr>
        <w:spacing w:line="460" w:lineRule="exact"/>
        <w:ind w:left="845"/>
        <w:rPr>
          <w:rFonts w:hint="eastAsia" w:ascii="仿宋" w:hAnsi="仿宋" w:eastAsia="仿宋" w:cs="仿宋"/>
          <w:sz w:val="24"/>
          <w:szCs w:val="24"/>
          <w:highlight w:val="none"/>
        </w:rPr>
      </w:pPr>
      <w:r>
        <w:rPr>
          <w:rFonts w:hint="eastAsia" w:ascii="仿宋" w:hAnsi="仿宋" w:eastAsia="仿宋" w:cs="仿宋"/>
          <w:sz w:val="24"/>
          <w:szCs w:val="24"/>
          <w:highlight w:val="none"/>
        </w:rPr>
        <w:t>供应商未按磋商文件要求签字、加盖公章的；</w:t>
      </w:r>
    </w:p>
    <w:p w14:paraId="76EB9C47">
      <w:pPr>
        <w:numPr>
          <w:ilvl w:val="0"/>
          <w:numId w:val="3"/>
        </w:numPr>
        <w:spacing w:line="460" w:lineRule="exact"/>
        <w:ind w:left="845"/>
        <w:rPr>
          <w:rFonts w:hint="eastAsia" w:ascii="仿宋" w:hAnsi="仿宋" w:eastAsia="仿宋" w:cs="仿宋"/>
          <w:sz w:val="24"/>
          <w:szCs w:val="24"/>
          <w:highlight w:val="none"/>
        </w:rPr>
      </w:pPr>
      <w:r>
        <w:rPr>
          <w:rFonts w:hint="eastAsia" w:ascii="仿宋" w:hAnsi="仿宋" w:eastAsia="仿宋" w:cs="仿宋"/>
          <w:sz w:val="24"/>
          <w:szCs w:val="24"/>
          <w:highlight w:val="none"/>
        </w:rPr>
        <w:t>响应文件有涂改，涂改处未按磋商文件要求签字的；</w:t>
      </w:r>
    </w:p>
    <w:p w14:paraId="702F018E">
      <w:pPr>
        <w:numPr>
          <w:ilvl w:val="0"/>
          <w:numId w:val="3"/>
        </w:numPr>
        <w:spacing w:line="460" w:lineRule="exact"/>
        <w:ind w:left="845"/>
        <w:rPr>
          <w:rFonts w:hint="eastAsia" w:ascii="仿宋" w:hAnsi="仿宋" w:eastAsia="仿宋" w:cs="仿宋"/>
          <w:sz w:val="24"/>
          <w:szCs w:val="24"/>
          <w:highlight w:val="none"/>
        </w:rPr>
      </w:pPr>
      <w:r>
        <w:rPr>
          <w:rFonts w:hint="eastAsia" w:ascii="仿宋" w:hAnsi="仿宋" w:eastAsia="仿宋" w:cs="仿宋"/>
          <w:sz w:val="24"/>
          <w:szCs w:val="24"/>
          <w:highlight w:val="none"/>
        </w:rPr>
        <w:t>无磋商有效期或有效期不符合磋商文件要求的；</w:t>
      </w:r>
    </w:p>
    <w:p w14:paraId="69F5D226">
      <w:pPr>
        <w:numPr>
          <w:ilvl w:val="0"/>
          <w:numId w:val="3"/>
        </w:numPr>
        <w:spacing w:line="460" w:lineRule="exact"/>
        <w:ind w:left="845"/>
        <w:rPr>
          <w:rFonts w:hint="eastAsia" w:ascii="仿宋" w:hAnsi="仿宋" w:eastAsia="仿宋" w:cs="仿宋"/>
          <w:sz w:val="24"/>
          <w:szCs w:val="24"/>
          <w:highlight w:val="none"/>
        </w:rPr>
      </w:pPr>
      <w:r>
        <w:rPr>
          <w:rFonts w:hint="eastAsia" w:ascii="仿宋" w:hAnsi="仿宋" w:eastAsia="仿宋" w:cs="仿宋"/>
          <w:sz w:val="24"/>
          <w:szCs w:val="24"/>
          <w:highlight w:val="none"/>
        </w:rPr>
        <w:t>供应商针对同一项目递交两份或多份内容不同的响应文件，未书面声明哪一份是有效的或出现选择性报价的；</w:t>
      </w:r>
    </w:p>
    <w:p w14:paraId="0EB5482A">
      <w:pPr>
        <w:numPr>
          <w:ilvl w:val="0"/>
          <w:numId w:val="3"/>
        </w:numPr>
        <w:spacing w:line="460" w:lineRule="exact"/>
        <w:ind w:left="845"/>
        <w:rPr>
          <w:rFonts w:hint="eastAsia" w:ascii="仿宋" w:hAnsi="仿宋" w:eastAsia="仿宋" w:cs="仿宋"/>
          <w:sz w:val="24"/>
          <w:szCs w:val="24"/>
          <w:highlight w:val="none"/>
        </w:rPr>
      </w:pPr>
      <w:r>
        <w:rPr>
          <w:rFonts w:hint="eastAsia" w:ascii="仿宋" w:hAnsi="仿宋" w:eastAsia="仿宋" w:cs="仿宋"/>
          <w:sz w:val="24"/>
          <w:szCs w:val="24"/>
          <w:highlight w:val="none"/>
        </w:rPr>
        <w:t>提供虚假资质、虚假证明（包括第三方提供的虚假证明）、出现虚假应答的，除按无效响应文件处理外，还将按照政府采购的有关规定进行处罚；</w:t>
      </w:r>
    </w:p>
    <w:p w14:paraId="7A1213BB">
      <w:pPr>
        <w:numPr>
          <w:ilvl w:val="0"/>
          <w:numId w:val="3"/>
        </w:numPr>
        <w:spacing w:line="460" w:lineRule="exact"/>
        <w:ind w:left="845"/>
        <w:rPr>
          <w:rFonts w:hint="eastAsia" w:ascii="仿宋" w:hAnsi="仿宋" w:eastAsia="仿宋" w:cs="仿宋"/>
          <w:sz w:val="24"/>
          <w:szCs w:val="24"/>
          <w:highlight w:val="none"/>
        </w:rPr>
      </w:pPr>
      <w:r>
        <w:rPr>
          <w:rFonts w:hint="eastAsia" w:ascii="仿宋" w:hAnsi="仿宋" w:eastAsia="仿宋" w:cs="仿宋"/>
          <w:sz w:val="24"/>
          <w:szCs w:val="24"/>
          <w:highlight w:val="none"/>
        </w:rPr>
        <w:t>响应文件附加了采购人难以接受的条件或条款的；</w:t>
      </w:r>
    </w:p>
    <w:p w14:paraId="12183EE1">
      <w:pPr>
        <w:numPr>
          <w:ilvl w:val="0"/>
          <w:numId w:val="3"/>
        </w:numPr>
        <w:spacing w:line="460" w:lineRule="exact"/>
        <w:ind w:left="845"/>
        <w:rPr>
          <w:rFonts w:hint="eastAsia" w:ascii="仿宋" w:hAnsi="仿宋" w:eastAsia="仿宋" w:cs="仿宋"/>
          <w:sz w:val="24"/>
          <w:szCs w:val="24"/>
          <w:highlight w:val="none"/>
        </w:rPr>
      </w:pPr>
      <w:r>
        <w:rPr>
          <w:rFonts w:hint="eastAsia" w:ascii="仿宋" w:hAnsi="仿宋" w:eastAsia="仿宋" w:cs="仿宋"/>
          <w:sz w:val="24"/>
          <w:szCs w:val="24"/>
          <w:highlight w:val="none"/>
        </w:rPr>
        <w:t>供应商前期参与了本次项目方案设计的；</w:t>
      </w:r>
    </w:p>
    <w:p w14:paraId="0D1BA5F2">
      <w:pPr>
        <w:numPr>
          <w:ilvl w:val="0"/>
          <w:numId w:val="3"/>
        </w:numPr>
        <w:spacing w:line="460" w:lineRule="exact"/>
        <w:ind w:left="845"/>
        <w:rPr>
          <w:rFonts w:hint="eastAsia" w:ascii="仿宋" w:hAnsi="仿宋" w:eastAsia="仿宋" w:cs="仿宋"/>
          <w:sz w:val="24"/>
          <w:szCs w:val="24"/>
          <w:highlight w:val="none"/>
        </w:rPr>
      </w:pPr>
      <w:r>
        <w:rPr>
          <w:rFonts w:hint="eastAsia" w:ascii="仿宋" w:hAnsi="仿宋" w:eastAsia="仿宋" w:cs="仿宋"/>
          <w:sz w:val="24"/>
          <w:szCs w:val="24"/>
          <w:highlight w:val="none"/>
        </w:rPr>
        <w:t>在政府采购或其它重大项目履约过程中有不良记录，未能按期履约的；</w:t>
      </w:r>
    </w:p>
    <w:p w14:paraId="2AD27E6A">
      <w:pPr>
        <w:numPr>
          <w:ilvl w:val="0"/>
          <w:numId w:val="3"/>
        </w:numPr>
        <w:spacing w:line="460" w:lineRule="exact"/>
        <w:ind w:left="845"/>
        <w:rPr>
          <w:rFonts w:hint="eastAsia" w:ascii="仿宋" w:hAnsi="仿宋" w:eastAsia="仿宋" w:cs="仿宋"/>
          <w:sz w:val="24"/>
          <w:szCs w:val="24"/>
          <w:highlight w:val="none"/>
        </w:rPr>
      </w:pPr>
      <w:r>
        <w:rPr>
          <w:rFonts w:hint="eastAsia" w:ascii="仿宋" w:hAnsi="仿宋" w:eastAsia="仿宋" w:cs="仿宋"/>
          <w:sz w:val="24"/>
          <w:szCs w:val="24"/>
          <w:highlight w:val="none"/>
        </w:rPr>
        <w:t>磋商报价与市场价格偏离较大、低于成本、磋商小组认为形成不正当竞争的，且在规定时间内无法提供有效书面证明；</w:t>
      </w:r>
    </w:p>
    <w:p w14:paraId="393DF040">
      <w:pPr>
        <w:numPr>
          <w:ilvl w:val="0"/>
          <w:numId w:val="3"/>
        </w:numPr>
        <w:spacing w:line="460" w:lineRule="exact"/>
        <w:ind w:left="845"/>
        <w:rPr>
          <w:rFonts w:hint="eastAsia" w:ascii="仿宋" w:hAnsi="仿宋" w:eastAsia="仿宋" w:cs="仿宋"/>
          <w:sz w:val="24"/>
          <w:szCs w:val="24"/>
          <w:highlight w:val="none"/>
        </w:rPr>
      </w:pPr>
      <w:r>
        <w:rPr>
          <w:rFonts w:hint="eastAsia" w:ascii="仿宋" w:hAnsi="仿宋" w:eastAsia="仿宋" w:cs="仿宋"/>
          <w:sz w:val="24"/>
          <w:szCs w:val="24"/>
          <w:highlight w:val="none"/>
        </w:rPr>
        <w:t>报价子目出现漏项或报价数量与磋商文件要求不符的；</w:t>
      </w:r>
    </w:p>
    <w:p w14:paraId="7ACCEA33">
      <w:pPr>
        <w:numPr>
          <w:ilvl w:val="0"/>
          <w:numId w:val="3"/>
        </w:numPr>
        <w:spacing w:line="460" w:lineRule="exact"/>
        <w:ind w:left="845"/>
        <w:rPr>
          <w:rFonts w:hint="eastAsia" w:ascii="仿宋" w:hAnsi="仿宋" w:eastAsia="仿宋" w:cs="仿宋"/>
          <w:sz w:val="24"/>
          <w:szCs w:val="24"/>
          <w:highlight w:val="none"/>
        </w:rPr>
      </w:pPr>
      <w:r>
        <w:rPr>
          <w:rFonts w:hint="eastAsia" w:ascii="仿宋" w:hAnsi="仿宋" w:eastAsia="仿宋" w:cs="仿宋"/>
          <w:sz w:val="24"/>
          <w:szCs w:val="24"/>
          <w:highlight w:val="none"/>
        </w:rPr>
        <w:t>磋商项目的技术参数与磋商文件要求出现重大负偏差的或技术指标有漏项的；</w:t>
      </w:r>
    </w:p>
    <w:p w14:paraId="54376B72">
      <w:pPr>
        <w:numPr>
          <w:ilvl w:val="0"/>
          <w:numId w:val="3"/>
        </w:numPr>
        <w:spacing w:line="460" w:lineRule="exact"/>
        <w:ind w:left="845"/>
        <w:rPr>
          <w:rFonts w:hint="eastAsia" w:ascii="仿宋" w:hAnsi="仿宋" w:eastAsia="仿宋" w:cs="仿宋"/>
          <w:sz w:val="24"/>
          <w:szCs w:val="24"/>
          <w:highlight w:val="none"/>
        </w:rPr>
      </w:pPr>
      <w:r>
        <w:rPr>
          <w:rFonts w:hint="eastAsia" w:ascii="仿宋" w:hAnsi="仿宋" w:eastAsia="仿宋" w:cs="仿宋"/>
          <w:sz w:val="24"/>
          <w:szCs w:val="24"/>
          <w:highlight w:val="none"/>
        </w:rPr>
        <w:t>提供虚假技术参数；</w:t>
      </w:r>
    </w:p>
    <w:p w14:paraId="7B6B268F">
      <w:pPr>
        <w:numPr>
          <w:ilvl w:val="0"/>
          <w:numId w:val="3"/>
        </w:numPr>
        <w:spacing w:line="460" w:lineRule="exact"/>
        <w:ind w:left="845"/>
        <w:rPr>
          <w:rFonts w:hint="eastAsia" w:ascii="仿宋" w:hAnsi="仿宋" w:eastAsia="仿宋" w:cs="仿宋"/>
          <w:sz w:val="24"/>
          <w:szCs w:val="24"/>
          <w:highlight w:val="none"/>
        </w:rPr>
      </w:pPr>
      <w:r>
        <w:rPr>
          <w:rFonts w:hint="eastAsia" w:ascii="仿宋" w:hAnsi="仿宋" w:eastAsia="仿宋" w:cs="仿宋"/>
          <w:sz w:val="24"/>
          <w:szCs w:val="24"/>
          <w:highlight w:val="none"/>
        </w:rPr>
        <w:t>供应商未按磋商文件要求提交磋商保证金的；</w:t>
      </w:r>
    </w:p>
    <w:p w14:paraId="0CA67AE0">
      <w:pPr>
        <w:numPr>
          <w:ilvl w:val="0"/>
          <w:numId w:val="3"/>
        </w:numPr>
        <w:spacing w:line="460" w:lineRule="exact"/>
        <w:ind w:left="845"/>
        <w:rPr>
          <w:rFonts w:hint="eastAsia" w:ascii="仿宋" w:hAnsi="仿宋" w:eastAsia="仿宋" w:cs="仿宋"/>
          <w:sz w:val="24"/>
          <w:szCs w:val="24"/>
          <w:highlight w:val="none"/>
        </w:rPr>
      </w:pPr>
      <w:r>
        <w:rPr>
          <w:rFonts w:hint="eastAsia" w:ascii="仿宋" w:hAnsi="仿宋" w:eastAsia="仿宋" w:cs="仿宋"/>
          <w:sz w:val="24"/>
          <w:szCs w:val="24"/>
          <w:highlight w:val="none"/>
        </w:rPr>
        <w:t>不符合法律、法规和磋商文件中规定的其他无效情形。</w:t>
      </w:r>
    </w:p>
    <w:p w14:paraId="63542446">
      <w:pPr>
        <w:spacing w:line="46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4.磋商澄清</w:t>
      </w:r>
    </w:p>
    <w:p w14:paraId="0A37E145">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4.1磋商小组有权就磋商响应文件中含混之处向上述步骤初审合格的磋商供应商提出询问或澄清要求；磋商供应商将有关询标澄清、补正、说明的内容应以书面形式提交；</w:t>
      </w:r>
    </w:p>
    <w:p w14:paraId="46C4CBF0">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竞争性磋商公告、磋商响应文件作为磋商的依据，澄清、补正、说明的内容只作为磋商参考。磋商澄清时磋商供应商只作说明和解释，不得借此对磋商报价、服务期、主要技术指标等实质性内容做任何修改；如澄清、补正、说明的内容与磋商响应文件内容有重大相悖或矛盾，将被认定为无效文件；</w:t>
      </w:r>
    </w:p>
    <w:p w14:paraId="49F5C7C2">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4.3磋商供应商对磋商响应文件的澄清不得改变磋商报价及实质内容。磋商时，磋商响应文件中出现下列情况，修正原则为：</w:t>
      </w:r>
    </w:p>
    <w:p w14:paraId="585C3BA4">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（1）磋商响应文件中响应报价表内容与磋商响应文件中明细内容不一致的，以响应报价表为准；</w:t>
      </w:r>
    </w:p>
    <w:p w14:paraId="6B0CCEEE">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（2）磋商报价的大写金额和小写金额不一致的，以大写金额为准；</w:t>
      </w:r>
    </w:p>
    <w:p w14:paraId="129F4665">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（3）总价金额与按单价汇总金额不一致的，以单价金额计算结果为准；</w:t>
      </w:r>
    </w:p>
    <w:p w14:paraId="1EEAA31D">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（4）单价金额小数点或者百分比有明显错位的，以</w:t>
      </w:r>
      <w:r>
        <w:rPr>
          <w:rFonts w:hint="eastAsia" w:ascii="仿宋" w:hAnsi="仿宋" w:eastAsia="仿宋" w:cs="仿宋"/>
          <w:sz w:val="24"/>
          <w:szCs w:val="24"/>
          <w:highlight w:val="none"/>
          <w:lang w:val="en-US" w:eastAsia="zh-CN"/>
        </w:rPr>
        <w:t>报价</w:t>
      </w:r>
      <w:r>
        <w:rPr>
          <w:rFonts w:hint="eastAsia" w:ascii="仿宋" w:hAnsi="仿宋" w:eastAsia="仿宋" w:cs="仿宋"/>
          <w:sz w:val="24"/>
          <w:szCs w:val="24"/>
          <w:highlight w:val="none"/>
        </w:rPr>
        <w:t>表</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总价为准，并修改单价；</w:t>
      </w:r>
    </w:p>
    <w:p w14:paraId="7F5E99C6">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（5）如果用文字表示的数值与用数字表示的数值不一致，以文字表示的值为准；</w:t>
      </w:r>
    </w:p>
    <w:p w14:paraId="7E46C2EB">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磋商文件正本与副本不一致的，以正本为准；</w:t>
      </w:r>
    </w:p>
    <w:p w14:paraId="53E28D5A">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）多处内容交叉不符时，以</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评审结果为准；</w:t>
      </w:r>
    </w:p>
    <w:p w14:paraId="725DCF47">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）文字与图表不符时以文字为准；</w:t>
      </w:r>
    </w:p>
    <w:p w14:paraId="080B9F4D">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同时出现两种以上不一致的，按照前款规定的顺序修正。</w:t>
      </w:r>
      <w:r>
        <w:rPr>
          <w:rFonts w:hint="eastAsia" w:ascii="仿宋" w:hAnsi="仿宋" w:eastAsia="仿宋" w:cs="仿宋"/>
          <w:sz w:val="24"/>
          <w:szCs w:val="24"/>
          <w:highlight w:val="none"/>
        </w:rPr>
        <w:t>按上述修正错误的原则及方法调整或修正磋商响应文件的报价，磋商供应商同意后，调整后的报价对磋商供应商起约束作用。如果磋商供应商不接受修正后的报价，则其磋商活动将被拒绝。</w:t>
      </w:r>
    </w:p>
    <w:p w14:paraId="361350FD">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7磋商小组</w:t>
      </w:r>
      <w:r>
        <w:rPr>
          <w:rFonts w:hint="eastAsia" w:ascii="仿宋" w:hAnsi="仿宋" w:eastAsia="仿宋" w:cs="仿宋"/>
          <w:sz w:val="24"/>
          <w:szCs w:val="24"/>
          <w:highlight w:val="none"/>
        </w:rPr>
        <w:t>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报价明显低于其他通过符合性审查</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的报价，有可能影响产品质量或者不能诚信履约的，应当要求其在评标现场合理的时间内提供书面说明，必要时提交相关证明材料；</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不能证明其报价合理性的，</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应当将其作为无效投标处理。</w:t>
      </w:r>
    </w:p>
    <w:p w14:paraId="7FBA8E37">
      <w:pPr>
        <w:spacing w:line="460" w:lineRule="exac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5.推荐成交候选人</w:t>
      </w:r>
    </w:p>
    <w:p w14:paraId="41109CD4">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磋商小组根据以下内容进行综合比较，自主打分，按最后得分由高到低汇总排序，推荐成交候选3名供应商。若项目划分标段，则以标段为单位分别推荐成交候选3名供应商；磋商小组根据磋商结果写出磋商意见。</w:t>
      </w:r>
    </w:p>
    <w:p w14:paraId="38BE512B">
      <w:pPr>
        <w:spacing w:line="4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5.2</w:t>
      </w:r>
      <w:r>
        <w:rPr>
          <w:rFonts w:hint="eastAsia" w:ascii="仿宋" w:hAnsi="仿宋" w:eastAsia="仿宋" w:cs="仿宋"/>
          <w:sz w:val="24"/>
          <w:szCs w:val="24"/>
          <w:highlight w:val="none"/>
        </w:rPr>
        <w:t>磋商小组成员应当按照评审办法的规定，独立评分并署名。各供应商的综合得分为商务和技术得分与报价得分之和。按照综合得分由高到低的顺序，磋商小组对供应商进行排名。如最终得分相同时，则取磋商价报价较低的优先；磋商报价也相同时，则取投磋商文件中</w:t>
      </w:r>
      <w:r>
        <w:rPr>
          <w:rFonts w:hint="eastAsia" w:ascii="仿宋" w:hAnsi="仿宋" w:eastAsia="仿宋" w:cs="仿宋"/>
          <w:sz w:val="24"/>
          <w:szCs w:val="24"/>
          <w:highlight w:val="none"/>
          <w:lang w:val="en-US" w:eastAsia="zh-CN"/>
        </w:rPr>
        <w:t>技术</w:t>
      </w:r>
      <w:r>
        <w:rPr>
          <w:rFonts w:hint="eastAsia" w:ascii="仿宋" w:hAnsi="仿宋" w:eastAsia="仿宋" w:cs="仿宋"/>
          <w:sz w:val="24"/>
          <w:szCs w:val="24"/>
          <w:highlight w:val="none"/>
        </w:rPr>
        <w:t>得分较高的优先。当一个供应商的综合得分在多个标段同时排名第一时，仅保留合同金额较大标段的中标资格，合同金额较小标段各供应商排序依次递补。</w:t>
      </w:r>
    </w:p>
    <w:p w14:paraId="5B415EEE">
      <w:pPr>
        <w:keepNext w:val="0"/>
        <w:keepLines w:val="0"/>
        <w:pageBreakBefore w:val="0"/>
        <w:numPr>
          <w:ilvl w:val="0"/>
          <w:numId w:val="0"/>
        </w:numPr>
        <w:kinsoku/>
        <w:overflowPunct/>
        <w:topLinePunct w:val="0"/>
        <w:autoSpaceDE/>
        <w:autoSpaceDN/>
        <w:bidi w:val="0"/>
        <w:adjustRightInd/>
        <w:snapToGrid/>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6.评审方法及内容</w:t>
      </w:r>
    </w:p>
    <w:p w14:paraId="5E52685F">
      <w:pPr>
        <w:pStyle w:val="1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6.1采用综合评分法</w:t>
      </w:r>
    </w:p>
    <w:p w14:paraId="660D5705">
      <w:pPr>
        <w:pStyle w:val="10"/>
      </w:pPr>
      <w:r>
        <w:rPr>
          <w:rFonts w:hint="eastAsia" w:ascii="仿宋" w:hAnsi="仿宋" w:eastAsia="仿宋" w:cs="仿宋"/>
          <w:color w:val="auto"/>
          <w:kern w:val="2"/>
          <w:sz w:val="24"/>
          <w:szCs w:val="24"/>
          <w:highlight w:val="none"/>
          <w:lang w:val="en-US" w:eastAsia="zh-CN" w:bidi="ar-SA"/>
        </w:rPr>
        <w:t>6.2评审指标分值构成（总计100分）</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380"/>
        <w:gridCol w:w="7223"/>
      </w:tblGrid>
      <w:tr w14:paraId="5E59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79" w:type="pct"/>
            <w:noWrap w:val="0"/>
            <w:vAlign w:val="center"/>
          </w:tcPr>
          <w:p w14:paraId="49998F82">
            <w:pPr>
              <w:spacing w:line="360" w:lineRule="auto"/>
              <w:ind w:left="0" w:leftChars="0" w:right="0" w:rightChars="0" w:firstLine="0" w:firstLineChars="0"/>
              <w:jc w:val="center"/>
              <w:rPr>
                <w:rFonts w:hint="eastAsia" w:ascii="仿宋" w:hAnsi="仿宋" w:eastAsia="仿宋" w:cs="仿宋"/>
                <w:b/>
                <w:bCs/>
                <w:sz w:val="24"/>
                <w:highlight w:val="none"/>
                <w:shd w:val="clear" w:color="auto" w:fill="FFFFFF"/>
              </w:rPr>
            </w:pPr>
            <w:bookmarkStart w:id="64" w:name="_Toc5721_WPSOffice_Level2"/>
            <w:bookmarkStart w:id="65" w:name="_Toc30254_WPSOffice_Level2"/>
            <w:bookmarkStart w:id="66" w:name="_Toc19224_WPSOffice_Level2"/>
            <w:r>
              <w:rPr>
                <w:rFonts w:hint="eastAsia" w:ascii="仿宋" w:hAnsi="仿宋" w:eastAsia="仿宋" w:cs="仿宋"/>
                <w:b/>
                <w:bCs/>
                <w:sz w:val="24"/>
                <w:highlight w:val="none"/>
                <w:shd w:val="clear" w:color="auto" w:fill="FFFFFF"/>
              </w:rPr>
              <w:t>序号</w:t>
            </w:r>
          </w:p>
        </w:tc>
        <w:tc>
          <w:tcPr>
            <w:tcW w:w="757" w:type="pct"/>
            <w:noWrap w:val="0"/>
            <w:vAlign w:val="center"/>
          </w:tcPr>
          <w:p w14:paraId="6F44DFBE">
            <w:pPr>
              <w:spacing w:line="360" w:lineRule="auto"/>
              <w:ind w:left="0" w:leftChars="0" w:right="0" w:rightChars="0" w:firstLine="0" w:firstLineChars="0"/>
              <w:jc w:val="center"/>
              <w:rPr>
                <w:rFonts w:hint="eastAsia" w:ascii="仿宋" w:hAnsi="仿宋" w:eastAsia="仿宋" w:cs="仿宋"/>
                <w:b/>
                <w:bCs/>
                <w:sz w:val="24"/>
                <w:highlight w:val="none"/>
                <w:shd w:val="clear" w:color="auto" w:fill="FFFFFF"/>
              </w:rPr>
            </w:pPr>
            <w:r>
              <w:rPr>
                <w:rFonts w:hint="eastAsia" w:ascii="仿宋" w:hAnsi="仿宋" w:eastAsia="仿宋" w:cs="仿宋"/>
                <w:b/>
                <w:bCs/>
                <w:sz w:val="24"/>
                <w:highlight w:val="none"/>
                <w:shd w:val="clear" w:color="auto" w:fill="FFFFFF"/>
              </w:rPr>
              <w:t>评审要素及分值</w:t>
            </w:r>
          </w:p>
        </w:tc>
        <w:tc>
          <w:tcPr>
            <w:tcW w:w="3963" w:type="pct"/>
            <w:noWrap w:val="0"/>
            <w:vAlign w:val="center"/>
          </w:tcPr>
          <w:p w14:paraId="317A7D51">
            <w:pPr>
              <w:spacing w:line="360" w:lineRule="auto"/>
              <w:ind w:left="0" w:leftChars="0" w:right="0" w:rightChars="0" w:firstLine="0" w:firstLineChars="0"/>
              <w:jc w:val="center"/>
              <w:rPr>
                <w:rFonts w:hint="eastAsia" w:ascii="仿宋" w:hAnsi="仿宋" w:eastAsia="仿宋" w:cs="仿宋"/>
                <w:b/>
                <w:bCs/>
                <w:sz w:val="24"/>
                <w:highlight w:val="none"/>
                <w:shd w:val="clear" w:color="auto" w:fill="FFFFFF"/>
              </w:rPr>
            </w:pPr>
            <w:r>
              <w:rPr>
                <w:rFonts w:hint="eastAsia" w:ascii="仿宋" w:hAnsi="仿宋" w:eastAsia="仿宋" w:cs="仿宋"/>
                <w:b/>
                <w:bCs/>
                <w:sz w:val="24"/>
                <w:highlight w:val="none"/>
                <w:shd w:val="clear" w:color="auto" w:fill="FFFFFF"/>
              </w:rPr>
              <w:t>赋分标准</w:t>
            </w:r>
          </w:p>
        </w:tc>
      </w:tr>
      <w:tr w14:paraId="2612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79" w:type="pct"/>
            <w:noWrap w:val="0"/>
            <w:vAlign w:val="center"/>
          </w:tcPr>
          <w:p w14:paraId="1D71421B">
            <w:pPr>
              <w:spacing w:line="360" w:lineRule="auto"/>
              <w:ind w:left="0" w:leftChars="0" w:right="0" w:rightChars="0" w:firstLine="0" w:firstLineChars="0"/>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w:t>
            </w:r>
          </w:p>
        </w:tc>
        <w:tc>
          <w:tcPr>
            <w:tcW w:w="757" w:type="pct"/>
            <w:noWrap w:val="0"/>
            <w:vAlign w:val="center"/>
          </w:tcPr>
          <w:p w14:paraId="67501ED4">
            <w:pPr>
              <w:spacing w:line="360" w:lineRule="auto"/>
              <w:ind w:left="0" w:leftChars="0" w:right="0" w:rightChars="0" w:firstLine="0" w:firstLineChars="0"/>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磋商报价</w:t>
            </w:r>
          </w:p>
          <w:p w14:paraId="2459DFAD">
            <w:pPr>
              <w:spacing w:line="360" w:lineRule="auto"/>
              <w:ind w:left="0" w:leftChars="0" w:right="0" w:rightChars="0" w:firstLine="0" w:firstLineChars="0"/>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w:t>
            </w:r>
            <w:r>
              <w:rPr>
                <w:rFonts w:hint="eastAsia" w:ascii="仿宋" w:hAnsi="仿宋" w:eastAsia="仿宋" w:cs="仿宋"/>
                <w:sz w:val="24"/>
                <w:szCs w:val="24"/>
                <w:highlight w:val="none"/>
                <w:shd w:val="clear" w:color="auto" w:fill="FFFFFF"/>
                <w:lang w:val="en-US" w:eastAsia="zh-CN"/>
              </w:rPr>
              <w:t>15</w:t>
            </w:r>
            <w:r>
              <w:rPr>
                <w:rFonts w:hint="eastAsia" w:ascii="仿宋" w:hAnsi="仿宋" w:eastAsia="仿宋" w:cs="仿宋"/>
                <w:sz w:val="24"/>
                <w:szCs w:val="24"/>
                <w:highlight w:val="none"/>
                <w:shd w:val="clear" w:color="auto" w:fill="FFFFFF"/>
              </w:rPr>
              <w:t>分）</w:t>
            </w:r>
          </w:p>
        </w:tc>
        <w:tc>
          <w:tcPr>
            <w:tcW w:w="3963" w:type="pct"/>
            <w:noWrap w:val="0"/>
            <w:vAlign w:val="center"/>
          </w:tcPr>
          <w:p w14:paraId="5F49A145">
            <w:pPr>
              <w:spacing w:line="360" w:lineRule="auto"/>
              <w:ind w:left="0" w:leftChars="0" w:right="0" w:rightChars="0" w:firstLine="0" w:firstLineChars="0"/>
              <w:jc w:val="both"/>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 xml:space="preserve">价格分统一采用低价优先法计算，即满足磋商文件要求且磋商价格最低的磋商报价为磋商基准价，其价格分为满分。其他供应商的价格分统一按照下列公式计算： </w:t>
            </w:r>
            <w:r>
              <w:rPr>
                <w:rFonts w:hint="eastAsia" w:ascii="仿宋" w:hAnsi="仿宋" w:eastAsia="仿宋" w:cs="仿宋"/>
                <w:color w:val="000000"/>
                <w:sz w:val="24"/>
                <w:szCs w:val="24"/>
                <w:highlight w:val="none"/>
              </w:rPr>
              <w:br w:type="textWrapping"/>
            </w:r>
            <w:r>
              <w:rPr>
                <w:rFonts w:hint="eastAsia" w:ascii="仿宋" w:hAnsi="仿宋" w:eastAsia="仿宋" w:cs="仿宋"/>
                <w:color w:val="000000"/>
                <w:sz w:val="24"/>
                <w:szCs w:val="24"/>
                <w:highlight w:val="none"/>
              </w:rPr>
              <w:t>磋商报价得分=(磋商基准价／磋商报价)×价格权值×100，计算分数时四舍五入取小数点后两位</w:t>
            </w:r>
            <w:r>
              <w:rPr>
                <w:rFonts w:hint="eastAsia" w:ascii="仿宋" w:hAnsi="仿宋" w:eastAsia="仿宋" w:cs="仿宋"/>
                <w:color w:val="000000"/>
                <w:sz w:val="24"/>
                <w:szCs w:val="24"/>
                <w:highlight w:val="none"/>
                <w:lang w:eastAsia="zh-CN"/>
              </w:rPr>
              <w:t>。</w:t>
            </w:r>
          </w:p>
          <w:p w14:paraId="41B869B9">
            <w:pPr>
              <w:pStyle w:val="10"/>
              <w:rPr>
                <w:rFonts w:hint="eastAsia"/>
                <w:highlight w:val="none"/>
              </w:rPr>
            </w:pPr>
            <w:r>
              <w:rPr>
                <w:rFonts w:hint="default" w:ascii="仿宋" w:hAnsi="仿宋" w:eastAsia="仿宋" w:cs="仿宋"/>
                <w:b/>
                <w:bCs/>
                <w:color w:val="000000" w:themeColor="text1"/>
                <w:sz w:val="24"/>
                <w:szCs w:val="24"/>
                <w:highlight w:val="none"/>
                <w:lang w:val="en-US" w:eastAsia="zh-CN"/>
                <w14:textFill>
                  <w14:solidFill>
                    <w14:schemeClr w14:val="tx1"/>
                  </w14:solidFill>
                </w14:textFill>
              </w:rPr>
              <w:t>本项目为专门面向中小企业采购的采购项目，不再执行价格评审优惠扶持政策。</w:t>
            </w:r>
          </w:p>
        </w:tc>
      </w:tr>
      <w:tr w14:paraId="4652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79" w:type="pct"/>
            <w:noWrap w:val="0"/>
            <w:vAlign w:val="center"/>
          </w:tcPr>
          <w:p w14:paraId="33AEF0D3">
            <w:pPr>
              <w:spacing w:line="360" w:lineRule="auto"/>
              <w:ind w:left="0" w:leftChars="0" w:right="0" w:rightChars="0" w:firstLine="0" w:firstLineChars="0"/>
              <w:jc w:val="center"/>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2</w:t>
            </w:r>
          </w:p>
        </w:tc>
        <w:tc>
          <w:tcPr>
            <w:tcW w:w="757" w:type="pct"/>
            <w:noWrap w:val="0"/>
            <w:vAlign w:val="center"/>
          </w:tcPr>
          <w:p w14:paraId="70423EE9">
            <w:pPr>
              <w:spacing w:line="360" w:lineRule="auto"/>
              <w:ind w:left="0" w:leftChars="0" w:right="0" w:rightChars="0" w:firstLine="0" w:firstLineChars="0"/>
              <w:jc w:val="center"/>
              <w:rPr>
                <w:rFonts w:hint="default"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项目理解及整体实施方案</w:t>
            </w:r>
          </w:p>
          <w:p w14:paraId="0A982C9C">
            <w:pPr>
              <w:spacing w:line="360" w:lineRule="auto"/>
              <w:ind w:left="0" w:leftChars="0" w:right="0" w:rightChars="0" w:firstLine="0" w:firstLineChars="0"/>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lang w:val="en-US" w:eastAsia="zh-CN"/>
              </w:rPr>
              <w:t>（6分）</w:t>
            </w:r>
          </w:p>
        </w:tc>
        <w:tc>
          <w:tcPr>
            <w:tcW w:w="3963" w:type="pct"/>
            <w:noWrap w:val="0"/>
            <w:vAlign w:val="center"/>
          </w:tcPr>
          <w:p w14:paraId="10B16F50">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一、评审因素</w:t>
            </w:r>
          </w:p>
          <w:p w14:paraId="013EF8A7">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根据响应文件中提供的项目理解进行评审，包括但不限于①工作内容理解；②整体实施方案；③项目重点难点分析等。</w:t>
            </w:r>
          </w:p>
          <w:p w14:paraId="6239A65A">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二、评审标准</w:t>
            </w:r>
          </w:p>
          <w:p w14:paraId="30FF1029">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1、完善性：方案必须全面，对评审内容中的各项要求有详细阐述；</w:t>
            </w:r>
          </w:p>
          <w:p w14:paraId="5A2746C9">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2、可实施性：切合本项目实际情况，提出步骤清晰、合理的方案；</w:t>
            </w:r>
          </w:p>
          <w:p w14:paraId="5A0D576B">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3、针对性：方案能够紧扣项目实际情况，内容科学合理。</w:t>
            </w:r>
          </w:p>
          <w:p w14:paraId="0AFCFE9F">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上述 3项评审内容全部满足评审标准得6分，每有一个评审内容缺项扣2分，每有一项评审内容存在缺陷，扣（0-1.9)分，扣完为止。</w:t>
            </w:r>
          </w:p>
          <w:p w14:paraId="22B3965B">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说明：缺陷是指内容不合理、虽有内容但不完善、内容表述前后不一致、套用其他项目方案或与项目需求。</w:t>
            </w:r>
          </w:p>
        </w:tc>
      </w:tr>
      <w:tr w14:paraId="0EB5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79" w:type="pct"/>
            <w:tcBorders>
              <w:left w:val="single" w:color="auto" w:sz="4" w:space="0"/>
            </w:tcBorders>
            <w:noWrap w:val="0"/>
            <w:vAlign w:val="center"/>
          </w:tcPr>
          <w:p w14:paraId="38C56E46">
            <w:pPr>
              <w:spacing w:line="360" w:lineRule="auto"/>
              <w:ind w:left="0" w:leftChars="0" w:right="0" w:rightChars="0" w:firstLine="0" w:firstLineChars="0"/>
              <w:jc w:val="center"/>
              <w:rPr>
                <w:rFonts w:hint="eastAsia"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val="en-US" w:eastAsia="zh-CN"/>
              </w:rPr>
              <w:t>3</w:t>
            </w:r>
          </w:p>
        </w:tc>
        <w:tc>
          <w:tcPr>
            <w:tcW w:w="757" w:type="pct"/>
            <w:noWrap w:val="0"/>
            <w:vAlign w:val="center"/>
          </w:tcPr>
          <w:p w14:paraId="73917364">
            <w:pPr>
              <w:spacing w:line="360" w:lineRule="auto"/>
              <w:ind w:left="0" w:leftChars="0" w:right="0" w:rightChars="0" w:firstLine="0" w:firstLineChars="0"/>
              <w:jc w:val="center"/>
              <w:rPr>
                <w:rFonts w:hint="eastAsia" w:ascii="仿宋" w:hAnsi="仿宋" w:eastAsia="仿宋" w:cs="仿宋"/>
                <w:color w:val="auto"/>
                <w:sz w:val="24"/>
                <w:szCs w:val="24"/>
                <w:highlight w:val="none"/>
                <w:shd w:val="clear" w:color="auto" w:fill="FFFFFF"/>
                <w:lang w:val="zh-CN"/>
              </w:rPr>
            </w:pPr>
            <w:r>
              <w:rPr>
                <w:rFonts w:hint="eastAsia" w:ascii="仿宋" w:hAnsi="仿宋" w:eastAsia="仿宋" w:cs="仿宋"/>
                <w:color w:val="auto"/>
                <w:sz w:val="24"/>
                <w:szCs w:val="24"/>
                <w:highlight w:val="none"/>
                <w:shd w:val="clear" w:color="auto" w:fill="FFFFFF"/>
                <w:lang w:val="en-US" w:eastAsia="zh-CN"/>
              </w:rPr>
              <w:t>策划</w:t>
            </w:r>
            <w:r>
              <w:rPr>
                <w:rFonts w:hint="eastAsia" w:ascii="仿宋" w:hAnsi="仿宋" w:eastAsia="仿宋" w:cs="仿宋"/>
                <w:color w:val="auto"/>
                <w:sz w:val="24"/>
                <w:szCs w:val="24"/>
                <w:highlight w:val="none"/>
                <w:shd w:val="clear" w:color="auto" w:fill="FFFFFF"/>
                <w:lang w:val="zh-CN"/>
              </w:rPr>
              <w:t>方案</w:t>
            </w:r>
          </w:p>
          <w:p w14:paraId="34E7DDE2">
            <w:pPr>
              <w:spacing w:line="360" w:lineRule="auto"/>
              <w:ind w:left="0" w:leftChars="0" w:right="0" w:rightChars="0" w:firstLine="0" w:firstLineChars="0"/>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zh-CN"/>
              </w:rPr>
              <w:t>（</w:t>
            </w:r>
            <w:r>
              <w:rPr>
                <w:rFonts w:hint="eastAsia" w:ascii="仿宋" w:hAnsi="仿宋" w:eastAsia="仿宋" w:cs="仿宋"/>
                <w:color w:val="auto"/>
                <w:sz w:val="24"/>
                <w:szCs w:val="24"/>
                <w:highlight w:val="none"/>
                <w:shd w:val="clear" w:color="auto" w:fill="FFFFFF"/>
                <w:lang w:val="en-US" w:eastAsia="zh-CN"/>
              </w:rPr>
              <w:t>20</w:t>
            </w:r>
            <w:r>
              <w:rPr>
                <w:rFonts w:hint="eastAsia" w:ascii="仿宋" w:hAnsi="仿宋" w:eastAsia="仿宋" w:cs="仿宋"/>
                <w:color w:val="auto"/>
                <w:sz w:val="24"/>
                <w:szCs w:val="24"/>
                <w:highlight w:val="none"/>
                <w:shd w:val="clear" w:color="auto" w:fill="FFFFFF"/>
              </w:rPr>
              <w:t>分</w:t>
            </w:r>
            <w:r>
              <w:rPr>
                <w:rFonts w:hint="eastAsia" w:ascii="仿宋" w:hAnsi="仿宋" w:eastAsia="仿宋" w:cs="仿宋"/>
                <w:color w:val="auto"/>
                <w:sz w:val="24"/>
                <w:szCs w:val="24"/>
                <w:highlight w:val="none"/>
                <w:shd w:val="clear" w:color="auto" w:fill="FFFFFF"/>
                <w:lang w:val="zh-CN"/>
              </w:rPr>
              <w:t>）</w:t>
            </w:r>
          </w:p>
        </w:tc>
        <w:tc>
          <w:tcPr>
            <w:tcW w:w="3963" w:type="pct"/>
            <w:noWrap w:val="0"/>
            <w:vAlign w:val="center"/>
          </w:tcPr>
          <w:p w14:paraId="02662C13">
            <w:pPr>
              <w:keepNext w:val="0"/>
              <w:keepLines w:val="0"/>
              <w:widowControl/>
              <w:suppressLineNumbers w:val="0"/>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一、评审因素</w:t>
            </w:r>
          </w:p>
          <w:p w14:paraId="3E278A44">
            <w:pPr>
              <w:keepNext w:val="0"/>
              <w:keepLines w:val="0"/>
              <w:widowControl/>
              <w:suppressLineNumbers w:val="0"/>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根据响应文件中提供的策划及推广方案进行评审，包括但不限于①前期策划</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rPr>
              <w:t>调研方案及制作素材收集</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lang w:val="en-US" w:eastAsia="zh-CN"/>
              </w:rPr>
              <w:t>②</w:t>
            </w:r>
            <w:r>
              <w:rPr>
                <w:rFonts w:hint="eastAsia" w:ascii="仿宋" w:hAnsi="仿宋" w:eastAsia="仿宋" w:cs="仿宋"/>
                <w:color w:val="auto"/>
                <w:sz w:val="24"/>
                <w:szCs w:val="24"/>
                <w:highlight w:val="none"/>
                <w:shd w:val="clear" w:color="auto" w:fill="FFFFFF"/>
              </w:rPr>
              <w:t>脚本撰写</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lang w:val="en-US" w:eastAsia="zh-CN"/>
              </w:rPr>
              <w:t>③</w:t>
            </w:r>
            <w:r>
              <w:rPr>
                <w:rFonts w:hint="eastAsia" w:ascii="仿宋" w:hAnsi="仿宋" w:eastAsia="仿宋" w:cs="仿宋"/>
                <w:color w:val="auto"/>
                <w:sz w:val="24"/>
                <w:szCs w:val="24"/>
                <w:highlight w:val="none"/>
                <w:shd w:val="clear" w:color="auto" w:fill="FFFFFF"/>
              </w:rPr>
              <w:t>拍摄计划及方案</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lang w:val="en-US" w:eastAsia="zh-CN"/>
              </w:rPr>
              <w:t>④脚本、拍摄方案审核</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lang w:val="en-US" w:eastAsia="zh-CN"/>
              </w:rPr>
              <w:t>⑤</w:t>
            </w:r>
            <w:r>
              <w:rPr>
                <w:rFonts w:hint="eastAsia" w:ascii="仿宋" w:hAnsi="仿宋" w:eastAsia="仿宋" w:cs="仿宋"/>
                <w:color w:val="auto"/>
                <w:sz w:val="24"/>
                <w:szCs w:val="24"/>
                <w:highlight w:val="none"/>
                <w:shd w:val="clear" w:color="auto" w:fill="FFFFFF"/>
              </w:rPr>
              <w:t>宣传推广方案等。</w:t>
            </w:r>
          </w:p>
          <w:p w14:paraId="134B6CF0">
            <w:pPr>
              <w:keepNext w:val="0"/>
              <w:keepLines w:val="0"/>
              <w:widowControl/>
              <w:suppressLineNumbers w:val="0"/>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二、评审标准</w:t>
            </w:r>
          </w:p>
          <w:p w14:paraId="10E73317">
            <w:pPr>
              <w:keepNext w:val="0"/>
              <w:keepLines w:val="0"/>
              <w:widowControl/>
              <w:suppressLineNumbers w:val="0"/>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1、完善性：方案必须全面，对评审内容中的各项要求有详细阐述；</w:t>
            </w:r>
          </w:p>
          <w:p w14:paraId="65158D2B">
            <w:pPr>
              <w:keepNext w:val="0"/>
              <w:keepLines w:val="0"/>
              <w:widowControl/>
              <w:suppressLineNumbers w:val="0"/>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2、可实施性：切合本项目实际情况，提出步骤清晰、合理的方案；</w:t>
            </w:r>
          </w:p>
          <w:p w14:paraId="172215D8">
            <w:pPr>
              <w:keepNext w:val="0"/>
              <w:keepLines w:val="0"/>
              <w:widowControl/>
              <w:suppressLineNumbers w:val="0"/>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3、针对性：方案能够紧扣项目实际情况，内容科学合理。</w:t>
            </w:r>
          </w:p>
          <w:p w14:paraId="78F6285C">
            <w:pPr>
              <w:keepNext w:val="0"/>
              <w:keepLines w:val="0"/>
              <w:widowControl/>
              <w:suppressLineNumbers w:val="0"/>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上述 5项评审内容全部满足评审标准得20分，每有一个评审内容缺项扣4分，每有一项评审内容存在缺陷，扣</w:t>
            </w:r>
            <w:r>
              <w:rPr>
                <w:rFonts w:hint="eastAsia" w:ascii="仿宋" w:hAnsi="仿宋" w:eastAsia="仿宋" w:cs="仿宋"/>
                <w:sz w:val="24"/>
                <w:szCs w:val="24"/>
                <w:highlight w:val="none"/>
                <w:lang w:val="en-US" w:eastAsia="zh-CN"/>
              </w:rPr>
              <w:t>（</w:t>
            </w:r>
            <w:r>
              <w:rPr>
                <w:rFonts w:hint="eastAsia" w:ascii="仿宋" w:hAnsi="仿宋" w:eastAsia="仿宋" w:cs="仿宋"/>
                <w:color w:val="auto"/>
                <w:sz w:val="24"/>
                <w:szCs w:val="24"/>
                <w:highlight w:val="none"/>
                <w:shd w:val="clear" w:color="auto" w:fill="FFFFFF"/>
              </w:rPr>
              <w:t>0-3.9)分，扣完为止。</w:t>
            </w:r>
          </w:p>
          <w:p w14:paraId="5C440092">
            <w:pPr>
              <w:keepNext w:val="0"/>
              <w:keepLines w:val="0"/>
              <w:widowControl/>
              <w:suppressLineNumbers w:val="0"/>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说明：缺陷是指内容不合理、虽有内容但不完善、内容表述前后不一致、套用其他项目方案或与项目需求。</w:t>
            </w:r>
          </w:p>
        </w:tc>
      </w:tr>
      <w:tr w14:paraId="6003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79" w:type="pct"/>
            <w:tcBorders>
              <w:left w:val="single" w:color="auto" w:sz="4" w:space="0"/>
            </w:tcBorders>
            <w:noWrap w:val="0"/>
            <w:vAlign w:val="center"/>
          </w:tcPr>
          <w:p w14:paraId="1E294576">
            <w:pPr>
              <w:spacing w:line="360" w:lineRule="auto"/>
              <w:ind w:left="0" w:leftChars="0" w:right="0" w:rightChars="0" w:firstLine="0" w:firstLineChars="0"/>
              <w:jc w:val="center"/>
              <w:rPr>
                <w:rFonts w:hint="default"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4</w:t>
            </w:r>
          </w:p>
        </w:tc>
        <w:tc>
          <w:tcPr>
            <w:tcW w:w="757" w:type="pct"/>
            <w:noWrap w:val="0"/>
            <w:vAlign w:val="center"/>
          </w:tcPr>
          <w:p w14:paraId="2CA54E83">
            <w:pPr>
              <w:spacing w:line="360" w:lineRule="auto"/>
              <w:ind w:left="0" w:leftChars="0" w:right="0" w:righ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制作方案（12分）</w:t>
            </w:r>
          </w:p>
        </w:tc>
        <w:tc>
          <w:tcPr>
            <w:tcW w:w="3963" w:type="pct"/>
            <w:tcBorders>
              <w:bottom w:val="single" w:color="auto" w:sz="4" w:space="0"/>
            </w:tcBorders>
            <w:noWrap w:val="0"/>
            <w:vAlign w:val="center"/>
          </w:tcPr>
          <w:p w14:paraId="471972D6">
            <w:pPr>
              <w:keepNext w:val="0"/>
              <w:keepLines w:val="0"/>
              <w:widowControl/>
              <w:numPr>
                <w:ilvl w:val="0"/>
                <w:numId w:val="0"/>
              </w:numPr>
              <w:suppressLineNumbers w:val="0"/>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一、评审因素</w:t>
            </w:r>
          </w:p>
          <w:p w14:paraId="4AD8F828">
            <w:pPr>
              <w:keepNext w:val="0"/>
              <w:keepLines w:val="0"/>
              <w:widowControl/>
              <w:numPr>
                <w:ilvl w:val="0"/>
                <w:numId w:val="0"/>
              </w:numPr>
              <w:suppressLineNumbers w:val="0"/>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根据响应文件中提供的制作方案进行评审，包括但不限于①纪录片整体制作流程；②剪辑制作方案；③配音、配乐、字幕等。</w:t>
            </w:r>
          </w:p>
          <w:p w14:paraId="4E2FFF0A">
            <w:pPr>
              <w:keepNext w:val="0"/>
              <w:keepLines w:val="0"/>
              <w:widowControl/>
              <w:numPr>
                <w:ilvl w:val="0"/>
                <w:numId w:val="0"/>
              </w:numPr>
              <w:suppressLineNumbers w:val="0"/>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二、评审标准</w:t>
            </w:r>
          </w:p>
          <w:p w14:paraId="6178AEAE">
            <w:pPr>
              <w:keepNext w:val="0"/>
              <w:keepLines w:val="0"/>
              <w:widowControl/>
              <w:numPr>
                <w:ilvl w:val="0"/>
                <w:numId w:val="0"/>
              </w:numPr>
              <w:suppressLineNumbers w:val="0"/>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1、完善性：方案必须全面，对评审内容中的各项要求有详细阐述；</w:t>
            </w:r>
          </w:p>
          <w:p w14:paraId="7F84B2D9">
            <w:pPr>
              <w:keepNext w:val="0"/>
              <w:keepLines w:val="0"/>
              <w:widowControl/>
              <w:numPr>
                <w:ilvl w:val="0"/>
                <w:numId w:val="0"/>
              </w:numPr>
              <w:suppressLineNumbers w:val="0"/>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2、可实施性：切合本项目实际情况，提出步骤清晰、合理的方案；</w:t>
            </w:r>
          </w:p>
          <w:p w14:paraId="76FE1E87">
            <w:pPr>
              <w:keepNext w:val="0"/>
              <w:keepLines w:val="0"/>
              <w:widowControl/>
              <w:numPr>
                <w:ilvl w:val="0"/>
                <w:numId w:val="0"/>
              </w:numPr>
              <w:suppressLineNumbers w:val="0"/>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3、针对性：方案能够紧扣项目实际情况，内容科学合理。</w:t>
            </w:r>
          </w:p>
          <w:p w14:paraId="6D6AE2DF">
            <w:pPr>
              <w:keepNext w:val="0"/>
              <w:keepLines w:val="0"/>
              <w:widowControl/>
              <w:numPr>
                <w:ilvl w:val="0"/>
                <w:numId w:val="0"/>
              </w:numPr>
              <w:suppressLineNumbers w:val="0"/>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上述3项评审内容全部满足评审标准得12分，每有一个评审内容缺项扣4分，每有一项评审内容存在缺陷，扣</w:t>
            </w:r>
            <w:r>
              <w:rPr>
                <w:rFonts w:hint="eastAsia" w:ascii="仿宋" w:hAnsi="仿宋" w:eastAsia="仿宋" w:cs="仿宋"/>
                <w:sz w:val="24"/>
                <w:szCs w:val="24"/>
                <w:highlight w:val="none"/>
                <w:lang w:val="en-US" w:eastAsia="zh-CN"/>
              </w:rPr>
              <w:t>（</w:t>
            </w:r>
            <w:r>
              <w:rPr>
                <w:rFonts w:hint="eastAsia" w:ascii="仿宋" w:hAnsi="仿宋" w:eastAsia="仿宋" w:cs="仿宋"/>
                <w:color w:val="auto"/>
                <w:sz w:val="24"/>
                <w:szCs w:val="24"/>
                <w:highlight w:val="none"/>
                <w:lang w:val="en-US" w:eastAsia="zh-CN"/>
              </w:rPr>
              <w:t>0-3.9)分，扣完为止。</w:t>
            </w:r>
          </w:p>
          <w:p w14:paraId="3BE8C6CC">
            <w:pPr>
              <w:keepNext w:val="0"/>
              <w:keepLines w:val="0"/>
              <w:widowControl/>
              <w:numPr>
                <w:ilvl w:val="0"/>
                <w:numId w:val="0"/>
              </w:numPr>
              <w:suppressLineNumbers w:val="0"/>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说明：缺陷是指内容不合理、虽有内容但不完善、内容表述前后不一致、套用其他项目方案或与项目需求。</w:t>
            </w:r>
          </w:p>
        </w:tc>
      </w:tr>
      <w:tr w14:paraId="7AB0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79" w:type="pct"/>
            <w:tcBorders>
              <w:left w:val="single" w:color="auto" w:sz="4" w:space="0"/>
            </w:tcBorders>
            <w:noWrap w:val="0"/>
            <w:vAlign w:val="center"/>
          </w:tcPr>
          <w:p w14:paraId="0ACDDF86">
            <w:pPr>
              <w:spacing w:line="360" w:lineRule="auto"/>
              <w:ind w:left="0" w:leftChars="0" w:right="0" w:rightChars="0" w:firstLine="0" w:firstLineChars="0"/>
              <w:jc w:val="center"/>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5</w:t>
            </w:r>
          </w:p>
        </w:tc>
        <w:tc>
          <w:tcPr>
            <w:tcW w:w="757" w:type="pct"/>
            <w:noWrap w:val="0"/>
            <w:vAlign w:val="center"/>
          </w:tcPr>
          <w:p w14:paraId="67987C98">
            <w:pPr>
              <w:spacing w:line="360" w:lineRule="auto"/>
              <w:ind w:left="0" w:leftChars="0" w:right="0" w:righ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软、硬件设施</w:t>
            </w:r>
            <w:r>
              <w:rPr>
                <w:rFonts w:hint="eastAsia" w:ascii="仿宋" w:hAnsi="仿宋" w:eastAsia="仿宋" w:cs="仿宋"/>
                <w:color w:val="auto"/>
                <w:sz w:val="24"/>
                <w:szCs w:val="24"/>
                <w:highlight w:val="none"/>
                <w:lang w:val="en-US" w:eastAsia="zh-CN"/>
              </w:rPr>
              <w:t>配备</w:t>
            </w:r>
          </w:p>
          <w:p w14:paraId="65A63DB1">
            <w:pPr>
              <w:spacing w:line="360" w:lineRule="auto"/>
              <w:ind w:left="0" w:leftChars="0" w:right="0" w:rightChars="0" w:firstLine="0" w:firstLineChars="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val="zh-CN"/>
              </w:rPr>
              <w:t>）</w:t>
            </w:r>
          </w:p>
        </w:tc>
        <w:tc>
          <w:tcPr>
            <w:tcW w:w="3963" w:type="pct"/>
            <w:tcBorders>
              <w:bottom w:val="single" w:color="auto" w:sz="4" w:space="0"/>
            </w:tcBorders>
            <w:noWrap w:val="0"/>
            <w:vAlign w:val="center"/>
          </w:tcPr>
          <w:p w14:paraId="6562B0E6">
            <w:pPr>
              <w:keepNext w:val="0"/>
              <w:keepLines w:val="0"/>
              <w:widowControl/>
              <w:numPr>
                <w:ilvl w:val="0"/>
                <w:numId w:val="0"/>
              </w:numPr>
              <w:suppressLineNumbers w:val="0"/>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一、评审因素</w:t>
            </w:r>
          </w:p>
          <w:p w14:paraId="713559CA">
            <w:pPr>
              <w:keepNext w:val="0"/>
              <w:keepLines w:val="0"/>
              <w:widowControl/>
              <w:numPr>
                <w:ilvl w:val="0"/>
                <w:numId w:val="0"/>
              </w:numPr>
              <w:suppressLineNumbers w:val="0"/>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根据响应文件中提供的拍摄设备进行评审，包括但不限于 ①现场拍摄设备及灯光等；②视频剪辑、后期制作软件及设备等。（至少提供设备的实物图片和软件的详细介绍等内容）</w:t>
            </w:r>
          </w:p>
          <w:p w14:paraId="55A2EBA8">
            <w:pPr>
              <w:keepNext w:val="0"/>
              <w:keepLines w:val="0"/>
              <w:widowControl/>
              <w:numPr>
                <w:ilvl w:val="0"/>
                <w:numId w:val="0"/>
              </w:numPr>
              <w:suppressLineNumbers w:val="0"/>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二、评审标准</w:t>
            </w:r>
          </w:p>
          <w:p w14:paraId="108E4ED7">
            <w:pPr>
              <w:keepNext w:val="0"/>
              <w:keepLines w:val="0"/>
              <w:widowControl/>
              <w:numPr>
                <w:ilvl w:val="0"/>
                <w:numId w:val="0"/>
              </w:numPr>
              <w:suppressLineNumbers w:val="0"/>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1、完善性：方案必须全面，对评审内容中的各项要求有详细阐述；</w:t>
            </w:r>
          </w:p>
          <w:p w14:paraId="6AA7D4D0">
            <w:pPr>
              <w:keepNext w:val="0"/>
              <w:keepLines w:val="0"/>
              <w:widowControl/>
              <w:numPr>
                <w:ilvl w:val="0"/>
                <w:numId w:val="0"/>
              </w:numPr>
              <w:suppressLineNumbers w:val="0"/>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2、可实施性：切合本项目实际情况，提出步骤清晰、合理的方案；</w:t>
            </w:r>
          </w:p>
          <w:p w14:paraId="74A62B89">
            <w:pPr>
              <w:keepNext w:val="0"/>
              <w:keepLines w:val="0"/>
              <w:widowControl/>
              <w:numPr>
                <w:ilvl w:val="0"/>
                <w:numId w:val="0"/>
              </w:numPr>
              <w:suppressLineNumbers w:val="0"/>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3、针对性：方案能够紧扣项目实际情况，内容科学合理。</w:t>
            </w:r>
          </w:p>
          <w:p w14:paraId="020DE710">
            <w:pPr>
              <w:keepNext w:val="0"/>
              <w:keepLines w:val="0"/>
              <w:widowControl/>
              <w:numPr>
                <w:ilvl w:val="0"/>
                <w:numId w:val="0"/>
              </w:numPr>
              <w:suppressLineNumbers w:val="0"/>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上述 2项评审内容全部满足评审标准得6分，每有一个评审内容缺项扣3分，每有一项评审内容存在缺陷，扣</w:t>
            </w:r>
            <w:r>
              <w:rPr>
                <w:rFonts w:hint="eastAsia" w:ascii="仿宋" w:hAnsi="仿宋" w:eastAsia="仿宋" w:cs="仿宋"/>
                <w:sz w:val="24"/>
                <w:szCs w:val="24"/>
                <w:highlight w:val="none"/>
                <w:lang w:val="en-US" w:eastAsia="zh-CN"/>
              </w:rPr>
              <w:t>（</w:t>
            </w:r>
            <w:r>
              <w:rPr>
                <w:rFonts w:hint="eastAsia" w:ascii="仿宋" w:hAnsi="仿宋" w:eastAsia="仿宋" w:cs="仿宋"/>
                <w:color w:val="auto"/>
                <w:sz w:val="24"/>
                <w:szCs w:val="24"/>
                <w:highlight w:val="none"/>
                <w:lang w:val="en-US" w:eastAsia="zh-CN"/>
              </w:rPr>
              <w:t>0-2.9)分，扣完为止。</w:t>
            </w:r>
          </w:p>
          <w:p w14:paraId="1C7F31F7">
            <w:pPr>
              <w:keepNext w:val="0"/>
              <w:keepLines w:val="0"/>
              <w:widowControl/>
              <w:numPr>
                <w:ilvl w:val="0"/>
                <w:numId w:val="0"/>
              </w:numPr>
              <w:suppressLineNumbers w:val="0"/>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说明：缺陷是指内容不合理、虽有内容但不完善、内容表述前后不一致、套用其他项目方案或与项目需求。</w:t>
            </w:r>
          </w:p>
        </w:tc>
      </w:tr>
      <w:tr w14:paraId="4DF3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79" w:type="pct"/>
            <w:tcBorders>
              <w:left w:val="single" w:color="auto" w:sz="4" w:space="0"/>
            </w:tcBorders>
            <w:noWrap w:val="0"/>
            <w:vAlign w:val="center"/>
          </w:tcPr>
          <w:p w14:paraId="34CA3925">
            <w:pPr>
              <w:spacing w:line="360" w:lineRule="auto"/>
              <w:ind w:left="0" w:leftChars="0" w:right="0" w:righ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757" w:type="pct"/>
            <w:noWrap w:val="0"/>
            <w:vAlign w:val="center"/>
          </w:tcPr>
          <w:p w14:paraId="5B97BBF0">
            <w:pPr>
              <w:spacing w:line="360" w:lineRule="auto"/>
              <w:ind w:left="0" w:leftChars="0" w:right="0" w:rightChars="0"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项目管理方案及进度计划</w:t>
            </w:r>
          </w:p>
          <w:p w14:paraId="2FDCC359">
            <w:pPr>
              <w:spacing w:line="360" w:lineRule="auto"/>
              <w:ind w:left="0" w:leftChars="0" w:right="0" w:righ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c>
          <w:tcPr>
            <w:tcW w:w="3963" w:type="pct"/>
            <w:noWrap w:val="0"/>
            <w:vAlign w:val="center"/>
          </w:tcPr>
          <w:p w14:paraId="777CC87F">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一、评审因素</w:t>
            </w:r>
          </w:p>
          <w:p w14:paraId="55E61A91">
            <w:pPr>
              <w:spacing w:line="360" w:lineRule="auto"/>
              <w:ind w:left="0" w:leftChars="0" w:right="0" w:rightChars="0"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w:t>
            </w:r>
            <w:r>
              <w:rPr>
                <w:rFonts w:hint="eastAsia" w:ascii="仿宋" w:hAnsi="仿宋" w:eastAsia="仿宋" w:cs="仿宋"/>
                <w:color w:val="000000"/>
                <w:sz w:val="24"/>
                <w:szCs w:val="24"/>
                <w:highlight w:val="none"/>
                <w:lang w:val="en-US" w:eastAsia="zh-CN"/>
              </w:rPr>
              <w:t>中提供的</w:t>
            </w:r>
            <w:r>
              <w:rPr>
                <w:rFonts w:hint="eastAsia" w:ascii="仿宋" w:hAnsi="仿宋" w:eastAsia="仿宋" w:cs="仿宋"/>
                <w:color w:val="auto"/>
                <w:sz w:val="24"/>
                <w:szCs w:val="24"/>
                <w:highlight w:val="none"/>
                <w:lang w:val="en-US" w:eastAsia="zh-CN"/>
              </w:rPr>
              <w:t>项目管理方案</w:t>
            </w:r>
            <w:r>
              <w:rPr>
                <w:rFonts w:hint="eastAsia" w:ascii="仿宋" w:hAnsi="仿宋" w:eastAsia="仿宋" w:cs="仿宋"/>
                <w:color w:val="000000"/>
                <w:sz w:val="24"/>
                <w:szCs w:val="24"/>
                <w:highlight w:val="none"/>
                <w:lang w:val="en-US" w:eastAsia="zh-CN"/>
              </w:rPr>
              <w:t>进行评审，包括但不限于</w:t>
            </w:r>
            <w:r>
              <w:rPr>
                <w:rFonts w:hint="eastAsia" w:ascii="仿宋" w:hAnsi="仿宋" w:eastAsia="仿宋" w:cs="仿宋"/>
                <w:sz w:val="24"/>
                <w:szCs w:val="24"/>
                <w:highlight w:val="none"/>
              </w:rPr>
              <w:t xml:space="preserve"> ①项目管理方案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②</w:t>
            </w:r>
            <w:r>
              <w:rPr>
                <w:rFonts w:hint="eastAsia" w:ascii="仿宋" w:hAnsi="仿宋" w:eastAsia="仿宋" w:cs="仿宋"/>
                <w:sz w:val="24"/>
                <w:szCs w:val="24"/>
                <w:highlight w:val="none"/>
                <w:lang w:val="en-US" w:eastAsia="zh-CN"/>
              </w:rPr>
              <w:t>拍摄及制作</w:t>
            </w:r>
            <w:r>
              <w:rPr>
                <w:rFonts w:hint="eastAsia" w:ascii="仿宋" w:hAnsi="仿宋" w:eastAsia="仿宋" w:cs="仿宋"/>
                <w:sz w:val="24"/>
                <w:szCs w:val="24"/>
                <w:highlight w:val="none"/>
              </w:rPr>
              <w:t>进度计划及保证</w:t>
            </w:r>
            <w:r>
              <w:rPr>
                <w:rFonts w:hint="eastAsia" w:ascii="仿宋" w:hAnsi="仿宋" w:eastAsia="仿宋" w:cs="仿宋"/>
                <w:sz w:val="24"/>
                <w:szCs w:val="24"/>
                <w:highlight w:val="none"/>
                <w:lang w:val="en-US" w:eastAsia="zh-CN"/>
              </w:rPr>
              <w:t>措施等。</w:t>
            </w:r>
          </w:p>
          <w:p w14:paraId="331F7327">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二、评审标准</w:t>
            </w:r>
          </w:p>
          <w:p w14:paraId="7C58F25E">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1、完善性：方案必须全面，对评审内容中的各项要求有详细阐述；</w:t>
            </w:r>
          </w:p>
          <w:p w14:paraId="6D071FE4">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2、可实施性：切合本项目实际情况，提出步骤清晰、合理的方案；</w:t>
            </w:r>
          </w:p>
          <w:p w14:paraId="1F428F19">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3、针对性：方案能够紧扣项目实际情况，内容科学合理。</w:t>
            </w:r>
          </w:p>
          <w:p w14:paraId="76535542">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上述 </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项评审内容全部满足评审标准得</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分，每有一个评审内容缺项扣</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分，每有一项评审内容存在缺陷，扣</w:t>
            </w:r>
            <w:r>
              <w:rPr>
                <w:rFonts w:hint="eastAsia" w:ascii="仿宋" w:hAnsi="仿宋" w:eastAsia="仿宋" w:cs="仿宋"/>
                <w:sz w:val="24"/>
                <w:szCs w:val="24"/>
                <w:highlight w:val="none"/>
                <w:lang w:val="en-US" w:eastAsia="zh-CN"/>
              </w:rPr>
              <w:t>（</w:t>
            </w:r>
            <w:r>
              <w:rPr>
                <w:rFonts w:hint="eastAsia" w:ascii="仿宋" w:hAnsi="仿宋" w:eastAsia="仿宋" w:cs="仿宋"/>
                <w:color w:val="000000"/>
                <w:sz w:val="24"/>
                <w:szCs w:val="24"/>
                <w:highlight w:val="none"/>
              </w:rPr>
              <w:t>0-</w:t>
            </w:r>
            <w:r>
              <w:rPr>
                <w:rFonts w:hint="eastAsia" w:ascii="仿宋" w:hAnsi="仿宋" w:eastAsia="仿宋" w:cs="仿宋"/>
                <w:color w:val="000000"/>
                <w:sz w:val="24"/>
                <w:szCs w:val="24"/>
                <w:highlight w:val="none"/>
                <w:lang w:val="en-US" w:eastAsia="zh-CN"/>
              </w:rPr>
              <w:t>2.9</w:t>
            </w:r>
            <w:r>
              <w:rPr>
                <w:rFonts w:hint="eastAsia" w:ascii="仿宋" w:hAnsi="仿宋" w:eastAsia="仿宋" w:cs="仿宋"/>
                <w:color w:val="000000"/>
                <w:sz w:val="24"/>
                <w:szCs w:val="24"/>
                <w:highlight w:val="none"/>
              </w:rPr>
              <w:t>)分，扣完为止。</w:t>
            </w:r>
          </w:p>
          <w:p w14:paraId="51C4E8DC">
            <w:pPr>
              <w:pStyle w:val="14"/>
              <w:numPr>
                <w:ilvl w:val="0"/>
                <w:numId w:val="0"/>
              </w:numPr>
              <w:spacing w:line="360" w:lineRule="auto"/>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color w:val="000000"/>
                <w:sz w:val="24"/>
                <w:szCs w:val="24"/>
                <w:highlight w:val="none"/>
              </w:rPr>
              <w:t>说明：缺陷是指内容不合理、虽有内容但不完善、内容表述前后不一致、套用其他项目方案或与项目需求</w:t>
            </w:r>
            <w:r>
              <w:rPr>
                <w:rFonts w:hint="eastAsia" w:ascii="仿宋" w:hAnsi="仿宋" w:eastAsia="仿宋" w:cs="仿宋"/>
                <w:color w:val="000000"/>
                <w:sz w:val="24"/>
                <w:szCs w:val="24"/>
                <w:highlight w:val="none"/>
                <w:lang w:eastAsia="zh-CN"/>
              </w:rPr>
              <w:t>。</w:t>
            </w:r>
          </w:p>
        </w:tc>
      </w:tr>
      <w:tr w14:paraId="7512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79" w:type="pct"/>
            <w:tcBorders>
              <w:left w:val="single" w:color="auto" w:sz="4" w:space="0"/>
            </w:tcBorders>
            <w:noWrap w:val="0"/>
            <w:vAlign w:val="center"/>
          </w:tcPr>
          <w:p w14:paraId="0919C685">
            <w:pPr>
              <w:spacing w:line="360" w:lineRule="auto"/>
              <w:ind w:left="0" w:leftChars="0" w:right="0" w:righ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757" w:type="pct"/>
            <w:noWrap w:val="0"/>
            <w:vAlign w:val="center"/>
          </w:tcPr>
          <w:p w14:paraId="6C2344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质量保障措施及</w:t>
            </w:r>
            <w:r>
              <w:rPr>
                <w:rFonts w:hint="eastAsia" w:ascii="仿宋" w:hAnsi="仿宋" w:eastAsia="仿宋" w:cs="仿宋"/>
                <w:sz w:val="24"/>
                <w:szCs w:val="24"/>
                <w:highlight w:val="none"/>
                <w:lang w:eastAsia="zh-CN"/>
              </w:rPr>
              <w:t>应急预案</w:t>
            </w:r>
          </w:p>
          <w:p w14:paraId="2C2D427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9分</w:t>
            </w:r>
            <w:r>
              <w:rPr>
                <w:rFonts w:hint="eastAsia" w:ascii="仿宋" w:hAnsi="仿宋" w:eastAsia="仿宋" w:cs="仿宋"/>
                <w:sz w:val="24"/>
                <w:szCs w:val="24"/>
                <w:highlight w:val="none"/>
                <w:lang w:eastAsia="zh-CN"/>
              </w:rPr>
              <w:t>）</w:t>
            </w:r>
          </w:p>
        </w:tc>
        <w:tc>
          <w:tcPr>
            <w:tcW w:w="3963" w:type="pct"/>
            <w:noWrap w:val="0"/>
            <w:vAlign w:val="center"/>
          </w:tcPr>
          <w:p w14:paraId="2BA7D980">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一、评审因素</w:t>
            </w:r>
          </w:p>
          <w:p w14:paraId="7947023D">
            <w:pPr>
              <w:spacing w:line="360" w:lineRule="auto"/>
              <w:ind w:left="0" w:leftChars="0" w:right="0" w:rightChars="0"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w:t>
            </w:r>
            <w:r>
              <w:rPr>
                <w:rFonts w:hint="eastAsia" w:ascii="仿宋" w:hAnsi="仿宋" w:eastAsia="仿宋" w:cs="仿宋"/>
                <w:color w:val="000000"/>
                <w:sz w:val="24"/>
                <w:szCs w:val="24"/>
                <w:highlight w:val="none"/>
                <w:lang w:val="en-US" w:eastAsia="zh-CN"/>
              </w:rPr>
              <w:t>中提供的</w:t>
            </w:r>
            <w:r>
              <w:rPr>
                <w:rFonts w:hint="eastAsia" w:ascii="仿宋" w:hAnsi="仿宋" w:eastAsia="仿宋" w:cs="仿宋"/>
                <w:sz w:val="24"/>
                <w:szCs w:val="24"/>
                <w:highlight w:val="none"/>
                <w:lang w:val="en-US" w:eastAsia="zh-CN"/>
              </w:rPr>
              <w:t>质量保障措施及</w:t>
            </w:r>
            <w:r>
              <w:rPr>
                <w:rFonts w:hint="eastAsia" w:ascii="仿宋" w:hAnsi="仿宋" w:eastAsia="仿宋" w:cs="仿宋"/>
                <w:sz w:val="24"/>
                <w:szCs w:val="24"/>
                <w:highlight w:val="none"/>
                <w:lang w:eastAsia="zh-CN"/>
              </w:rPr>
              <w:t>应急预案</w:t>
            </w:r>
            <w:r>
              <w:rPr>
                <w:rFonts w:hint="eastAsia" w:ascii="仿宋" w:hAnsi="仿宋" w:eastAsia="仿宋" w:cs="仿宋"/>
                <w:color w:val="000000"/>
                <w:sz w:val="24"/>
                <w:szCs w:val="24"/>
                <w:highlight w:val="none"/>
                <w:lang w:val="en-US" w:eastAsia="zh-CN"/>
              </w:rPr>
              <w:t>进行评审，包括但不限于</w:t>
            </w:r>
            <w:r>
              <w:rPr>
                <w:rFonts w:hint="eastAsia" w:ascii="仿宋" w:hAnsi="仿宋" w:eastAsia="仿宋" w:cs="仿宋"/>
                <w:sz w:val="24"/>
                <w:szCs w:val="24"/>
                <w:highlight w:val="none"/>
              </w:rPr>
              <w:t xml:space="preserve"> ①针对本项目质量保障措施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②</w:t>
            </w:r>
            <w:r>
              <w:rPr>
                <w:rFonts w:hint="eastAsia" w:ascii="仿宋" w:hAnsi="仿宋" w:eastAsia="仿宋" w:cs="仿宋"/>
                <w:color w:val="000000"/>
                <w:kern w:val="0"/>
                <w:sz w:val="24"/>
                <w:szCs w:val="24"/>
                <w:highlight w:val="none"/>
                <w:lang w:val="en-US" w:eastAsia="zh-CN" w:bidi="ar"/>
              </w:rPr>
              <w:t>项目实施中存在的重大问题而提出的应急解决方案；③针对本项目预期效果方案及未达到预期效果的解决措施</w:t>
            </w:r>
            <w:r>
              <w:rPr>
                <w:rFonts w:hint="eastAsia" w:ascii="仿宋" w:hAnsi="仿宋" w:eastAsia="仿宋" w:cs="仿宋"/>
                <w:sz w:val="24"/>
                <w:szCs w:val="24"/>
                <w:highlight w:val="none"/>
                <w:lang w:val="en-US" w:eastAsia="zh-CN"/>
              </w:rPr>
              <w:t>等。</w:t>
            </w:r>
          </w:p>
          <w:p w14:paraId="26E5F66F">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二、评审标准</w:t>
            </w:r>
          </w:p>
          <w:p w14:paraId="2DB3510E">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1、完善性：方案必须全面，对评审内容中的各项要求有详细阐述；</w:t>
            </w:r>
          </w:p>
          <w:p w14:paraId="283150D0">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2、可实施性：切合本项目实际情况，提出步骤清晰、合理的方案；</w:t>
            </w:r>
          </w:p>
          <w:p w14:paraId="5DFAA398">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3、针对性：方案能够紧扣项目实际情况，内容科学合理。</w:t>
            </w:r>
          </w:p>
          <w:p w14:paraId="1B2A0194">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上述 </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项评审内容全部满足评审标准得</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分，每有一个评审内容缺项扣</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分，每有一项评审内容存在缺陷，扣</w:t>
            </w:r>
            <w:r>
              <w:rPr>
                <w:rFonts w:hint="eastAsia" w:ascii="仿宋" w:hAnsi="仿宋" w:eastAsia="仿宋" w:cs="仿宋"/>
                <w:sz w:val="24"/>
                <w:szCs w:val="24"/>
                <w:highlight w:val="none"/>
                <w:lang w:val="en-US" w:eastAsia="zh-CN"/>
              </w:rPr>
              <w:t>（</w:t>
            </w:r>
            <w:r>
              <w:rPr>
                <w:rFonts w:hint="eastAsia" w:ascii="仿宋" w:hAnsi="仿宋" w:eastAsia="仿宋" w:cs="仿宋"/>
                <w:color w:val="000000"/>
                <w:sz w:val="24"/>
                <w:szCs w:val="24"/>
                <w:highlight w:val="none"/>
              </w:rPr>
              <w:t>0-</w:t>
            </w:r>
            <w:r>
              <w:rPr>
                <w:rFonts w:hint="eastAsia" w:ascii="仿宋" w:hAnsi="仿宋" w:eastAsia="仿宋" w:cs="仿宋"/>
                <w:color w:val="000000"/>
                <w:sz w:val="24"/>
                <w:szCs w:val="24"/>
                <w:highlight w:val="none"/>
                <w:lang w:val="en-US" w:eastAsia="zh-CN"/>
              </w:rPr>
              <w:t>2.9</w:t>
            </w:r>
            <w:r>
              <w:rPr>
                <w:rFonts w:hint="eastAsia" w:ascii="仿宋" w:hAnsi="仿宋" w:eastAsia="仿宋" w:cs="仿宋"/>
                <w:color w:val="000000"/>
                <w:sz w:val="24"/>
                <w:szCs w:val="24"/>
                <w:highlight w:val="none"/>
              </w:rPr>
              <w:t>)分，扣完为止。</w:t>
            </w:r>
          </w:p>
          <w:p w14:paraId="30B52CF6">
            <w:pPr>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rPr>
              <w:t>说明：缺陷是指内容不合理、虽有内容但不完善、内容表述前后不一致、套用其他项目方案或与项目需求</w:t>
            </w:r>
            <w:r>
              <w:rPr>
                <w:rFonts w:hint="eastAsia" w:ascii="仿宋" w:hAnsi="仿宋" w:eastAsia="仿宋" w:cs="仿宋"/>
                <w:color w:val="000000"/>
                <w:sz w:val="24"/>
                <w:szCs w:val="24"/>
                <w:highlight w:val="none"/>
                <w:lang w:eastAsia="zh-CN"/>
              </w:rPr>
              <w:t>。</w:t>
            </w:r>
          </w:p>
        </w:tc>
      </w:tr>
      <w:tr w14:paraId="2E1E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79" w:type="pct"/>
            <w:tcBorders>
              <w:left w:val="single" w:color="auto" w:sz="4" w:space="0"/>
            </w:tcBorders>
            <w:noWrap w:val="0"/>
            <w:vAlign w:val="center"/>
          </w:tcPr>
          <w:p w14:paraId="2FFB5E59">
            <w:pPr>
              <w:spacing w:line="360" w:lineRule="auto"/>
              <w:ind w:left="0" w:leftChars="0" w:right="0" w:righ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757" w:type="pct"/>
            <w:noWrap w:val="0"/>
            <w:vAlign w:val="center"/>
          </w:tcPr>
          <w:p w14:paraId="1D4806B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项目团队技术力量配备</w:t>
            </w:r>
          </w:p>
          <w:p w14:paraId="21BF58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4分</w:t>
            </w:r>
            <w:r>
              <w:rPr>
                <w:rFonts w:hint="eastAsia" w:ascii="仿宋" w:hAnsi="仿宋" w:eastAsia="仿宋" w:cs="仿宋"/>
                <w:b w:val="0"/>
                <w:bCs w:val="0"/>
                <w:sz w:val="24"/>
                <w:szCs w:val="24"/>
                <w:highlight w:val="none"/>
                <w:lang w:eastAsia="zh-CN"/>
              </w:rPr>
              <w:t>）</w:t>
            </w:r>
          </w:p>
        </w:tc>
        <w:tc>
          <w:tcPr>
            <w:tcW w:w="3963" w:type="pct"/>
            <w:noWrap w:val="0"/>
            <w:vAlign w:val="center"/>
          </w:tcPr>
          <w:p w14:paraId="44941418">
            <w:pPr>
              <w:pStyle w:val="3"/>
              <w:numPr>
                <w:ilvl w:val="0"/>
                <w:numId w:val="0"/>
              </w:numPr>
              <w:jc w:val="both"/>
              <w:rPr>
                <w:rFonts w:hint="eastAsia" w:ascii="仿宋" w:hAnsi="仿宋" w:eastAsia="仿宋" w:cs="仿宋"/>
                <w:b w:val="0"/>
                <w:bCs w:val="0"/>
                <w:sz w:val="24"/>
                <w:szCs w:val="24"/>
                <w:highlight w:val="none"/>
                <w:lang w:val="en-US" w:eastAsia="zh-CN"/>
              </w:rPr>
            </w:pPr>
            <w:bookmarkStart w:id="67" w:name="_Toc28931"/>
            <w:bookmarkStart w:id="68" w:name="_Toc24124"/>
            <w:r>
              <w:rPr>
                <w:rFonts w:hint="eastAsia" w:ascii="仿宋" w:hAnsi="仿宋" w:eastAsia="仿宋" w:cs="仿宋"/>
                <w:b w:val="0"/>
                <w:bCs w:val="0"/>
                <w:kern w:val="2"/>
                <w:sz w:val="24"/>
                <w:szCs w:val="24"/>
                <w:lang w:val="en-US" w:eastAsia="zh-CN" w:bidi="ar-SA"/>
              </w:rPr>
              <w:t>1、</w:t>
            </w:r>
            <w:r>
              <w:rPr>
                <w:rFonts w:hint="eastAsia" w:ascii="仿宋" w:hAnsi="仿宋" w:eastAsia="仿宋" w:cs="仿宋"/>
                <w:b w:val="0"/>
                <w:bCs w:val="0"/>
                <w:sz w:val="24"/>
                <w:szCs w:val="24"/>
                <w:highlight w:val="none"/>
                <w:lang w:val="en-US" w:eastAsia="zh-CN"/>
              </w:rPr>
              <w:t>提供项目负责人具有类似工作经验的证明材料（证明材料包括但不限于委托协议、纪录片署名截图等，证明材料需体现项目负责人姓名），每提供1个得1分，满分2分。 未提供不得分。</w:t>
            </w:r>
            <w:bookmarkEnd w:id="67"/>
            <w:bookmarkEnd w:id="68"/>
          </w:p>
          <w:p w14:paraId="3B4CE518">
            <w:pPr>
              <w:numPr>
                <w:ilvl w:val="-1"/>
                <w:numId w:val="0"/>
              </w:numPr>
              <w:rPr>
                <w:rFonts w:hint="default"/>
                <w:lang w:val="en-US" w:eastAsia="zh-CN"/>
              </w:rPr>
            </w:pPr>
            <w:r>
              <w:rPr>
                <w:rFonts w:hint="eastAsia" w:ascii="仿宋" w:hAnsi="仿宋" w:eastAsia="仿宋" w:cs="仿宋"/>
                <w:sz w:val="24"/>
                <w:highlight w:val="none"/>
                <w:lang w:val="en-US" w:eastAsia="zh-CN"/>
              </w:rPr>
              <w:t>2、项目团队人员（含项目负责人）具有二级及以上导演证书或相关行业副高级及以上职称，每提供一个计1分，满分2分。</w:t>
            </w:r>
            <w:r>
              <w:rPr>
                <w:rFonts w:hint="eastAsia" w:ascii="仿宋" w:hAnsi="仿宋" w:eastAsia="仿宋" w:cs="仿宋"/>
                <w:b w:val="0"/>
                <w:bCs w:val="0"/>
                <w:sz w:val="24"/>
                <w:szCs w:val="24"/>
                <w:highlight w:val="none"/>
                <w:lang w:val="en-US" w:eastAsia="zh-CN"/>
              </w:rPr>
              <w:t xml:space="preserve"> 未提供不得分。</w:t>
            </w:r>
          </w:p>
        </w:tc>
      </w:tr>
      <w:tr w14:paraId="02A9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79" w:type="pct"/>
            <w:noWrap w:val="0"/>
            <w:vAlign w:val="center"/>
          </w:tcPr>
          <w:p w14:paraId="78394D5B">
            <w:pPr>
              <w:spacing w:line="360" w:lineRule="auto"/>
              <w:ind w:left="0" w:leftChars="0" w:right="0" w:rightChars="0" w:firstLine="0" w:firstLineChars="0"/>
              <w:jc w:val="center"/>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9</w:t>
            </w:r>
          </w:p>
        </w:tc>
        <w:tc>
          <w:tcPr>
            <w:tcW w:w="757" w:type="pct"/>
            <w:noWrap w:val="0"/>
            <w:vAlign w:val="center"/>
          </w:tcPr>
          <w:p w14:paraId="4B8BA7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项目团队（8分）</w:t>
            </w:r>
          </w:p>
        </w:tc>
        <w:tc>
          <w:tcPr>
            <w:tcW w:w="3963" w:type="pct"/>
            <w:noWrap w:val="0"/>
            <w:vAlign w:val="center"/>
          </w:tcPr>
          <w:p w14:paraId="2F2D058F">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一、评审因素</w:t>
            </w:r>
          </w:p>
          <w:p w14:paraId="2B80F0D3">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文件中提供的</w:t>
            </w:r>
            <w:r>
              <w:rPr>
                <w:rFonts w:hint="eastAsia" w:ascii="仿宋" w:hAnsi="仿宋" w:eastAsia="仿宋" w:cs="仿宋"/>
                <w:color w:val="000000"/>
                <w:sz w:val="24"/>
                <w:szCs w:val="24"/>
                <w:highlight w:val="none"/>
                <w:lang w:val="en-US" w:eastAsia="zh-CN"/>
              </w:rPr>
              <w:t>项目团队配置</w:t>
            </w:r>
            <w:r>
              <w:rPr>
                <w:rFonts w:hint="eastAsia" w:ascii="仿宋" w:hAnsi="仿宋" w:eastAsia="仿宋" w:cs="仿宋"/>
                <w:color w:val="000000"/>
                <w:sz w:val="24"/>
                <w:szCs w:val="24"/>
                <w:highlight w:val="none"/>
              </w:rPr>
              <w:t>进行评审，包括但不限于</w:t>
            </w:r>
            <w:r>
              <w:rPr>
                <w:rFonts w:hint="eastAsia" w:ascii="仿宋" w:hAnsi="仿宋" w:eastAsia="仿宋" w:cs="仿宋"/>
                <w:sz w:val="24"/>
                <w:szCs w:val="24"/>
                <w:highlight w:val="none"/>
                <w:lang w:val="en-US" w:eastAsia="zh-CN"/>
              </w:rPr>
              <w:t>①</w:t>
            </w:r>
            <w:r>
              <w:rPr>
                <w:rFonts w:hint="eastAsia" w:ascii="仿宋" w:hAnsi="仿宋" w:eastAsia="仿宋" w:cs="仿宋"/>
                <w:sz w:val="24"/>
                <w:szCs w:val="24"/>
                <w:highlight w:val="none"/>
              </w:rPr>
              <w:t>本项目的服务团队架构</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分工，具有专业的</w:t>
            </w:r>
            <w:r>
              <w:rPr>
                <w:rFonts w:hint="eastAsia" w:ascii="仿宋" w:hAnsi="仿宋" w:eastAsia="仿宋" w:cs="仿宋"/>
                <w:sz w:val="24"/>
                <w:szCs w:val="24"/>
                <w:highlight w:val="none"/>
                <w:lang w:val="en-US" w:eastAsia="zh-CN"/>
              </w:rPr>
              <w:t>拍摄、剪辑人员</w:t>
            </w:r>
            <w:r>
              <w:rPr>
                <w:rFonts w:hint="eastAsia" w:ascii="仿宋" w:hAnsi="仿宋" w:eastAsia="仿宋" w:cs="仿宋"/>
                <w:sz w:val="24"/>
                <w:szCs w:val="24"/>
                <w:highlight w:val="none"/>
              </w:rPr>
              <w:t>，团队人员经验；</w:t>
            </w:r>
            <w:r>
              <w:rPr>
                <w:rFonts w:hint="eastAsia" w:ascii="仿宋" w:hAnsi="仿宋" w:eastAsia="仿宋" w:cs="仿宋"/>
                <w:sz w:val="24"/>
                <w:szCs w:val="24"/>
                <w:highlight w:val="none"/>
                <w:lang w:val="en-US" w:eastAsia="zh-CN"/>
              </w:rPr>
              <w:t>②</w:t>
            </w:r>
            <w:r>
              <w:rPr>
                <w:rFonts w:hint="eastAsia" w:ascii="仿宋" w:hAnsi="仿宋" w:eastAsia="仿宋" w:cs="仿宋"/>
                <w:sz w:val="24"/>
                <w:szCs w:val="24"/>
                <w:highlight w:val="none"/>
              </w:rPr>
              <w:t>人员岗位职责（包括但不限于</w:t>
            </w:r>
            <w:r>
              <w:rPr>
                <w:rFonts w:hint="eastAsia" w:ascii="仿宋" w:hAnsi="仿宋" w:eastAsia="仿宋" w:cs="仿宋"/>
                <w:sz w:val="24"/>
                <w:szCs w:val="24"/>
                <w:highlight w:val="none"/>
                <w:lang w:val="en-US" w:eastAsia="zh-CN"/>
              </w:rPr>
              <w:t>撰稿、导演、策划</w:t>
            </w:r>
            <w:r>
              <w:rPr>
                <w:rFonts w:hint="eastAsia" w:ascii="仿宋" w:hAnsi="仿宋" w:eastAsia="仿宋" w:cs="仿宋"/>
                <w:sz w:val="24"/>
                <w:szCs w:val="24"/>
                <w:highlight w:val="none"/>
              </w:rPr>
              <w:t>、摄像、灯光、剪辑等）。</w:t>
            </w:r>
          </w:p>
          <w:p w14:paraId="44B6FAFF">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二、评审标准</w:t>
            </w:r>
          </w:p>
          <w:p w14:paraId="1EC64184">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1、完善性：方案必须全面，对评审内容中的各项要求有详细阐述；</w:t>
            </w:r>
          </w:p>
          <w:p w14:paraId="7ED5BF45">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2、可实施性：切合本项目实际情况，提出步骤清晰、合理的方案；</w:t>
            </w:r>
          </w:p>
          <w:p w14:paraId="3929396C">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3、针对性：方案能够紧扣项目实际情况，内容科学合理。</w:t>
            </w:r>
          </w:p>
          <w:p w14:paraId="4FEB64E6">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上述 2 项评审内容全部满足评审标准得</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分，每有一个评审内容缺项扣</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分，每有一项评审内容存在缺陷，扣</w:t>
            </w:r>
            <w:r>
              <w:rPr>
                <w:rFonts w:hint="eastAsia" w:ascii="仿宋" w:hAnsi="仿宋" w:eastAsia="仿宋" w:cs="仿宋"/>
                <w:sz w:val="24"/>
                <w:szCs w:val="24"/>
                <w:highlight w:val="none"/>
                <w:lang w:val="en-US" w:eastAsia="zh-CN"/>
              </w:rPr>
              <w:t>（</w:t>
            </w:r>
            <w:r>
              <w:rPr>
                <w:rFonts w:hint="eastAsia" w:ascii="仿宋" w:hAnsi="仿宋" w:eastAsia="仿宋" w:cs="仿宋"/>
                <w:color w:val="000000"/>
                <w:sz w:val="24"/>
                <w:szCs w:val="24"/>
                <w:highlight w:val="none"/>
              </w:rPr>
              <w:t>0-</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.9)分，扣完为止。</w:t>
            </w:r>
          </w:p>
          <w:p w14:paraId="2649BE79">
            <w:pPr>
              <w:spacing w:line="360" w:lineRule="auto"/>
              <w:ind w:left="0" w:leftChars="0" w:right="0" w:rightChars="0" w:firstLine="0" w:firstLineChars="0"/>
              <w:jc w:val="both"/>
              <w:rPr>
                <w:rFonts w:hint="eastAsia" w:ascii="仿宋" w:hAnsi="仿宋" w:eastAsia="仿宋" w:cs="仿宋"/>
                <w:sz w:val="24"/>
                <w:szCs w:val="24"/>
                <w:highlight w:val="none"/>
                <w:shd w:val="clear" w:color="auto" w:fill="FFFFFF"/>
              </w:rPr>
            </w:pPr>
            <w:r>
              <w:rPr>
                <w:rFonts w:hint="eastAsia" w:ascii="仿宋" w:hAnsi="仿宋" w:eastAsia="仿宋" w:cs="仿宋"/>
                <w:color w:val="000000"/>
                <w:sz w:val="24"/>
                <w:szCs w:val="24"/>
                <w:highlight w:val="none"/>
              </w:rPr>
              <w:t>说明：缺陷是指内容不合理、虽有内容但不完善、内容表述前后不一致、套用其他项目方案或与项目需求</w:t>
            </w:r>
            <w:r>
              <w:rPr>
                <w:rFonts w:hint="eastAsia" w:ascii="仿宋" w:hAnsi="仿宋" w:eastAsia="仿宋" w:cs="仿宋"/>
                <w:color w:val="000000"/>
                <w:sz w:val="24"/>
                <w:szCs w:val="24"/>
                <w:highlight w:val="none"/>
                <w:lang w:eastAsia="zh-CN"/>
              </w:rPr>
              <w:t>。</w:t>
            </w:r>
          </w:p>
        </w:tc>
      </w:tr>
      <w:tr w14:paraId="6B18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79" w:type="pct"/>
            <w:noWrap w:val="0"/>
            <w:vAlign w:val="center"/>
          </w:tcPr>
          <w:p w14:paraId="67A453D3">
            <w:pPr>
              <w:spacing w:line="360" w:lineRule="auto"/>
              <w:ind w:left="0" w:leftChars="0" w:right="0" w:rightChars="0" w:firstLine="0" w:firstLineChars="0"/>
              <w:jc w:val="center"/>
              <w:rPr>
                <w:rFonts w:hint="default"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10</w:t>
            </w:r>
          </w:p>
        </w:tc>
        <w:tc>
          <w:tcPr>
            <w:tcW w:w="757" w:type="pct"/>
            <w:noWrap w:val="0"/>
            <w:vAlign w:val="center"/>
          </w:tcPr>
          <w:p w14:paraId="362DF872">
            <w:pPr>
              <w:spacing w:line="360" w:lineRule="auto"/>
              <w:ind w:left="0" w:leftChars="0" w:right="0" w:rightChars="0" w:firstLine="0" w:firstLineChars="0"/>
              <w:jc w:val="center"/>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售后服务（9分）</w:t>
            </w:r>
          </w:p>
        </w:tc>
        <w:tc>
          <w:tcPr>
            <w:tcW w:w="3963" w:type="pct"/>
            <w:noWrap w:val="0"/>
            <w:vAlign w:val="center"/>
          </w:tcPr>
          <w:p w14:paraId="107CAF6F">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一、评审因素</w:t>
            </w:r>
          </w:p>
          <w:p w14:paraId="5FF2FAD5">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文件中提供的售后服务进行评审，包括但不限于</w:t>
            </w:r>
            <w:r>
              <w:rPr>
                <w:rFonts w:hint="eastAsia" w:ascii="仿宋" w:hAnsi="仿宋" w:eastAsia="仿宋" w:cs="仿宋"/>
                <w:sz w:val="24"/>
                <w:szCs w:val="24"/>
                <w:highlight w:val="none"/>
              </w:rPr>
              <w:t xml:space="preserve"> ①</w:t>
            </w:r>
            <w:r>
              <w:rPr>
                <w:rFonts w:hint="eastAsia" w:ascii="仿宋" w:hAnsi="仿宋" w:eastAsia="仿宋" w:cs="仿宋"/>
                <w:sz w:val="24"/>
                <w:szCs w:val="24"/>
                <w:highlight w:val="none"/>
                <w:lang w:val="en-US" w:eastAsia="zh-CN"/>
              </w:rPr>
              <w:t>成果及资料移交方案；②</w:t>
            </w:r>
            <w:r>
              <w:rPr>
                <w:rFonts w:hint="eastAsia" w:ascii="仿宋" w:hAnsi="仿宋" w:eastAsia="仿宋" w:cs="仿宋"/>
                <w:sz w:val="24"/>
                <w:szCs w:val="24"/>
                <w:highlight w:val="none"/>
              </w:rPr>
              <w:t>针对本项目的</w:t>
            </w:r>
            <w:r>
              <w:rPr>
                <w:rFonts w:hint="eastAsia" w:ascii="仿宋" w:hAnsi="仿宋" w:eastAsia="仿宋" w:cs="仿宋"/>
                <w:sz w:val="24"/>
                <w:szCs w:val="24"/>
                <w:highlight w:val="none"/>
                <w:lang w:val="en-US" w:eastAsia="zh-CN"/>
              </w:rPr>
              <w:t>售后</w:t>
            </w:r>
            <w:r>
              <w:rPr>
                <w:rFonts w:hint="eastAsia" w:ascii="仿宋" w:hAnsi="仿宋" w:eastAsia="仿宋" w:cs="仿宋"/>
                <w:sz w:val="24"/>
                <w:szCs w:val="24"/>
                <w:highlight w:val="none"/>
              </w:rPr>
              <w:t>服务承诺，包括但不限于</w:t>
            </w:r>
            <w:r>
              <w:rPr>
                <w:rFonts w:hint="eastAsia" w:ascii="仿宋" w:hAnsi="仿宋" w:eastAsia="仿宋" w:cs="仿宋"/>
                <w:sz w:val="24"/>
                <w:szCs w:val="24"/>
                <w:highlight w:val="none"/>
                <w:lang w:val="en-US" w:eastAsia="zh-CN"/>
              </w:rPr>
              <w:t>售后响应时效、</w:t>
            </w:r>
            <w:r>
              <w:rPr>
                <w:rFonts w:hint="eastAsia" w:ascii="仿宋" w:hAnsi="仿宋" w:eastAsia="仿宋" w:cs="仿宋"/>
                <w:sz w:val="24"/>
                <w:szCs w:val="24"/>
                <w:highlight w:val="none"/>
              </w:rPr>
              <w:t>遇突发情况或临时任务时的保障服务、增值服务等；</w:t>
            </w:r>
            <w:r>
              <w:rPr>
                <w:rFonts w:hint="eastAsia" w:ascii="仿宋" w:hAnsi="仿宋" w:eastAsia="仿宋" w:cs="仿宋"/>
                <w:sz w:val="24"/>
                <w:szCs w:val="24"/>
                <w:highlight w:val="none"/>
                <w:lang w:val="en-US" w:eastAsia="zh-CN"/>
              </w:rPr>
              <w:t>③</w:t>
            </w:r>
            <w:r>
              <w:rPr>
                <w:rFonts w:hint="eastAsia" w:ascii="仿宋" w:hAnsi="仿宋" w:eastAsia="仿宋" w:cs="仿宋"/>
                <w:sz w:val="24"/>
                <w:szCs w:val="24"/>
                <w:highlight w:val="none"/>
              </w:rPr>
              <w:t>根据项目需求结合自身能力提供售后服务方案。</w:t>
            </w:r>
          </w:p>
          <w:p w14:paraId="4B437D5E">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二、评审标准</w:t>
            </w:r>
          </w:p>
          <w:p w14:paraId="1FCF527E">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1、完善性：方案必须全面，对评审内容中的各项要求有详细阐述；</w:t>
            </w:r>
          </w:p>
          <w:p w14:paraId="3D9718AB">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2、可实施性：切合本项目实际情况，提出步骤清晰、合理的方案；</w:t>
            </w:r>
          </w:p>
          <w:p w14:paraId="59D5FE31">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3、针对性：方案能够紧扣项目实际情况，内容科学合理。</w:t>
            </w:r>
          </w:p>
          <w:p w14:paraId="2AA4D88A">
            <w:pPr>
              <w:spacing w:line="360" w:lineRule="auto"/>
              <w:ind w:left="0" w:leftChars="0" w:right="0" w:righ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上述 </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 xml:space="preserve"> 项评审内容全部满足评审标准得</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分，每有一个评审内容缺项扣</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分，每有一项评审内容存在缺陷，扣</w:t>
            </w:r>
            <w:r>
              <w:rPr>
                <w:rFonts w:hint="eastAsia" w:ascii="仿宋" w:hAnsi="仿宋" w:eastAsia="仿宋" w:cs="仿宋"/>
                <w:sz w:val="24"/>
                <w:szCs w:val="24"/>
                <w:highlight w:val="none"/>
                <w:lang w:val="en-US" w:eastAsia="zh-CN"/>
              </w:rPr>
              <w:t>（</w:t>
            </w:r>
            <w:r>
              <w:rPr>
                <w:rFonts w:hint="eastAsia" w:ascii="仿宋" w:hAnsi="仿宋" w:eastAsia="仿宋" w:cs="仿宋"/>
                <w:color w:val="000000"/>
                <w:sz w:val="24"/>
                <w:szCs w:val="24"/>
                <w:highlight w:val="none"/>
              </w:rPr>
              <w:t>0-</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.9)分，扣完为止。</w:t>
            </w:r>
          </w:p>
          <w:p w14:paraId="62267540">
            <w:pPr>
              <w:spacing w:line="360" w:lineRule="auto"/>
              <w:ind w:left="0" w:leftChars="0" w:right="0" w:rightChars="0" w:firstLine="0" w:firstLineChars="0"/>
              <w:jc w:val="both"/>
              <w:rPr>
                <w:rFonts w:hint="eastAsia" w:ascii="仿宋" w:hAnsi="仿宋" w:eastAsia="仿宋" w:cs="仿宋"/>
                <w:sz w:val="24"/>
                <w:szCs w:val="24"/>
                <w:highlight w:val="none"/>
                <w:shd w:val="clear" w:color="auto" w:fill="FFFFFF"/>
              </w:rPr>
            </w:pPr>
            <w:r>
              <w:rPr>
                <w:rFonts w:hint="eastAsia" w:ascii="仿宋" w:hAnsi="仿宋" w:eastAsia="仿宋" w:cs="仿宋"/>
                <w:color w:val="000000"/>
                <w:sz w:val="24"/>
                <w:szCs w:val="24"/>
                <w:highlight w:val="none"/>
              </w:rPr>
              <w:t>说明：缺陷是指内容不合理、虽有内容但不完善、内容表述前后不一致、套用其他项目方案或与项目需求</w:t>
            </w:r>
            <w:r>
              <w:rPr>
                <w:rFonts w:hint="eastAsia" w:ascii="仿宋" w:hAnsi="仿宋" w:eastAsia="仿宋" w:cs="仿宋"/>
                <w:color w:val="000000"/>
                <w:sz w:val="24"/>
                <w:szCs w:val="24"/>
                <w:highlight w:val="none"/>
                <w:lang w:eastAsia="zh-CN"/>
              </w:rPr>
              <w:t>。</w:t>
            </w:r>
          </w:p>
        </w:tc>
      </w:tr>
      <w:tr w14:paraId="0444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79" w:type="pct"/>
            <w:noWrap w:val="0"/>
            <w:vAlign w:val="center"/>
          </w:tcPr>
          <w:p w14:paraId="4B1525DD">
            <w:pPr>
              <w:spacing w:line="360" w:lineRule="auto"/>
              <w:ind w:left="0" w:leftChars="0" w:right="0" w:rightChars="0" w:firstLine="0" w:firstLineChars="0"/>
              <w:jc w:val="center"/>
              <w:rPr>
                <w:rFonts w:hint="default"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11</w:t>
            </w:r>
          </w:p>
        </w:tc>
        <w:tc>
          <w:tcPr>
            <w:tcW w:w="757" w:type="pct"/>
            <w:noWrap w:val="0"/>
            <w:vAlign w:val="center"/>
          </w:tcPr>
          <w:p w14:paraId="06FD1DEB">
            <w:pPr>
              <w:spacing w:line="360" w:lineRule="auto"/>
              <w:ind w:left="0" w:leftChars="0" w:right="0" w:rightChars="0" w:firstLine="0" w:firstLineChars="0"/>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类似业绩</w:t>
            </w:r>
          </w:p>
          <w:p w14:paraId="790AF37A">
            <w:pPr>
              <w:spacing w:line="360" w:lineRule="auto"/>
              <w:ind w:left="0" w:leftChars="0" w:right="0" w:rightChars="0" w:firstLine="0" w:firstLineChars="0"/>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w:t>
            </w:r>
            <w:r>
              <w:rPr>
                <w:rFonts w:hint="eastAsia" w:ascii="仿宋" w:hAnsi="仿宋" w:eastAsia="仿宋" w:cs="仿宋"/>
                <w:sz w:val="24"/>
                <w:szCs w:val="24"/>
                <w:highlight w:val="none"/>
                <w:shd w:val="clear" w:color="auto" w:fill="FFFFFF"/>
                <w:lang w:val="en-US" w:eastAsia="zh-CN"/>
              </w:rPr>
              <w:t>5</w:t>
            </w:r>
            <w:r>
              <w:rPr>
                <w:rFonts w:hint="eastAsia" w:ascii="仿宋" w:hAnsi="仿宋" w:eastAsia="仿宋" w:cs="仿宋"/>
                <w:sz w:val="24"/>
                <w:szCs w:val="24"/>
                <w:highlight w:val="none"/>
                <w:shd w:val="clear" w:color="auto" w:fill="FFFFFF"/>
              </w:rPr>
              <w:t>分)</w:t>
            </w:r>
          </w:p>
        </w:tc>
        <w:tc>
          <w:tcPr>
            <w:tcW w:w="3963" w:type="pct"/>
            <w:noWrap w:val="0"/>
            <w:vAlign w:val="center"/>
          </w:tcPr>
          <w:p w14:paraId="399F1E41">
            <w:pPr>
              <w:spacing w:line="360" w:lineRule="auto"/>
              <w:ind w:left="0" w:leftChars="0" w:right="0" w:rightChars="0" w:firstLine="0" w:firstLineChars="0"/>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lang w:val="en-US" w:eastAsia="zh-CN"/>
              </w:rPr>
              <w:t>供应商提供</w:t>
            </w:r>
            <w:r>
              <w:rPr>
                <w:rFonts w:hint="eastAsia" w:ascii="仿宋" w:hAnsi="仿宋" w:eastAsia="仿宋" w:cs="仿宋"/>
                <w:sz w:val="24"/>
                <w:szCs w:val="24"/>
                <w:highlight w:val="none"/>
                <w:shd w:val="clear" w:color="auto" w:fill="FFFFFF"/>
              </w:rPr>
              <w:t>202</w:t>
            </w: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rPr>
              <w:t>年01月01日至今的类似业绩（以合同签订日期为准），提供合同复印件加盖公章，每</w:t>
            </w:r>
            <w:r>
              <w:rPr>
                <w:rFonts w:hint="eastAsia" w:ascii="仿宋" w:hAnsi="仿宋" w:eastAsia="仿宋" w:cs="仿宋"/>
                <w:sz w:val="24"/>
                <w:szCs w:val="24"/>
                <w:highlight w:val="none"/>
                <w:shd w:val="clear" w:color="auto" w:fill="FFFFFF"/>
                <w:lang w:val="en-US" w:eastAsia="zh-CN"/>
              </w:rPr>
              <w:t>提供一</w:t>
            </w:r>
            <w:r>
              <w:rPr>
                <w:rFonts w:hint="eastAsia" w:ascii="仿宋" w:hAnsi="仿宋" w:eastAsia="仿宋" w:cs="仿宋"/>
                <w:sz w:val="24"/>
                <w:szCs w:val="24"/>
                <w:highlight w:val="none"/>
                <w:shd w:val="clear" w:color="auto" w:fill="FFFFFF"/>
              </w:rPr>
              <w:t>个计</w:t>
            </w: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rPr>
              <w:t>分，满分</w:t>
            </w:r>
            <w:r>
              <w:rPr>
                <w:rFonts w:hint="eastAsia" w:ascii="仿宋" w:hAnsi="仿宋" w:eastAsia="仿宋" w:cs="仿宋"/>
                <w:sz w:val="24"/>
                <w:szCs w:val="24"/>
                <w:highlight w:val="none"/>
                <w:shd w:val="clear" w:color="auto" w:fill="FFFFFF"/>
                <w:lang w:val="en-US" w:eastAsia="zh-CN"/>
              </w:rPr>
              <w:t>5</w:t>
            </w:r>
            <w:r>
              <w:rPr>
                <w:rFonts w:hint="eastAsia" w:ascii="仿宋" w:hAnsi="仿宋" w:eastAsia="仿宋" w:cs="仿宋"/>
                <w:sz w:val="24"/>
                <w:szCs w:val="24"/>
                <w:highlight w:val="none"/>
                <w:shd w:val="clear" w:color="auto" w:fill="FFFFFF"/>
              </w:rPr>
              <w:t>分。</w:t>
            </w:r>
          </w:p>
        </w:tc>
      </w:tr>
      <w:tr w14:paraId="6628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0" w:type="pct"/>
            <w:gridSpan w:val="3"/>
            <w:noWrap w:val="0"/>
            <w:vAlign w:val="center"/>
          </w:tcPr>
          <w:p w14:paraId="7C7BBFC7">
            <w:pPr>
              <w:spacing w:line="360" w:lineRule="auto"/>
              <w:ind w:left="0" w:leftChars="0" w:right="0" w:rightChars="0" w:firstLine="0" w:firstLineChars="0"/>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1）各评委独立打分。</w:t>
            </w:r>
          </w:p>
          <w:p w14:paraId="0B39E5AB">
            <w:pPr>
              <w:spacing w:line="360" w:lineRule="auto"/>
              <w:ind w:left="0" w:leftChars="0" w:right="0" w:rightChars="0" w:firstLine="0" w:firstLineChars="0"/>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2）评委打分超过得分界限或未按本表规定赋分时，该评委的打分无效，不计入汇总分。</w:t>
            </w:r>
          </w:p>
          <w:p w14:paraId="5E5BE21F">
            <w:pPr>
              <w:spacing w:line="360" w:lineRule="auto"/>
              <w:ind w:left="0" w:leftChars="0" w:right="0" w:rightChars="0" w:firstLine="0" w:firstLineChars="0"/>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3）若出现综合得分相同的，按</w:t>
            </w:r>
            <w:r>
              <w:rPr>
                <w:rFonts w:hint="eastAsia" w:ascii="仿宋" w:hAnsi="仿宋" w:eastAsia="仿宋" w:cs="仿宋"/>
                <w:sz w:val="24"/>
                <w:szCs w:val="24"/>
                <w:highlight w:val="none"/>
                <w:shd w:val="clear" w:color="auto" w:fill="FFFFFF"/>
                <w:lang w:eastAsia="zh-CN"/>
              </w:rPr>
              <w:t>磋商</w:t>
            </w:r>
            <w:r>
              <w:rPr>
                <w:rFonts w:hint="eastAsia" w:ascii="仿宋" w:hAnsi="仿宋" w:eastAsia="仿宋" w:cs="仿宋"/>
                <w:sz w:val="24"/>
                <w:szCs w:val="24"/>
                <w:highlight w:val="none"/>
                <w:shd w:val="clear" w:color="auto" w:fill="FFFFFF"/>
              </w:rPr>
              <w:t>报价由低到高顺序排列名次；得分且</w:t>
            </w:r>
            <w:r>
              <w:rPr>
                <w:rFonts w:hint="eastAsia" w:ascii="仿宋" w:hAnsi="仿宋" w:eastAsia="仿宋" w:cs="仿宋"/>
                <w:sz w:val="24"/>
                <w:szCs w:val="24"/>
                <w:highlight w:val="none"/>
                <w:shd w:val="clear" w:color="auto" w:fill="FFFFFF"/>
                <w:lang w:eastAsia="zh-CN"/>
              </w:rPr>
              <w:t>磋商</w:t>
            </w:r>
            <w:r>
              <w:rPr>
                <w:rFonts w:hint="eastAsia" w:ascii="仿宋" w:hAnsi="仿宋" w:eastAsia="仿宋" w:cs="仿宋"/>
                <w:sz w:val="24"/>
                <w:szCs w:val="24"/>
                <w:highlight w:val="none"/>
                <w:shd w:val="clear" w:color="auto" w:fill="FFFFFF"/>
              </w:rPr>
              <w:t>报价相同的，按技术指标得分顺序排列名次。</w:t>
            </w:r>
          </w:p>
          <w:p w14:paraId="205DCA1F">
            <w:pPr>
              <w:spacing w:line="360" w:lineRule="auto"/>
              <w:ind w:left="0" w:leftChars="0" w:right="0" w:rightChars="0" w:firstLine="0" w:firstLineChars="0"/>
              <w:jc w:val="both"/>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4）最终结果数字保留二位小数，第三位“四舍五入”。</w:t>
            </w:r>
          </w:p>
        </w:tc>
      </w:tr>
    </w:tbl>
    <w:p w14:paraId="7E397037">
      <w:pPr>
        <w:spacing w:line="500" w:lineRule="exact"/>
        <w:rPr>
          <w:rFonts w:hint="eastAsia" w:ascii="仿宋" w:hAnsi="仿宋" w:eastAsia="仿宋" w:cs="仿宋"/>
          <w:b/>
          <w:bCs/>
          <w:sz w:val="24"/>
          <w:highlight w:val="none"/>
        </w:rPr>
      </w:pPr>
    </w:p>
    <w:bookmarkEnd w:id="64"/>
    <w:bookmarkEnd w:id="65"/>
    <w:bookmarkEnd w:id="66"/>
    <w:p w14:paraId="784AC324">
      <w:pPr>
        <w:spacing w:line="460" w:lineRule="exact"/>
        <w:rPr>
          <w:rFonts w:ascii="仿宋" w:hAnsi="仿宋" w:eastAsia="仿宋" w:cs="仿宋"/>
          <w:b/>
          <w:bCs/>
          <w:highlight w:val="none"/>
        </w:rPr>
      </w:pPr>
      <w:r>
        <w:rPr>
          <w:rFonts w:hint="eastAsia" w:ascii="仿宋" w:hAnsi="仿宋" w:eastAsia="仿宋" w:cs="仿宋"/>
          <w:b/>
          <w:bCs/>
          <w:highlight w:val="none"/>
          <w:lang w:val="en-US" w:eastAsia="zh-CN"/>
        </w:rPr>
        <w:t>7</w:t>
      </w:r>
      <w:r>
        <w:rPr>
          <w:rFonts w:hint="eastAsia" w:ascii="仿宋" w:hAnsi="仿宋" w:eastAsia="仿宋" w:cs="仿宋"/>
          <w:b/>
          <w:bCs/>
          <w:highlight w:val="none"/>
        </w:rPr>
        <w:t>.需要落实的政府采购政策</w:t>
      </w:r>
    </w:p>
    <w:p w14:paraId="6716A866">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 xml:space="preserve">根据《政府采购促进中小企业发展管理办法》（财库[2020]46 </w:t>
      </w:r>
      <w:r>
        <w:rPr>
          <w:rFonts w:hint="default" w:ascii="仿宋" w:hAnsi="仿宋" w:eastAsia="仿宋" w:cs="仿宋"/>
          <w:sz w:val="24"/>
          <w:szCs w:val="24"/>
          <w:highlight w:val="none"/>
          <w:lang w:val="en-US" w:eastAsia="zh-CN"/>
        </w:rPr>
        <w:t>号）</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 xml:space="preserve">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则参与政府采购活动时，货物和服务项目对小型和微型企业产品的价格给予 </w:t>
      </w:r>
      <w:r>
        <w:rPr>
          <w:rFonts w:hint="eastAsia" w:ascii="仿宋" w:hAnsi="仿宋" w:eastAsia="仿宋" w:cs="仿宋"/>
          <w:sz w:val="24"/>
          <w:szCs w:val="24"/>
          <w:highlight w:val="none"/>
          <w:lang w:val="en-US" w:eastAsia="zh-CN"/>
        </w:rPr>
        <w:t>6%-10%</w:t>
      </w:r>
      <w:r>
        <w:rPr>
          <w:rFonts w:hint="default" w:ascii="仿宋" w:hAnsi="仿宋" w:eastAsia="仿宋" w:cs="仿宋"/>
          <w:sz w:val="24"/>
          <w:szCs w:val="24"/>
          <w:highlight w:val="none"/>
          <w:lang w:val="en-US" w:eastAsia="zh-CN"/>
        </w:rPr>
        <w:t>的价格扣除，工程项目给予3</w:t>
      </w:r>
      <w:r>
        <w:rPr>
          <w:rFonts w:hint="eastAsia" w:ascii="仿宋" w:hAnsi="仿宋" w:eastAsia="仿宋" w:cs="仿宋"/>
          <w:sz w:val="24"/>
          <w:szCs w:val="24"/>
          <w:highlight w:val="none"/>
          <w:lang w:val="en-US" w:eastAsia="zh-CN"/>
        </w:rPr>
        <w:t>%-5%</w:t>
      </w:r>
      <w:r>
        <w:rPr>
          <w:rFonts w:hint="default" w:ascii="仿宋" w:hAnsi="仿宋" w:eastAsia="仿宋" w:cs="仿宋"/>
          <w:sz w:val="24"/>
          <w:szCs w:val="24"/>
          <w:highlight w:val="none"/>
          <w:lang w:val="en-US" w:eastAsia="zh-CN"/>
        </w:rPr>
        <w:t xml:space="preserve">的价格扣除，用扣除后的价格参与评审。在货物采购项目中，供应商提供的货物既有中小企业制造货物，也有大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w:t>
      </w:r>
      <w:r>
        <w:rPr>
          <w:rFonts w:hint="eastAsia" w:ascii="仿宋" w:hAnsi="仿宋" w:eastAsia="仿宋" w:cs="仿宋"/>
          <w:sz w:val="24"/>
          <w:szCs w:val="24"/>
          <w:highlight w:val="none"/>
          <w:lang w:val="en-US" w:eastAsia="zh-CN"/>
        </w:rPr>
        <w:t>2%-3%</w:t>
      </w:r>
      <w:r>
        <w:rPr>
          <w:rFonts w:hint="default" w:ascii="仿宋" w:hAnsi="仿宋" w:eastAsia="仿宋" w:cs="仿宋"/>
          <w:sz w:val="24"/>
          <w:szCs w:val="24"/>
          <w:highlight w:val="none"/>
          <w:lang w:val="en-US" w:eastAsia="zh-CN"/>
        </w:rPr>
        <w:t xml:space="preserve">的扣除，工程项目为 </w:t>
      </w:r>
      <w:r>
        <w:rPr>
          <w:rFonts w:hint="eastAsia" w:ascii="仿宋" w:hAnsi="仿宋" w:eastAsia="仿宋" w:cs="仿宋"/>
          <w:sz w:val="24"/>
          <w:szCs w:val="24"/>
          <w:highlight w:val="none"/>
          <w:lang w:val="en-US" w:eastAsia="zh-CN"/>
        </w:rPr>
        <w:t>1%-2%</w:t>
      </w:r>
      <w:r>
        <w:rPr>
          <w:rFonts w:hint="default" w:ascii="仿宋" w:hAnsi="仿宋" w:eastAsia="仿宋" w:cs="仿宋"/>
          <w:sz w:val="24"/>
          <w:szCs w:val="24"/>
          <w:highlight w:val="none"/>
          <w:lang w:val="en-US" w:eastAsia="zh-CN"/>
        </w:rPr>
        <w:t>的扣除。联合体各方均为小型、微型企业的，联合体视同为小型、微型企业。组成联合体或者接受分包的小微企业与联合体内其他企业、分包企业之间存在直接控股、管理关系的，不享受价格扣除优惠政策。</w:t>
      </w:r>
    </w:p>
    <w:p w14:paraId="3BE2941B">
      <w:pPr>
        <w:spacing w:line="360" w:lineRule="auto"/>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根据《关于进一步加大政府采购支持中小企业力度的通知》（财库</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2022</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19 号）的有关规定，货物服务采购项目给予小微企业的价格扣除优惠，由财库</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2020</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46 号文件规定的 6%—10%提高至 10%—20%。大中型企业与小微企业组成联合体或者大中型企业向小微企业分包的，评审优惠幅度由2%—3%提高至 4%—6%。政府采购工程的价格评审优惠按照财库</w:t>
      </w:r>
      <w:r>
        <w:rPr>
          <w:rFonts w:hint="eastAsia" w:ascii="仿宋" w:hAnsi="仿宋" w:eastAsia="仿宋" w:cs="仿宋"/>
          <w:sz w:val="24"/>
          <w:szCs w:val="24"/>
          <w:highlight w:val="none"/>
          <w:lang w:val="en-US" w:eastAsia="zh-CN"/>
        </w:rPr>
        <w:t>[2020]</w:t>
      </w:r>
      <w:r>
        <w:rPr>
          <w:rFonts w:hint="default" w:ascii="仿宋" w:hAnsi="仿宋" w:eastAsia="仿宋" w:cs="仿宋"/>
          <w:sz w:val="24"/>
          <w:szCs w:val="24"/>
          <w:highlight w:val="none"/>
          <w:lang w:val="en-US" w:eastAsia="zh-CN"/>
        </w:rPr>
        <w:t xml:space="preserve">46 号文件的规定执行。 </w:t>
      </w:r>
    </w:p>
    <w:p w14:paraId="4EE5E793">
      <w:pPr>
        <w:spacing w:line="360" w:lineRule="auto"/>
        <w:ind w:firstLine="482" w:firstLineChars="200"/>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参加政府采购活动的中小企业应提供《中小企业声明函》原件。未提供上述声明函原件的，则投标文件无效。</w:t>
      </w:r>
    </w:p>
    <w:p w14:paraId="58CA2142">
      <w:pPr>
        <w:spacing w:line="360" w:lineRule="auto"/>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备注：中小企业划分标准参照《中小</w:t>
      </w:r>
      <w:r>
        <w:rPr>
          <w:rFonts w:hint="eastAsia" w:ascii="仿宋" w:hAnsi="仿宋" w:eastAsia="仿宋" w:cs="仿宋"/>
          <w:sz w:val="24"/>
          <w:szCs w:val="24"/>
          <w:highlight w:val="none"/>
          <w:lang w:val="en-US" w:eastAsia="zh-CN"/>
        </w:rPr>
        <w:t>企业</w:t>
      </w:r>
      <w:r>
        <w:rPr>
          <w:rFonts w:hint="default" w:ascii="仿宋" w:hAnsi="仿宋" w:eastAsia="仿宋" w:cs="仿宋"/>
          <w:sz w:val="24"/>
          <w:szCs w:val="24"/>
          <w:highlight w:val="none"/>
          <w:lang w:val="en-US" w:eastAsia="zh-CN"/>
        </w:rPr>
        <w:t>划型标准规定》（工信部联企业</w:t>
      </w:r>
      <w:r>
        <w:rPr>
          <w:rFonts w:hint="eastAsia" w:ascii="仿宋" w:hAnsi="仿宋" w:eastAsia="仿宋" w:cs="仿宋"/>
          <w:sz w:val="24"/>
          <w:szCs w:val="24"/>
          <w:highlight w:val="none"/>
          <w:lang w:val="en-US" w:eastAsia="zh-CN"/>
        </w:rPr>
        <w:t>[2011]300</w:t>
      </w:r>
      <w:r>
        <w:rPr>
          <w:rFonts w:hint="default" w:ascii="仿宋" w:hAnsi="仿宋" w:eastAsia="仿宋" w:cs="仿宋"/>
          <w:sz w:val="24"/>
          <w:szCs w:val="24"/>
          <w:highlight w:val="none"/>
          <w:lang w:val="en-US" w:eastAsia="zh-CN"/>
        </w:rPr>
        <w:t xml:space="preserve">号）执行。 </w:t>
      </w:r>
    </w:p>
    <w:p w14:paraId="34B719C8">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2、监狱企业应符合《财政部司法部关于政府采购支持监狱企业发展有关问题的通知》（财库</w:t>
      </w:r>
      <w:r>
        <w:rPr>
          <w:rFonts w:hint="eastAsia" w:ascii="仿宋" w:hAnsi="仿宋" w:eastAsia="仿宋" w:cs="仿宋"/>
          <w:sz w:val="24"/>
          <w:szCs w:val="24"/>
          <w:highlight w:val="none"/>
          <w:lang w:val="en-US" w:eastAsia="zh-CN"/>
        </w:rPr>
        <w:t>[2014]68</w:t>
      </w:r>
      <w:r>
        <w:rPr>
          <w:rFonts w:hint="default" w:ascii="仿宋" w:hAnsi="仿宋" w:eastAsia="仿宋" w:cs="仿宋"/>
          <w:sz w:val="24"/>
          <w:szCs w:val="24"/>
          <w:highlight w:val="none"/>
          <w:lang w:val="en-US" w:eastAsia="zh-CN"/>
        </w:rPr>
        <w:t>号）文件规定，并提供由省级以上监狱管理局、戒毒管理局(含新疆生产建设兵团)出具的属于</w:t>
      </w:r>
      <w:r>
        <w:rPr>
          <w:rFonts w:hint="default" w:ascii="仿宋" w:hAnsi="仿宋" w:eastAsia="仿宋" w:cs="仿宋"/>
          <w:b/>
          <w:bCs/>
          <w:sz w:val="24"/>
          <w:szCs w:val="24"/>
          <w:highlight w:val="none"/>
          <w:lang w:val="en-US" w:eastAsia="zh-CN"/>
        </w:rPr>
        <w:t>监狱企业的证明文件</w:t>
      </w:r>
      <w:r>
        <w:rPr>
          <w:rFonts w:hint="default" w:ascii="仿宋" w:hAnsi="仿宋" w:eastAsia="仿宋" w:cs="仿宋"/>
          <w:sz w:val="24"/>
          <w:szCs w:val="24"/>
          <w:highlight w:val="none"/>
          <w:lang w:val="en-US" w:eastAsia="zh-CN"/>
        </w:rPr>
        <w:t xml:space="preserve">复印件，监狱和戒毒企业视同小型、微型企业。 </w:t>
      </w:r>
    </w:p>
    <w:p w14:paraId="6AA01ED7">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3、根据财政部、民政部、中国残疾人联合会下发的《关于促进残疾人就业政府采购政策的通知》（财库</w:t>
      </w:r>
      <w:r>
        <w:rPr>
          <w:rFonts w:hint="eastAsia" w:ascii="仿宋" w:hAnsi="仿宋" w:eastAsia="仿宋" w:cs="仿宋"/>
          <w:sz w:val="24"/>
          <w:szCs w:val="24"/>
          <w:highlight w:val="none"/>
          <w:lang w:val="en-US" w:eastAsia="zh-CN"/>
        </w:rPr>
        <w:t xml:space="preserve">[2017]141 </w:t>
      </w:r>
      <w:r>
        <w:rPr>
          <w:rFonts w:hint="default" w:ascii="仿宋" w:hAnsi="仿宋" w:eastAsia="仿宋" w:cs="仿宋"/>
          <w:sz w:val="24"/>
          <w:szCs w:val="24"/>
          <w:highlight w:val="none"/>
          <w:lang w:val="en-US" w:eastAsia="zh-CN"/>
        </w:rPr>
        <w:t>号）的规定，残疾人福利性 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73E24A21">
      <w:pPr>
        <w:spacing w:line="360" w:lineRule="auto"/>
        <w:ind w:firstLine="482" w:firstLineChars="200"/>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参加政府采购活动的残疾人单位应提供《残疾人福利性单位声明函》 原件。未提供上述声明函原件，则投标文件无效。</w:t>
      </w:r>
    </w:p>
    <w:p w14:paraId="121751B2">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4、根据财政部、国家发展改革委《关于印发〈节能产品政府采购实施意见〉的通知》（财库</w:t>
      </w:r>
      <w:r>
        <w:rPr>
          <w:rFonts w:hint="eastAsia" w:ascii="仿宋" w:hAnsi="仿宋" w:eastAsia="仿宋" w:cs="仿宋"/>
          <w:sz w:val="24"/>
          <w:szCs w:val="24"/>
          <w:highlight w:val="none"/>
          <w:lang w:val="en-US" w:eastAsia="zh-CN"/>
        </w:rPr>
        <w:t xml:space="preserve">[2004]185 </w:t>
      </w:r>
      <w:r>
        <w:rPr>
          <w:rFonts w:hint="default" w:ascii="仿宋" w:hAnsi="仿宋" w:eastAsia="仿宋" w:cs="仿宋"/>
          <w:sz w:val="24"/>
          <w:szCs w:val="24"/>
          <w:highlight w:val="none"/>
          <w:lang w:val="en-US" w:eastAsia="zh-CN"/>
        </w:rPr>
        <w:t xml:space="preserve">号）规定“政府采购属于节能产品品目清单的，在技术、服务等指标同等条件下，应当优先采购节能品目清单的节能产品。” </w:t>
      </w:r>
    </w:p>
    <w:p w14:paraId="56934253">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5、根据财政部、国家环保总局联合印发《关于环境标志产品政府采购实施的意见》（财库</w:t>
      </w:r>
      <w:r>
        <w:rPr>
          <w:rFonts w:hint="eastAsia" w:ascii="仿宋" w:hAnsi="仿宋" w:eastAsia="仿宋" w:cs="仿宋"/>
          <w:sz w:val="24"/>
          <w:szCs w:val="24"/>
          <w:highlight w:val="none"/>
          <w:lang w:val="en-US" w:eastAsia="zh-CN"/>
        </w:rPr>
        <w:t xml:space="preserve">[2006]90 </w:t>
      </w:r>
      <w:r>
        <w:rPr>
          <w:rFonts w:hint="default" w:ascii="仿宋" w:hAnsi="仿宋" w:eastAsia="仿宋" w:cs="仿宋"/>
          <w:sz w:val="24"/>
          <w:szCs w:val="24"/>
          <w:highlight w:val="none"/>
          <w:lang w:val="en-US" w:eastAsia="zh-CN"/>
        </w:rPr>
        <w:t xml:space="preserve">号）规定“采购人采购的产品属于环境标志产品政府采购清单中品目的，在性能、技术、服务等指标同等条件下，应当优先采购清单中的产品。” </w:t>
      </w:r>
    </w:p>
    <w:p w14:paraId="6E3E38A7">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6、根据财政部、国家发改委、生态环境部、市场监管总局联合印发《关于调整优化节能产品、环境标志产品政府采购执行机制的通知》（财库</w:t>
      </w:r>
      <w:r>
        <w:rPr>
          <w:rFonts w:hint="eastAsia" w:ascii="仿宋" w:hAnsi="仿宋" w:eastAsia="仿宋" w:cs="仿宋"/>
          <w:sz w:val="24"/>
          <w:szCs w:val="24"/>
          <w:highlight w:val="none"/>
          <w:lang w:val="en-US" w:eastAsia="zh-CN"/>
        </w:rPr>
        <w:t>[2019]9</w:t>
      </w:r>
      <w:r>
        <w:rPr>
          <w:rFonts w:hint="default" w:ascii="仿宋" w:hAnsi="仿宋" w:eastAsia="仿宋" w:cs="仿宋"/>
          <w:sz w:val="24"/>
          <w:szCs w:val="24"/>
          <w:highlight w:val="none"/>
          <w:lang w:val="en-US" w:eastAsia="zh-CN"/>
        </w:rPr>
        <w:t xml:space="preserve">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5E4FA8AB">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7、根据国务院办公厅《关于建立政府强制采购节能产品制度的通知》（国办发</w:t>
      </w:r>
      <w:r>
        <w:rPr>
          <w:rFonts w:hint="eastAsia" w:ascii="仿宋" w:hAnsi="仿宋" w:eastAsia="仿宋" w:cs="仿宋"/>
          <w:sz w:val="24"/>
          <w:szCs w:val="24"/>
          <w:highlight w:val="none"/>
          <w:lang w:val="en-US" w:eastAsia="zh-CN"/>
        </w:rPr>
        <w:t>[2007]51</w:t>
      </w:r>
      <w:r>
        <w:rPr>
          <w:rFonts w:hint="default" w:ascii="仿宋" w:hAnsi="仿宋" w:eastAsia="仿宋" w:cs="仿宋"/>
          <w:sz w:val="24"/>
          <w:szCs w:val="24"/>
          <w:highlight w:val="none"/>
          <w:lang w:val="en-US" w:eastAsia="zh-CN"/>
        </w:rPr>
        <w:t xml:space="preserve">号）有关要求，在技术、服务等指标满足采购需求的前提下，要优先采购节能产品，对部分节能效果、性能等达到要求的产品，实行强制采购。 </w:t>
      </w:r>
    </w:p>
    <w:p w14:paraId="75285A93">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8、节能产品政府采购品目清单详见财政部、发展改革委《关于印发节能产品政府采购品目清单的通知》（财库</w:t>
      </w:r>
      <w:r>
        <w:rPr>
          <w:rFonts w:hint="eastAsia" w:ascii="仿宋" w:hAnsi="仿宋" w:eastAsia="仿宋" w:cs="仿宋"/>
          <w:sz w:val="24"/>
          <w:szCs w:val="24"/>
          <w:highlight w:val="none"/>
          <w:lang w:val="en-US" w:eastAsia="zh-CN"/>
        </w:rPr>
        <w:t>[2019]19</w:t>
      </w:r>
      <w:r>
        <w:rPr>
          <w:rFonts w:hint="default" w:ascii="仿宋" w:hAnsi="仿宋" w:eastAsia="仿宋" w:cs="仿宋"/>
          <w:sz w:val="24"/>
          <w:szCs w:val="24"/>
          <w:highlight w:val="none"/>
          <w:lang w:val="en-US" w:eastAsia="zh-CN"/>
        </w:rPr>
        <w:t xml:space="preserve">号）。 </w:t>
      </w:r>
    </w:p>
    <w:p w14:paraId="46144FCC">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9、环境标志产品政府采购品目清单详见财政部、生态环境部《关于印发环境标志产品政府采购品目清单的通知》（财库</w:t>
      </w:r>
      <w:r>
        <w:rPr>
          <w:rFonts w:hint="eastAsia" w:ascii="仿宋" w:hAnsi="仿宋" w:eastAsia="仿宋" w:cs="仿宋"/>
          <w:sz w:val="24"/>
          <w:szCs w:val="24"/>
          <w:highlight w:val="none"/>
          <w:lang w:val="en-US" w:eastAsia="zh-CN"/>
        </w:rPr>
        <w:t xml:space="preserve">[2019]18 </w:t>
      </w:r>
      <w:r>
        <w:rPr>
          <w:rFonts w:hint="default" w:ascii="仿宋" w:hAnsi="仿宋" w:eastAsia="仿宋" w:cs="仿宋"/>
          <w:sz w:val="24"/>
          <w:szCs w:val="24"/>
          <w:highlight w:val="none"/>
          <w:lang w:val="en-US" w:eastAsia="zh-CN"/>
        </w:rPr>
        <w:t xml:space="preserve">号）。 </w:t>
      </w:r>
    </w:p>
    <w:p w14:paraId="2DBBC6D0">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10、国家确定的节能产品、环境标志产品认证机构详见市场监管总局《关于发布参与实施政府采购节能产品、环境标志产品认证机构名录的公告》（</w:t>
      </w:r>
      <w:r>
        <w:rPr>
          <w:rFonts w:hint="eastAsia" w:ascii="仿宋" w:hAnsi="仿宋" w:eastAsia="仿宋" w:cs="仿宋"/>
          <w:sz w:val="24"/>
          <w:szCs w:val="24"/>
          <w:highlight w:val="none"/>
          <w:lang w:val="en-US" w:eastAsia="zh-CN"/>
        </w:rPr>
        <w:t>2019</w:t>
      </w:r>
      <w:r>
        <w:rPr>
          <w:rFonts w:hint="default" w:ascii="仿宋" w:hAnsi="仿宋" w:eastAsia="仿宋" w:cs="仿宋"/>
          <w:sz w:val="24"/>
          <w:szCs w:val="24"/>
          <w:highlight w:val="none"/>
          <w:lang w:val="en-US" w:eastAsia="zh-CN"/>
        </w:rPr>
        <w:t>年第</w:t>
      </w:r>
      <w:r>
        <w:rPr>
          <w:rFonts w:hint="eastAsia" w:ascii="仿宋" w:hAnsi="仿宋" w:eastAsia="仿宋" w:cs="仿宋"/>
          <w:sz w:val="24"/>
          <w:szCs w:val="24"/>
          <w:highlight w:val="none"/>
          <w:lang w:val="en-US" w:eastAsia="zh-CN"/>
        </w:rPr>
        <w:t xml:space="preserve">16 </w:t>
      </w:r>
      <w:r>
        <w:rPr>
          <w:rFonts w:hint="default" w:ascii="仿宋" w:hAnsi="仿宋" w:eastAsia="仿宋" w:cs="仿宋"/>
          <w:sz w:val="24"/>
          <w:szCs w:val="24"/>
          <w:highlight w:val="none"/>
          <w:lang w:val="en-US" w:eastAsia="zh-CN"/>
        </w:rPr>
        <w:t xml:space="preserve">号）。 </w:t>
      </w:r>
    </w:p>
    <w:p w14:paraId="73CDF4FE">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11、 根据《财政部 农业农村部 国家乡村振兴局关于运用政府采购政策支持乡村产业振兴的通知》（财库</w:t>
      </w:r>
      <w:r>
        <w:rPr>
          <w:rFonts w:hint="eastAsia" w:ascii="仿宋" w:hAnsi="仿宋" w:eastAsia="仿宋" w:cs="仿宋"/>
          <w:sz w:val="24"/>
          <w:szCs w:val="24"/>
          <w:highlight w:val="none"/>
          <w:lang w:val="en-US" w:eastAsia="zh-CN"/>
        </w:rPr>
        <w:t xml:space="preserve">[2021]19 </w:t>
      </w:r>
      <w:r>
        <w:rPr>
          <w:rFonts w:hint="default" w:ascii="仿宋" w:hAnsi="仿宋" w:eastAsia="仿宋" w:cs="仿宋"/>
          <w:sz w:val="24"/>
          <w:szCs w:val="24"/>
          <w:highlight w:val="none"/>
          <w:lang w:val="en-US" w:eastAsia="zh-CN"/>
        </w:rPr>
        <w:t>号），自</w:t>
      </w:r>
      <w:r>
        <w:rPr>
          <w:rFonts w:hint="eastAsia" w:ascii="仿宋" w:hAnsi="仿宋" w:eastAsia="仿宋" w:cs="仿宋"/>
          <w:sz w:val="24"/>
          <w:szCs w:val="24"/>
          <w:highlight w:val="none"/>
          <w:lang w:val="en-US" w:eastAsia="zh-CN"/>
        </w:rPr>
        <w:t>2021</w:t>
      </w:r>
      <w:r>
        <w:rPr>
          <w:rFonts w:hint="default" w:ascii="仿宋" w:hAnsi="仿宋" w:eastAsia="仿宋" w:cs="仿宋"/>
          <w:sz w:val="24"/>
          <w:szCs w:val="24"/>
          <w:highlight w:val="none"/>
          <w:lang w:val="en-US" w:eastAsia="zh-CN"/>
        </w:rPr>
        <w:t>年起，各级预算单位应当按照不低于</w:t>
      </w:r>
      <w:r>
        <w:rPr>
          <w:rFonts w:hint="eastAsia" w:ascii="仿宋" w:hAnsi="仿宋" w:eastAsia="仿宋" w:cs="仿宋"/>
          <w:sz w:val="24"/>
          <w:szCs w:val="24"/>
          <w:highlight w:val="none"/>
          <w:lang w:val="en-US" w:eastAsia="zh-CN"/>
        </w:rPr>
        <w:t>10%</w:t>
      </w:r>
      <w:r>
        <w:rPr>
          <w:rFonts w:hint="default" w:ascii="仿宋" w:hAnsi="仿宋" w:eastAsia="仿宋" w:cs="仿宋"/>
          <w:sz w:val="24"/>
          <w:szCs w:val="24"/>
          <w:highlight w:val="none"/>
          <w:lang w:val="en-US" w:eastAsia="zh-CN"/>
        </w:rPr>
        <w:t>的比例预留年度食堂食材采购份额，通过脱贫地区农副产品网络销售平台采购脱贫地区农副产品</w:t>
      </w:r>
      <w:r>
        <w:rPr>
          <w:rFonts w:hint="eastAsia" w:ascii="仿宋" w:hAnsi="仿宋" w:eastAsia="仿宋" w:cs="仿宋"/>
          <w:sz w:val="24"/>
          <w:szCs w:val="24"/>
          <w:highlight w:val="none"/>
          <w:lang w:val="en-US" w:eastAsia="zh-CN"/>
        </w:rPr>
        <w:t>。</w:t>
      </w:r>
    </w:p>
    <w:p w14:paraId="5104A6B3">
      <w:pPr>
        <w:rPr>
          <w:rFonts w:hint="eastAsia" w:ascii="仿宋" w:hAnsi="仿宋" w:eastAsia="仿宋" w:cs="仿宋"/>
          <w:bCs w:val="0"/>
          <w:kern w:val="2"/>
          <w:sz w:val="32"/>
          <w:szCs w:val="32"/>
          <w:highlight w:val="none"/>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12、根据《财政部 农业农村部 国家乡村振兴局 中华全国供销合作总社关于印发&lt;关于深入开展政府采购脱贫地区农副产品工作推进乡村产业振兴的实施意见&gt;的通知》（财库</w:t>
      </w:r>
      <w:r>
        <w:rPr>
          <w:rFonts w:hint="eastAsia" w:ascii="仿宋" w:hAnsi="仿宋" w:eastAsia="仿宋" w:cs="仿宋"/>
          <w:sz w:val="24"/>
          <w:szCs w:val="24"/>
          <w:highlight w:val="none"/>
          <w:lang w:val="en-US" w:eastAsia="zh-CN"/>
        </w:rPr>
        <w:t xml:space="preserve">[2021]20 </w:t>
      </w:r>
      <w:r>
        <w:rPr>
          <w:rFonts w:hint="default" w:ascii="仿宋" w:hAnsi="仿宋" w:eastAsia="仿宋" w:cs="仿宋"/>
          <w:sz w:val="24"/>
          <w:szCs w:val="24"/>
          <w:highlight w:val="none"/>
          <w:lang w:val="en-US" w:eastAsia="zh-CN"/>
        </w:rPr>
        <w:t>号），各级预算单位要按照不低于10%的预留比例在“</w:t>
      </w:r>
      <w:r>
        <w:rPr>
          <w:rFonts w:hint="eastAsia" w:ascii="仿宋" w:hAnsi="仿宋" w:eastAsia="仿宋" w:cs="仿宋"/>
          <w:sz w:val="24"/>
          <w:szCs w:val="24"/>
          <w:highlight w:val="none"/>
          <w:lang w:val="en-US" w:eastAsia="zh-CN"/>
        </w:rPr>
        <w:t xml:space="preserve">832 </w:t>
      </w:r>
      <w:r>
        <w:rPr>
          <w:rFonts w:hint="default" w:ascii="仿宋" w:hAnsi="仿宋" w:eastAsia="仿宋" w:cs="仿宋"/>
          <w:sz w:val="24"/>
          <w:szCs w:val="24"/>
          <w:highlight w:val="none"/>
          <w:lang w:val="en-US" w:eastAsia="zh-CN"/>
        </w:rPr>
        <w:t>平台”填报预留份额。鼓励各级预算单位工会组织通过“</w:t>
      </w:r>
      <w:r>
        <w:rPr>
          <w:rFonts w:hint="eastAsia" w:ascii="仿宋" w:hAnsi="仿宋" w:eastAsia="仿宋" w:cs="仿宋"/>
          <w:sz w:val="24"/>
          <w:szCs w:val="24"/>
          <w:highlight w:val="none"/>
          <w:lang w:val="en-US" w:eastAsia="zh-CN"/>
        </w:rPr>
        <w:t xml:space="preserve">832 </w:t>
      </w:r>
      <w:r>
        <w:rPr>
          <w:rFonts w:hint="default" w:ascii="仿宋" w:hAnsi="仿宋" w:eastAsia="仿宋" w:cs="仿宋"/>
          <w:sz w:val="24"/>
          <w:szCs w:val="24"/>
          <w:highlight w:val="none"/>
          <w:lang w:val="en-US" w:eastAsia="zh-CN"/>
        </w:rPr>
        <w:t>平台”采购工会福利、慰问品等，有关采购金额计入本单位年度采购总额。</w:t>
      </w:r>
    </w:p>
    <w:p w14:paraId="722EC010">
      <w:pPr>
        <w:rPr>
          <w:rFonts w:hint="eastAsia" w:ascii="仿宋" w:hAnsi="仿宋" w:eastAsia="仿宋" w:cs="仿宋"/>
          <w:bCs w:val="0"/>
          <w:kern w:val="2"/>
          <w:sz w:val="32"/>
          <w:szCs w:val="32"/>
          <w:highlight w:val="none"/>
        </w:rPr>
      </w:pPr>
      <w:r>
        <w:rPr>
          <w:rFonts w:hint="eastAsia" w:ascii="仿宋" w:hAnsi="仿宋" w:eastAsia="仿宋" w:cs="仿宋"/>
          <w:bCs w:val="0"/>
          <w:kern w:val="2"/>
          <w:sz w:val="32"/>
          <w:szCs w:val="32"/>
          <w:highlight w:val="none"/>
        </w:rPr>
        <w:br w:type="page"/>
      </w:r>
    </w:p>
    <w:p w14:paraId="1D9560D3">
      <w:pPr>
        <w:pStyle w:val="2"/>
        <w:keepNext w:val="0"/>
        <w:keepLines w:val="0"/>
        <w:rPr>
          <w:rFonts w:hint="eastAsia" w:ascii="仿宋" w:hAnsi="仿宋" w:eastAsia="仿宋" w:cs="仿宋"/>
          <w:bCs w:val="0"/>
          <w:kern w:val="2"/>
          <w:sz w:val="32"/>
          <w:szCs w:val="32"/>
          <w:highlight w:val="yellow"/>
        </w:rPr>
      </w:pPr>
      <w:bookmarkStart w:id="69" w:name="_Toc24893"/>
      <w:r>
        <w:rPr>
          <w:rFonts w:hint="eastAsia" w:ascii="仿宋" w:hAnsi="仿宋" w:eastAsia="仿宋" w:cs="仿宋"/>
          <w:bCs w:val="0"/>
          <w:kern w:val="2"/>
          <w:sz w:val="32"/>
          <w:szCs w:val="32"/>
          <w:highlight w:val="none"/>
        </w:rPr>
        <w:t>第</w:t>
      </w:r>
      <w:r>
        <w:rPr>
          <w:rFonts w:hint="eastAsia" w:ascii="仿宋" w:hAnsi="仿宋" w:eastAsia="仿宋" w:cs="仿宋"/>
          <w:bCs w:val="0"/>
          <w:kern w:val="2"/>
          <w:sz w:val="32"/>
          <w:szCs w:val="32"/>
          <w:highlight w:val="none"/>
          <w:lang w:val="en-US" w:eastAsia="zh-CN"/>
        </w:rPr>
        <w:t>四</w:t>
      </w:r>
      <w:r>
        <w:rPr>
          <w:rFonts w:hint="eastAsia" w:ascii="仿宋" w:hAnsi="仿宋" w:eastAsia="仿宋" w:cs="仿宋"/>
          <w:bCs w:val="0"/>
          <w:kern w:val="2"/>
          <w:sz w:val="32"/>
          <w:szCs w:val="32"/>
          <w:highlight w:val="none"/>
        </w:rPr>
        <w:t xml:space="preserve">章  </w:t>
      </w:r>
      <w:r>
        <w:rPr>
          <w:rFonts w:hint="eastAsia" w:ascii="仿宋" w:hAnsi="仿宋" w:eastAsia="仿宋" w:cs="仿宋"/>
          <w:bCs w:val="0"/>
          <w:kern w:val="2"/>
          <w:sz w:val="32"/>
          <w:szCs w:val="32"/>
          <w:highlight w:val="none"/>
          <w:lang w:val="en-US" w:eastAsia="zh-CN"/>
        </w:rPr>
        <w:t>磋商</w:t>
      </w:r>
      <w:r>
        <w:rPr>
          <w:rFonts w:hint="eastAsia" w:ascii="仿宋" w:hAnsi="仿宋" w:eastAsia="仿宋" w:cs="仿宋"/>
          <w:bCs w:val="0"/>
          <w:kern w:val="2"/>
          <w:sz w:val="32"/>
          <w:szCs w:val="32"/>
          <w:highlight w:val="none"/>
        </w:rPr>
        <w:t>要求及说明</w:t>
      </w:r>
      <w:bookmarkEnd w:id="49"/>
      <w:bookmarkEnd w:id="50"/>
      <w:bookmarkEnd w:id="51"/>
      <w:bookmarkEnd w:id="52"/>
      <w:bookmarkEnd w:id="63"/>
      <w:bookmarkEnd w:id="69"/>
    </w:p>
    <w:p w14:paraId="69CE407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kern w:val="2"/>
          <w:sz w:val="24"/>
          <w:szCs w:val="24"/>
          <w:lang w:val="en-US" w:eastAsia="zh-CN" w:bidi="ar-SA"/>
        </w:rPr>
      </w:pPr>
      <w:bookmarkStart w:id="70" w:name="_Toc969"/>
      <w:bookmarkStart w:id="71" w:name="_Toc519156756"/>
      <w:bookmarkStart w:id="72" w:name="_Toc22058"/>
      <w:bookmarkStart w:id="73" w:name="_Toc8628"/>
      <w:bookmarkStart w:id="74" w:name="_Toc8428"/>
      <w:bookmarkStart w:id="75" w:name="_Toc495908401"/>
      <w:r>
        <w:rPr>
          <w:rFonts w:hint="eastAsia" w:ascii="仿宋" w:hAnsi="仿宋" w:eastAsia="仿宋" w:cs="仿宋"/>
          <w:b/>
          <w:bCs/>
          <w:color w:val="auto"/>
          <w:kern w:val="2"/>
          <w:sz w:val="24"/>
          <w:szCs w:val="24"/>
          <w:lang w:val="en-US" w:eastAsia="zh-CN" w:bidi="ar-SA"/>
        </w:rPr>
        <w:t>一、项目名称</w:t>
      </w:r>
    </w:p>
    <w:p w14:paraId="2E73E1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《三秦珍档·水润旱塬》纪录片项目</w:t>
      </w:r>
    </w:p>
    <w:p w14:paraId="38BC544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二、项目目标</w:t>
      </w:r>
    </w:p>
    <w:p w14:paraId="27484E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本采购项目拟制作3集《三秦珍档·水润旱塬》纪录片，每集15分钟，在省级以上官方主流媒体平台播出，并通过相关平台微信公众号、视频号、抖音等新媒体平台传播。</w:t>
      </w:r>
    </w:p>
    <w:p w14:paraId="0112FD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三秦珍档·水润旱塬》纪录片聚焦东雷抽黄工程，该工程是陕西省重要的水利工程。项目以黄河为水源，通过电力提灌方式灌溉关中东部地区，有效解决了当地干旱问题。工程于1975年动工兴建，于1988年建成并投入使用，为渭北旱塬地区带来了丰沛的水源，极大改善了农业生产条件。东雷抽黄项目不仅是一项重要的水利设施，更是当地人民艰苦创业、自力更生精神的象征。2025年，东雷抽黄工程开工50周年，《三秦珍档·水润旱塬》需立足档案视角，充分利用档案资料，全面回顾东雷抽黄项目50年来的发展历程，展现其作为陕西省乃至国内重要水利工程的辉煌成就。影片需涵盖项目从设计、建设到运行的全过程，突出其扬程高、流量大的技术特点，以及为渭北旱塬地区带来的巨大经济效益和社会效益。同时，应深入挖掘项目背后的感人故事和抽黄精神，展现抽黄人的无私奉献和艰苦奋斗，以此激励后人继续传承和发扬东雷抽黄精神，激发其爱国热情，弘扬社会主义核心价值观。</w:t>
      </w:r>
    </w:p>
    <w:p w14:paraId="5D13053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三、采购数量</w:t>
      </w:r>
    </w:p>
    <w:p w14:paraId="6B7356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《三秦珍档·水润旱塬》纪录片1部，分3集，每集15分钟。</w:t>
      </w:r>
    </w:p>
    <w:p w14:paraId="26BB49A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四、质量及服务要求</w:t>
      </w:r>
    </w:p>
    <w:p w14:paraId="091D46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1.任务主题：4K及以上超高清纪录片。</w:t>
      </w:r>
    </w:p>
    <w:p w14:paraId="7C4164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2.成果形式：纪录片。</w:t>
      </w:r>
    </w:p>
    <w:p w14:paraId="254245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3.每集时长：15分钟。共计45分钟。</w:t>
      </w:r>
    </w:p>
    <w:p w14:paraId="53072B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设计总纲：供应商需按照采购人意图，选取关于档案所反映的“东雷抽黄工程”建设的相关档案背后的故事，提出整体实施方案并提交采购人审核，制作本项目系列微纪录片，展示档案存档、利用的重要意义，并利用视频档案讲述历史故事、奋斗故事。</w:t>
      </w:r>
    </w:p>
    <w:p w14:paraId="7BEEF9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5.制作参数要求</w:t>
      </w:r>
    </w:p>
    <w:p w14:paraId="398404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（1）成品技术规范：素材要求4K超高清视频。成片画幅16:9，分辨率不低于3840*2160。声音采用48khz。技术指标符合省级以上电视媒体平台播出标准。</w:t>
      </w:r>
    </w:p>
    <w:p w14:paraId="492B95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lang w:val="en-US" w:eastAsia="zh-CN" w:bidi="ar-SA"/>
        </w:rPr>
        <w:t>（2）供应商应为本项目准备成熟的制作团队，包括撰稿、导演、策划、摄像、灯光、剪辑等，且项</w:t>
      </w:r>
      <w:r>
        <w:rPr>
          <w:rFonts w:hint="eastAsia" w:ascii="仿宋" w:hAnsi="仿宋" w:eastAsia="仿宋" w:cs="仿宋"/>
          <w:b w:val="0"/>
          <w:bCs w:val="0"/>
          <w:color w:val="auto"/>
          <w:kern w:val="2"/>
          <w:sz w:val="24"/>
          <w:szCs w:val="24"/>
          <w:highlight w:val="none"/>
          <w:lang w:val="en-US" w:eastAsia="zh-CN" w:bidi="ar-SA"/>
        </w:rPr>
        <w:t>目执行期内该团队成员不得随意变更，因故必须进行调整的，中标人需提前书面向采购人做出说明并取得采购人同意后方可进行调整，否则视同中标人违约。</w:t>
      </w:r>
    </w:p>
    <w:p w14:paraId="400D93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（3）中标团队中需含有二级及以上导演或相关行业副高级及以上职称资质从业人员参与该项目制作，并能够提供相应证明材料。</w:t>
      </w:r>
    </w:p>
    <w:p w14:paraId="57655B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highlight w:val="none"/>
          <w:lang w:val="en-US" w:eastAsia="zh-CN" w:bidi="ar-SA"/>
        </w:rPr>
        <w:t>（4）应有视频制作的总体方案，方案需有导演阐述、拍摄思路、脚本以及发布传播规划。中标人须在中标合同签定之日起一个月内，提交</w:t>
      </w:r>
      <w:r>
        <w:rPr>
          <w:rFonts w:hint="eastAsia" w:ascii="仿宋" w:hAnsi="仿宋" w:eastAsia="仿宋" w:cs="仿宋"/>
          <w:b w:val="0"/>
          <w:bCs w:val="0"/>
          <w:color w:val="auto"/>
          <w:kern w:val="2"/>
          <w:sz w:val="24"/>
          <w:szCs w:val="24"/>
          <w:lang w:val="en-US" w:eastAsia="zh-CN" w:bidi="ar-SA"/>
        </w:rPr>
        <w:t>本项目的详细脚本、拍摄大纲及拍摄计划供采购人的专家组审议，并根据专家评审意见进行修改，经审核通过后方可开始相关制作。</w:t>
      </w:r>
    </w:p>
    <w:p w14:paraId="3F1B4A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（5）视频必须配有字幕且清晰准确，使用的语言、文字、符号、单位和公式等应符合国家（国际）标准。</w:t>
      </w:r>
    </w:p>
    <w:p w14:paraId="7A318D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（6）旁白解说须达到普通话一级甲等，应由语言类专业配音演员进行后期配音。</w:t>
      </w:r>
    </w:p>
    <w:p w14:paraId="615F60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（7）片中所使用的音乐应具有自主知识产权或得到相应授权。</w:t>
      </w:r>
    </w:p>
    <w:p w14:paraId="260230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6.验收标准</w:t>
      </w:r>
    </w:p>
    <w:p w14:paraId="1D81E4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（1）不违反国家法律法规，并与党和国家的方针政策保持一致；</w:t>
      </w:r>
    </w:p>
    <w:p w14:paraId="06B9D7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（2）内容应以普及性为主，专业程度适当；无科学性、常识性方面错误；</w:t>
      </w:r>
    </w:p>
    <w:p w14:paraId="2B6CD4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（3）所有内容不得侵犯第三方的合法权利，如产生版权等纠纷，须由成交服务商承担善后责任；</w:t>
      </w:r>
    </w:p>
    <w:p w14:paraId="524B66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（4）文字、符号、单位和公式等应符合国家（国际）标准。</w:t>
      </w:r>
    </w:p>
    <w:p w14:paraId="714C03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7.成果要求</w:t>
      </w:r>
    </w:p>
    <w:p w14:paraId="77442B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（1）数据成果</w:t>
      </w:r>
    </w:p>
    <w:p w14:paraId="2D245A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移动硬盘或网络云盘为载体交付全套拍摄原版素材。</w:t>
      </w:r>
    </w:p>
    <w:p w14:paraId="6E8A9A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以U盘和DVD光盘为载体刻制全套定制纪录片50套，要求设计封面及包装（MP4格式数据）。</w:t>
      </w:r>
    </w:p>
    <w:p w14:paraId="038CF5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（2）发布平台</w:t>
      </w:r>
    </w:p>
    <w:p w14:paraId="5D2AED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在省级以上官方主流媒体平台及其新媒体平台播出，播出后提供相关证明（盖章）、用于佐证的照片、截图等文档资料。</w:t>
      </w:r>
    </w:p>
    <w:p w14:paraId="65A272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8.项目需于2025年10月31日前完成全部策划、拍摄、制作、播出工作。</w:t>
      </w:r>
    </w:p>
    <w:p w14:paraId="1BDD0D5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五、预算金额</w:t>
      </w:r>
    </w:p>
    <w:p w14:paraId="789175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项目预算金额31.62万元。</w:t>
      </w:r>
    </w:p>
    <w:p w14:paraId="37A45E7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六、归档要求</w:t>
      </w:r>
    </w:p>
    <w:p w14:paraId="1CCF26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项目结束后，成交服务商需按照政府采购项目应归档材料清单协助整理归档。</w:t>
      </w:r>
      <w:r>
        <w:rPr>
          <w:rFonts w:hint="eastAsia" w:ascii="仿宋" w:hAnsi="仿宋" w:eastAsia="仿宋" w:cs="仿宋"/>
          <w:b/>
          <w:bCs/>
          <w:color w:val="auto"/>
          <w:kern w:val="2"/>
          <w:sz w:val="24"/>
          <w:szCs w:val="24"/>
          <w:lang w:val="en-US" w:eastAsia="zh-CN" w:bidi="ar-SA"/>
        </w:rPr>
        <w:br w:type="page"/>
      </w:r>
    </w:p>
    <w:p w14:paraId="4F2EE01C">
      <w:pPr>
        <w:pStyle w:val="2"/>
        <w:keepNext w:val="0"/>
        <w:keepLines w:val="0"/>
        <w:rPr>
          <w:rFonts w:ascii="宋体" w:hAnsi="宋体" w:cs="宋体"/>
          <w:b/>
          <w:sz w:val="44"/>
          <w:highlight w:val="none"/>
        </w:rPr>
      </w:pPr>
      <w:bookmarkStart w:id="76" w:name="_Toc16849"/>
      <w:r>
        <w:rPr>
          <w:rFonts w:hint="eastAsia" w:ascii="仿宋" w:hAnsi="仿宋" w:eastAsia="仿宋" w:cs="仿宋"/>
          <w:bCs w:val="0"/>
          <w:kern w:val="2"/>
          <w:sz w:val="32"/>
          <w:szCs w:val="32"/>
          <w:highlight w:val="none"/>
        </w:rPr>
        <w:t>第</w:t>
      </w:r>
      <w:r>
        <w:rPr>
          <w:rFonts w:hint="eastAsia" w:ascii="仿宋" w:hAnsi="仿宋" w:eastAsia="仿宋" w:cs="仿宋"/>
          <w:bCs w:val="0"/>
          <w:kern w:val="2"/>
          <w:sz w:val="32"/>
          <w:szCs w:val="32"/>
          <w:highlight w:val="none"/>
          <w:lang w:val="en-US" w:eastAsia="zh-CN"/>
        </w:rPr>
        <w:t>五</w:t>
      </w:r>
      <w:r>
        <w:rPr>
          <w:rFonts w:hint="eastAsia" w:ascii="仿宋" w:hAnsi="仿宋" w:eastAsia="仿宋" w:cs="仿宋"/>
          <w:bCs w:val="0"/>
          <w:kern w:val="2"/>
          <w:sz w:val="32"/>
          <w:szCs w:val="32"/>
          <w:highlight w:val="none"/>
        </w:rPr>
        <w:t>章  商务及合同主要条款</w:t>
      </w:r>
      <w:bookmarkEnd w:id="70"/>
      <w:bookmarkEnd w:id="71"/>
      <w:bookmarkEnd w:id="72"/>
      <w:bookmarkEnd w:id="73"/>
      <w:bookmarkEnd w:id="74"/>
      <w:bookmarkEnd w:id="75"/>
      <w:bookmarkEnd w:id="76"/>
      <w:bookmarkStart w:id="77" w:name="_Toc30950"/>
      <w:bookmarkStart w:id="78" w:name="_Toc12426"/>
      <w:bookmarkStart w:id="79" w:name="_Toc13278"/>
      <w:bookmarkStart w:id="80" w:name="_Toc519156757"/>
    </w:p>
    <w:p w14:paraId="18282C2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本表是对合同条款的具体补充和修改，如有矛盾，应以本资料表为准。</w:t>
      </w:r>
    </w:p>
    <w:tbl>
      <w:tblPr>
        <w:tblStyle w:val="26"/>
        <w:tblW w:w="4999"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974"/>
        <w:gridCol w:w="7982"/>
      </w:tblGrid>
      <w:tr w14:paraId="3BCFFC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544" w:type="pct"/>
            <w:vAlign w:val="center"/>
          </w:tcPr>
          <w:p w14:paraId="39563FEE">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条款号</w:t>
            </w:r>
          </w:p>
        </w:tc>
        <w:tc>
          <w:tcPr>
            <w:tcW w:w="4455" w:type="pct"/>
            <w:vAlign w:val="center"/>
          </w:tcPr>
          <w:p w14:paraId="080962E4">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内      容</w:t>
            </w:r>
          </w:p>
        </w:tc>
      </w:tr>
      <w:tr w14:paraId="7EB43D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544" w:type="pct"/>
            <w:vAlign w:val="center"/>
          </w:tcPr>
          <w:p w14:paraId="3FBCED5F">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4455" w:type="pct"/>
            <w:vAlign w:val="center"/>
          </w:tcPr>
          <w:p w14:paraId="27E6F3C3">
            <w:pPr>
              <w:spacing w:line="500" w:lineRule="exact"/>
              <w:rPr>
                <w:rFonts w:hint="default" w:ascii="仿宋" w:hAnsi="仿宋" w:eastAsia="仿宋" w:cs="仿宋"/>
                <w:kern w:val="0"/>
                <w:sz w:val="24"/>
                <w:highlight w:val="none"/>
                <w:lang w:val="en-US" w:bidi="zh-CN"/>
              </w:rPr>
            </w:pPr>
            <w:r>
              <w:rPr>
                <w:rFonts w:hint="eastAsia" w:ascii="仿宋" w:hAnsi="仿宋" w:eastAsia="仿宋" w:cs="仿宋"/>
                <w:b/>
                <w:bCs/>
                <w:sz w:val="24"/>
                <w:highlight w:val="none"/>
                <w:lang w:val="en-US" w:eastAsia="zh-CN"/>
              </w:rPr>
              <w:t>采</w:t>
            </w:r>
            <w:r>
              <w:rPr>
                <w:rFonts w:hint="eastAsia" w:ascii="仿宋" w:hAnsi="仿宋" w:eastAsia="仿宋" w:cs="仿宋"/>
                <w:b/>
                <w:bCs/>
                <w:sz w:val="24"/>
                <w:highlight w:val="none"/>
              </w:rPr>
              <w:t>购人名称：</w:t>
            </w:r>
            <w:r>
              <w:rPr>
                <w:rFonts w:hint="eastAsia" w:ascii="仿宋" w:hAnsi="仿宋" w:eastAsia="仿宋" w:cs="仿宋"/>
                <w:kern w:val="0"/>
                <w:sz w:val="24"/>
                <w:highlight w:val="none"/>
                <w:lang w:val="en-US" w:bidi="zh-CN"/>
              </w:rPr>
              <w:t>陕西省档案馆</w:t>
            </w:r>
          </w:p>
          <w:p w14:paraId="130E8875">
            <w:pPr>
              <w:spacing w:line="500" w:lineRule="exact"/>
              <w:rPr>
                <w:rFonts w:ascii="仿宋" w:hAnsi="仿宋" w:eastAsia="仿宋" w:cs="仿宋"/>
                <w:sz w:val="24"/>
                <w:highlight w:val="none"/>
              </w:rPr>
            </w:pPr>
            <w:r>
              <w:rPr>
                <w:rFonts w:hint="eastAsia" w:ascii="仿宋" w:hAnsi="仿宋" w:eastAsia="仿宋" w:cs="仿宋"/>
                <w:b/>
                <w:bCs/>
                <w:sz w:val="24"/>
                <w:highlight w:val="none"/>
              </w:rPr>
              <w:t>地  址：</w:t>
            </w:r>
            <w:r>
              <w:rPr>
                <w:rFonts w:hint="eastAsia" w:ascii="仿宋" w:hAnsi="仿宋" w:eastAsia="仿宋" w:cs="仿宋"/>
                <w:color w:val="auto"/>
                <w:spacing w:val="-1"/>
                <w:sz w:val="24"/>
                <w:szCs w:val="24"/>
              </w:rPr>
              <w:t>西安市长安区子午大道与学府大街十字东北角</w:t>
            </w:r>
          </w:p>
        </w:tc>
      </w:tr>
      <w:tr w14:paraId="6F3716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544" w:type="pct"/>
            <w:vAlign w:val="center"/>
          </w:tcPr>
          <w:p w14:paraId="04518E1C">
            <w:pPr>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4455" w:type="pct"/>
            <w:vAlign w:val="center"/>
          </w:tcPr>
          <w:p w14:paraId="69AC093A">
            <w:pPr>
              <w:spacing w:line="360" w:lineRule="auto"/>
              <w:rPr>
                <w:rFonts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sz w:val="24"/>
                <w:highlight w:val="none"/>
                <w:lang w:val="en-US" w:eastAsia="zh-CN"/>
              </w:rPr>
              <w:t>乙</w:t>
            </w:r>
            <w:r>
              <w:rPr>
                <w:rFonts w:hint="eastAsia" w:ascii="仿宋" w:hAnsi="仿宋" w:eastAsia="仿宋" w:cs="仿宋"/>
                <w:sz w:val="24"/>
                <w:highlight w:val="none"/>
              </w:rPr>
              <w:t>方）：成交人</w:t>
            </w:r>
          </w:p>
        </w:tc>
      </w:tr>
      <w:tr w14:paraId="3F3CEE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544" w:type="pct"/>
            <w:vAlign w:val="center"/>
          </w:tcPr>
          <w:p w14:paraId="3AB8FE97">
            <w:pPr>
              <w:spacing w:line="360" w:lineRule="auto"/>
              <w:jc w:val="center"/>
              <w:rPr>
                <w:rFonts w:ascii="仿宋" w:hAnsi="仿宋" w:eastAsia="仿宋" w:cs="仿宋"/>
                <w:sz w:val="24"/>
                <w:highlight w:val="none"/>
              </w:rPr>
            </w:pPr>
            <w:r>
              <w:rPr>
                <w:rFonts w:hint="eastAsia" w:ascii="仿宋" w:hAnsi="仿宋" w:eastAsia="仿宋" w:cs="仿宋"/>
                <w:sz w:val="24"/>
                <w:highlight w:val="none"/>
              </w:rPr>
              <w:t>3</w:t>
            </w:r>
          </w:p>
        </w:tc>
        <w:tc>
          <w:tcPr>
            <w:tcW w:w="4455" w:type="pct"/>
            <w:vAlign w:val="center"/>
          </w:tcPr>
          <w:p w14:paraId="35F77F77">
            <w:pPr>
              <w:adjustRightInd w:val="0"/>
              <w:snapToGrid w:val="0"/>
              <w:spacing w:line="460" w:lineRule="exact"/>
              <w:rPr>
                <w:highlight w:val="none"/>
              </w:rPr>
            </w:pPr>
            <w:r>
              <w:rPr>
                <w:rFonts w:hint="eastAsia" w:ascii="仿宋" w:hAnsi="仿宋" w:eastAsia="仿宋" w:cs="仿宋"/>
                <w:kern w:val="0"/>
                <w:sz w:val="24"/>
                <w:highlight w:val="none"/>
                <w:lang w:bidi="zh-CN"/>
              </w:rPr>
              <w:t>服务期</w:t>
            </w:r>
            <w:r>
              <w:rPr>
                <w:rFonts w:hint="eastAsia" w:ascii="仿宋" w:hAnsi="仿宋" w:eastAsia="仿宋" w:cs="仿宋"/>
                <w:kern w:val="0"/>
                <w:sz w:val="24"/>
                <w:highlight w:val="none"/>
                <w:lang w:val="en-US" w:bidi="zh-CN"/>
              </w:rPr>
              <w:t>限</w:t>
            </w:r>
            <w:r>
              <w:rPr>
                <w:rFonts w:hint="eastAsia" w:ascii="仿宋" w:hAnsi="仿宋" w:eastAsia="仿宋" w:cs="仿宋"/>
                <w:kern w:val="0"/>
                <w:sz w:val="24"/>
                <w:highlight w:val="none"/>
                <w:lang w:bidi="zh-CN"/>
              </w:rPr>
              <w:t>：项目需于2025年10月31日前完成全部策划、拍摄、制作、播出工作。</w:t>
            </w:r>
          </w:p>
        </w:tc>
      </w:tr>
      <w:tr w14:paraId="6EBDC4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467" w:hRule="atLeast"/>
        </w:trPr>
        <w:tc>
          <w:tcPr>
            <w:tcW w:w="544" w:type="pct"/>
            <w:vAlign w:val="center"/>
          </w:tcPr>
          <w:p w14:paraId="5182946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4455" w:type="pct"/>
            <w:vAlign w:val="center"/>
          </w:tcPr>
          <w:p w14:paraId="3D79581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1.合同总价即成交价，磋商供应商应在报价表中标明完成本次磋商所要求责任范围和合同条件进行报价。磋商报价是指完成本项目的所有费用。</w:t>
            </w:r>
          </w:p>
          <w:p w14:paraId="63EB942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2.合同总价一次包死，不受市场价变化或实际工作量变化的影响。</w:t>
            </w:r>
          </w:p>
          <w:p w14:paraId="03BC3CB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3.付款方式和程序：</w:t>
            </w:r>
          </w:p>
          <w:p w14:paraId="3B69252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（1）结算单位：</w:t>
            </w:r>
            <w:r>
              <w:rPr>
                <w:rFonts w:hint="eastAsia" w:ascii="仿宋" w:hAnsi="仿宋" w:eastAsia="仿宋" w:cs="仿宋"/>
                <w:sz w:val="24"/>
                <w:szCs w:val="24"/>
                <w:highlight w:val="none"/>
                <w:lang w:val="en-US" w:eastAsia="zh-CN"/>
              </w:rPr>
              <w:t>银行转账，由采购人负责结算。在付款前，成交人必须提供正式发票给采购人。</w:t>
            </w:r>
          </w:p>
          <w:p w14:paraId="5B6A7AB2">
            <w:pPr>
              <w:numPr>
                <w:ilvl w:val="0"/>
                <w:numId w:val="0"/>
              </w:num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付款方式：钱款分2次支付，合同签订后，项目启动前，乙方先转入甲方指定的账户合同总价的5%作为履约保证金。项目启动后，甲方于合同签署1月内支付40%的费用，项目结束且验收合格后支付60%，半年内无异议，乙方可提出书面申请，甲方全额无息退回履约保证金。若乙方违反合同约定，甲方有权从履约保证金中直接予以扣除违约金。</w:t>
            </w:r>
          </w:p>
        </w:tc>
      </w:tr>
      <w:tr w14:paraId="34D0D8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544" w:type="pct"/>
            <w:vAlign w:val="center"/>
          </w:tcPr>
          <w:p w14:paraId="08DAEDBA">
            <w:pPr>
              <w:spacing w:line="360" w:lineRule="auto"/>
              <w:jc w:val="center"/>
              <w:rPr>
                <w:rFonts w:ascii="仿宋" w:hAnsi="仿宋" w:eastAsia="仿宋" w:cs="仿宋"/>
                <w:highlight w:val="none"/>
              </w:rPr>
            </w:pPr>
            <w:r>
              <w:rPr>
                <w:rFonts w:hint="eastAsia" w:ascii="仿宋" w:hAnsi="仿宋" w:eastAsia="仿宋" w:cs="仿宋"/>
                <w:sz w:val="24"/>
                <w:highlight w:val="none"/>
              </w:rPr>
              <w:t>5</w:t>
            </w:r>
          </w:p>
        </w:tc>
        <w:tc>
          <w:tcPr>
            <w:tcW w:w="4455" w:type="pct"/>
            <w:vAlign w:val="center"/>
          </w:tcPr>
          <w:p w14:paraId="4B23FCAB">
            <w:pPr>
              <w:spacing w:line="360" w:lineRule="auto"/>
              <w:rPr>
                <w:rFonts w:ascii="仿宋" w:hAnsi="仿宋" w:eastAsia="仿宋" w:cs="仿宋"/>
                <w:color w:val="auto"/>
                <w:sz w:val="24"/>
                <w:highlight w:val="none"/>
              </w:rPr>
            </w:pPr>
            <w:r>
              <w:rPr>
                <w:rFonts w:hint="eastAsia" w:ascii="仿宋" w:hAnsi="仿宋" w:eastAsia="仿宋" w:cs="仿宋"/>
                <w:sz w:val="24"/>
                <w:highlight w:val="none"/>
              </w:rPr>
              <w:t>质量保证：</w:t>
            </w:r>
          </w:p>
          <w:p w14:paraId="568024E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符合磋商文件和响应承诺中采购人认可的合理最佳配置、参数及各项要求。</w:t>
            </w:r>
          </w:p>
          <w:p w14:paraId="5A86106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符合中华人民共和国国家安全质量标准</w:t>
            </w:r>
            <w:r>
              <w:rPr>
                <w:rFonts w:hint="eastAsia" w:ascii="仿宋" w:hAnsi="仿宋" w:eastAsia="仿宋" w:cs="仿宋"/>
                <w:color w:val="auto"/>
                <w:sz w:val="24"/>
                <w:highlight w:val="none"/>
                <w:lang w:val="en-US" w:eastAsia="zh-CN"/>
              </w:rPr>
              <w:t>或相关法律、法规及规范标准</w:t>
            </w:r>
            <w:r>
              <w:rPr>
                <w:rFonts w:hint="eastAsia" w:ascii="仿宋" w:hAnsi="仿宋" w:eastAsia="仿宋" w:cs="仿宋"/>
                <w:color w:val="auto"/>
                <w:sz w:val="24"/>
                <w:highlight w:val="none"/>
              </w:rPr>
              <w:t>。</w:t>
            </w:r>
          </w:p>
          <w:p w14:paraId="358F1B06">
            <w:pPr>
              <w:spacing w:line="360" w:lineRule="auto"/>
              <w:rPr>
                <w:rFonts w:ascii="仿宋" w:hAnsi="仿宋" w:eastAsia="仿宋" w:cs="仿宋"/>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供应商必须满足所有的参数要求，由此产生的风</w:t>
            </w:r>
            <w:r>
              <w:rPr>
                <w:rFonts w:hint="eastAsia" w:ascii="仿宋" w:hAnsi="仿宋" w:eastAsia="仿宋" w:cs="仿宋"/>
                <w:sz w:val="24"/>
                <w:highlight w:val="none"/>
              </w:rPr>
              <w:t>险由供应商自行承担。</w:t>
            </w:r>
          </w:p>
        </w:tc>
      </w:tr>
      <w:tr w14:paraId="16C9E9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544" w:type="pct"/>
            <w:vAlign w:val="center"/>
          </w:tcPr>
          <w:p w14:paraId="6F78A483">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4455" w:type="pct"/>
            <w:vAlign w:val="center"/>
          </w:tcPr>
          <w:p w14:paraId="4419149D">
            <w:pPr>
              <w:spacing w:line="360" w:lineRule="auto"/>
              <w:ind w:left="360" w:hanging="360" w:hangingChars="150"/>
              <w:rPr>
                <w:rFonts w:ascii="仿宋" w:hAnsi="仿宋" w:eastAsia="仿宋" w:cs="仿宋"/>
                <w:sz w:val="24"/>
                <w:highlight w:val="none"/>
              </w:rPr>
            </w:pPr>
            <w:r>
              <w:rPr>
                <w:rFonts w:hint="eastAsia" w:ascii="仿宋" w:hAnsi="仿宋" w:eastAsia="仿宋" w:cs="仿宋"/>
                <w:sz w:val="24"/>
                <w:highlight w:val="none"/>
              </w:rPr>
              <w:t>验收方式及验收依据：</w:t>
            </w:r>
          </w:p>
          <w:p w14:paraId="0379E58D">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rPr>
              <w:t>该项目</w:t>
            </w:r>
            <w:r>
              <w:rPr>
                <w:rFonts w:hint="eastAsia" w:ascii="仿宋" w:hAnsi="仿宋" w:eastAsia="仿宋" w:cs="仿宋"/>
                <w:color w:val="auto"/>
                <w:sz w:val="24"/>
                <w:szCs w:val="24"/>
                <w:highlight w:val="none"/>
                <w:lang w:val="en-US" w:eastAsia="zh-CN"/>
              </w:rPr>
              <w:t>完成</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val="en-US" w:eastAsia="zh-CN"/>
              </w:rPr>
              <w:t>供应商向采购人申请验收，</w:t>
            </w:r>
            <w:r>
              <w:rPr>
                <w:rFonts w:hint="eastAsia" w:ascii="仿宋" w:hAnsi="仿宋" w:eastAsia="仿宋" w:cs="仿宋"/>
                <w:color w:val="auto"/>
                <w:sz w:val="24"/>
                <w:szCs w:val="24"/>
                <w:highlight w:val="none"/>
              </w:rPr>
              <w:t>组织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相关人员（必要时请有关专家）组成的验收小组对</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进行最终验收。验收依据为本合同文本、磋商文件、磋商响应文件和国内相应的标准、规范。验收合格后，</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填写终验验收单。验收不合格的，限期整改，整改过程中产生的费用发生的一切损失由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承担；整改超过二次的，</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有权单方解除本合同，</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应无条件退还已收取的全部合同价款</w:t>
            </w:r>
            <w:r>
              <w:rPr>
                <w:rFonts w:hint="eastAsia" w:ascii="仿宋" w:hAnsi="仿宋" w:eastAsia="仿宋" w:cs="仿宋"/>
                <w:sz w:val="24"/>
                <w:highlight w:val="none"/>
              </w:rPr>
              <w:t>。</w:t>
            </w:r>
          </w:p>
        </w:tc>
      </w:tr>
      <w:tr w14:paraId="749BFD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44" w:type="pct"/>
            <w:vAlign w:val="center"/>
          </w:tcPr>
          <w:p w14:paraId="16AC9F84">
            <w:pPr>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7</w:t>
            </w:r>
          </w:p>
        </w:tc>
        <w:tc>
          <w:tcPr>
            <w:tcW w:w="4455" w:type="pct"/>
            <w:vAlign w:val="center"/>
          </w:tcPr>
          <w:p w14:paraId="34EEE409">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违约责任：</w:t>
            </w:r>
          </w:p>
          <w:p w14:paraId="2EFE006C">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1．甲方未按约定向乙方支付各期费用的，每逾期一天，应向乙方支付合同总金额万分之五的违约金。</w:t>
            </w:r>
          </w:p>
          <w:p w14:paraId="18980C79">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因乙方原因造成宣传片不能按时完成情况发生时，每逾期一天，应向甲方支付合同总金额万分之五的违约金，逾期超过30日的，甲方有权解除本合同，乙方退还甲方所付全额费用及文字、图片资料。若因此给甲方造成损失，乙方还应承担赔偿责任。</w:t>
            </w:r>
          </w:p>
          <w:p w14:paraId="4240A767">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3．合同履行期间内，甲、乙双方应按照合同约定履行各自义务，擅自违反合同约定，给对方造成实际损失的，应当按照《中华人民共和国民法典》的相关规定承担违约责任。</w:t>
            </w:r>
          </w:p>
          <w:p w14:paraId="037493F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4．如乙方制作的成片不符合甲方要求，则甲方有权单方解除合同，乙方应退还甲方已支付的全部款项并按照合同额【30】%支付违约金，赔偿由此给甲方造成的全部损失。</w:t>
            </w:r>
          </w:p>
        </w:tc>
      </w:tr>
    </w:tbl>
    <w:p w14:paraId="1FF357B0">
      <w:pPr>
        <w:jc w:val="both"/>
        <w:outlineLvl w:val="9"/>
        <w:rPr>
          <w:rFonts w:ascii="仿宋" w:hAnsi="仿宋" w:eastAsia="仿宋" w:cs="仿宋"/>
          <w:sz w:val="36"/>
          <w:szCs w:val="36"/>
          <w:highlight w:val="none"/>
        </w:rPr>
      </w:pPr>
    </w:p>
    <w:p w14:paraId="18ECFAB8">
      <w:pPr>
        <w:outlineLvl w:val="9"/>
        <w:rPr>
          <w:rFonts w:ascii="仿宋" w:hAnsi="仿宋" w:eastAsia="仿宋" w:cs="仿宋"/>
          <w:highlight w:val="none"/>
        </w:rPr>
      </w:pPr>
    </w:p>
    <w:p w14:paraId="022B110C">
      <w:pPr>
        <w:pStyle w:val="24"/>
        <w:ind w:firstLine="240"/>
        <w:outlineLvl w:val="9"/>
        <w:rPr>
          <w:rFonts w:ascii="仿宋" w:hAnsi="仿宋" w:eastAsia="仿宋" w:cs="仿宋"/>
          <w:highlight w:val="none"/>
        </w:rPr>
      </w:pPr>
    </w:p>
    <w:p w14:paraId="1C18F558">
      <w:pPr>
        <w:outlineLvl w:val="9"/>
        <w:rPr>
          <w:rFonts w:ascii="仿宋" w:hAnsi="仿宋" w:eastAsia="仿宋" w:cs="仿宋"/>
          <w:highlight w:val="none"/>
        </w:rPr>
      </w:pPr>
      <w:r>
        <w:rPr>
          <w:rFonts w:ascii="仿宋" w:hAnsi="仿宋" w:eastAsia="仿宋" w:cs="仿宋"/>
          <w:highlight w:val="none"/>
        </w:rPr>
        <w:br w:type="page"/>
      </w:r>
    </w:p>
    <w:p w14:paraId="0030B5F5">
      <w:pPr>
        <w:rPr>
          <w:rFonts w:hint="eastAsia" w:ascii="仿宋" w:hAnsi="仿宋" w:eastAsia="仿宋" w:cs="仿宋"/>
          <w:sz w:val="32"/>
          <w:szCs w:val="32"/>
        </w:rPr>
      </w:pPr>
    </w:p>
    <w:p w14:paraId="5355EE28">
      <w:pPr>
        <w:rPr>
          <w:rFonts w:hint="eastAsia" w:ascii="仿宋" w:hAnsi="仿宋" w:eastAsia="仿宋" w:cs="仿宋"/>
          <w:sz w:val="32"/>
          <w:szCs w:val="32"/>
        </w:rPr>
      </w:pPr>
    </w:p>
    <w:p w14:paraId="208D78B0">
      <w:pPr>
        <w:rPr>
          <w:rFonts w:hint="eastAsia" w:ascii="仿宋" w:hAnsi="仿宋" w:eastAsia="仿宋" w:cs="仿宋"/>
          <w:sz w:val="32"/>
          <w:szCs w:val="32"/>
        </w:rPr>
      </w:pPr>
      <w:r>
        <w:rPr>
          <w:rFonts w:hint="eastAsia" w:ascii="仿宋" w:hAnsi="仿宋" w:eastAsia="仿宋" w:cs="仿宋"/>
          <w:sz w:val="32"/>
          <w:szCs w:val="32"/>
        </w:rPr>
        <w:t>合同编号：</w:t>
      </w:r>
    </w:p>
    <w:p w14:paraId="08C05EFF">
      <w:pPr>
        <w:rPr>
          <w:rFonts w:hint="eastAsia" w:ascii="仿宋" w:hAnsi="仿宋" w:eastAsia="仿宋" w:cs="仿宋"/>
          <w:sz w:val="48"/>
          <w:szCs w:val="48"/>
        </w:rPr>
      </w:pPr>
    </w:p>
    <w:p w14:paraId="227B1158">
      <w:pPr>
        <w:jc w:val="center"/>
        <w:rPr>
          <w:rFonts w:hint="eastAsia" w:ascii="仿宋" w:hAnsi="仿宋" w:eastAsia="仿宋" w:cs="仿宋"/>
          <w:sz w:val="48"/>
          <w:szCs w:val="48"/>
        </w:rPr>
      </w:pPr>
    </w:p>
    <w:p w14:paraId="3BAAD67A">
      <w:pPr>
        <w:jc w:val="center"/>
        <w:rPr>
          <w:rFonts w:hint="eastAsia" w:ascii="仿宋" w:hAnsi="仿宋" w:eastAsia="仿宋" w:cs="仿宋"/>
          <w:sz w:val="48"/>
          <w:szCs w:val="48"/>
        </w:rPr>
      </w:pPr>
    </w:p>
    <w:p w14:paraId="224BC849">
      <w:pPr>
        <w:jc w:val="center"/>
        <w:rPr>
          <w:rFonts w:hint="eastAsia" w:ascii="仿宋" w:hAnsi="仿宋" w:eastAsia="仿宋" w:cs="仿宋"/>
          <w:sz w:val="48"/>
          <w:szCs w:val="48"/>
        </w:rPr>
      </w:pPr>
      <w:r>
        <w:rPr>
          <w:rFonts w:hint="eastAsia" w:ascii="仿宋" w:hAnsi="仿宋" w:eastAsia="仿宋" w:cs="仿宋"/>
          <w:sz w:val="48"/>
          <w:szCs w:val="48"/>
        </w:rPr>
        <w:t>陕西省档案馆《三秦珍档·水润旱塬》</w:t>
      </w:r>
    </w:p>
    <w:p w14:paraId="618A8E59">
      <w:pPr>
        <w:jc w:val="center"/>
        <w:rPr>
          <w:rFonts w:hint="eastAsia" w:ascii="仿宋" w:hAnsi="仿宋" w:eastAsia="仿宋" w:cs="仿宋"/>
          <w:sz w:val="48"/>
          <w:szCs w:val="48"/>
        </w:rPr>
      </w:pPr>
      <w:r>
        <w:rPr>
          <w:rFonts w:hint="eastAsia" w:ascii="仿宋" w:hAnsi="仿宋" w:eastAsia="仿宋" w:cs="仿宋"/>
          <w:sz w:val="48"/>
          <w:szCs w:val="48"/>
        </w:rPr>
        <w:t>纪录片项目</w:t>
      </w:r>
    </w:p>
    <w:p w14:paraId="35C92358">
      <w:pPr>
        <w:jc w:val="center"/>
        <w:rPr>
          <w:rFonts w:hint="eastAsia" w:ascii="仿宋" w:hAnsi="仿宋" w:eastAsia="仿宋" w:cs="仿宋"/>
          <w:sz w:val="48"/>
          <w:szCs w:val="48"/>
        </w:rPr>
      </w:pPr>
    </w:p>
    <w:p w14:paraId="15C10A63">
      <w:pPr>
        <w:outlineLvl w:val="9"/>
        <w:rPr>
          <w:rFonts w:hint="eastAsia" w:ascii="仿宋" w:hAnsi="仿宋" w:eastAsia="仿宋" w:cs="仿宋"/>
          <w:sz w:val="48"/>
          <w:szCs w:val="48"/>
        </w:rPr>
      </w:pPr>
    </w:p>
    <w:p w14:paraId="0E6768DA">
      <w:pPr>
        <w:rPr>
          <w:rFonts w:hint="eastAsia"/>
        </w:rPr>
      </w:pPr>
    </w:p>
    <w:p w14:paraId="2948F6A0">
      <w:pPr>
        <w:jc w:val="center"/>
        <w:rPr>
          <w:rFonts w:hint="eastAsia" w:ascii="仿宋" w:hAnsi="仿宋" w:eastAsia="仿宋" w:cs="仿宋"/>
          <w:sz w:val="48"/>
          <w:szCs w:val="48"/>
        </w:rPr>
      </w:pPr>
      <w:r>
        <w:rPr>
          <w:rFonts w:hint="eastAsia" w:ascii="仿宋" w:hAnsi="仿宋" w:eastAsia="仿宋" w:cs="仿宋"/>
          <w:sz w:val="48"/>
          <w:szCs w:val="48"/>
        </w:rPr>
        <w:t>服</w:t>
      </w:r>
    </w:p>
    <w:p w14:paraId="31B17672">
      <w:pPr>
        <w:jc w:val="center"/>
        <w:rPr>
          <w:rFonts w:hint="eastAsia" w:ascii="仿宋" w:hAnsi="仿宋" w:eastAsia="仿宋" w:cs="仿宋"/>
          <w:sz w:val="48"/>
          <w:szCs w:val="48"/>
        </w:rPr>
      </w:pPr>
    </w:p>
    <w:p w14:paraId="68AF8129">
      <w:pPr>
        <w:jc w:val="center"/>
        <w:rPr>
          <w:rFonts w:hint="eastAsia" w:ascii="仿宋" w:hAnsi="仿宋" w:eastAsia="仿宋" w:cs="仿宋"/>
          <w:sz w:val="48"/>
          <w:szCs w:val="48"/>
        </w:rPr>
      </w:pPr>
      <w:r>
        <w:rPr>
          <w:rFonts w:hint="eastAsia" w:ascii="仿宋" w:hAnsi="仿宋" w:eastAsia="仿宋" w:cs="仿宋"/>
          <w:sz w:val="48"/>
          <w:szCs w:val="48"/>
        </w:rPr>
        <w:t>务</w:t>
      </w:r>
    </w:p>
    <w:p w14:paraId="6EE2A94F">
      <w:pPr>
        <w:jc w:val="center"/>
        <w:rPr>
          <w:rFonts w:hint="eastAsia" w:ascii="仿宋" w:hAnsi="仿宋" w:eastAsia="仿宋" w:cs="仿宋"/>
          <w:sz w:val="48"/>
          <w:szCs w:val="48"/>
        </w:rPr>
      </w:pPr>
    </w:p>
    <w:p w14:paraId="306F7D04">
      <w:pPr>
        <w:jc w:val="center"/>
        <w:rPr>
          <w:rFonts w:hint="eastAsia" w:ascii="仿宋" w:hAnsi="仿宋" w:eastAsia="仿宋" w:cs="仿宋"/>
          <w:sz w:val="48"/>
          <w:szCs w:val="48"/>
        </w:rPr>
      </w:pPr>
      <w:r>
        <w:rPr>
          <w:rFonts w:hint="eastAsia" w:ascii="仿宋" w:hAnsi="仿宋" w:eastAsia="仿宋" w:cs="仿宋"/>
          <w:sz w:val="48"/>
          <w:szCs w:val="48"/>
        </w:rPr>
        <w:t>合</w:t>
      </w:r>
    </w:p>
    <w:p w14:paraId="0986B88F">
      <w:pPr>
        <w:jc w:val="center"/>
        <w:rPr>
          <w:rFonts w:hint="eastAsia" w:ascii="仿宋" w:hAnsi="仿宋" w:eastAsia="仿宋" w:cs="仿宋"/>
          <w:sz w:val="48"/>
          <w:szCs w:val="48"/>
        </w:rPr>
      </w:pPr>
    </w:p>
    <w:p w14:paraId="4AB2A059">
      <w:pPr>
        <w:jc w:val="center"/>
        <w:rPr>
          <w:rFonts w:hint="eastAsia" w:ascii="仿宋" w:hAnsi="仿宋" w:eastAsia="仿宋" w:cs="仿宋"/>
          <w:sz w:val="48"/>
          <w:szCs w:val="48"/>
        </w:rPr>
      </w:pPr>
      <w:r>
        <w:rPr>
          <w:rFonts w:hint="eastAsia" w:ascii="仿宋" w:hAnsi="仿宋" w:eastAsia="仿宋" w:cs="仿宋"/>
          <w:sz w:val="48"/>
          <w:szCs w:val="48"/>
        </w:rPr>
        <w:t>同</w:t>
      </w:r>
    </w:p>
    <w:p w14:paraId="68485C71">
      <w:pPr>
        <w:rPr>
          <w:rFonts w:hint="eastAsia" w:ascii="仿宋" w:hAnsi="仿宋" w:eastAsia="仿宋" w:cs="仿宋"/>
          <w:sz w:val="48"/>
          <w:szCs w:val="48"/>
        </w:rPr>
      </w:pPr>
      <w:r>
        <w:rPr>
          <w:rFonts w:hint="eastAsia" w:ascii="仿宋" w:hAnsi="仿宋" w:eastAsia="仿宋" w:cs="仿宋"/>
          <w:sz w:val="48"/>
          <w:szCs w:val="48"/>
        </w:rPr>
        <w:br w:type="page"/>
      </w:r>
    </w:p>
    <w:p w14:paraId="627F30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甲方（委托方）：</w:t>
      </w:r>
    </w:p>
    <w:p w14:paraId="26EF99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p>
    <w:p w14:paraId="02AF4C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邮编：</w:t>
      </w:r>
    </w:p>
    <w:p w14:paraId="0FF8D2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电话：</w:t>
      </w:r>
    </w:p>
    <w:p w14:paraId="30A80E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p>
    <w:p w14:paraId="16C973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乙方（受托方）：</w:t>
      </w:r>
    </w:p>
    <w:p w14:paraId="6B77B3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p>
    <w:p w14:paraId="003F5E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邮编：</w:t>
      </w:r>
    </w:p>
    <w:p w14:paraId="710B64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电话：</w:t>
      </w:r>
    </w:p>
    <w:p w14:paraId="425049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签订地点：西安</w:t>
      </w:r>
    </w:p>
    <w:p w14:paraId="594EA5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签订日期：2025年    月   日</w:t>
      </w:r>
    </w:p>
    <w:p w14:paraId="505BAFC3">
      <w:pPr>
        <w:rPr>
          <w:rFonts w:hint="eastAsia" w:ascii="仿宋" w:hAnsi="仿宋" w:eastAsia="仿宋" w:cs="仿宋"/>
          <w:sz w:val="24"/>
          <w:szCs w:val="24"/>
        </w:rPr>
      </w:pPr>
    </w:p>
    <w:p w14:paraId="04CAB6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根据《中华人民共和国民法典》之规定，甲、乙双方本着互利互惠、平等自愿的原则，经友好协商，达成如下协议，共同恪守。</w:t>
      </w:r>
    </w:p>
    <w:p w14:paraId="513AE7E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一、合约内容及要求：</w:t>
      </w:r>
    </w:p>
    <w:p w14:paraId="2D7C11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1．甲方委托乙方进行陕西省档案馆《三秦珍档·水润旱塬》纪录片摄制 ，费用为人民币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元整</w:t>
      </w:r>
      <w:r>
        <w:rPr>
          <w:rFonts w:hint="eastAsia" w:ascii="仿宋" w:hAnsi="仿宋" w:eastAsia="仿宋" w:cs="仿宋"/>
          <w:sz w:val="24"/>
          <w:szCs w:val="24"/>
        </w:rPr>
        <w:t>，特签订本合同，大写：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元整 </w:t>
      </w:r>
      <w:r>
        <w:rPr>
          <w:rFonts w:hint="eastAsia" w:ascii="仿宋" w:hAnsi="仿宋" w:eastAsia="仿宋" w:cs="仿宋"/>
          <w:sz w:val="24"/>
          <w:szCs w:val="24"/>
        </w:rPr>
        <w:t xml:space="preserve"> 。</w:t>
      </w:r>
    </w:p>
    <w:p w14:paraId="749E0D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2．服务内容：陕西省档案馆《三秦珍档·水润旱塬》纪录片</w:t>
      </w:r>
      <w:r>
        <w:rPr>
          <w:rFonts w:hint="eastAsia" w:ascii="仿宋" w:hAnsi="仿宋" w:eastAsia="仿宋" w:cs="仿宋"/>
          <w:sz w:val="24"/>
          <w:szCs w:val="24"/>
          <w:lang w:val="en-US" w:eastAsia="zh-CN"/>
        </w:rPr>
        <w:t>摄制</w:t>
      </w:r>
    </w:p>
    <w:p w14:paraId="3A7797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3．本合同采用固定期限合同，合同期限</w:t>
      </w:r>
      <w:r>
        <w:rPr>
          <w:rFonts w:hint="eastAsia" w:ascii="仿宋" w:hAnsi="仿宋" w:eastAsia="仿宋" w:cs="仿宋"/>
          <w:sz w:val="24"/>
          <w:szCs w:val="24"/>
          <w:u w:val="single"/>
        </w:rPr>
        <w:t xml:space="preserve">    年     月     天</w:t>
      </w:r>
      <w:r>
        <w:rPr>
          <w:rFonts w:hint="eastAsia" w:ascii="仿宋" w:hAnsi="仿宋" w:eastAsia="仿宋" w:cs="仿宋"/>
          <w:sz w:val="24"/>
          <w:szCs w:val="24"/>
        </w:rPr>
        <w:t xml:space="preserve">；自 </w:t>
      </w:r>
      <w:r>
        <w:rPr>
          <w:rFonts w:hint="eastAsia" w:ascii="仿宋" w:hAnsi="仿宋" w:eastAsia="仿宋" w:cs="仿宋"/>
          <w:sz w:val="24"/>
          <w:szCs w:val="24"/>
          <w:u w:val="single"/>
        </w:rPr>
        <w:t>2025 年    月    日</w:t>
      </w:r>
      <w:r>
        <w:rPr>
          <w:rFonts w:hint="eastAsia" w:ascii="仿宋" w:hAnsi="仿宋" w:eastAsia="仿宋" w:cs="仿宋"/>
          <w:sz w:val="24"/>
          <w:szCs w:val="24"/>
        </w:rPr>
        <w:t xml:space="preserve">至 </w:t>
      </w:r>
      <w:r>
        <w:rPr>
          <w:rFonts w:hint="eastAsia" w:ascii="仿宋" w:hAnsi="仿宋" w:eastAsia="仿宋" w:cs="仿宋"/>
          <w:sz w:val="24"/>
          <w:szCs w:val="24"/>
          <w:u w:val="single"/>
        </w:rPr>
        <w:t>2025  年    月     日</w:t>
      </w:r>
      <w:r>
        <w:rPr>
          <w:rFonts w:hint="eastAsia" w:ascii="仿宋" w:hAnsi="仿宋" w:eastAsia="仿宋" w:cs="仿宋"/>
          <w:sz w:val="24"/>
          <w:szCs w:val="24"/>
        </w:rPr>
        <w:t>止。</w:t>
      </w:r>
    </w:p>
    <w:p w14:paraId="6D8EB91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二、付款、审片方式及执行流程：</w:t>
      </w:r>
    </w:p>
    <w:p w14:paraId="6DB585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付款方式：钱款分2次支付，合同签订后，项目启动前，乙方先转入甲方指定的账户合同总价的5%作为履约保证金。项目启动后，甲方于合同签署1月内支付40%的费用，项目结束且验收合格后支付60%，半年内无异议，乙方可提出书面申请，甲方全额无息退回履约保证金。若乙方违反合同约定，甲方有权从履约保证金中直接予以扣除违约金。</w:t>
      </w:r>
    </w:p>
    <w:p w14:paraId="02ABA9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乙方在收取制作款前向甲方提供与付款金额等额发票。</w:t>
      </w:r>
    </w:p>
    <w:p w14:paraId="59D4208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三、甲方权利和义务：</w:t>
      </w:r>
    </w:p>
    <w:p w14:paraId="46EC10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1．甲方应按照合同约定的付款方式向乙方支付视频制作服务费用。</w:t>
      </w:r>
    </w:p>
    <w:p w14:paraId="7F847A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甲方需根据脚本的要求及制片计划提供场地，并对视频制作现场进行组织、安排，配合乙方现场视频制作，如因甲方原因造成场地问题或因甲方对视频制作现场的使用组织安排不力而影响视频制作时间、效果，均由甲方自行承担责任。</w:t>
      </w:r>
    </w:p>
    <w:p w14:paraId="023B6B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3．甲方须派出外联制片人员，负责解决所有外联和行政对接事宜，保证乙方团队能够集中精力投入视频制作。</w:t>
      </w:r>
    </w:p>
    <w:p w14:paraId="31C267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4．在前期视频制作服务期间，甲方需根据乙方在视频制作服务过程中的实际情况，遇到场地、场地单位配合度等问题进行干预协助，确保视频制作服务的顺利进行。</w:t>
      </w:r>
    </w:p>
    <w:p w14:paraId="48FF38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5．在视频制作服务期间，若因甲方原因使乙方人员或设备暴露在危险环境中，造成乙方人员出现安全问题或设备损毁的，由甲方承担全部责任。</w:t>
      </w:r>
    </w:p>
    <w:p w14:paraId="2E5A2D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6．甲方取得此项目</w:t>
      </w:r>
      <w:r>
        <w:rPr>
          <w:rFonts w:hint="eastAsia" w:ascii="仿宋" w:hAnsi="仿宋" w:eastAsia="仿宋" w:cs="仿宋"/>
          <w:b w:val="0"/>
          <w:bCs w:val="0"/>
          <w:color w:val="auto"/>
          <w:kern w:val="2"/>
          <w:sz w:val="24"/>
          <w:szCs w:val="24"/>
          <w:lang w:val="en-US" w:eastAsia="zh-CN" w:bidi="ar-SA"/>
        </w:rPr>
        <w:t>分辨率不低于3840*2160</w:t>
      </w:r>
      <w:r>
        <w:rPr>
          <w:rFonts w:hint="eastAsia" w:ascii="仿宋" w:hAnsi="仿宋" w:eastAsia="仿宋" w:cs="仿宋"/>
          <w:sz w:val="24"/>
          <w:szCs w:val="24"/>
        </w:rPr>
        <w:t>、成片画幅16:9 、总时长为</w:t>
      </w:r>
      <w:r>
        <w:rPr>
          <w:rFonts w:hint="eastAsia" w:ascii="仿宋" w:hAnsi="仿宋" w:eastAsia="仿宋" w:cs="仿宋"/>
          <w:sz w:val="24"/>
          <w:szCs w:val="24"/>
          <w:lang w:val="en-US" w:eastAsia="zh-CN"/>
        </w:rPr>
        <w:t>45</w:t>
      </w:r>
      <w:r>
        <w:rPr>
          <w:rFonts w:hint="eastAsia" w:ascii="仿宋" w:hAnsi="仿宋" w:eastAsia="仿宋" w:cs="仿宋"/>
          <w:sz w:val="24"/>
          <w:szCs w:val="24"/>
        </w:rPr>
        <w:t>分钟的宣传片版权、所有权和使用权。</w:t>
      </w:r>
    </w:p>
    <w:p w14:paraId="7CAE2A0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四、乙方权利和义务：</w:t>
      </w:r>
    </w:p>
    <w:p w14:paraId="258234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1．乙方必须严格按照甲方审核通过的脚本要求进行视频制作服务。</w:t>
      </w:r>
    </w:p>
    <w:p w14:paraId="2874A4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2．视频制作服务期间制作期、制作条件、制作计划须由乙方统筹制定，并同甲方及时沟通确定，一经确认不得私自更改。</w:t>
      </w:r>
    </w:p>
    <w:p w14:paraId="359D43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3．凡因甲方不合理原因导致该视频制作服务无法按期完成或影响成片质量，甲方向乙方提出补救要求时，乙方有权拒绝补救或向甲方提出补偿要求。</w:t>
      </w:r>
    </w:p>
    <w:p w14:paraId="29EEC5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4．乙方在甲方要求修改视频时，在不改变视频原有结构的情况下应配合甲方修改视频内容。</w:t>
      </w:r>
    </w:p>
    <w:p w14:paraId="7F9380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5．若甲方要求乙方人员或设备在有危险隐患的环境中工作，乙方人员有权拒绝执行。乙方在视频制作服务中应按行业操作规范进行制作，否则出现安全责任事故则由乙方自行承担。</w:t>
      </w:r>
    </w:p>
    <w:p w14:paraId="6CEF39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6．若乙方人员自身原因造成设备损坏时，由乙方承担全部责任。</w:t>
      </w:r>
    </w:p>
    <w:p w14:paraId="0E21D8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7．乙方在视频制作服务期间，甲方不得更改脚本，如果因此造成乙方工作量增加或延误交片时间，乙方有权拒绝交片或要求甲方另行付费。</w:t>
      </w:r>
    </w:p>
    <w:p w14:paraId="4AE567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8．除甲方上述原因外，因乙方原因拖延制作时间或擅自更改脚本等，给甲方造成不良影响的，乙方应及时采取补救措施。</w:t>
      </w:r>
    </w:p>
    <w:p w14:paraId="0F3188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9．乙方享有此项目分辨率为1920*1080P  、成片画幅16:9 、总时长为</w:t>
      </w:r>
      <w:r>
        <w:rPr>
          <w:rFonts w:hint="eastAsia" w:ascii="仿宋" w:hAnsi="仿宋" w:eastAsia="仿宋" w:cs="仿宋"/>
          <w:sz w:val="24"/>
          <w:szCs w:val="24"/>
          <w:lang w:val="en-US" w:eastAsia="zh-CN"/>
        </w:rPr>
        <w:t>45</w:t>
      </w:r>
      <w:r>
        <w:rPr>
          <w:rFonts w:hint="eastAsia" w:ascii="仿宋" w:hAnsi="仿宋" w:eastAsia="仿宋" w:cs="仿宋"/>
          <w:sz w:val="24"/>
          <w:szCs w:val="24"/>
        </w:rPr>
        <w:t>分钟的宣传片的署名权。</w:t>
      </w:r>
    </w:p>
    <w:p w14:paraId="7420D3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10．乙方不得向外泄露甲方视频制作素材及相关资料，并应对甲方的资料进行绝对保密。如因乙方原因造成素材泄漏而对甲方造成不良后果的，由乙方承担相应法律责任。</w:t>
      </w:r>
    </w:p>
    <w:p w14:paraId="0025FF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11．乙方有义务保证视频制作服务期间的素材及成片的储存、保管安全，合同履行完成后，乙方应将视频制作服务的素材给予甲方，如因乙方原因造成素材丢失损坏，乙方应承担相应责任并进行补救。</w:t>
      </w:r>
    </w:p>
    <w:p w14:paraId="0799CD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12．乙方应严格按照合同期限完成甲方视频制作服务，视频制作及按期提供样品及成品。乙方需保证其提交成果不得侵害任何第三人知识产权，由此产生的法律责任由乙方承担。</w:t>
      </w:r>
    </w:p>
    <w:p w14:paraId="196EA50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五、违约责任：</w:t>
      </w:r>
    </w:p>
    <w:p w14:paraId="62F249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1．甲方未按约定向乙方支付各期费用的，每逾期一天，应向乙方支付合同总金额万分之五的违约金。</w:t>
      </w:r>
    </w:p>
    <w:p w14:paraId="008A73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因乙方原因造成宣传片不能按时完成情况发生时，每逾期一天，应向甲方支付合同总金额万分之五的违约金，逾期超过30日的，甲方有权解除本合同，乙方退还甲方所付全额费用及文字、图片资料。若因此给甲方造成损失，乙方还应承担赔偿责任。</w:t>
      </w:r>
    </w:p>
    <w:p w14:paraId="1140A9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3．合同履行期间内，甲、乙双方应按照合同约定履行各自义务，擅自违反合同约定，给对方造成实际损失的，应当按照《中华人民共和国民法典》的相关规定承担违约责任。</w:t>
      </w:r>
    </w:p>
    <w:p w14:paraId="51110B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4．如乙方制作的成片不符合甲方要求，则甲方有权单方解除合同，乙方应退还甲方已支付的全部款项并按照合同额【30】%支付违约金，赔偿由此给甲方造成的全部损失。</w:t>
      </w:r>
    </w:p>
    <w:p w14:paraId="4C715BD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六、不可抗力</w:t>
      </w:r>
      <w:r>
        <w:rPr>
          <w:rFonts w:hint="eastAsia" w:ascii="仿宋" w:hAnsi="仿宋" w:eastAsia="仿宋" w:cs="仿宋"/>
          <w:b/>
          <w:bCs/>
          <w:sz w:val="24"/>
          <w:szCs w:val="24"/>
          <w:lang w:eastAsia="zh-CN"/>
        </w:rPr>
        <w:t>：</w:t>
      </w:r>
    </w:p>
    <w:p w14:paraId="4BC1ED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如果协议任何一方因不可抗力未能履行本协议，则该方对于在不可抗力持续期间无法履行其义务不承担责任。因不可抗力而造成中止履行本协议，应限于不可抗力的影响存续的时间内，协议双方都将尽最大努力将不可抗力，特别是由此而引起的延误所造成的后果减轻到最低程度。</w:t>
      </w:r>
    </w:p>
    <w:p w14:paraId="01B95E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不可抗力事故是指签订本协议时不能预见到的，阻碍其实际履行义务的，不可避免的自然现象。就本协议而言，不可抗力事故包括（但不限于）地震、恶劣天气、流行病、火灾、水灾、台风、海上事故等自然现象，以及战争、暴动、游行，爆炸和确实妨碍任何一方履行本协议义务的罢工。</w:t>
      </w:r>
    </w:p>
    <w:p w14:paraId="4C6368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3．遭受不可抗力的一方有义务证明所发生的，为本协议所规定的不可抗力事故，以及事故持续的时间。</w:t>
      </w:r>
    </w:p>
    <w:p w14:paraId="23B35F7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七、其他</w:t>
      </w:r>
    </w:p>
    <w:p w14:paraId="3EAC2F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1.本合同自甲、乙双方法定代表人或授权代表签字或盖章并加盖公章之日起生效。</w:t>
      </w:r>
    </w:p>
    <w:p w14:paraId="6F98C3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份，甲方执</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份，乙方执</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份，并具同等法律效力。</w:t>
      </w:r>
    </w:p>
    <w:p w14:paraId="006CF0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3.甲乙双方在履行本合同过程中发生争议，应当友好协商解决，                协商不成应向甲方所在地人民法院提起诉讼。</w:t>
      </w:r>
    </w:p>
    <w:p w14:paraId="2E749ADD">
      <w:pPr>
        <w:rPr>
          <w:rFonts w:hint="eastAsia" w:ascii="仿宋" w:hAnsi="仿宋" w:eastAsia="仿宋" w:cs="仿宋"/>
          <w:sz w:val="24"/>
          <w:szCs w:val="24"/>
        </w:rPr>
      </w:pPr>
    </w:p>
    <w:tbl>
      <w:tblPr>
        <w:tblStyle w:val="26"/>
        <w:tblW w:w="8299" w:type="dxa"/>
        <w:jc w:val="center"/>
        <w:shd w:val="clear" w:color="auto" w:fill="auto"/>
        <w:tblLayout w:type="fixed"/>
        <w:tblCellMar>
          <w:top w:w="0" w:type="dxa"/>
          <w:left w:w="10" w:type="dxa"/>
          <w:bottom w:w="0" w:type="dxa"/>
          <w:right w:w="10" w:type="dxa"/>
        </w:tblCellMar>
      </w:tblPr>
      <w:tblGrid>
        <w:gridCol w:w="4128"/>
        <w:gridCol w:w="4171"/>
      </w:tblGrid>
      <w:tr w14:paraId="563B6968">
        <w:tblPrEx>
          <w:tblCellMar>
            <w:top w:w="0" w:type="dxa"/>
            <w:left w:w="10" w:type="dxa"/>
            <w:bottom w:w="0" w:type="dxa"/>
            <w:right w:w="10" w:type="dxa"/>
          </w:tblCellMar>
        </w:tblPrEx>
        <w:trPr>
          <w:trHeight w:val="419" w:hRule="exact"/>
          <w:jc w:val="center"/>
        </w:trPr>
        <w:tc>
          <w:tcPr>
            <w:tcW w:w="4128" w:type="dxa"/>
            <w:tcBorders>
              <w:top w:val="single" w:color="auto" w:sz="4" w:space="0"/>
              <w:left w:val="single" w:color="auto" w:sz="4" w:space="0"/>
            </w:tcBorders>
            <w:shd w:val="clear" w:color="auto" w:fill="auto"/>
            <w:noWrap w:val="0"/>
            <w:vAlign w:val="center"/>
          </w:tcPr>
          <w:p w14:paraId="42FB1F91">
            <w:pPr>
              <w:pStyle w:val="37"/>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400" w:lineRule="exact"/>
              <w:ind w:left="0"/>
              <w:jc w:val="both"/>
              <w:textAlignment w:val="auto"/>
              <w:rPr>
                <w:rFonts w:hint="eastAsia" w:ascii="仿宋" w:hAnsi="仿宋" w:eastAsia="仿宋" w:cs="仿宋"/>
                <w:sz w:val="24"/>
                <w:szCs w:val="24"/>
              </w:rPr>
            </w:pPr>
            <w:r>
              <w:rPr>
                <w:rFonts w:hint="eastAsia" w:ascii="仿宋" w:hAnsi="仿宋" w:eastAsia="仿宋" w:cs="仿宋"/>
                <w:sz w:val="24"/>
                <w:szCs w:val="24"/>
              </w:rPr>
              <w:t>甲方（委托方）</w:t>
            </w:r>
          </w:p>
        </w:tc>
        <w:tc>
          <w:tcPr>
            <w:tcW w:w="4171" w:type="dxa"/>
            <w:tcBorders>
              <w:top w:val="single" w:color="auto" w:sz="4" w:space="0"/>
              <w:left w:val="single" w:color="auto" w:sz="4" w:space="0"/>
              <w:right w:val="single" w:color="auto" w:sz="4" w:space="0"/>
            </w:tcBorders>
            <w:shd w:val="clear" w:color="auto" w:fill="auto"/>
            <w:noWrap w:val="0"/>
            <w:vAlign w:val="center"/>
          </w:tcPr>
          <w:p w14:paraId="350DACB5">
            <w:pPr>
              <w:pStyle w:val="37"/>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400" w:lineRule="exact"/>
              <w:ind w:left="0"/>
              <w:jc w:val="both"/>
              <w:textAlignment w:val="auto"/>
              <w:rPr>
                <w:rFonts w:hint="eastAsia" w:ascii="仿宋" w:hAnsi="仿宋" w:eastAsia="仿宋" w:cs="仿宋"/>
                <w:sz w:val="24"/>
                <w:szCs w:val="24"/>
              </w:rPr>
            </w:pPr>
            <w:r>
              <w:rPr>
                <w:rFonts w:hint="eastAsia" w:ascii="仿宋" w:hAnsi="仿宋" w:eastAsia="仿宋" w:cs="仿宋"/>
                <w:sz w:val="24"/>
                <w:szCs w:val="24"/>
              </w:rPr>
              <w:t>乙方（受托方）</w:t>
            </w:r>
          </w:p>
        </w:tc>
      </w:tr>
      <w:tr w14:paraId="598E15D1">
        <w:tblPrEx>
          <w:shd w:val="clear" w:color="auto" w:fill="auto"/>
          <w:tblCellMar>
            <w:top w:w="0" w:type="dxa"/>
            <w:left w:w="10" w:type="dxa"/>
            <w:bottom w:w="0" w:type="dxa"/>
            <w:right w:w="10" w:type="dxa"/>
          </w:tblCellMar>
        </w:tblPrEx>
        <w:trPr>
          <w:trHeight w:val="3669" w:hRule="exact"/>
          <w:jc w:val="center"/>
        </w:trPr>
        <w:tc>
          <w:tcPr>
            <w:tcW w:w="4128" w:type="dxa"/>
            <w:tcBorders>
              <w:top w:val="single" w:color="auto" w:sz="4" w:space="0"/>
              <w:left w:val="single" w:color="auto" w:sz="4" w:space="0"/>
            </w:tcBorders>
            <w:shd w:val="clear" w:color="auto" w:fill="auto"/>
            <w:noWrap w:val="0"/>
            <w:vAlign w:val="center"/>
          </w:tcPr>
          <w:p w14:paraId="413A5FF0">
            <w:pPr>
              <w:pStyle w:val="37"/>
              <w:keepNext w:val="0"/>
              <w:keepLines w:val="0"/>
              <w:pageBreakBefore w:val="0"/>
              <w:widowControl w:val="0"/>
              <w:shd w:val="clear" w:color="auto" w:fill="auto"/>
              <w:kinsoku/>
              <w:wordWrap/>
              <w:overflowPunct/>
              <w:topLinePunct w:val="0"/>
              <w:autoSpaceDE/>
              <w:autoSpaceDN/>
              <w:bidi w:val="0"/>
              <w:adjustRightInd w:val="0"/>
              <w:snapToGrid/>
              <w:spacing w:beforeLines="0" w:after="0" w:afterLines="0" w:line="400" w:lineRule="exact"/>
              <w:ind w:left="0" w:hanging="960" w:hangingChars="400"/>
              <w:jc w:val="both"/>
              <w:textAlignment w:val="auto"/>
              <w:rPr>
                <w:rFonts w:hint="eastAsia" w:ascii="仿宋" w:hAnsi="仿宋" w:eastAsia="仿宋" w:cs="仿宋"/>
                <w:sz w:val="24"/>
                <w:szCs w:val="24"/>
              </w:rPr>
            </w:pPr>
            <w:r>
              <w:rPr>
                <w:rFonts w:hint="eastAsia" w:ascii="仿宋" w:hAnsi="仿宋" w:eastAsia="仿宋" w:cs="仿宋"/>
                <w:sz w:val="24"/>
                <w:szCs w:val="24"/>
              </w:rPr>
              <w:t>法人单位：（盖章）</w:t>
            </w:r>
          </w:p>
          <w:p w14:paraId="1F438B07">
            <w:pPr>
              <w:pStyle w:val="37"/>
              <w:keepNext w:val="0"/>
              <w:keepLines w:val="0"/>
              <w:pageBreakBefore w:val="0"/>
              <w:widowControl w:val="0"/>
              <w:shd w:val="clear" w:color="auto" w:fill="auto"/>
              <w:kinsoku/>
              <w:wordWrap/>
              <w:overflowPunct/>
              <w:topLinePunct w:val="0"/>
              <w:autoSpaceDE/>
              <w:autoSpaceDN/>
              <w:bidi w:val="0"/>
              <w:adjustRightInd w:val="0"/>
              <w:snapToGrid/>
              <w:spacing w:beforeLines="0" w:after="0" w:afterLines="0" w:line="400" w:lineRule="exact"/>
              <w:ind w:left="0" w:hanging="960" w:hangingChars="400"/>
              <w:jc w:val="both"/>
              <w:textAlignment w:val="auto"/>
              <w:rPr>
                <w:rFonts w:hint="eastAsia" w:ascii="仿宋" w:hAnsi="仿宋" w:eastAsia="仿宋" w:cs="仿宋"/>
                <w:sz w:val="24"/>
                <w:szCs w:val="24"/>
              </w:rPr>
            </w:pPr>
          </w:p>
          <w:p w14:paraId="60F6FA7B">
            <w:pPr>
              <w:pStyle w:val="37"/>
              <w:keepNext w:val="0"/>
              <w:keepLines w:val="0"/>
              <w:pageBreakBefore w:val="0"/>
              <w:widowControl w:val="0"/>
              <w:shd w:val="clear" w:color="auto" w:fill="auto"/>
              <w:kinsoku/>
              <w:wordWrap/>
              <w:overflowPunct/>
              <w:topLinePunct w:val="0"/>
              <w:autoSpaceDE/>
              <w:autoSpaceDN/>
              <w:bidi w:val="0"/>
              <w:adjustRightInd w:val="0"/>
              <w:snapToGrid/>
              <w:spacing w:beforeLines="0" w:after="0" w:afterLines="0" w:line="400" w:lineRule="exact"/>
              <w:ind w:left="0" w:hanging="960" w:hangingChars="400"/>
              <w:jc w:val="both"/>
              <w:textAlignment w:val="auto"/>
              <w:rPr>
                <w:rFonts w:hint="eastAsia" w:ascii="仿宋" w:hAnsi="仿宋" w:eastAsia="仿宋" w:cs="仿宋"/>
                <w:sz w:val="24"/>
                <w:szCs w:val="24"/>
              </w:rPr>
            </w:pPr>
          </w:p>
          <w:p w14:paraId="608A7D9C">
            <w:pPr>
              <w:pStyle w:val="37"/>
              <w:keepNext w:val="0"/>
              <w:keepLines w:val="0"/>
              <w:pageBreakBefore w:val="0"/>
              <w:widowControl w:val="0"/>
              <w:shd w:val="clear" w:color="auto" w:fill="auto"/>
              <w:kinsoku/>
              <w:wordWrap/>
              <w:overflowPunct/>
              <w:topLinePunct w:val="0"/>
              <w:autoSpaceDE/>
              <w:autoSpaceDN/>
              <w:bidi w:val="0"/>
              <w:adjustRightInd w:val="0"/>
              <w:snapToGrid/>
              <w:spacing w:beforeLines="0" w:after="0" w:afterLines="0" w:line="400" w:lineRule="exact"/>
              <w:ind w:left="0" w:hanging="960" w:hangingChars="400"/>
              <w:jc w:val="both"/>
              <w:textAlignment w:val="auto"/>
              <w:rPr>
                <w:rFonts w:hint="eastAsia" w:ascii="仿宋" w:hAnsi="仿宋" w:eastAsia="仿宋" w:cs="仿宋"/>
                <w:sz w:val="24"/>
                <w:szCs w:val="24"/>
              </w:rPr>
            </w:pPr>
          </w:p>
          <w:p w14:paraId="26845C5F">
            <w:pPr>
              <w:pStyle w:val="37"/>
              <w:keepNext w:val="0"/>
              <w:keepLines w:val="0"/>
              <w:pageBreakBefore w:val="0"/>
              <w:widowControl w:val="0"/>
              <w:shd w:val="clear" w:color="auto" w:fill="auto"/>
              <w:kinsoku/>
              <w:wordWrap/>
              <w:overflowPunct/>
              <w:topLinePunct w:val="0"/>
              <w:autoSpaceDE/>
              <w:autoSpaceDN/>
              <w:bidi w:val="0"/>
              <w:adjustRightInd w:val="0"/>
              <w:snapToGrid/>
              <w:spacing w:beforeLines="0" w:after="0" w:afterLines="0" w:line="400" w:lineRule="exact"/>
              <w:ind w:left="0" w:hanging="960" w:hangingChars="400"/>
              <w:jc w:val="both"/>
              <w:textAlignment w:val="auto"/>
              <w:rPr>
                <w:rFonts w:hint="eastAsia" w:ascii="仿宋" w:hAnsi="仿宋" w:eastAsia="仿宋" w:cs="仿宋"/>
                <w:sz w:val="24"/>
                <w:szCs w:val="24"/>
              </w:rPr>
            </w:pPr>
            <w:r>
              <w:rPr>
                <w:rFonts w:hint="eastAsia" w:ascii="仿宋" w:hAnsi="仿宋" w:eastAsia="仿宋" w:cs="仿宋"/>
                <w:sz w:val="24"/>
                <w:szCs w:val="24"/>
              </w:rPr>
              <w:t>代</w:t>
            </w:r>
            <w:r>
              <w:rPr>
                <w:rFonts w:hint="eastAsia" w:ascii="仿宋" w:hAnsi="仿宋" w:eastAsia="仿宋" w:cs="仿宋"/>
                <w:sz w:val="24"/>
                <w:szCs w:val="24"/>
                <w:lang w:val="en-US"/>
              </w:rPr>
              <w:t xml:space="preserve"> </w:t>
            </w:r>
            <w:r>
              <w:rPr>
                <w:rFonts w:hint="eastAsia" w:ascii="仿宋" w:hAnsi="仿宋" w:eastAsia="仿宋" w:cs="仿宋"/>
                <w:sz w:val="24"/>
                <w:szCs w:val="24"/>
              </w:rPr>
              <w:t>理人：（签/章）</w:t>
            </w:r>
          </w:p>
          <w:p w14:paraId="5B63A8D9">
            <w:pPr>
              <w:pStyle w:val="37"/>
              <w:keepNext w:val="0"/>
              <w:keepLines w:val="0"/>
              <w:pageBreakBefore w:val="0"/>
              <w:widowControl w:val="0"/>
              <w:shd w:val="clear" w:color="auto" w:fill="auto"/>
              <w:kinsoku/>
              <w:wordWrap/>
              <w:overflowPunct/>
              <w:topLinePunct w:val="0"/>
              <w:autoSpaceDE/>
              <w:autoSpaceDN/>
              <w:bidi w:val="0"/>
              <w:adjustRightInd w:val="0"/>
              <w:snapToGrid/>
              <w:spacing w:beforeLines="0" w:after="0" w:afterLines="0" w:line="400" w:lineRule="exact"/>
              <w:ind w:left="0" w:hanging="960" w:hangingChars="400"/>
              <w:jc w:val="both"/>
              <w:textAlignment w:val="auto"/>
              <w:rPr>
                <w:rFonts w:hint="eastAsia" w:ascii="仿宋" w:hAnsi="仿宋" w:eastAsia="仿宋" w:cs="仿宋"/>
                <w:sz w:val="24"/>
                <w:szCs w:val="24"/>
              </w:rPr>
            </w:pPr>
          </w:p>
          <w:p w14:paraId="01002DC2">
            <w:pPr>
              <w:pStyle w:val="37"/>
              <w:keepNext w:val="0"/>
              <w:keepLines w:val="0"/>
              <w:pageBreakBefore w:val="0"/>
              <w:widowControl w:val="0"/>
              <w:shd w:val="clear" w:color="auto" w:fill="auto"/>
              <w:kinsoku/>
              <w:wordWrap/>
              <w:overflowPunct/>
              <w:topLinePunct w:val="0"/>
              <w:autoSpaceDE/>
              <w:autoSpaceDN/>
              <w:bidi w:val="0"/>
              <w:adjustRightInd w:val="0"/>
              <w:snapToGrid/>
              <w:spacing w:beforeLines="0" w:after="0" w:afterLines="0" w:line="400" w:lineRule="exact"/>
              <w:ind w:left="0" w:hanging="960" w:hangingChars="400"/>
              <w:jc w:val="both"/>
              <w:textAlignment w:val="auto"/>
              <w:rPr>
                <w:rFonts w:hint="eastAsia" w:ascii="仿宋" w:hAnsi="仿宋" w:eastAsia="仿宋" w:cs="仿宋"/>
                <w:sz w:val="24"/>
                <w:szCs w:val="24"/>
              </w:rPr>
            </w:pPr>
            <w:r>
              <w:rPr>
                <w:rFonts w:hint="eastAsia" w:ascii="仿宋" w:hAnsi="仿宋" w:eastAsia="仿宋" w:cs="仿宋"/>
                <w:sz w:val="24"/>
                <w:szCs w:val="24"/>
              </w:rPr>
              <w:t>日期：</w:t>
            </w:r>
          </w:p>
        </w:tc>
        <w:tc>
          <w:tcPr>
            <w:tcW w:w="4171" w:type="dxa"/>
            <w:tcBorders>
              <w:top w:val="single" w:color="auto" w:sz="4" w:space="0"/>
              <w:left w:val="single" w:color="auto" w:sz="4" w:space="0"/>
              <w:right w:val="single" w:color="auto" w:sz="4" w:space="0"/>
            </w:tcBorders>
            <w:shd w:val="clear" w:color="auto" w:fill="auto"/>
            <w:noWrap w:val="0"/>
            <w:vAlign w:val="center"/>
          </w:tcPr>
          <w:p w14:paraId="48255B67">
            <w:pPr>
              <w:pStyle w:val="37"/>
              <w:keepNext w:val="0"/>
              <w:keepLines w:val="0"/>
              <w:pageBreakBefore w:val="0"/>
              <w:widowControl w:val="0"/>
              <w:shd w:val="clear" w:color="auto" w:fill="auto"/>
              <w:kinsoku/>
              <w:wordWrap/>
              <w:overflowPunct/>
              <w:topLinePunct w:val="0"/>
              <w:autoSpaceDE/>
              <w:autoSpaceDN/>
              <w:bidi w:val="0"/>
              <w:adjustRightInd w:val="0"/>
              <w:snapToGrid/>
              <w:spacing w:beforeLines="0" w:after="0" w:afterLines="0" w:line="400" w:lineRule="exact"/>
              <w:ind w:left="0" w:hanging="960" w:hangingChars="400"/>
              <w:jc w:val="both"/>
              <w:textAlignment w:val="auto"/>
              <w:rPr>
                <w:rFonts w:hint="eastAsia" w:ascii="仿宋" w:hAnsi="仿宋" w:eastAsia="仿宋" w:cs="仿宋"/>
                <w:sz w:val="24"/>
                <w:szCs w:val="24"/>
              </w:rPr>
            </w:pPr>
            <w:r>
              <w:rPr>
                <w:rFonts w:hint="eastAsia" w:ascii="仿宋" w:hAnsi="仿宋" w:eastAsia="仿宋" w:cs="仿宋"/>
                <w:sz w:val="24"/>
                <w:szCs w:val="24"/>
              </w:rPr>
              <w:t>法人单位：（盖章）</w:t>
            </w:r>
          </w:p>
          <w:p w14:paraId="07E25425">
            <w:pPr>
              <w:pStyle w:val="37"/>
              <w:keepNext w:val="0"/>
              <w:keepLines w:val="0"/>
              <w:pageBreakBefore w:val="0"/>
              <w:widowControl w:val="0"/>
              <w:shd w:val="clear" w:color="auto" w:fill="auto"/>
              <w:kinsoku/>
              <w:wordWrap/>
              <w:overflowPunct/>
              <w:topLinePunct w:val="0"/>
              <w:autoSpaceDE/>
              <w:autoSpaceDN/>
              <w:bidi w:val="0"/>
              <w:adjustRightInd w:val="0"/>
              <w:snapToGrid/>
              <w:spacing w:beforeLines="0" w:after="0" w:afterLines="0" w:line="400" w:lineRule="exact"/>
              <w:ind w:left="0" w:hanging="960" w:hangingChars="400"/>
              <w:jc w:val="both"/>
              <w:textAlignment w:val="auto"/>
              <w:rPr>
                <w:rFonts w:hint="eastAsia" w:ascii="仿宋" w:hAnsi="仿宋" w:eastAsia="仿宋" w:cs="仿宋"/>
                <w:sz w:val="24"/>
                <w:szCs w:val="24"/>
              </w:rPr>
            </w:pPr>
          </w:p>
          <w:p w14:paraId="4332B766">
            <w:pPr>
              <w:pStyle w:val="37"/>
              <w:keepNext w:val="0"/>
              <w:keepLines w:val="0"/>
              <w:pageBreakBefore w:val="0"/>
              <w:widowControl w:val="0"/>
              <w:shd w:val="clear" w:color="auto" w:fill="auto"/>
              <w:kinsoku/>
              <w:wordWrap/>
              <w:overflowPunct/>
              <w:topLinePunct w:val="0"/>
              <w:autoSpaceDE/>
              <w:autoSpaceDN/>
              <w:bidi w:val="0"/>
              <w:adjustRightInd w:val="0"/>
              <w:snapToGrid/>
              <w:spacing w:beforeLines="0" w:after="0" w:afterLines="0" w:line="400" w:lineRule="exact"/>
              <w:ind w:left="0" w:hanging="960" w:hangingChars="400"/>
              <w:jc w:val="both"/>
              <w:textAlignment w:val="auto"/>
              <w:rPr>
                <w:rFonts w:hint="eastAsia" w:ascii="仿宋" w:hAnsi="仿宋" w:eastAsia="仿宋" w:cs="仿宋"/>
                <w:sz w:val="24"/>
                <w:szCs w:val="24"/>
              </w:rPr>
            </w:pPr>
          </w:p>
          <w:p w14:paraId="5A18464A">
            <w:pPr>
              <w:pStyle w:val="37"/>
              <w:keepNext w:val="0"/>
              <w:keepLines w:val="0"/>
              <w:pageBreakBefore w:val="0"/>
              <w:widowControl w:val="0"/>
              <w:shd w:val="clear" w:color="auto" w:fill="auto"/>
              <w:kinsoku/>
              <w:wordWrap/>
              <w:overflowPunct/>
              <w:topLinePunct w:val="0"/>
              <w:autoSpaceDE/>
              <w:autoSpaceDN/>
              <w:bidi w:val="0"/>
              <w:adjustRightInd w:val="0"/>
              <w:snapToGrid/>
              <w:spacing w:beforeLines="0" w:after="0" w:afterLines="0" w:line="400" w:lineRule="exact"/>
              <w:ind w:left="0" w:hanging="960" w:hangingChars="400"/>
              <w:jc w:val="both"/>
              <w:textAlignment w:val="auto"/>
              <w:rPr>
                <w:rFonts w:hint="eastAsia" w:ascii="仿宋" w:hAnsi="仿宋" w:eastAsia="仿宋" w:cs="仿宋"/>
                <w:sz w:val="24"/>
                <w:szCs w:val="24"/>
              </w:rPr>
            </w:pPr>
          </w:p>
          <w:p w14:paraId="7B0B5716">
            <w:pPr>
              <w:pStyle w:val="37"/>
              <w:keepNext w:val="0"/>
              <w:keepLines w:val="0"/>
              <w:pageBreakBefore w:val="0"/>
              <w:widowControl w:val="0"/>
              <w:shd w:val="clear" w:color="auto" w:fill="auto"/>
              <w:kinsoku/>
              <w:wordWrap/>
              <w:overflowPunct/>
              <w:topLinePunct w:val="0"/>
              <w:autoSpaceDE/>
              <w:autoSpaceDN/>
              <w:bidi w:val="0"/>
              <w:adjustRightInd w:val="0"/>
              <w:snapToGrid/>
              <w:spacing w:beforeLines="0" w:after="0" w:afterLines="0" w:line="400" w:lineRule="exact"/>
              <w:ind w:left="0" w:hanging="960" w:hangingChars="400"/>
              <w:jc w:val="both"/>
              <w:textAlignment w:val="auto"/>
              <w:rPr>
                <w:rFonts w:hint="eastAsia" w:ascii="仿宋" w:hAnsi="仿宋" w:eastAsia="仿宋" w:cs="仿宋"/>
                <w:sz w:val="24"/>
                <w:szCs w:val="24"/>
              </w:rPr>
            </w:pPr>
            <w:r>
              <w:rPr>
                <w:rFonts w:hint="eastAsia" w:ascii="仿宋" w:hAnsi="仿宋" w:eastAsia="仿宋" w:cs="仿宋"/>
                <w:sz w:val="24"/>
                <w:szCs w:val="24"/>
              </w:rPr>
              <w:t>代理人：（签/章）</w:t>
            </w:r>
          </w:p>
          <w:p w14:paraId="4BB5C465">
            <w:pPr>
              <w:pStyle w:val="37"/>
              <w:keepNext w:val="0"/>
              <w:keepLines w:val="0"/>
              <w:pageBreakBefore w:val="0"/>
              <w:widowControl w:val="0"/>
              <w:shd w:val="clear" w:color="auto" w:fill="auto"/>
              <w:kinsoku/>
              <w:wordWrap/>
              <w:overflowPunct/>
              <w:topLinePunct w:val="0"/>
              <w:autoSpaceDE/>
              <w:autoSpaceDN/>
              <w:bidi w:val="0"/>
              <w:adjustRightInd w:val="0"/>
              <w:snapToGrid/>
              <w:spacing w:beforeLines="0" w:after="0" w:afterLines="0" w:line="400" w:lineRule="exact"/>
              <w:ind w:left="0" w:hanging="960" w:hangingChars="400"/>
              <w:jc w:val="both"/>
              <w:textAlignment w:val="auto"/>
              <w:rPr>
                <w:rFonts w:hint="eastAsia" w:ascii="仿宋" w:hAnsi="仿宋" w:eastAsia="仿宋" w:cs="仿宋"/>
                <w:sz w:val="24"/>
                <w:szCs w:val="24"/>
              </w:rPr>
            </w:pPr>
          </w:p>
          <w:p w14:paraId="59105F2D">
            <w:pPr>
              <w:pStyle w:val="37"/>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400" w:lineRule="exact"/>
              <w:ind w:left="0" w:hanging="960" w:hangingChars="400"/>
              <w:jc w:val="both"/>
              <w:textAlignment w:val="auto"/>
              <w:rPr>
                <w:rFonts w:hint="eastAsia" w:ascii="仿宋" w:hAnsi="仿宋" w:eastAsia="仿宋" w:cs="仿宋"/>
                <w:sz w:val="24"/>
                <w:szCs w:val="24"/>
              </w:rPr>
            </w:pPr>
            <w:r>
              <w:rPr>
                <w:rFonts w:hint="eastAsia" w:ascii="仿宋" w:hAnsi="仿宋" w:eastAsia="仿宋" w:cs="仿宋"/>
                <w:sz w:val="24"/>
                <w:szCs w:val="24"/>
              </w:rPr>
              <w:t>日期：</w:t>
            </w:r>
          </w:p>
        </w:tc>
      </w:tr>
      <w:tr w14:paraId="017DFA16">
        <w:tblPrEx>
          <w:shd w:val="clear" w:color="auto" w:fill="auto"/>
          <w:tblCellMar>
            <w:top w:w="0" w:type="dxa"/>
            <w:left w:w="10" w:type="dxa"/>
            <w:bottom w:w="0" w:type="dxa"/>
            <w:right w:w="10" w:type="dxa"/>
          </w:tblCellMar>
        </w:tblPrEx>
        <w:trPr>
          <w:trHeight w:val="2016" w:hRule="exact"/>
          <w:jc w:val="center"/>
        </w:trPr>
        <w:tc>
          <w:tcPr>
            <w:tcW w:w="4128" w:type="dxa"/>
            <w:tcBorders>
              <w:top w:val="single" w:color="auto" w:sz="4" w:space="0"/>
              <w:left w:val="single" w:color="auto" w:sz="4" w:space="0"/>
            </w:tcBorders>
            <w:shd w:val="clear" w:color="auto" w:fill="auto"/>
            <w:noWrap w:val="0"/>
            <w:vAlign w:val="center"/>
          </w:tcPr>
          <w:p w14:paraId="40715F00">
            <w:pPr>
              <w:keepNext w:val="0"/>
              <w:keepLines w:val="0"/>
              <w:pageBreakBefore w:val="0"/>
              <w:widowControl w:val="0"/>
              <w:kinsoku/>
              <w:wordWrap/>
              <w:overflowPunct/>
              <w:topLinePunct w:val="0"/>
              <w:autoSpaceDE/>
              <w:autoSpaceDN/>
              <w:bidi w:val="0"/>
              <w:adjustRightInd w:val="0"/>
              <w:snapToGrid/>
              <w:spacing w:beforeLines="0" w:afterLines="0" w:line="400" w:lineRule="exact"/>
              <w:ind w:left="0"/>
              <w:jc w:val="both"/>
              <w:textAlignment w:val="auto"/>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开户行：</w:t>
            </w:r>
          </w:p>
          <w:p w14:paraId="1EE86BF7">
            <w:pPr>
              <w:keepNext w:val="0"/>
              <w:keepLines w:val="0"/>
              <w:pageBreakBefore w:val="0"/>
              <w:widowControl w:val="0"/>
              <w:kinsoku/>
              <w:wordWrap/>
              <w:overflowPunct/>
              <w:topLinePunct w:val="0"/>
              <w:autoSpaceDE/>
              <w:autoSpaceDN/>
              <w:bidi w:val="0"/>
              <w:adjustRightInd w:val="0"/>
              <w:snapToGrid/>
              <w:spacing w:beforeLines="0" w:afterLines="0" w:line="400" w:lineRule="exact"/>
              <w:ind w:left="0"/>
              <w:jc w:val="both"/>
              <w:textAlignment w:val="auto"/>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账号：</w:t>
            </w:r>
          </w:p>
          <w:p w14:paraId="554E66F6">
            <w:pPr>
              <w:keepNext w:val="0"/>
              <w:keepLines w:val="0"/>
              <w:pageBreakBefore w:val="0"/>
              <w:widowControl w:val="0"/>
              <w:kinsoku/>
              <w:wordWrap/>
              <w:overflowPunct/>
              <w:topLinePunct w:val="0"/>
              <w:autoSpaceDE/>
              <w:autoSpaceDN/>
              <w:bidi w:val="0"/>
              <w:adjustRightInd w:val="0"/>
              <w:snapToGrid/>
              <w:spacing w:beforeLines="0" w:afterLines="0" w:line="400" w:lineRule="exact"/>
              <w:ind w:left="0"/>
              <w:jc w:val="both"/>
              <w:textAlignment w:val="auto"/>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户名：</w:t>
            </w:r>
          </w:p>
          <w:p w14:paraId="2DB05A86">
            <w:pPr>
              <w:pStyle w:val="37"/>
              <w:keepNext w:val="0"/>
              <w:keepLines w:val="0"/>
              <w:pageBreakBefore w:val="0"/>
              <w:widowControl w:val="0"/>
              <w:shd w:val="clear" w:color="auto" w:fill="auto"/>
              <w:kinsoku/>
              <w:wordWrap/>
              <w:overflowPunct/>
              <w:topLinePunct w:val="0"/>
              <w:autoSpaceDE/>
              <w:autoSpaceDN/>
              <w:bidi w:val="0"/>
              <w:adjustRightInd w:val="0"/>
              <w:snapToGrid/>
              <w:spacing w:beforeLines="0" w:after="0" w:afterLines="0" w:line="400" w:lineRule="exact"/>
              <w:ind w:left="0"/>
              <w:jc w:val="both"/>
              <w:textAlignment w:val="auto"/>
              <w:rPr>
                <w:rFonts w:hint="eastAsia" w:ascii="仿宋" w:hAnsi="仿宋" w:eastAsia="仿宋" w:cs="仿宋"/>
                <w:sz w:val="24"/>
                <w:szCs w:val="24"/>
              </w:rPr>
            </w:pPr>
          </w:p>
        </w:tc>
        <w:tc>
          <w:tcPr>
            <w:tcW w:w="4171" w:type="dxa"/>
            <w:tcBorders>
              <w:top w:val="single" w:color="auto" w:sz="4" w:space="0"/>
              <w:left w:val="single" w:color="auto" w:sz="4" w:space="0"/>
              <w:right w:val="single" w:color="auto" w:sz="4" w:space="0"/>
            </w:tcBorders>
            <w:shd w:val="clear" w:color="auto" w:fill="auto"/>
            <w:noWrap w:val="0"/>
            <w:vAlign w:val="center"/>
          </w:tcPr>
          <w:p w14:paraId="7EBBC313">
            <w:pPr>
              <w:pStyle w:val="37"/>
              <w:keepNext w:val="0"/>
              <w:keepLines w:val="0"/>
              <w:pageBreakBefore w:val="0"/>
              <w:widowControl w:val="0"/>
              <w:shd w:val="clear" w:color="auto" w:fill="auto"/>
              <w:kinsoku/>
              <w:wordWrap/>
              <w:overflowPunct/>
              <w:topLinePunct w:val="0"/>
              <w:autoSpaceDE/>
              <w:autoSpaceDN/>
              <w:bidi w:val="0"/>
              <w:adjustRightInd w:val="0"/>
              <w:snapToGrid/>
              <w:spacing w:beforeLines="0" w:after="0" w:afterLines="0" w:line="400" w:lineRule="exact"/>
              <w:ind w:left="0" w:hanging="960" w:hangingChars="400"/>
              <w:jc w:val="both"/>
              <w:textAlignment w:val="auto"/>
              <w:rPr>
                <w:rFonts w:hint="eastAsia" w:ascii="仿宋" w:hAnsi="仿宋" w:eastAsia="仿宋" w:cs="仿宋"/>
                <w:sz w:val="24"/>
                <w:szCs w:val="24"/>
              </w:rPr>
            </w:pPr>
            <w:r>
              <w:rPr>
                <w:rFonts w:hint="eastAsia" w:ascii="仿宋" w:hAnsi="仿宋" w:eastAsia="仿宋" w:cs="仿宋"/>
                <w:sz w:val="24"/>
                <w:szCs w:val="24"/>
              </w:rPr>
              <w:t>开户行：</w:t>
            </w:r>
          </w:p>
          <w:p w14:paraId="17119CC7">
            <w:pPr>
              <w:pStyle w:val="37"/>
              <w:keepNext w:val="0"/>
              <w:keepLines w:val="0"/>
              <w:pageBreakBefore w:val="0"/>
              <w:widowControl w:val="0"/>
              <w:shd w:val="clear" w:color="auto" w:fill="auto"/>
              <w:kinsoku/>
              <w:wordWrap/>
              <w:overflowPunct/>
              <w:topLinePunct w:val="0"/>
              <w:autoSpaceDE/>
              <w:autoSpaceDN/>
              <w:bidi w:val="0"/>
              <w:adjustRightInd w:val="0"/>
              <w:snapToGrid/>
              <w:spacing w:beforeLines="0" w:after="0" w:afterLines="0" w:line="400" w:lineRule="exact"/>
              <w:ind w:left="0" w:hanging="960" w:hangingChars="400"/>
              <w:jc w:val="both"/>
              <w:textAlignment w:val="auto"/>
              <w:rPr>
                <w:rFonts w:hint="eastAsia" w:ascii="仿宋" w:hAnsi="仿宋" w:eastAsia="仿宋" w:cs="仿宋"/>
                <w:sz w:val="24"/>
                <w:szCs w:val="24"/>
              </w:rPr>
            </w:pPr>
            <w:r>
              <w:rPr>
                <w:rFonts w:hint="eastAsia" w:ascii="仿宋" w:hAnsi="仿宋" w:eastAsia="仿宋" w:cs="仿宋"/>
                <w:sz w:val="24"/>
                <w:szCs w:val="24"/>
              </w:rPr>
              <w:t>账号：</w:t>
            </w:r>
          </w:p>
          <w:p w14:paraId="3CF27A07">
            <w:pPr>
              <w:keepNext w:val="0"/>
              <w:keepLines w:val="0"/>
              <w:pageBreakBefore w:val="0"/>
              <w:widowControl w:val="0"/>
              <w:kinsoku/>
              <w:wordWrap/>
              <w:overflowPunct/>
              <w:topLinePunct w:val="0"/>
              <w:autoSpaceDE/>
              <w:autoSpaceDN/>
              <w:bidi w:val="0"/>
              <w:adjustRightInd w:val="0"/>
              <w:snapToGrid/>
              <w:spacing w:beforeLines="0" w:afterLines="0" w:line="400" w:lineRule="exact"/>
              <w:ind w:left="0"/>
              <w:jc w:val="both"/>
              <w:textAlignment w:val="auto"/>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户名：</w:t>
            </w:r>
          </w:p>
          <w:p w14:paraId="06BD2A31">
            <w:pPr>
              <w:pStyle w:val="37"/>
              <w:keepNext w:val="0"/>
              <w:keepLines w:val="0"/>
              <w:pageBreakBefore w:val="0"/>
              <w:widowControl w:val="0"/>
              <w:shd w:val="clear" w:color="auto" w:fill="auto"/>
              <w:kinsoku/>
              <w:wordWrap/>
              <w:overflowPunct/>
              <w:topLinePunct w:val="0"/>
              <w:autoSpaceDE/>
              <w:autoSpaceDN/>
              <w:bidi w:val="0"/>
              <w:adjustRightInd w:val="0"/>
              <w:snapToGrid/>
              <w:spacing w:beforeLines="0" w:after="0" w:afterLines="0" w:line="400" w:lineRule="exact"/>
              <w:ind w:left="0"/>
              <w:jc w:val="both"/>
              <w:textAlignment w:val="auto"/>
              <w:rPr>
                <w:rFonts w:hint="eastAsia" w:ascii="仿宋" w:hAnsi="仿宋" w:eastAsia="仿宋" w:cs="仿宋"/>
                <w:sz w:val="24"/>
                <w:szCs w:val="24"/>
                <w:lang w:val="en-US"/>
              </w:rPr>
            </w:pPr>
          </w:p>
        </w:tc>
      </w:tr>
      <w:tr w14:paraId="397CAC21">
        <w:tblPrEx>
          <w:shd w:val="clear" w:color="auto" w:fill="auto"/>
          <w:tblCellMar>
            <w:top w:w="0" w:type="dxa"/>
            <w:left w:w="10" w:type="dxa"/>
            <w:bottom w:w="0" w:type="dxa"/>
            <w:right w:w="10" w:type="dxa"/>
          </w:tblCellMar>
        </w:tblPrEx>
        <w:trPr>
          <w:trHeight w:val="616" w:hRule="exact"/>
          <w:jc w:val="center"/>
        </w:trPr>
        <w:tc>
          <w:tcPr>
            <w:tcW w:w="4128" w:type="dxa"/>
            <w:tcBorders>
              <w:top w:val="single" w:color="auto" w:sz="4" w:space="0"/>
              <w:left w:val="single" w:color="auto" w:sz="4" w:space="0"/>
              <w:bottom w:val="single" w:color="auto" w:sz="4" w:space="0"/>
            </w:tcBorders>
            <w:shd w:val="clear" w:color="auto" w:fill="auto"/>
            <w:noWrap w:val="0"/>
            <w:vAlign w:val="center"/>
          </w:tcPr>
          <w:p w14:paraId="3F17825D">
            <w:pPr>
              <w:keepNext w:val="0"/>
              <w:keepLines w:val="0"/>
              <w:pageBreakBefore w:val="0"/>
              <w:widowControl w:val="0"/>
              <w:kinsoku/>
              <w:wordWrap/>
              <w:overflowPunct/>
              <w:topLinePunct w:val="0"/>
              <w:autoSpaceDE/>
              <w:autoSpaceDN/>
              <w:bidi w:val="0"/>
              <w:adjustRightInd w:val="0"/>
              <w:snapToGrid/>
              <w:spacing w:beforeLines="0" w:afterLines="0" w:line="400" w:lineRule="exact"/>
              <w:ind w:left="0"/>
              <w:jc w:val="both"/>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zh-CN" w:eastAsia="zh-CN" w:bidi="zh-CN"/>
              </w:rPr>
              <w:t>联系电话：</w:t>
            </w:r>
          </w:p>
        </w:tc>
        <w:tc>
          <w:tcPr>
            <w:tcW w:w="41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AEC397">
            <w:pPr>
              <w:keepNext w:val="0"/>
              <w:keepLines w:val="0"/>
              <w:pageBreakBefore w:val="0"/>
              <w:widowControl w:val="0"/>
              <w:kinsoku/>
              <w:wordWrap/>
              <w:overflowPunct/>
              <w:topLinePunct w:val="0"/>
              <w:autoSpaceDE/>
              <w:autoSpaceDN/>
              <w:bidi w:val="0"/>
              <w:adjustRightInd w:val="0"/>
              <w:snapToGrid/>
              <w:spacing w:beforeLines="0" w:afterLines="0" w:line="400" w:lineRule="exact"/>
              <w:ind w:left="0"/>
              <w:jc w:val="both"/>
              <w:textAlignment w:val="auto"/>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联系电话：</w:t>
            </w:r>
            <w:r>
              <w:rPr>
                <w:rFonts w:hint="eastAsia" w:ascii="仿宋" w:hAnsi="仿宋" w:eastAsia="仿宋" w:cs="仿宋"/>
                <w:kern w:val="0"/>
                <w:sz w:val="24"/>
                <w:szCs w:val="24"/>
                <w:lang w:val="zh-CN" w:eastAsia="zh-CN" w:bidi="zh-CN"/>
              </w:rPr>
              <w:t xml:space="preserve"> </w:t>
            </w:r>
          </w:p>
        </w:tc>
      </w:tr>
    </w:tbl>
    <w:p w14:paraId="5A472B72">
      <w:pPr>
        <w:spacing w:line="460" w:lineRule="exact"/>
        <w:rPr>
          <w:rFonts w:ascii="仿宋" w:hAnsi="仿宋" w:eastAsia="仿宋" w:cs="仿宋"/>
          <w:bCs/>
          <w:sz w:val="24"/>
          <w:highlight w:val="none"/>
        </w:rPr>
      </w:pPr>
      <w:r>
        <w:rPr>
          <w:rFonts w:hint="eastAsia" w:ascii="仿宋" w:hAnsi="仿宋" w:eastAsia="仿宋" w:cs="仿宋"/>
          <w:bCs/>
          <w:sz w:val="24"/>
          <w:highlight w:val="none"/>
        </w:rPr>
        <w:br w:type="page"/>
      </w:r>
    </w:p>
    <w:bookmarkEnd w:id="77"/>
    <w:p w14:paraId="7BD1E77E">
      <w:pPr>
        <w:spacing w:line="360" w:lineRule="auto"/>
        <w:jc w:val="center"/>
        <w:outlineLvl w:val="0"/>
        <w:rPr>
          <w:rFonts w:hint="eastAsia" w:ascii="仿宋" w:hAnsi="仿宋" w:eastAsia="仿宋" w:cs="仿宋"/>
          <w:b/>
          <w:sz w:val="32"/>
          <w:szCs w:val="32"/>
          <w:highlight w:val="none"/>
        </w:rPr>
      </w:pPr>
      <w:bookmarkStart w:id="81" w:name="_Toc10557"/>
      <w:bookmarkStart w:id="82" w:name="_Toc28683"/>
      <w:r>
        <w:rPr>
          <w:rFonts w:hint="eastAsia" w:ascii="仿宋" w:hAnsi="仿宋" w:eastAsia="仿宋" w:cs="仿宋"/>
          <w:b/>
          <w:bCs/>
          <w:sz w:val="32"/>
          <w:szCs w:val="32"/>
          <w:highlight w:val="none"/>
        </w:rPr>
        <w:t>第六章  竞争性磋商响应文件格式</w:t>
      </w:r>
      <w:bookmarkEnd w:id="78"/>
      <w:bookmarkEnd w:id="79"/>
      <w:bookmarkEnd w:id="80"/>
      <w:bookmarkEnd w:id="81"/>
      <w:bookmarkEnd w:id="82"/>
    </w:p>
    <w:p w14:paraId="037ABA6C">
      <w:pPr>
        <w:adjustRightInd w:val="0"/>
        <w:snapToGrid w:val="0"/>
        <w:spacing w:line="360" w:lineRule="auto"/>
        <w:rPr>
          <w:rFonts w:hint="eastAsia" w:ascii="仿宋" w:hAnsi="仿宋" w:eastAsia="仿宋" w:cs="仿宋"/>
          <w:sz w:val="24"/>
          <w:highlight w:val="none"/>
        </w:rPr>
      </w:pPr>
    </w:p>
    <w:p w14:paraId="6A8CA3A1">
      <w:pPr>
        <w:adjustRightInd w:val="0"/>
        <w:snapToGrid w:val="0"/>
        <w:spacing w:line="360" w:lineRule="auto"/>
        <w:ind w:right="600"/>
        <w:jc w:val="right"/>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（正本或副本）</w:t>
      </w:r>
    </w:p>
    <w:p w14:paraId="7438A139">
      <w:pPr>
        <w:wordWrap w:val="0"/>
        <w:spacing w:line="360" w:lineRule="auto"/>
        <w:ind w:right="980"/>
        <w:rPr>
          <w:rFonts w:hint="eastAsia" w:ascii="仿宋" w:hAnsi="仿宋" w:eastAsia="仿宋" w:cs="仿宋"/>
          <w:b/>
          <w:sz w:val="28"/>
          <w:szCs w:val="28"/>
          <w:highlight w:val="none"/>
        </w:rPr>
      </w:pPr>
      <w:r>
        <w:rPr>
          <w:rFonts w:hint="eastAsia" w:ascii="仿宋" w:hAnsi="仿宋" w:eastAsia="仿宋" w:cs="仿宋"/>
          <w:b/>
          <w:sz w:val="28"/>
          <w:szCs w:val="28"/>
          <w:highlight w:val="none"/>
        </w:rPr>
        <w:t>项目编号：</w:t>
      </w:r>
    </w:p>
    <w:p w14:paraId="0AEF2863">
      <w:pPr>
        <w:spacing w:line="360" w:lineRule="auto"/>
        <w:ind w:right="420"/>
        <w:jc w:val="right"/>
        <w:rPr>
          <w:rFonts w:hint="eastAsia" w:ascii="仿宋" w:hAnsi="仿宋" w:eastAsia="仿宋" w:cs="仿宋"/>
          <w:b/>
          <w:sz w:val="28"/>
          <w:szCs w:val="28"/>
          <w:highlight w:val="none"/>
        </w:rPr>
      </w:pPr>
    </w:p>
    <w:p w14:paraId="36696325">
      <w:pPr>
        <w:spacing w:line="360" w:lineRule="auto"/>
        <w:outlineLvl w:val="9"/>
        <w:rPr>
          <w:rFonts w:hint="eastAsia" w:ascii="仿宋" w:hAnsi="仿宋" w:eastAsia="仿宋" w:cs="仿宋"/>
          <w:b/>
          <w:sz w:val="24"/>
          <w:highlight w:val="none"/>
        </w:rPr>
      </w:pPr>
    </w:p>
    <w:p w14:paraId="2A213AD6">
      <w:pPr>
        <w:adjustRightInd w:val="0"/>
        <w:snapToGrid w:val="0"/>
        <w:spacing w:line="360" w:lineRule="auto"/>
        <w:jc w:val="center"/>
        <w:outlineLvl w:val="9"/>
        <w:rPr>
          <w:rFonts w:hint="eastAsia" w:ascii="仿宋" w:hAnsi="仿宋" w:eastAsia="仿宋" w:cs="仿宋"/>
          <w:b/>
          <w:sz w:val="52"/>
          <w:szCs w:val="52"/>
          <w:highlight w:val="none"/>
        </w:rPr>
      </w:pPr>
      <w:r>
        <w:rPr>
          <w:rFonts w:hint="eastAsia" w:ascii="仿宋" w:hAnsi="仿宋" w:eastAsia="仿宋" w:cs="仿宋"/>
          <w:b/>
          <w:sz w:val="48"/>
          <w:szCs w:val="48"/>
          <w:highlight w:val="none"/>
          <w:u w:val="single"/>
        </w:rPr>
        <w:t xml:space="preserve">                           </w:t>
      </w:r>
      <w:r>
        <w:rPr>
          <w:rFonts w:hint="eastAsia" w:ascii="仿宋" w:hAnsi="仿宋" w:eastAsia="仿宋" w:cs="仿宋"/>
          <w:b/>
          <w:sz w:val="48"/>
          <w:szCs w:val="48"/>
          <w:highlight w:val="none"/>
        </w:rPr>
        <w:t>项目</w:t>
      </w:r>
    </w:p>
    <w:p w14:paraId="541DC00C">
      <w:pPr>
        <w:adjustRightInd w:val="0"/>
        <w:snapToGrid w:val="0"/>
        <w:spacing w:line="360" w:lineRule="auto"/>
        <w:jc w:val="center"/>
        <w:outlineLvl w:val="9"/>
        <w:rPr>
          <w:rFonts w:hint="eastAsia" w:ascii="仿宋" w:hAnsi="仿宋" w:eastAsia="仿宋" w:cs="仿宋"/>
          <w:b/>
          <w:sz w:val="52"/>
          <w:szCs w:val="52"/>
          <w:highlight w:val="none"/>
        </w:rPr>
      </w:pPr>
    </w:p>
    <w:p w14:paraId="14FF2881">
      <w:pPr>
        <w:adjustRightInd w:val="0"/>
        <w:snapToGrid w:val="0"/>
        <w:spacing w:line="360" w:lineRule="auto"/>
        <w:jc w:val="center"/>
        <w:outlineLvl w:val="9"/>
        <w:rPr>
          <w:rFonts w:hint="eastAsia" w:ascii="仿宋" w:hAnsi="仿宋" w:eastAsia="仿宋" w:cs="仿宋"/>
          <w:bCs/>
          <w:sz w:val="48"/>
          <w:szCs w:val="48"/>
          <w:highlight w:val="none"/>
        </w:rPr>
      </w:pPr>
    </w:p>
    <w:p w14:paraId="7E2A03B2">
      <w:pPr>
        <w:adjustRightInd w:val="0"/>
        <w:snapToGrid w:val="0"/>
        <w:spacing w:line="360" w:lineRule="auto"/>
        <w:jc w:val="center"/>
        <w:outlineLvl w:val="9"/>
        <w:rPr>
          <w:rFonts w:hint="eastAsia" w:ascii="仿宋" w:hAnsi="仿宋" w:eastAsia="仿宋" w:cs="仿宋"/>
          <w:b/>
          <w:sz w:val="52"/>
          <w:szCs w:val="52"/>
          <w:highlight w:val="none"/>
        </w:rPr>
      </w:pPr>
      <w:r>
        <w:rPr>
          <w:rFonts w:hint="eastAsia" w:ascii="仿宋" w:hAnsi="仿宋" w:eastAsia="仿宋" w:cs="仿宋"/>
          <w:b/>
          <w:sz w:val="48"/>
          <w:szCs w:val="48"/>
          <w:highlight w:val="none"/>
        </w:rPr>
        <w:t>竞争性磋商响应文件</w:t>
      </w:r>
    </w:p>
    <w:p w14:paraId="647021D0">
      <w:pPr>
        <w:adjustRightInd w:val="0"/>
        <w:snapToGrid w:val="0"/>
        <w:spacing w:line="360" w:lineRule="auto"/>
        <w:jc w:val="center"/>
        <w:outlineLvl w:val="9"/>
        <w:rPr>
          <w:rFonts w:hint="eastAsia" w:ascii="仿宋" w:hAnsi="仿宋" w:eastAsia="仿宋" w:cs="仿宋"/>
          <w:b/>
          <w:sz w:val="32"/>
          <w:szCs w:val="32"/>
          <w:highlight w:val="none"/>
        </w:rPr>
      </w:pPr>
    </w:p>
    <w:p w14:paraId="5B0D7DB7">
      <w:pPr>
        <w:outlineLvl w:val="9"/>
        <w:rPr>
          <w:rFonts w:hint="eastAsia" w:ascii="仿宋" w:hAnsi="仿宋" w:eastAsia="仿宋" w:cs="仿宋"/>
          <w:highlight w:val="none"/>
        </w:rPr>
      </w:pPr>
    </w:p>
    <w:p w14:paraId="055F32D5">
      <w:pPr>
        <w:outlineLvl w:val="9"/>
        <w:rPr>
          <w:rFonts w:hint="eastAsia" w:ascii="仿宋" w:hAnsi="仿宋" w:eastAsia="仿宋" w:cs="仿宋"/>
          <w:sz w:val="30"/>
          <w:highlight w:val="none"/>
        </w:rPr>
      </w:pPr>
    </w:p>
    <w:p w14:paraId="5468B33D">
      <w:pPr>
        <w:pStyle w:val="10"/>
        <w:outlineLvl w:val="9"/>
        <w:rPr>
          <w:rFonts w:hint="eastAsia" w:ascii="仿宋" w:hAnsi="仿宋" w:eastAsia="仿宋" w:cs="仿宋"/>
          <w:highlight w:val="none"/>
        </w:rPr>
      </w:pPr>
    </w:p>
    <w:p w14:paraId="3C0A0953">
      <w:pPr>
        <w:outlineLvl w:val="9"/>
        <w:rPr>
          <w:rFonts w:hint="eastAsia" w:ascii="仿宋" w:hAnsi="仿宋" w:eastAsia="仿宋" w:cs="仿宋"/>
          <w:highlight w:val="none"/>
        </w:rPr>
      </w:pPr>
    </w:p>
    <w:p w14:paraId="22B332D2">
      <w:pPr>
        <w:adjustRightInd w:val="0"/>
        <w:snapToGrid w:val="0"/>
        <w:spacing w:line="360" w:lineRule="auto"/>
        <w:outlineLvl w:val="9"/>
        <w:rPr>
          <w:rFonts w:hint="eastAsia" w:ascii="仿宋" w:hAnsi="仿宋" w:eastAsia="仿宋" w:cs="仿宋"/>
          <w:b/>
          <w:sz w:val="30"/>
          <w:highlight w:val="none"/>
        </w:rPr>
      </w:pPr>
    </w:p>
    <w:p w14:paraId="26A351FF">
      <w:pPr>
        <w:ind w:firstLine="1506" w:firstLineChars="500"/>
        <w:outlineLvl w:val="9"/>
        <w:rPr>
          <w:rFonts w:hint="eastAsia" w:ascii="仿宋" w:hAnsi="仿宋" w:eastAsia="仿宋" w:cs="仿宋"/>
          <w:b/>
          <w:sz w:val="30"/>
          <w:szCs w:val="30"/>
          <w:highlight w:val="none"/>
        </w:rPr>
      </w:pPr>
      <w:r>
        <w:rPr>
          <w:rFonts w:hint="eastAsia" w:ascii="仿宋" w:hAnsi="仿宋" w:eastAsia="仿宋" w:cs="仿宋"/>
          <w:b/>
          <w:sz w:val="30"/>
          <w:szCs w:val="30"/>
          <w:highlight w:val="none"/>
        </w:rPr>
        <w:t>供应商名称：</w:t>
      </w:r>
      <w:r>
        <w:rPr>
          <w:rFonts w:hint="eastAsia" w:ascii="仿宋" w:hAnsi="仿宋" w:eastAsia="仿宋" w:cs="仿宋"/>
          <w:b/>
          <w:sz w:val="30"/>
          <w:szCs w:val="30"/>
          <w:highlight w:val="none"/>
          <w:u w:val="single"/>
        </w:rPr>
        <w:t xml:space="preserve">                   </w:t>
      </w:r>
      <w:r>
        <w:rPr>
          <w:rFonts w:hint="eastAsia" w:ascii="仿宋" w:hAnsi="仿宋" w:eastAsia="仿宋" w:cs="仿宋"/>
          <w:b/>
          <w:sz w:val="30"/>
          <w:szCs w:val="30"/>
          <w:highlight w:val="none"/>
        </w:rPr>
        <w:t>（公章）</w:t>
      </w:r>
    </w:p>
    <w:p w14:paraId="7A92B1FC">
      <w:pPr>
        <w:ind w:firstLine="1506" w:firstLineChars="500"/>
        <w:outlineLvl w:val="9"/>
        <w:rPr>
          <w:rFonts w:hint="eastAsia" w:ascii="仿宋" w:hAnsi="仿宋" w:eastAsia="仿宋" w:cs="仿宋"/>
          <w:b/>
          <w:sz w:val="30"/>
          <w:szCs w:val="30"/>
          <w:highlight w:val="none"/>
        </w:rPr>
      </w:pPr>
      <w:r>
        <w:rPr>
          <w:rFonts w:hint="eastAsia" w:ascii="仿宋" w:hAnsi="仿宋" w:eastAsia="仿宋" w:cs="仿宋"/>
          <w:b/>
          <w:sz w:val="30"/>
          <w:szCs w:val="30"/>
          <w:highlight w:val="none"/>
        </w:rPr>
        <w:t>法定代表人</w:t>
      </w:r>
    </w:p>
    <w:p w14:paraId="2E119033">
      <w:pPr>
        <w:ind w:firstLine="1506" w:firstLineChars="500"/>
        <w:outlineLvl w:val="9"/>
        <w:rPr>
          <w:rFonts w:hint="eastAsia" w:ascii="仿宋" w:hAnsi="仿宋" w:eastAsia="仿宋" w:cs="仿宋"/>
          <w:b/>
          <w:sz w:val="30"/>
          <w:szCs w:val="30"/>
          <w:highlight w:val="none"/>
        </w:rPr>
      </w:pPr>
      <w:r>
        <w:rPr>
          <w:rFonts w:hint="eastAsia" w:ascii="仿宋" w:hAnsi="仿宋" w:eastAsia="仿宋" w:cs="仿宋"/>
          <w:b/>
          <w:sz w:val="30"/>
          <w:szCs w:val="30"/>
          <w:highlight w:val="none"/>
        </w:rPr>
        <w:t>或被授权人：</w:t>
      </w:r>
      <w:r>
        <w:rPr>
          <w:rFonts w:hint="eastAsia" w:ascii="仿宋" w:hAnsi="仿宋" w:eastAsia="仿宋" w:cs="仿宋"/>
          <w:b/>
          <w:sz w:val="30"/>
          <w:szCs w:val="30"/>
          <w:highlight w:val="none"/>
          <w:u w:val="single"/>
        </w:rPr>
        <w:t xml:space="preserve">                   </w:t>
      </w:r>
      <w:r>
        <w:rPr>
          <w:rFonts w:hint="eastAsia" w:ascii="仿宋" w:hAnsi="仿宋" w:eastAsia="仿宋" w:cs="仿宋"/>
          <w:b/>
          <w:sz w:val="30"/>
          <w:szCs w:val="30"/>
          <w:highlight w:val="none"/>
        </w:rPr>
        <w:t>（签字或盖章）</w:t>
      </w:r>
    </w:p>
    <w:p w14:paraId="135EC2BF">
      <w:pPr>
        <w:ind w:firstLine="1506" w:firstLineChars="500"/>
        <w:outlineLvl w:val="9"/>
        <w:rPr>
          <w:rFonts w:hint="eastAsia" w:ascii="仿宋" w:hAnsi="仿宋" w:eastAsia="仿宋" w:cs="仿宋"/>
          <w:b/>
          <w:sz w:val="30"/>
          <w:szCs w:val="30"/>
          <w:highlight w:val="none"/>
        </w:rPr>
      </w:pPr>
      <w:r>
        <w:rPr>
          <w:rFonts w:hint="eastAsia" w:ascii="仿宋" w:hAnsi="仿宋" w:eastAsia="仿宋" w:cs="仿宋"/>
          <w:b/>
          <w:sz w:val="30"/>
          <w:szCs w:val="30"/>
          <w:highlight w:val="none"/>
        </w:rPr>
        <w:t>日      期：</w:t>
      </w:r>
      <w:r>
        <w:rPr>
          <w:rFonts w:hint="eastAsia" w:ascii="仿宋" w:hAnsi="仿宋" w:eastAsia="仿宋" w:cs="仿宋"/>
          <w:b/>
          <w:sz w:val="30"/>
          <w:szCs w:val="30"/>
          <w:highlight w:val="none"/>
          <w:u w:val="single"/>
        </w:rPr>
        <w:t xml:space="preserve">      </w:t>
      </w:r>
      <w:r>
        <w:rPr>
          <w:rFonts w:hint="eastAsia" w:ascii="仿宋" w:hAnsi="仿宋" w:eastAsia="仿宋" w:cs="仿宋"/>
          <w:b/>
          <w:sz w:val="30"/>
          <w:szCs w:val="30"/>
          <w:highlight w:val="none"/>
        </w:rPr>
        <w:t>年</w:t>
      </w:r>
      <w:r>
        <w:rPr>
          <w:rFonts w:hint="eastAsia" w:ascii="仿宋" w:hAnsi="仿宋" w:eastAsia="仿宋" w:cs="仿宋"/>
          <w:b/>
          <w:sz w:val="30"/>
          <w:szCs w:val="30"/>
          <w:highlight w:val="none"/>
          <w:u w:val="single"/>
        </w:rPr>
        <w:t xml:space="preserve">      </w:t>
      </w:r>
      <w:r>
        <w:rPr>
          <w:rFonts w:hint="eastAsia" w:ascii="仿宋" w:hAnsi="仿宋" w:eastAsia="仿宋" w:cs="仿宋"/>
          <w:b/>
          <w:sz w:val="30"/>
          <w:szCs w:val="30"/>
          <w:highlight w:val="none"/>
        </w:rPr>
        <w:t>月</w:t>
      </w:r>
      <w:r>
        <w:rPr>
          <w:rFonts w:hint="eastAsia" w:ascii="仿宋" w:hAnsi="仿宋" w:eastAsia="仿宋" w:cs="仿宋"/>
          <w:b/>
          <w:sz w:val="30"/>
          <w:szCs w:val="30"/>
          <w:highlight w:val="none"/>
          <w:u w:val="single"/>
        </w:rPr>
        <w:t xml:space="preserve">     </w:t>
      </w:r>
      <w:r>
        <w:rPr>
          <w:rFonts w:hint="eastAsia" w:ascii="仿宋" w:hAnsi="仿宋" w:eastAsia="仿宋" w:cs="仿宋"/>
          <w:b/>
          <w:sz w:val="30"/>
          <w:szCs w:val="30"/>
          <w:highlight w:val="none"/>
        </w:rPr>
        <w:t>日</w:t>
      </w:r>
    </w:p>
    <w:p w14:paraId="0B1774EA">
      <w:pPr>
        <w:adjustRightInd w:val="0"/>
        <w:snapToGrid w:val="0"/>
        <w:spacing w:line="360" w:lineRule="auto"/>
        <w:rPr>
          <w:rFonts w:hint="eastAsia" w:ascii="仿宋" w:hAnsi="仿宋" w:eastAsia="仿宋" w:cs="仿宋"/>
          <w:b/>
          <w:sz w:val="19"/>
          <w:highlight w:val="none"/>
        </w:rPr>
      </w:pPr>
    </w:p>
    <w:p w14:paraId="3866382D">
      <w:pPr>
        <w:spacing w:line="360" w:lineRule="auto"/>
        <w:rPr>
          <w:rFonts w:hint="eastAsia" w:ascii="仿宋" w:hAnsi="仿宋" w:eastAsia="仿宋" w:cs="仿宋"/>
          <w:b/>
          <w:sz w:val="32"/>
          <w:szCs w:val="32"/>
          <w:highlight w:val="none"/>
        </w:rPr>
      </w:pPr>
    </w:p>
    <w:p w14:paraId="38990FF7">
      <w:pPr>
        <w:overflowPunct w:val="0"/>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目      录</w:t>
      </w:r>
    </w:p>
    <w:p w14:paraId="7B4B14C8">
      <w:pPr>
        <w:overflowPunct w:val="0"/>
        <w:spacing w:line="360" w:lineRule="auto"/>
        <w:jc w:val="center"/>
        <w:outlineLvl w:val="9"/>
        <w:rPr>
          <w:rFonts w:hint="eastAsia" w:ascii="仿宋" w:hAnsi="仿宋" w:eastAsia="仿宋" w:cs="仿宋"/>
          <w:bCs/>
          <w:sz w:val="30"/>
          <w:szCs w:val="30"/>
          <w:highlight w:val="none"/>
        </w:rPr>
      </w:pPr>
    </w:p>
    <w:p w14:paraId="3533BF67">
      <w:pPr>
        <w:numPr>
          <w:ilvl w:val="0"/>
          <w:numId w:val="4"/>
        </w:numPr>
        <w:spacing w:line="360" w:lineRule="auto"/>
        <w:ind w:left="42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磋商函…………………………………………（页码）</w:t>
      </w:r>
    </w:p>
    <w:p w14:paraId="329FF08F">
      <w:pPr>
        <w:numPr>
          <w:ilvl w:val="0"/>
          <w:numId w:val="4"/>
        </w:numPr>
        <w:spacing w:line="360" w:lineRule="auto"/>
        <w:ind w:left="42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法定代表人身份证明…………………………（页码）</w:t>
      </w:r>
    </w:p>
    <w:p w14:paraId="167102D6">
      <w:pPr>
        <w:numPr>
          <w:ilvl w:val="0"/>
          <w:numId w:val="4"/>
        </w:numPr>
        <w:spacing w:line="360" w:lineRule="auto"/>
        <w:ind w:left="42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法定代表人授权委托书………………………（页码）</w:t>
      </w:r>
    </w:p>
    <w:p w14:paraId="49EABD33">
      <w:pPr>
        <w:numPr>
          <w:ilvl w:val="0"/>
          <w:numId w:val="4"/>
        </w:numPr>
        <w:spacing w:line="360" w:lineRule="auto"/>
        <w:ind w:left="42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报价表…………………………………………（页码）</w:t>
      </w:r>
    </w:p>
    <w:p w14:paraId="56C1E39E">
      <w:pPr>
        <w:numPr>
          <w:ilvl w:val="0"/>
          <w:numId w:val="4"/>
        </w:numPr>
        <w:spacing w:line="360" w:lineRule="auto"/>
        <w:ind w:left="42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近年承接的类似项目情况表…………………（页码）</w:t>
      </w:r>
    </w:p>
    <w:p w14:paraId="7E3F592A">
      <w:pPr>
        <w:numPr>
          <w:ilvl w:val="0"/>
          <w:numId w:val="4"/>
        </w:numPr>
        <w:spacing w:line="360" w:lineRule="auto"/>
        <w:ind w:left="42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项目实施方案…………………………………（页码）</w:t>
      </w:r>
    </w:p>
    <w:p w14:paraId="43460BFC">
      <w:pPr>
        <w:numPr>
          <w:ilvl w:val="0"/>
          <w:numId w:val="4"/>
        </w:numPr>
        <w:spacing w:line="360" w:lineRule="auto"/>
        <w:ind w:left="42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商务和服务响应说明…………………………（页码）</w:t>
      </w:r>
    </w:p>
    <w:p w14:paraId="6A79632A">
      <w:pPr>
        <w:numPr>
          <w:ilvl w:val="0"/>
          <w:numId w:val="4"/>
        </w:numPr>
        <w:spacing w:line="360" w:lineRule="auto"/>
        <w:ind w:left="42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资格证明文件…………………………………（页码）</w:t>
      </w:r>
    </w:p>
    <w:p w14:paraId="5EBB4739">
      <w:pPr>
        <w:numPr>
          <w:ilvl w:val="0"/>
          <w:numId w:val="4"/>
        </w:numPr>
        <w:spacing w:line="360" w:lineRule="auto"/>
        <w:ind w:left="42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其他资料………………………………………（页码）</w:t>
      </w:r>
    </w:p>
    <w:p w14:paraId="562378FB">
      <w:pPr>
        <w:overflowPunct w:val="0"/>
        <w:spacing w:before="156" w:beforeLines="50" w:after="156" w:afterLines="50" w:line="500" w:lineRule="exact"/>
        <w:jc w:val="center"/>
        <w:outlineLvl w:val="1"/>
        <w:rPr>
          <w:rFonts w:hint="eastAsia" w:ascii="仿宋" w:hAnsi="仿宋" w:eastAsia="仿宋" w:cs="仿宋"/>
          <w:color w:val="000000"/>
          <w:szCs w:val="21"/>
          <w:highlight w:val="none"/>
        </w:rPr>
      </w:pPr>
      <w:bookmarkStart w:id="83" w:name="_Toc16560"/>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供应商可自行增加详细目录</w:t>
      </w:r>
      <w:r>
        <w:rPr>
          <w:rFonts w:hint="eastAsia" w:ascii="仿宋" w:hAnsi="仿宋" w:eastAsia="仿宋" w:cs="仿宋"/>
          <w:bCs/>
          <w:sz w:val="32"/>
          <w:szCs w:val="32"/>
          <w:highlight w:val="none"/>
          <w:lang w:eastAsia="zh-CN"/>
        </w:rPr>
        <w:t>）</w:t>
      </w:r>
      <w:r>
        <w:rPr>
          <w:rFonts w:hint="eastAsia" w:ascii="仿宋" w:hAnsi="仿宋" w:eastAsia="仿宋" w:cs="仿宋"/>
          <w:b/>
          <w:sz w:val="30"/>
          <w:szCs w:val="30"/>
          <w:highlight w:val="none"/>
        </w:rPr>
        <w:br w:type="page"/>
      </w:r>
      <w:bookmarkStart w:id="84" w:name="_Toc3015"/>
      <w:bookmarkStart w:id="85" w:name="_Toc19196"/>
      <w:bookmarkStart w:id="86" w:name="_Toc5592_WPSOffice_Level1"/>
      <w:bookmarkStart w:id="87" w:name="_Toc10930_WPSOffice_Level1"/>
      <w:bookmarkStart w:id="88" w:name="_Toc25996_WPSOffice_Level1"/>
      <w:r>
        <w:rPr>
          <w:rFonts w:hint="eastAsia" w:ascii="仿宋" w:hAnsi="仿宋" w:eastAsia="仿宋" w:cs="仿宋"/>
          <w:b/>
          <w:bCs/>
          <w:sz w:val="30"/>
          <w:szCs w:val="30"/>
          <w:highlight w:val="none"/>
        </w:rPr>
        <w:t>一、磋商函</w:t>
      </w:r>
      <w:bookmarkEnd w:id="83"/>
      <w:bookmarkEnd w:id="84"/>
    </w:p>
    <w:p w14:paraId="33E92288">
      <w:pPr>
        <w:spacing w:line="500" w:lineRule="exact"/>
        <w:rPr>
          <w:rFonts w:hint="eastAsia" w:ascii="仿宋" w:hAnsi="仿宋" w:eastAsia="仿宋" w:cs="仿宋"/>
          <w:sz w:val="24"/>
          <w:szCs w:val="24"/>
          <w:highlight w:val="none"/>
        </w:rPr>
      </w:pPr>
      <w:bookmarkStart w:id="89" w:name="_Toc1276"/>
      <w:r>
        <w:rPr>
          <w:rFonts w:hint="eastAsia" w:ascii="仿宋" w:hAnsi="仿宋" w:eastAsia="仿宋" w:cs="仿宋"/>
          <w:sz w:val="24"/>
          <w:szCs w:val="24"/>
          <w:highlight w:val="none"/>
        </w:rPr>
        <w:t>陕西德仁招标有限公司：</w:t>
      </w:r>
    </w:p>
    <w:p w14:paraId="69EE9453">
      <w:pPr>
        <w:autoSpaceDE w:val="0"/>
        <w:autoSpaceDN w:val="0"/>
        <w:adjustRightInd w:val="0"/>
        <w:spacing w:line="360" w:lineRule="auto"/>
        <w:ind w:firstLine="630"/>
        <w:rPr>
          <w:rFonts w:ascii="仿宋" w:hAnsi="仿宋" w:eastAsia="仿宋" w:cs="仿宋"/>
          <w:sz w:val="24"/>
          <w:szCs w:val="24"/>
          <w:highlight w:val="none"/>
        </w:rPr>
      </w:pPr>
      <w:r>
        <w:rPr>
          <w:rFonts w:hint="eastAsia" w:ascii="仿宋" w:hAnsi="仿宋" w:eastAsia="仿宋" w:cs="仿宋"/>
          <w:sz w:val="24"/>
          <w:szCs w:val="24"/>
          <w:highlight w:val="none"/>
          <w:lang w:val="zh-CN"/>
        </w:rPr>
        <w:t>我单位收到贵公司</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rPr>
        <w:t>项目名称；项目编号</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zh-CN"/>
        </w:rPr>
        <w:t>）</w:t>
      </w:r>
      <w:r>
        <w:rPr>
          <w:rFonts w:hint="eastAsia" w:ascii="仿宋" w:hAnsi="仿宋" w:eastAsia="仿宋" w:cs="仿宋"/>
          <w:sz w:val="24"/>
          <w:szCs w:val="24"/>
          <w:highlight w:val="none"/>
          <w:lang w:val="zh-CN"/>
        </w:rPr>
        <w:t>竞争性磋商文件，经详细研究，我们决定参加本次</w:t>
      </w:r>
      <w:r>
        <w:rPr>
          <w:rFonts w:hint="eastAsia" w:ascii="仿宋" w:hAnsi="仿宋" w:eastAsia="仿宋" w:cs="仿宋"/>
          <w:sz w:val="24"/>
          <w:szCs w:val="24"/>
          <w:highlight w:val="none"/>
        </w:rPr>
        <w:t>磋商</w:t>
      </w:r>
      <w:r>
        <w:rPr>
          <w:rFonts w:hint="eastAsia" w:ascii="仿宋" w:hAnsi="仿宋" w:eastAsia="仿宋" w:cs="仿宋"/>
          <w:sz w:val="24"/>
          <w:szCs w:val="24"/>
          <w:highlight w:val="none"/>
          <w:lang w:val="zh-CN"/>
        </w:rPr>
        <w:t>活动并</w:t>
      </w:r>
      <w:r>
        <w:rPr>
          <w:rFonts w:hint="eastAsia" w:ascii="仿宋" w:hAnsi="仿宋" w:eastAsia="仿宋" w:cs="仿宋"/>
          <w:sz w:val="24"/>
          <w:szCs w:val="24"/>
          <w:highlight w:val="none"/>
        </w:rPr>
        <w:t>响应</w:t>
      </w:r>
      <w:r>
        <w:rPr>
          <w:rFonts w:hint="eastAsia" w:ascii="仿宋" w:hAnsi="仿宋" w:eastAsia="仿宋" w:cs="仿宋"/>
          <w:sz w:val="24"/>
          <w:szCs w:val="24"/>
          <w:highlight w:val="none"/>
          <w:lang w:val="zh-CN"/>
        </w:rPr>
        <w:t>。为此，我方郑重声明以下诸点，并负法律责任。</w:t>
      </w:r>
    </w:p>
    <w:p w14:paraId="56CC8E74">
      <w:pPr>
        <w:autoSpaceDE w:val="0"/>
        <w:autoSpaceDN w:val="0"/>
        <w:adjustRightInd w:val="0"/>
        <w:snapToGrid w:val="0"/>
        <w:spacing w:line="360" w:lineRule="auto"/>
        <w:ind w:firstLine="629"/>
        <w:rPr>
          <w:rFonts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rPr>
        <w:t>、愿意按照竞争性磋商采购文件中的一切要求，提供磋商技术服务，完成合同的责任和义务。</w:t>
      </w:r>
    </w:p>
    <w:p w14:paraId="182019D5">
      <w:pPr>
        <w:autoSpaceDE w:val="0"/>
        <w:autoSpaceDN w:val="0"/>
        <w:adjustRightInd w:val="0"/>
        <w:snapToGrid w:val="0"/>
        <w:spacing w:line="360" w:lineRule="auto"/>
        <w:ind w:firstLine="629"/>
        <w:rPr>
          <w:rFonts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、按竞争性磋商采购文件的规定，我公司的第一次磋商报价为：人民币（</w:t>
      </w:r>
      <w:r>
        <w:rPr>
          <w:rFonts w:hint="eastAsia" w:ascii="仿宋" w:hAnsi="仿宋" w:eastAsia="仿宋" w:cs="仿宋"/>
          <w:sz w:val="24"/>
          <w:szCs w:val="24"/>
          <w:highlight w:val="none"/>
          <w:u w:val="single"/>
          <w:lang w:val="zh-CN"/>
        </w:rPr>
        <w:t>大写）：（￥：元）</w:t>
      </w:r>
      <w:r>
        <w:rPr>
          <w:rFonts w:hint="eastAsia" w:ascii="仿宋" w:hAnsi="仿宋" w:eastAsia="仿宋" w:cs="仿宋"/>
          <w:sz w:val="24"/>
          <w:szCs w:val="24"/>
          <w:highlight w:val="none"/>
          <w:lang w:val="zh-CN"/>
        </w:rPr>
        <w:t>，并对其后的磋商报价负法律责任。</w:t>
      </w:r>
    </w:p>
    <w:p w14:paraId="0E3BE70A">
      <w:pPr>
        <w:autoSpaceDE w:val="0"/>
        <w:autoSpaceDN w:val="0"/>
        <w:adjustRightInd w:val="0"/>
        <w:snapToGrid w:val="0"/>
        <w:spacing w:line="360" w:lineRule="auto"/>
        <w:ind w:firstLine="629"/>
        <w:rPr>
          <w:rFonts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zh-CN"/>
        </w:rPr>
        <w:t>、我方提交的磋商响应文件正本一份、副本二份、电子</w:t>
      </w:r>
      <w:r>
        <w:rPr>
          <w:rFonts w:hint="eastAsia" w:ascii="仿宋" w:hAnsi="仿宋" w:eastAsia="仿宋" w:cs="仿宋"/>
          <w:sz w:val="24"/>
          <w:szCs w:val="24"/>
          <w:highlight w:val="none"/>
        </w:rPr>
        <w:t>文件</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U盘</w:t>
      </w:r>
      <w:r>
        <w:rPr>
          <w:rFonts w:hint="eastAsia" w:ascii="仿宋" w:hAnsi="仿宋" w:eastAsia="仿宋" w:cs="仿宋"/>
          <w:sz w:val="24"/>
          <w:szCs w:val="24"/>
          <w:highlight w:val="none"/>
          <w:lang w:val="zh-CN"/>
        </w:rPr>
        <w:t>）一份。</w:t>
      </w:r>
    </w:p>
    <w:p w14:paraId="055F2966">
      <w:pPr>
        <w:autoSpaceDE w:val="0"/>
        <w:autoSpaceDN w:val="0"/>
        <w:adjustRightInd w:val="0"/>
        <w:snapToGrid w:val="0"/>
        <w:spacing w:line="360" w:lineRule="auto"/>
        <w:ind w:firstLine="629"/>
        <w:rPr>
          <w:rFonts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zh-CN"/>
        </w:rPr>
        <w:t>、我方已详细阅读了竞争性磋商采购文件，完全理解并放弃提出含糊不清或易形成歧义的表述和资料。</w:t>
      </w:r>
    </w:p>
    <w:p w14:paraId="17306215">
      <w:pPr>
        <w:autoSpaceDE w:val="0"/>
        <w:autoSpaceDN w:val="0"/>
        <w:adjustRightInd w:val="0"/>
        <w:snapToGrid w:val="0"/>
        <w:spacing w:line="360" w:lineRule="auto"/>
        <w:ind w:firstLine="629"/>
        <w:rPr>
          <w:rFonts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、磋商后在规定的有效期内撤回磋商，我方愿接受政府采购的有关处罚决定。</w:t>
      </w:r>
    </w:p>
    <w:p w14:paraId="64DA5AB1">
      <w:pPr>
        <w:autoSpaceDE w:val="0"/>
        <w:autoSpaceDN w:val="0"/>
        <w:adjustRightInd w:val="0"/>
        <w:snapToGrid w:val="0"/>
        <w:spacing w:line="360" w:lineRule="auto"/>
        <w:ind w:firstLine="629"/>
        <w:rPr>
          <w:rFonts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zh-CN"/>
        </w:rPr>
        <w:t>、同意向贵方提供可能要求的，与本次磋商有关的任何证据或资料，我们完全理解最低磋商报价不作为成交的唯一条件，且尊重磋商小组的评审结论和结果。</w:t>
      </w:r>
    </w:p>
    <w:p w14:paraId="063B6B48">
      <w:pPr>
        <w:autoSpaceDE w:val="0"/>
        <w:autoSpaceDN w:val="0"/>
        <w:adjustRightInd w:val="0"/>
        <w:snapToGrid w:val="0"/>
        <w:spacing w:line="360" w:lineRule="auto"/>
        <w:ind w:firstLine="629"/>
        <w:rPr>
          <w:rFonts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zh-CN"/>
        </w:rPr>
        <w:t>、我方的磋商响应文件在磋商后有效期为</w:t>
      </w:r>
      <w:r>
        <w:rPr>
          <w:rFonts w:hint="eastAsia" w:ascii="仿宋" w:hAnsi="仿宋" w:eastAsia="仿宋" w:cs="仿宋"/>
          <w:sz w:val="24"/>
          <w:szCs w:val="24"/>
          <w:highlight w:val="none"/>
        </w:rPr>
        <w:t xml:space="preserve"> 90 </w:t>
      </w:r>
      <w:r>
        <w:rPr>
          <w:rFonts w:hint="eastAsia" w:ascii="仿宋" w:hAnsi="仿宋" w:eastAsia="仿宋" w:cs="仿宋"/>
          <w:sz w:val="24"/>
          <w:szCs w:val="24"/>
          <w:highlight w:val="none"/>
          <w:lang w:val="zh-CN"/>
        </w:rPr>
        <w:t>日历天，若我方成交，磋商响应文件有效期延长至合同执行完毕。</w:t>
      </w:r>
    </w:p>
    <w:p w14:paraId="034E0A4D">
      <w:pPr>
        <w:autoSpaceDE w:val="0"/>
        <w:autoSpaceDN w:val="0"/>
        <w:adjustRightInd w:val="0"/>
        <w:snapToGrid w:val="0"/>
        <w:spacing w:line="360" w:lineRule="auto"/>
        <w:ind w:firstLine="629"/>
        <w:rPr>
          <w:rFonts w:ascii="仿宋" w:hAnsi="仿宋" w:eastAsia="仿宋" w:cs="仿宋"/>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val="zh-CN"/>
        </w:rPr>
        <w:t>、有关于本磋商采购文件的函电，请按下列地址联系。</w:t>
      </w:r>
    </w:p>
    <w:p w14:paraId="1166D1E7">
      <w:pPr>
        <w:wordWrap w:val="0"/>
        <w:autoSpaceDE w:val="0"/>
        <w:autoSpaceDN w:val="0"/>
        <w:adjustRightInd w:val="0"/>
        <w:spacing w:line="500" w:lineRule="exact"/>
        <w:ind w:firstLine="1080" w:firstLineChars="450"/>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sz w:val="24"/>
          <w:szCs w:val="24"/>
          <w:highlight w:val="none"/>
          <w:lang w:val="zh-CN"/>
        </w:rPr>
        <w:t>章）：</w:t>
      </w:r>
      <w:r>
        <w:rPr>
          <w:rFonts w:hint="eastAsia" w:ascii="仿宋" w:hAnsi="仿宋" w:eastAsia="仿宋" w:cs="仿宋"/>
          <w:sz w:val="24"/>
          <w:szCs w:val="24"/>
          <w:highlight w:val="none"/>
          <w:u w:val="single"/>
        </w:rPr>
        <w:t xml:space="preserve">                    </w:t>
      </w:r>
    </w:p>
    <w:p w14:paraId="30EB9791">
      <w:pPr>
        <w:pStyle w:val="10"/>
        <w:ind w:firstLine="1080" w:firstLineChars="4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w:t>
      </w:r>
    </w:p>
    <w:p w14:paraId="5B65A7C0">
      <w:pPr>
        <w:wordWrap w:val="0"/>
        <w:autoSpaceDE w:val="0"/>
        <w:autoSpaceDN w:val="0"/>
        <w:adjustRightInd w:val="0"/>
        <w:spacing w:line="500" w:lineRule="exact"/>
        <w:ind w:firstLine="1080" w:firstLineChars="45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法定代表人或被授权人（签字或盖章）</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u w:val="single"/>
        </w:rPr>
        <w:t xml:space="preserve">           </w:t>
      </w:r>
    </w:p>
    <w:p w14:paraId="1750DFC6">
      <w:pPr>
        <w:ind w:firstLine="1080" w:firstLineChars="450"/>
        <w:rPr>
          <w:rFonts w:hint="eastAsia" w:ascii="仿宋" w:hAnsi="仿宋" w:eastAsia="仿宋" w:cs="仿宋"/>
          <w:sz w:val="24"/>
          <w:szCs w:val="24"/>
          <w:highlight w:val="none"/>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u w:val="single"/>
        </w:rPr>
        <w:t xml:space="preserve">                               </w:t>
      </w:r>
    </w:p>
    <w:p w14:paraId="58A324F4">
      <w:pPr>
        <w:pStyle w:val="32"/>
        <w:spacing w:line="500" w:lineRule="exact"/>
        <w:ind w:firstLine="3720" w:firstLineChars="1550"/>
        <w:rPr>
          <w:rFonts w:hint="eastAsia" w:ascii="仿宋" w:hAnsi="仿宋" w:eastAsia="仿宋" w:cs="仿宋"/>
          <w:sz w:val="24"/>
          <w:szCs w:val="24"/>
          <w:highlight w:val="none"/>
          <w:lang w:val="zh-CN"/>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val="zh-CN"/>
        </w:rPr>
        <w:t>日</w:t>
      </w:r>
    </w:p>
    <w:p w14:paraId="63993A10">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586ABDD9">
      <w:pPr>
        <w:overflowPunct w:val="0"/>
        <w:spacing w:before="156" w:beforeLines="50" w:after="156" w:afterLines="50" w:line="500" w:lineRule="exact"/>
        <w:jc w:val="center"/>
        <w:outlineLvl w:val="1"/>
        <w:rPr>
          <w:rFonts w:hint="eastAsia" w:ascii="仿宋" w:hAnsi="仿宋" w:eastAsia="仿宋" w:cs="仿宋"/>
          <w:b/>
          <w:bCs/>
          <w:sz w:val="30"/>
          <w:szCs w:val="30"/>
          <w:highlight w:val="none"/>
          <w:lang w:val="en-US" w:eastAsia="zh-CN"/>
        </w:rPr>
      </w:pPr>
      <w:bookmarkStart w:id="90" w:name="_Toc5540"/>
      <w:r>
        <w:rPr>
          <w:rFonts w:hint="eastAsia" w:ascii="仿宋" w:hAnsi="仿宋" w:eastAsia="仿宋" w:cs="仿宋"/>
          <w:b/>
          <w:bCs/>
          <w:sz w:val="30"/>
          <w:szCs w:val="30"/>
          <w:highlight w:val="none"/>
        </w:rPr>
        <w:t>二、法定代表人身份证明</w:t>
      </w:r>
      <w:bookmarkEnd w:id="89"/>
      <w:bookmarkEnd w:id="90"/>
    </w:p>
    <w:tbl>
      <w:tblPr>
        <w:tblStyle w:val="26"/>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270"/>
        <w:gridCol w:w="1895"/>
        <w:gridCol w:w="2186"/>
        <w:gridCol w:w="2190"/>
      </w:tblGrid>
      <w:tr w14:paraId="4B80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540" w:type="dxa"/>
            <w:gridSpan w:val="5"/>
            <w:vAlign w:val="center"/>
          </w:tcPr>
          <w:p w14:paraId="7B41802D">
            <w:pPr>
              <w:tabs>
                <w:tab w:val="left" w:pos="210"/>
              </w:tabs>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致：陕西德仁招标有限公司</w:t>
            </w:r>
          </w:p>
        </w:tc>
      </w:tr>
      <w:tr w14:paraId="7E71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9" w:type="dxa"/>
            <w:vMerge w:val="restart"/>
            <w:vAlign w:val="center"/>
          </w:tcPr>
          <w:p w14:paraId="058DC90D">
            <w:pPr>
              <w:tabs>
                <w:tab w:val="left" w:pos="210"/>
              </w:tabs>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企</w:t>
            </w:r>
          </w:p>
          <w:p w14:paraId="436BF664">
            <w:pPr>
              <w:tabs>
                <w:tab w:val="left" w:pos="210"/>
              </w:tabs>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业</w:t>
            </w:r>
          </w:p>
          <w:p w14:paraId="52E63CEC">
            <w:pPr>
              <w:tabs>
                <w:tab w:val="left" w:pos="210"/>
              </w:tabs>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w:t>
            </w:r>
          </w:p>
          <w:p w14:paraId="26A597B5">
            <w:pPr>
              <w:tabs>
                <w:tab w:val="left" w:pos="210"/>
              </w:tabs>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人</w:t>
            </w:r>
          </w:p>
        </w:tc>
        <w:tc>
          <w:tcPr>
            <w:tcW w:w="2270" w:type="dxa"/>
            <w:vAlign w:val="center"/>
          </w:tcPr>
          <w:p w14:paraId="2246BFA6">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企业名称</w:t>
            </w:r>
          </w:p>
        </w:tc>
        <w:tc>
          <w:tcPr>
            <w:tcW w:w="6271" w:type="dxa"/>
            <w:gridSpan w:val="3"/>
            <w:vAlign w:val="center"/>
          </w:tcPr>
          <w:p w14:paraId="60EECCAD">
            <w:pPr>
              <w:tabs>
                <w:tab w:val="left" w:pos="210"/>
              </w:tabs>
              <w:spacing w:line="360" w:lineRule="auto"/>
              <w:jc w:val="left"/>
              <w:rPr>
                <w:rFonts w:hint="eastAsia" w:ascii="仿宋" w:hAnsi="仿宋" w:eastAsia="仿宋" w:cs="仿宋"/>
                <w:kern w:val="0"/>
                <w:sz w:val="24"/>
                <w:szCs w:val="24"/>
                <w:highlight w:val="none"/>
              </w:rPr>
            </w:pPr>
          </w:p>
        </w:tc>
      </w:tr>
      <w:tr w14:paraId="082C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9" w:type="dxa"/>
            <w:vMerge w:val="continue"/>
            <w:vAlign w:val="center"/>
          </w:tcPr>
          <w:p w14:paraId="4C0E6B93">
            <w:pPr>
              <w:tabs>
                <w:tab w:val="left" w:pos="210"/>
              </w:tabs>
              <w:spacing w:line="360" w:lineRule="auto"/>
              <w:ind w:firstLine="480" w:firstLineChars="200"/>
              <w:jc w:val="center"/>
              <w:rPr>
                <w:rFonts w:hint="eastAsia" w:ascii="仿宋" w:hAnsi="仿宋" w:eastAsia="仿宋" w:cs="仿宋"/>
                <w:kern w:val="0"/>
                <w:sz w:val="24"/>
                <w:szCs w:val="24"/>
                <w:highlight w:val="none"/>
              </w:rPr>
            </w:pPr>
          </w:p>
        </w:tc>
        <w:tc>
          <w:tcPr>
            <w:tcW w:w="2270" w:type="dxa"/>
            <w:vAlign w:val="center"/>
          </w:tcPr>
          <w:p w14:paraId="0CD93D53">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法定地址</w:t>
            </w:r>
          </w:p>
        </w:tc>
        <w:tc>
          <w:tcPr>
            <w:tcW w:w="6271" w:type="dxa"/>
            <w:gridSpan w:val="3"/>
            <w:vAlign w:val="center"/>
          </w:tcPr>
          <w:p w14:paraId="7D1C2399">
            <w:pPr>
              <w:tabs>
                <w:tab w:val="left" w:pos="210"/>
              </w:tabs>
              <w:spacing w:line="360" w:lineRule="auto"/>
              <w:jc w:val="left"/>
              <w:rPr>
                <w:rFonts w:hint="eastAsia" w:ascii="仿宋" w:hAnsi="仿宋" w:eastAsia="仿宋" w:cs="仿宋"/>
                <w:kern w:val="0"/>
                <w:sz w:val="24"/>
                <w:szCs w:val="24"/>
                <w:highlight w:val="none"/>
              </w:rPr>
            </w:pPr>
          </w:p>
        </w:tc>
      </w:tr>
      <w:tr w14:paraId="2F5F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9" w:type="dxa"/>
            <w:vMerge w:val="continue"/>
            <w:vAlign w:val="center"/>
          </w:tcPr>
          <w:p w14:paraId="11A045E2">
            <w:pPr>
              <w:tabs>
                <w:tab w:val="left" w:pos="210"/>
              </w:tabs>
              <w:spacing w:line="360" w:lineRule="auto"/>
              <w:ind w:firstLine="480" w:firstLineChars="200"/>
              <w:jc w:val="center"/>
              <w:rPr>
                <w:rFonts w:hint="eastAsia" w:ascii="仿宋" w:hAnsi="仿宋" w:eastAsia="仿宋" w:cs="仿宋"/>
                <w:kern w:val="0"/>
                <w:sz w:val="24"/>
                <w:szCs w:val="24"/>
                <w:highlight w:val="none"/>
              </w:rPr>
            </w:pPr>
          </w:p>
        </w:tc>
        <w:tc>
          <w:tcPr>
            <w:tcW w:w="2270" w:type="dxa"/>
            <w:vAlign w:val="center"/>
          </w:tcPr>
          <w:p w14:paraId="49E86EFC">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邮政编码</w:t>
            </w:r>
          </w:p>
        </w:tc>
        <w:tc>
          <w:tcPr>
            <w:tcW w:w="6271" w:type="dxa"/>
            <w:gridSpan w:val="3"/>
            <w:vAlign w:val="center"/>
          </w:tcPr>
          <w:p w14:paraId="01F1704F">
            <w:pPr>
              <w:tabs>
                <w:tab w:val="left" w:pos="210"/>
              </w:tabs>
              <w:spacing w:line="360" w:lineRule="auto"/>
              <w:jc w:val="left"/>
              <w:rPr>
                <w:rFonts w:hint="eastAsia" w:ascii="仿宋" w:hAnsi="仿宋" w:eastAsia="仿宋" w:cs="仿宋"/>
                <w:kern w:val="0"/>
                <w:sz w:val="24"/>
                <w:szCs w:val="24"/>
                <w:highlight w:val="none"/>
              </w:rPr>
            </w:pPr>
          </w:p>
        </w:tc>
      </w:tr>
      <w:tr w14:paraId="6EDC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9" w:type="dxa"/>
            <w:vMerge w:val="continue"/>
            <w:vAlign w:val="center"/>
          </w:tcPr>
          <w:p w14:paraId="4824F7A5">
            <w:pPr>
              <w:tabs>
                <w:tab w:val="left" w:pos="210"/>
              </w:tabs>
              <w:spacing w:line="360" w:lineRule="auto"/>
              <w:ind w:firstLine="480" w:firstLineChars="200"/>
              <w:jc w:val="center"/>
              <w:rPr>
                <w:rFonts w:hint="eastAsia" w:ascii="仿宋" w:hAnsi="仿宋" w:eastAsia="仿宋" w:cs="仿宋"/>
                <w:kern w:val="0"/>
                <w:sz w:val="24"/>
                <w:szCs w:val="24"/>
                <w:highlight w:val="none"/>
              </w:rPr>
            </w:pPr>
          </w:p>
        </w:tc>
        <w:tc>
          <w:tcPr>
            <w:tcW w:w="2270" w:type="dxa"/>
            <w:vAlign w:val="center"/>
          </w:tcPr>
          <w:p w14:paraId="69A5ADA5">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工商登记机关</w:t>
            </w:r>
          </w:p>
        </w:tc>
        <w:tc>
          <w:tcPr>
            <w:tcW w:w="6271" w:type="dxa"/>
            <w:gridSpan w:val="3"/>
            <w:vAlign w:val="center"/>
          </w:tcPr>
          <w:p w14:paraId="42A59679">
            <w:pPr>
              <w:tabs>
                <w:tab w:val="left" w:pos="210"/>
              </w:tabs>
              <w:spacing w:line="360" w:lineRule="auto"/>
              <w:jc w:val="left"/>
              <w:rPr>
                <w:rFonts w:hint="eastAsia" w:ascii="仿宋" w:hAnsi="仿宋" w:eastAsia="仿宋" w:cs="仿宋"/>
                <w:kern w:val="0"/>
                <w:sz w:val="24"/>
                <w:szCs w:val="24"/>
                <w:highlight w:val="none"/>
              </w:rPr>
            </w:pPr>
          </w:p>
        </w:tc>
      </w:tr>
      <w:tr w14:paraId="61AF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99" w:type="dxa"/>
            <w:vMerge w:val="continue"/>
            <w:vAlign w:val="center"/>
          </w:tcPr>
          <w:p w14:paraId="2E725795">
            <w:pPr>
              <w:tabs>
                <w:tab w:val="left" w:pos="210"/>
              </w:tabs>
              <w:spacing w:line="360" w:lineRule="auto"/>
              <w:ind w:firstLine="480" w:firstLineChars="200"/>
              <w:jc w:val="center"/>
              <w:rPr>
                <w:rFonts w:hint="eastAsia" w:ascii="仿宋" w:hAnsi="仿宋" w:eastAsia="仿宋" w:cs="仿宋"/>
                <w:kern w:val="0"/>
                <w:sz w:val="24"/>
                <w:szCs w:val="24"/>
                <w:highlight w:val="none"/>
              </w:rPr>
            </w:pPr>
          </w:p>
        </w:tc>
        <w:tc>
          <w:tcPr>
            <w:tcW w:w="2270" w:type="dxa"/>
            <w:vAlign w:val="center"/>
          </w:tcPr>
          <w:p w14:paraId="4C4BC9D4">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税务登记机关</w:t>
            </w:r>
          </w:p>
        </w:tc>
        <w:tc>
          <w:tcPr>
            <w:tcW w:w="6271" w:type="dxa"/>
            <w:gridSpan w:val="3"/>
            <w:vAlign w:val="center"/>
          </w:tcPr>
          <w:p w14:paraId="3733E98E">
            <w:pPr>
              <w:tabs>
                <w:tab w:val="left" w:pos="210"/>
              </w:tabs>
              <w:spacing w:line="360" w:lineRule="auto"/>
              <w:jc w:val="left"/>
              <w:rPr>
                <w:rFonts w:hint="eastAsia" w:ascii="仿宋" w:hAnsi="仿宋" w:eastAsia="仿宋" w:cs="仿宋"/>
                <w:kern w:val="0"/>
                <w:sz w:val="24"/>
                <w:szCs w:val="24"/>
                <w:highlight w:val="none"/>
              </w:rPr>
            </w:pPr>
          </w:p>
        </w:tc>
      </w:tr>
      <w:tr w14:paraId="7621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9" w:type="dxa"/>
            <w:vMerge w:val="continue"/>
            <w:vAlign w:val="center"/>
          </w:tcPr>
          <w:p w14:paraId="7125E600">
            <w:pPr>
              <w:tabs>
                <w:tab w:val="left" w:pos="210"/>
              </w:tabs>
              <w:spacing w:line="360" w:lineRule="auto"/>
              <w:ind w:firstLine="480" w:firstLineChars="200"/>
              <w:jc w:val="center"/>
              <w:rPr>
                <w:rFonts w:hint="eastAsia" w:ascii="仿宋" w:hAnsi="仿宋" w:eastAsia="仿宋" w:cs="仿宋"/>
                <w:kern w:val="0"/>
                <w:sz w:val="24"/>
                <w:szCs w:val="24"/>
                <w:highlight w:val="none"/>
              </w:rPr>
            </w:pPr>
          </w:p>
        </w:tc>
        <w:tc>
          <w:tcPr>
            <w:tcW w:w="2270" w:type="dxa"/>
            <w:vAlign w:val="center"/>
          </w:tcPr>
          <w:p w14:paraId="046AB923">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统一社会信用代码</w:t>
            </w:r>
          </w:p>
        </w:tc>
        <w:tc>
          <w:tcPr>
            <w:tcW w:w="6271" w:type="dxa"/>
            <w:gridSpan w:val="3"/>
            <w:vAlign w:val="center"/>
          </w:tcPr>
          <w:p w14:paraId="4F8C4DA0">
            <w:pPr>
              <w:tabs>
                <w:tab w:val="left" w:pos="210"/>
              </w:tabs>
              <w:spacing w:line="360" w:lineRule="auto"/>
              <w:jc w:val="left"/>
              <w:rPr>
                <w:rFonts w:hint="eastAsia" w:ascii="仿宋" w:hAnsi="仿宋" w:eastAsia="仿宋" w:cs="仿宋"/>
                <w:kern w:val="0"/>
                <w:sz w:val="24"/>
                <w:szCs w:val="24"/>
                <w:highlight w:val="none"/>
              </w:rPr>
            </w:pPr>
          </w:p>
        </w:tc>
      </w:tr>
      <w:tr w14:paraId="7A85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99" w:type="dxa"/>
            <w:vMerge w:val="restart"/>
            <w:vAlign w:val="center"/>
          </w:tcPr>
          <w:p w14:paraId="36F40420">
            <w:pPr>
              <w:tabs>
                <w:tab w:val="left" w:pos="210"/>
              </w:tabs>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w:t>
            </w:r>
          </w:p>
          <w:p w14:paraId="67D3A023">
            <w:pPr>
              <w:tabs>
                <w:tab w:val="left" w:pos="210"/>
              </w:tabs>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人</w:t>
            </w:r>
          </w:p>
        </w:tc>
        <w:tc>
          <w:tcPr>
            <w:tcW w:w="2270" w:type="dxa"/>
            <w:vAlign w:val="center"/>
          </w:tcPr>
          <w:p w14:paraId="5EA48828">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姓名</w:t>
            </w:r>
          </w:p>
        </w:tc>
        <w:tc>
          <w:tcPr>
            <w:tcW w:w="1895" w:type="dxa"/>
            <w:vAlign w:val="center"/>
          </w:tcPr>
          <w:p w14:paraId="676928DF">
            <w:pPr>
              <w:tabs>
                <w:tab w:val="left" w:pos="210"/>
              </w:tabs>
              <w:spacing w:line="360" w:lineRule="auto"/>
              <w:ind w:firstLine="480" w:firstLineChars="200"/>
              <w:jc w:val="left"/>
              <w:rPr>
                <w:rFonts w:hint="eastAsia" w:ascii="仿宋" w:hAnsi="仿宋" w:eastAsia="仿宋" w:cs="仿宋"/>
                <w:kern w:val="0"/>
                <w:sz w:val="24"/>
                <w:szCs w:val="24"/>
                <w:highlight w:val="none"/>
              </w:rPr>
            </w:pPr>
          </w:p>
        </w:tc>
        <w:tc>
          <w:tcPr>
            <w:tcW w:w="2186" w:type="dxa"/>
            <w:vAlign w:val="center"/>
          </w:tcPr>
          <w:p w14:paraId="2E8CE725">
            <w:pPr>
              <w:tabs>
                <w:tab w:val="left" w:pos="210"/>
              </w:tabs>
              <w:spacing w:line="360" w:lineRule="auto"/>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性别</w:t>
            </w:r>
          </w:p>
        </w:tc>
        <w:tc>
          <w:tcPr>
            <w:tcW w:w="2190" w:type="dxa"/>
            <w:vAlign w:val="center"/>
          </w:tcPr>
          <w:p w14:paraId="3861B765">
            <w:pPr>
              <w:tabs>
                <w:tab w:val="left" w:pos="210"/>
              </w:tabs>
              <w:spacing w:line="360" w:lineRule="auto"/>
              <w:ind w:firstLine="480" w:firstLineChars="200"/>
              <w:jc w:val="left"/>
              <w:rPr>
                <w:rFonts w:hint="eastAsia" w:ascii="仿宋" w:hAnsi="仿宋" w:eastAsia="仿宋" w:cs="仿宋"/>
                <w:kern w:val="0"/>
                <w:sz w:val="24"/>
                <w:szCs w:val="24"/>
                <w:highlight w:val="none"/>
              </w:rPr>
            </w:pPr>
          </w:p>
        </w:tc>
      </w:tr>
      <w:tr w14:paraId="35F7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99" w:type="dxa"/>
            <w:vMerge w:val="continue"/>
            <w:vAlign w:val="center"/>
          </w:tcPr>
          <w:p w14:paraId="4DD8E6F8">
            <w:pPr>
              <w:tabs>
                <w:tab w:val="left" w:pos="210"/>
              </w:tabs>
              <w:spacing w:line="360" w:lineRule="auto"/>
              <w:ind w:firstLine="480" w:firstLineChars="200"/>
              <w:jc w:val="center"/>
              <w:rPr>
                <w:rFonts w:hint="eastAsia" w:ascii="仿宋" w:hAnsi="仿宋" w:eastAsia="仿宋" w:cs="仿宋"/>
                <w:kern w:val="0"/>
                <w:sz w:val="24"/>
                <w:szCs w:val="24"/>
                <w:highlight w:val="none"/>
              </w:rPr>
            </w:pPr>
          </w:p>
        </w:tc>
        <w:tc>
          <w:tcPr>
            <w:tcW w:w="2270" w:type="dxa"/>
            <w:vAlign w:val="center"/>
          </w:tcPr>
          <w:p w14:paraId="7C55C02B">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职务</w:t>
            </w:r>
          </w:p>
        </w:tc>
        <w:tc>
          <w:tcPr>
            <w:tcW w:w="1895" w:type="dxa"/>
            <w:vAlign w:val="center"/>
          </w:tcPr>
          <w:p w14:paraId="2CDB64F4">
            <w:pPr>
              <w:tabs>
                <w:tab w:val="left" w:pos="210"/>
              </w:tabs>
              <w:spacing w:line="360" w:lineRule="auto"/>
              <w:jc w:val="left"/>
              <w:rPr>
                <w:rFonts w:hint="eastAsia" w:ascii="仿宋" w:hAnsi="仿宋" w:eastAsia="仿宋" w:cs="仿宋"/>
                <w:kern w:val="0"/>
                <w:sz w:val="24"/>
                <w:szCs w:val="24"/>
                <w:highlight w:val="none"/>
              </w:rPr>
            </w:pPr>
          </w:p>
        </w:tc>
        <w:tc>
          <w:tcPr>
            <w:tcW w:w="2186" w:type="dxa"/>
            <w:vAlign w:val="center"/>
          </w:tcPr>
          <w:p w14:paraId="7AFA28FF">
            <w:pPr>
              <w:tabs>
                <w:tab w:val="left" w:pos="210"/>
              </w:tabs>
              <w:spacing w:line="360" w:lineRule="auto"/>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联系电话</w:t>
            </w:r>
          </w:p>
        </w:tc>
        <w:tc>
          <w:tcPr>
            <w:tcW w:w="2190" w:type="dxa"/>
            <w:vAlign w:val="center"/>
          </w:tcPr>
          <w:p w14:paraId="658FB87B">
            <w:pPr>
              <w:tabs>
                <w:tab w:val="left" w:pos="210"/>
              </w:tabs>
              <w:spacing w:line="360" w:lineRule="auto"/>
              <w:ind w:firstLine="480" w:firstLineChars="200"/>
              <w:jc w:val="left"/>
              <w:rPr>
                <w:rFonts w:hint="eastAsia" w:ascii="仿宋" w:hAnsi="仿宋" w:eastAsia="仿宋" w:cs="仿宋"/>
                <w:kern w:val="0"/>
                <w:sz w:val="24"/>
                <w:szCs w:val="24"/>
                <w:highlight w:val="none"/>
              </w:rPr>
            </w:pPr>
          </w:p>
        </w:tc>
      </w:tr>
      <w:tr w14:paraId="15EF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999" w:type="dxa"/>
            <w:vMerge w:val="restart"/>
            <w:vAlign w:val="center"/>
          </w:tcPr>
          <w:p w14:paraId="677E4908">
            <w:pPr>
              <w:tabs>
                <w:tab w:val="left" w:pos="210"/>
              </w:tabs>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w:t>
            </w:r>
          </w:p>
          <w:p w14:paraId="7E725AC1">
            <w:pPr>
              <w:tabs>
                <w:tab w:val="left" w:pos="210"/>
              </w:tabs>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人身份证复印件</w:t>
            </w:r>
          </w:p>
        </w:tc>
        <w:tc>
          <w:tcPr>
            <w:tcW w:w="4165" w:type="dxa"/>
            <w:gridSpan w:val="2"/>
            <w:vMerge w:val="restart"/>
            <w:vAlign w:val="center"/>
          </w:tcPr>
          <w:p w14:paraId="37A97CF0">
            <w:pPr>
              <w:tabs>
                <w:tab w:val="left" w:pos="210"/>
              </w:tabs>
              <w:spacing w:line="360" w:lineRule="auto"/>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（正反面）</w:t>
            </w:r>
          </w:p>
        </w:tc>
        <w:tc>
          <w:tcPr>
            <w:tcW w:w="4376" w:type="dxa"/>
            <w:gridSpan w:val="2"/>
            <w:vAlign w:val="center"/>
          </w:tcPr>
          <w:p w14:paraId="01710C40">
            <w:pPr>
              <w:tabs>
                <w:tab w:val="left" w:pos="210"/>
              </w:tabs>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法定代表人（签字或盖章）</w:t>
            </w:r>
          </w:p>
        </w:tc>
      </w:tr>
      <w:tr w14:paraId="6901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999" w:type="dxa"/>
            <w:vMerge w:val="continue"/>
            <w:vAlign w:val="center"/>
          </w:tcPr>
          <w:p w14:paraId="18C4F8E4">
            <w:pPr>
              <w:tabs>
                <w:tab w:val="left" w:pos="210"/>
              </w:tabs>
              <w:spacing w:line="360" w:lineRule="auto"/>
              <w:ind w:firstLine="480" w:firstLineChars="200"/>
              <w:jc w:val="left"/>
              <w:rPr>
                <w:rFonts w:hint="eastAsia" w:ascii="仿宋" w:hAnsi="仿宋" w:eastAsia="仿宋" w:cs="仿宋"/>
                <w:kern w:val="0"/>
                <w:sz w:val="24"/>
                <w:szCs w:val="24"/>
                <w:highlight w:val="none"/>
              </w:rPr>
            </w:pPr>
          </w:p>
        </w:tc>
        <w:tc>
          <w:tcPr>
            <w:tcW w:w="4165" w:type="dxa"/>
            <w:gridSpan w:val="2"/>
            <w:vMerge w:val="continue"/>
            <w:vAlign w:val="center"/>
          </w:tcPr>
          <w:p w14:paraId="2267205B">
            <w:pPr>
              <w:tabs>
                <w:tab w:val="left" w:pos="210"/>
              </w:tabs>
              <w:spacing w:line="360" w:lineRule="auto"/>
              <w:ind w:firstLine="480" w:firstLineChars="200"/>
              <w:jc w:val="left"/>
              <w:rPr>
                <w:rFonts w:hint="eastAsia" w:ascii="仿宋" w:hAnsi="仿宋" w:eastAsia="仿宋" w:cs="仿宋"/>
                <w:kern w:val="0"/>
                <w:sz w:val="24"/>
                <w:szCs w:val="24"/>
                <w:highlight w:val="none"/>
              </w:rPr>
            </w:pPr>
          </w:p>
        </w:tc>
        <w:tc>
          <w:tcPr>
            <w:tcW w:w="4376" w:type="dxa"/>
            <w:gridSpan w:val="2"/>
            <w:vAlign w:val="bottom"/>
          </w:tcPr>
          <w:p w14:paraId="1008CFD5">
            <w:pPr>
              <w:tabs>
                <w:tab w:val="left" w:pos="210"/>
              </w:tabs>
              <w:spacing w:line="360" w:lineRule="auto"/>
              <w:ind w:firstLine="2160" w:firstLineChars="9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（公章）</w:t>
            </w:r>
          </w:p>
          <w:p w14:paraId="781AC41B">
            <w:pPr>
              <w:tabs>
                <w:tab w:val="left" w:pos="210"/>
              </w:tabs>
              <w:spacing w:line="360" w:lineRule="auto"/>
              <w:jc w:val="left"/>
              <w:rPr>
                <w:rFonts w:hint="eastAsia" w:ascii="仿宋" w:hAnsi="仿宋" w:eastAsia="仿宋" w:cs="仿宋"/>
                <w:kern w:val="0"/>
                <w:sz w:val="24"/>
                <w:szCs w:val="24"/>
                <w:highlight w:val="none"/>
              </w:rPr>
            </w:pPr>
          </w:p>
          <w:p w14:paraId="299B6A69">
            <w:pPr>
              <w:tabs>
                <w:tab w:val="left" w:pos="210"/>
              </w:tabs>
              <w:spacing w:line="360" w:lineRule="auto"/>
              <w:jc w:val="left"/>
              <w:rPr>
                <w:rFonts w:hint="eastAsia" w:ascii="仿宋" w:hAnsi="仿宋" w:eastAsia="仿宋" w:cs="仿宋"/>
                <w:kern w:val="0"/>
                <w:sz w:val="24"/>
                <w:szCs w:val="24"/>
                <w:highlight w:val="none"/>
              </w:rPr>
            </w:pPr>
          </w:p>
          <w:p w14:paraId="49B20521">
            <w:pPr>
              <w:tabs>
                <w:tab w:val="left" w:pos="210"/>
              </w:tabs>
              <w:spacing w:line="360" w:lineRule="auto"/>
              <w:jc w:val="left"/>
              <w:rPr>
                <w:rFonts w:hint="eastAsia" w:ascii="仿宋" w:hAnsi="仿宋" w:eastAsia="仿宋" w:cs="仿宋"/>
                <w:kern w:val="0"/>
                <w:sz w:val="24"/>
                <w:szCs w:val="24"/>
                <w:highlight w:val="none"/>
              </w:rPr>
            </w:pPr>
          </w:p>
          <w:p w14:paraId="3D4B0D48">
            <w:pPr>
              <w:adjustRightInd w:val="0"/>
              <w:snapToGrid w:val="0"/>
              <w:spacing w:line="480" w:lineRule="auto"/>
              <w:ind w:firstLine="480" w:firstLineChars="200"/>
              <w:jc w:val="right"/>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年    月   日</w:t>
            </w:r>
          </w:p>
        </w:tc>
      </w:tr>
    </w:tbl>
    <w:p w14:paraId="048BD6BF">
      <w:pPr>
        <w:rPr>
          <w:rFonts w:hint="default" w:ascii="仿宋" w:hAnsi="仿宋" w:eastAsia="仿宋" w:cs="仿宋"/>
          <w:b/>
          <w:bCs w:val="0"/>
          <w:sz w:val="32"/>
          <w:szCs w:val="32"/>
          <w:highlight w:val="none"/>
          <w:lang w:val="en-US"/>
        </w:rPr>
      </w:pPr>
      <w:r>
        <w:rPr>
          <w:rFonts w:hint="eastAsia" w:ascii="仿宋" w:hAnsi="仿宋" w:eastAsia="仿宋" w:cs="仿宋"/>
          <w:b/>
          <w:bCs w:val="0"/>
          <w:sz w:val="24"/>
          <w:szCs w:val="24"/>
          <w:highlight w:val="none"/>
          <w:lang w:val="en-US" w:eastAsia="zh-CN"/>
        </w:rPr>
        <w:t>备注：签字处不能使用签字章代替，否则其响应无效。</w:t>
      </w:r>
    </w:p>
    <w:p w14:paraId="43DA1FCF">
      <w:pPr>
        <w:overflowPunct w:val="0"/>
        <w:rPr>
          <w:rFonts w:hint="eastAsia" w:ascii="仿宋" w:hAnsi="仿宋" w:eastAsia="仿宋" w:cs="仿宋"/>
          <w:b/>
          <w:color w:val="000000"/>
          <w:sz w:val="24"/>
          <w:highlight w:val="none"/>
        </w:rPr>
      </w:pPr>
    </w:p>
    <w:p w14:paraId="1BA9B5EE">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仿宋" w:hAnsi="仿宋" w:eastAsia="仿宋" w:cs="仿宋"/>
          <w:b/>
          <w:bCs/>
          <w:sz w:val="30"/>
          <w:szCs w:val="30"/>
          <w:highlight w:val="none"/>
        </w:rPr>
      </w:pPr>
      <w:r>
        <w:rPr>
          <w:rFonts w:hint="eastAsia" w:ascii="仿宋" w:hAnsi="仿宋" w:eastAsia="仿宋" w:cs="仿宋"/>
          <w:b/>
          <w:bCs/>
          <w:sz w:val="28"/>
          <w:szCs w:val="28"/>
          <w:highlight w:val="none"/>
        </w:rPr>
        <w:br w:type="page"/>
      </w:r>
      <w:bookmarkStart w:id="91" w:name="_Toc10837"/>
      <w:bookmarkStart w:id="92" w:name="_Toc30607"/>
      <w:r>
        <w:rPr>
          <w:rFonts w:hint="eastAsia" w:ascii="仿宋" w:hAnsi="仿宋" w:eastAsia="仿宋" w:cs="仿宋"/>
          <w:b/>
          <w:bCs/>
          <w:sz w:val="30"/>
          <w:szCs w:val="30"/>
          <w:highlight w:val="none"/>
        </w:rPr>
        <w:t>三、法定代表人授权委托书</w:t>
      </w:r>
      <w:bookmarkEnd w:id="91"/>
      <w:bookmarkEnd w:id="92"/>
    </w:p>
    <w:p w14:paraId="65AF9D4E">
      <w:pPr>
        <w:overflowPunct w:val="0"/>
        <w:spacing w:line="480" w:lineRule="auto"/>
        <w:ind w:left="109" w:leftChars="52" w:firstLine="600" w:firstLineChars="250"/>
        <w:rPr>
          <w:rFonts w:ascii="仿宋" w:hAnsi="仿宋" w:eastAsia="仿宋" w:cs="仿宋"/>
          <w:sz w:val="24"/>
          <w:szCs w:val="24"/>
          <w:highlight w:val="none"/>
        </w:rPr>
      </w:pPr>
      <w:bookmarkStart w:id="93" w:name="_Toc25809"/>
      <w:r>
        <w:rPr>
          <w:rFonts w:hint="eastAsia" w:ascii="仿宋" w:hAnsi="仿宋" w:eastAsia="仿宋" w:cs="仿宋"/>
          <w:sz w:val="24"/>
          <w:szCs w:val="24"/>
          <w:highlight w:val="none"/>
        </w:rPr>
        <w:t>本授权委托书声明：我（法定代表人姓名）系注册于</w:t>
      </w:r>
      <w:r>
        <w:rPr>
          <w:rFonts w:hint="eastAsia" w:ascii="仿宋" w:hAnsi="仿宋" w:eastAsia="仿宋" w:cs="仿宋"/>
          <w:sz w:val="24"/>
          <w:szCs w:val="24"/>
          <w:highlight w:val="none"/>
          <w:u w:val="single"/>
        </w:rPr>
        <w:t xml:space="preserve">  （磋商供应商地址）     </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 xml:space="preserve">        （磋商供应商名称）</w:t>
      </w:r>
      <w:r>
        <w:rPr>
          <w:rFonts w:hint="eastAsia" w:ascii="仿宋" w:hAnsi="仿宋" w:eastAsia="仿宋" w:cs="仿宋"/>
          <w:sz w:val="24"/>
          <w:szCs w:val="24"/>
          <w:highlight w:val="none"/>
        </w:rPr>
        <w:t>的法定代表人，现授权（被授权人姓名、职务）为我公司合法代理人，就签署</w:t>
      </w:r>
      <w:r>
        <w:rPr>
          <w:rFonts w:hint="eastAsia" w:ascii="仿宋" w:hAnsi="仿宋" w:eastAsia="仿宋" w:cs="仿宋"/>
          <w:sz w:val="24"/>
          <w:szCs w:val="24"/>
          <w:highlight w:val="none"/>
          <w:u w:val="single"/>
        </w:rPr>
        <w:t xml:space="preserve">  （项目名称）（项目编号）     </w:t>
      </w:r>
      <w:r>
        <w:rPr>
          <w:rFonts w:hint="eastAsia" w:ascii="仿宋" w:hAnsi="仿宋" w:eastAsia="仿宋" w:cs="仿宋"/>
          <w:sz w:val="24"/>
          <w:szCs w:val="24"/>
          <w:highlight w:val="none"/>
        </w:rPr>
        <w:t>的磋商及合同的执行和完成，以本公司名义处理一切与之有关的事宜。</w:t>
      </w:r>
    </w:p>
    <w:p w14:paraId="04350A4D">
      <w:pPr>
        <w:overflowPunct w:val="0"/>
        <w:spacing w:line="360" w:lineRule="auto"/>
        <w:ind w:left="109" w:leftChars="51" w:hanging="2"/>
        <w:rPr>
          <w:rFonts w:ascii="仿宋" w:hAnsi="仿宋" w:eastAsia="仿宋" w:cs="仿宋"/>
          <w:sz w:val="24"/>
          <w:szCs w:val="24"/>
          <w:highlight w:val="none"/>
        </w:rPr>
      </w:pPr>
      <w:r>
        <w:rPr>
          <w:rFonts w:hint="eastAsia" w:ascii="仿宋" w:hAnsi="仿宋" w:eastAsia="仿宋" w:cs="仿宋"/>
          <w:sz w:val="24"/>
          <w:szCs w:val="24"/>
          <w:highlight w:val="none"/>
        </w:rPr>
        <w:t xml:space="preserve">      代理人无转委托权，特此委托。</w:t>
      </w:r>
    </w:p>
    <w:p w14:paraId="15E6205E">
      <w:pPr>
        <w:overflowPunct w:val="0"/>
        <w:spacing w:line="480" w:lineRule="auto"/>
        <w:ind w:firstLine="840" w:firstLineChars="350"/>
        <w:rPr>
          <w:rFonts w:ascii="仿宋" w:hAnsi="仿宋" w:eastAsia="仿宋" w:cs="仿宋"/>
          <w:sz w:val="24"/>
          <w:szCs w:val="24"/>
          <w:highlight w:val="none"/>
        </w:rPr>
      </w:pPr>
      <w:r>
        <w:rPr>
          <w:rFonts w:hint="eastAsia" w:ascii="仿宋" w:hAnsi="仿宋" w:eastAsia="仿宋" w:cs="仿宋"/>
          <w:sz w:val="24"/>
          <w:szCs w:val="24"/>
          <w:highlight w:val="none"/>
        </w:rPr>
        <w:t>法定代表人（签字或盖章）：             被授权人签字：</w:t>
      </w:r>
    </w:p>
    <w:p w14:paraId="059CB961">
      <w:pPr>
        <w:overflowPunct w:val="0"/>
        <w:spacing w:line="480" w:lineRule="auto"/>
        <w:ind w:firstLine="840" w:firstLineChars="350"/>
        <w:rPr>
          <w:rFonts w:ascii="仿宋" w:hAnsi="仿宋" w:eastAsia="仿宋" w:cs="仿宋"/>
          <w:sz w:val="24"/>
          <w:szCs w:val="24"/>
          <w:highlight w:val="none"/>
        </w:rPr>
      </w:pPr>
      <w:r>
        <w:rPr>
          <w:rFonts w:hint="eastAsia" w:ascii="仿宋" w:hAnsi="仿宋" w:eastAsia="仿宋" w:cs="仿宋"/>
          <w:sz w:val="24"/>
          <w:szCs w:val="24"/>
          <w:highlight w:val="none"/>
        </w:rPr>
        <w:t>职        务：                         职        务：</w:t>
      </w:r>
    </w:p>
    <w:p w14:paraId="374F3539">
      <w:pPr>
        <w:overflowPunct w:val="0"/>
        <w:spacing w:line="480" w:lineRule="auto"/>
        <w:ind w:firstLine="840" w:firstLineChars="350"/>
        <w:rPr>
          <w:rFonts w:ascii="仿宋" w:hAnsi="仿宋" w:eastAsia="仿宋" w:cs="仿宋"/>
          <w:sz w:val="24"/>
          <w:szCs w:val="24"/>
          <w:highlight w:val="none"/>
        </w:rPr>
      </w:pPr>
      <w:r>
        <w:rPr>
          <w:rFonts w:hint="eastAsia" w:ascii="仿宋" w:hAnsi="仿宋" w:eastAsia="仿宋" w:cs="仿宋"/>
          <w:sz w:val="24"/>
          <w:szCs w:val="24"/>
          <w:highlight w:val="none"/>
        </w:rPr>
        <w:t>身  份 证 号：                         身  份 证 号：</w:t>
      </w:r>
    </w:p>
    <w:p w14:paraId="06662D0F">
      <w:pPr>
        <w:overflowPunct w:val="0"/>
        <w:spacing w:line="480" w:lineRule="auto"/>
        <w:ind w:firstLine="240" w:firstLineChars="100"/>
        <w:rPr>
          <w:rFonts w:ascii="仿宋" w:hAnsi="仿宋" w:eastAsia="仿宋" w:cs="仿宋"/>
          <w:bCs/>
          <w:sz w:val="24"/>
          <w:szCs w:val="24"/>
          <w:highlight w:val="none"/>
        </w:rPr>
      </w:pPr>
      <w:r>
        <w:rPr>
          <w:rFonts w:hint="eastAsia" w:ascii="仿宋" w:hAnsi="仿宋" w:eastAsia="仿宋" w:cs="仿宋"/>
          <w:sz w:val="24"/>
          <w:szCs w:val="24"/>
          <w:highlight w:val="none"/>
        </w:rPr>
        <w:t>附：法定代表人、被授权人身份证复印件。</w:t>
      </w:r>
    </w:p>
    <w:tbl>
      <w:tblPr>
        <w:tblStyle w:val="26"/>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14:paraId="0C71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4790" w:type="dxa"/>
            <w:tcBorders>
              <w:top w:val="single" w:color="auto" w:sz="4" w:space="0"/>
              <w:left w:val="single" w:color="auto" w:sz="4" w:space="0"/>
              <w:right w:val="single" w:color="auto" w:sz="4" w:space="0"/>
            </w:tcBorders>
            <w:vAlign w:val="center"/>
          </w:tcPr>
          <w:p w14:paraId="4F8DA8B9">
            <w:pPr>
              <w:overflowPunct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法定代表人身份证复印件</w:t>
            </w:r>
          </w:p>
          <w:p w14:paraId="41D4E3CD">
            <w:pPr>
              <w:overflowPunct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（正、反面）</w:t>
            </w:r>
          </w:p>
        </w:tc>
        <w:tc>
          <w:tcPr>
            <w:tcW w:w="4790" w:type="dxa"/>
            <w:tcBorders>
              <w:left w:val="single" w:color="auto" w:sz="4" w:space="0"/>
            </w:tcBorders>
            <w:vAlign w:val="center"/>
          </w:tcPr>
          <w:p w14:paraId="4459112E">
            <w:pPr>
              <w:overflowPunct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被授权人身份证复印件</w:t>
            </w:r>
          </w:p>
          <w:p w14:paraId="7A6E6956">
            <w:pPr>
              <w:overflowPunct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（正、反面）</w:t>
            </w:r>
          </w:p>
        </w:tc>
      </w:tr>
    </w:tbl>
    <w:p w14:paraId="21376922">
      <w:pPr>
        <w:overflowPunct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（本授权的有效期为磋商之日起90个日历日）</w:t>
      </w:r>
    </w:p>
    <w:p w14:paraId="5861C2A6">
      <w:pPr>
        <w:overflowPunct w:val="0"/>
        <w:spacing w:line="360" w:lineRule="auto"/>
        <w:ind w:firstLine="5520" w:firstLineChars="2300"/>
        <w:rPr>
          <w:rFonts w:ascii="仿宋" w:hAnsi="仿宋" w:eastAsia="仿宋" w:cs="仿宋"/>
          <w:sz w:val="24"/>
          <w:szCs w:val="24"/>
          <w:highlight w:val="none"/>
          <w:u w:val="single"/>
        </w:rPr>
      </w:pPr>
      <w:r>
        <w:rPr>
          <w:rFonts w:hint="eastAsia" w:ascii="仿宋" w:hAnsi="仿宋" w:eastAsia="仿宋" w:cs="仿宋"/>
          <w:sz w:val="24"/>
          <w:szCs w:val="24"/>
          <w:highlight w:val="none"/>
        </w:rPr>
        <w:t>供应商名称（盖章）：</w:t>
      </w:r>
      <w:r>
        <w:rPr>
          <w:rFonts w:hint="eastAsia" w:ascii="仿宋" w:hAnsi="仿宋" w:eastAsia="仿宋" w:cs="仿宋"/>
          <w:sz w:val="24"/>
          <w:szCs w:val="24"/>
          <w:highlight w:val="none"/>
          <w:u w:val="single"/>
        </w:rPr>
        <w:t xml:space="preserve">               </w:t>
      </w:r>
    </w:p>
    <w:p w14:paraId="017F0112">
      <w:pPr>
        <w:overflowPunct w:val="0"/>
        <w:spacing w:line="360" w:lineRule="auto"/>
        <w:ind w:firstLine="6000" w:firstLineChars="2500"/>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51EFB573">
      <w:pP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备注：签字处不能使用签字章代替，否则其响应无效。</w:t>
      </w:r>
    </w:p>
    <w:p w14:paraId="6C1DDB89">
      <w:pP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br w:type="page"/>
      </w:r>
    </w:p>
    <w:p w14:paraId="39219AE6">
      <w:pPr>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被授权人社保缴纳证明：</w:t>
      </w:r>
    </w:p>
    <w:p w14:paraId="1FBC929B">
      <w:pPr>
        <w:rPr>
          <w:rFonts w:hint="eastAsia" w:ascii="仿宋" w:hAnsi="仿宋" w:eastAsia="仿宋" w:cs="仿宋"/>
          <w:b/>
          <w:kern w:val="0"/>
          <w:sz w:val="32"/>
          <w:szCs w:val="32"/>
        </w:rPr>
      </w:pPr>
      <w:r>
        <w:rPr>
          <w:rFonts w:hint="eastAsia" w:ascii="仿宋" w:hAnsi="仿宋" w:eastAsia="仿宋" w:cs="仿宋"/>
          <w:b/>
          <w:bCs/>
          <w:sz w:val="24"/>
          <w:szCs w:val="24"/>
          <w:highlight w:val="none"/>
          <w:lang w:val="en-US" w:eastAsia="zh-CN"/>
        </w:rPr>
        <w:t>（需提供文件递交截止时间前六个月内</w:t>
      </w:r>
      <w:r>
        <w:rPr>
          <w:rFonts w:hint="eastAsia" w:ascii="仿宋" w:hAnsi="仿宋" w:eastAsia="仿宋" w:cs="仿宋"/>
          <w:b/>
          <w:bCs/>
          <w:sz w:val="24"/>
          <w:szCs w:val="24"/>
          <w:highlight w:val="none"/>
        </w:rPr>
        <w:t>任意一个月的社会保障资金的缴纳证明</w:t>
      </w:r>
      <w:r>
        <w:rPr>
          <w:rFonts w:hint="eastAsia" w:ascii="仿宋" w:hAnsi="仿宋" w:eastAsia="仿宋" w:cs="仿宋"/>
          <w:b/>
          <w:bCs/>
          <w:sz w:val="24"/>
          <w:szCs w:val="24"/>
          <w:highlight w:val="none"/>
          <w:lang w:val="en-US" w:eastAsia="zh-CN"/>
        </w:rPr>
        <w:t>）</w:t>
      </w:r>
      <w:r>
        <w:rPr>
          <w:rFonts w:hint="eastAsia" w:ascii="仿宋" w:hAnsi="仿宋" w:eastAsia="仿宋" w:cs="仿宋"/>
          <w:b/>
          <w:kern w:val="0"/>
          <w:sz w:val="32"/>
          <w:szCs w:val="32"/>
        </w:rPr>
        <w:br w:type="page"/>
      </w:r>
    </w:p>
    <w:p w14:paraId="5F22969B">
      <w:pPr>
        <w:overflowPunct w:val="0"/>
        <w:spacing w:line="360" w:lineRule="auto"/>
        <w:jc w:val="center"/>
        <w:outlineLvl w:val="1"/>
        <w:rPr>
          <w:rFonts w:hint="eastAsia" w:ascii="仿宋" w:hAnsi="仿宋" w:eastAsia="仿宋" w:cs="仿宋"/>
          <w:b/>
          <w:bCs/>
          <w:sz w:val="30"/>
          <w:szCs w:val="30"/>
          <w:highlight w:val="none"/>
        </w:rPr>
      </w:pPr>
      <w:bookmarkStart w:id="94" w:name="_Toc22371"/>
      <w:r>
        <w:rPr>
          <w:rFonts w:hint="eastAsia" w:ascii="仿宋" w:hAnsi="仿宋" w:eastAsia="仿宋" w:cs="仿宋"/>
          <w:b/>
          <w:bCs/>
          <w:sz w:val="30"/>
          <w:szCs w:val="30"/>
          <w:highlight w:val="none"/>
        </w:rPr>
        <w:t>四、报价表</w:t>
      </w:r>
      <w:bookmarkEnd w:id="93"/>
      <w:r>
        <w:rPr>
          <w:rFonts w:hint="eastAsia" w:ascii="仿宋" w:hAnsi="仿宋" w:eastAsia="仿宋" w:cs="仿宋"/>
          <w:b/>
          <w:bCs/>
          <w:sz w:val="30"/>
          <w:szCs w:val="30"/>
          <w:highlight w:val="none"/>
        </w:rPr>
        <w:t>（第一次）</w:t>
      </w:r>
      <w:bookmarkEnd w:id="94"/>
    </w:p>
    <w:tbl>
      <w:tblPr>
        <w:tblStyle w:val="26"/>
        <w:tblpPr w:leftFromText="180" w:rightFromText="180" w:vertAnchor="text" w:horzAnchor="page" w:tblpX="1616" w:tblpY="436"/>
        <w:tblOverlap w:val="never"/>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667"/>
      </w:tblGrid>
      <w:tr w14:paraId="7022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00" w:type="dxa"/>
            <w:vAlign w:val="center"/>
          </w:tcPr>
          <w:p w14:paraId="0FE2A175">
            <w:pPr>
              <w:snapToGrid w:val="0"/>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667" w:type="dxa"/>
            <w:vAlign w:val="center"/>
          </w:tcPr>
          <w:p w14:paraId="02244F71">
            <w:pPr>
              <w:widowControl/>
              <w:jc w:val="center"/>
              <w:rPr>
                <w:rFonts w:ascii="仿宋" w:hAnsi="仿宋" w:eastAsia="仿宋" w:cs="仿宋"/>
                <w:sz w:val="24"/>
                <w:highlight w:val="none"/>
              </w:rPr>
            </w:pPr>
          </w:p>
        </w:tc>
      </w:tr>
      <w:tr w14:paraId="1014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00" w:type="dxa"/>
            <w:vAlign w:val="center"/>
          </w:tcPr>
          <w:p w14:paraId="0670FA23">
            <w:pPr>
              <w:jc w:val="center"/>
              <w:rPr>
                <w:rFonts w:ascii="仿宋" w:hAnsi="仿宋" w:eastAsia="仿宋" w:cs="仿宋"/>
                <w:sz w:val="24"/>
                <w:highlight w:val="none"/>
              </w:rPr>
            </w:pPr>
            <w:r>
              <w:rPr>
                <w:rFonts w:hint="eastAsia" w:ascii="仿宋" w:hAnsi="仿宋" w:eastAsia="仿宋" w:cs="仿宋"/>
                <w:sz w:val="24"/>
                <w:highlight w:val="none"/>
              </w:rPr>
              <w:t>项目编号</w:t>
            </w:r>
          </w:p>
        </w:tc>
        <w:tc>
          <w:tcPr>
            <w:tcW w:w="6667" w:type="dxa"/>
            <w:vAlign w:val="center"/>
          </w:tcPr>
          <w:p w14:paraId="1EAC9FEF">
            <w:pPr>
              <w:jc w:val="center"/>
              <w:rPr>
                <w:rFonts w:ascii="仿宋" w:hAnsi="仿宋" w:eastAsia="仿宋" w:cs="仿宋"/>
                <w:sz w:val="24"/>
                <w:highlight w:val="none"/>
              </w:rPr>
            </w:pPr>
          </w:p>
        </w:tc>
      </w:tr>
      <w:tr w14:paraId="7F4F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200" w:type="dxa"/>
            <w:vAlign w:val="center"/>
          </w:tcPr>
          <w:p w14:paraId="49C36303">
            <w:pPr>
              <w:jc w:val="center"/>
              <w:rPr>
                <w:rFonts w:ascii="仿宋" w:hAnsi="仿宋" w:eastAsia="仿宋" w:cs="仿宋"/>
                <w:sz w:val="24"/>
                <w:highlight w:val="none"/>
              </w:rPr>
            </w:pPr>
            <w:r>
              <w:rPr>
                <w:rFonts w:hint="eastAsia" w:ascii="仿宋" w:hAnsi="仿宋" w:eastAsia="仿宋" w:cs="仿宋"/>
                <w:sz w:val="24"/>
                <w:highlight w:val="none"/>
              </w:rPr>
              <w:t>磋商总报价</w:t>
            </w:r>
          </w:p>
          <w:p w14:paraId="539CE750">
            <w:pPr>
              <w:jc w:val="center"/>
              <w:rPr>
                <w:rFonts w:ascii="仿宋" w:hAnsi="仿宋" w:eastAsia="仿宋" w:cs="仿宋"/>
                <w:sz w:val="24"/>
                <w:highlight w:val="none"/>
              </w:rPr>
            </w:pPr>
            <w:r>
              <w:rPr>
                <w:rFonts w:hint="eastAsia" w:ascii="仿宋" w:hAnsi="仿宋" w:eastAsia="仿宋" w:cs="仿宋"/>
                <w:sz w:val="24"/>
                <w:highlight w:val="none"/>
              </w:rPr>
              <w:t>（元）</w:t>
            </w:r>
          </w:p>
        </w:tc>
        <w:tc>
          <w:tcPr>
            <w:tcW w:w="6667" w:type="dxa"/>
            <w:vAlign w:val="center"/>
          </w:tcPr>
          <w:p w14:paraId="0607659F">
            <w:pPr>
              <w:rPr>
                <w:rFonts w:ascii="仿宋" w:hAnsi="仿宋" w:eastAsia="仿宋" w:cs="仿宋"/>
                <w:sz w:val="24"/>
                <w:highlight w:val="none"/>
              </w:rPr>
            </w:pPr>
            <w:r>
              <w:rPr>
                <w:rFonts w:hint="eastAsia" w:ascii="仿宋" w:hAnsi="仿宋" w:eastAsia="仿宋" w:cs="仿宋"/>
                <w:sz w:val="24"/>
                <w:highlight w:val="none"/>
              </w:rPr>
              <w:t>大写:</w:t>
            </w:r>
          </w:p>
          <w:p w14:paraId="0FC35C1C">
            <w:pPr>
              <w:pStyle w:val="17"/>
              <w:rPr>
                <w:rFonts w:ascii="仿宋" w:hAnsi="仿宋" w:eastAsia="仿宋" w:cs="仿宋"/>
                <w:sz w:val="24"/>
                <w:szCs w:val="24"/>
                <w:highlight w:val="none"/>
              </w:rPr>
            </w:pPr>
          </w:p>
          <w:p w14:paraId="048CEA19">
            <w:pPr>
              <w:rPr>
                <w:rFonts w:ascii="仿宋" w:hAnsi="仿宋" w:eastAsia="仿宋" w:cs="仿宋"/>
                <w:sz w:val="24"/>
                <w:highlight w:val="none"/>
              </w:rPr>
            </w:pPr>
            <w:r>
              <w:rPr>
                <w:rFonts w:hint="eastAsia" w:ascii="仿宋" w:hAnsi="仿宋" w:eastAsia="仿宋" w:cs="仿宋"/>
                <w:sz w:val="24"/>
                <w:highlight w:val="none"/>
              </w:rPr>
              <w:t>小写:</w:t>
            </w:r>
          </w:p>
        </w:tc>
      </w:tr>
      <w:tr w14:paraId="06D2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200" w:type="dxa"/>
            <w:vAlign w:val="center"/>
          </w:tcPr>
          <w:p w14:paraId="546DF83A">
            <w:pPr>
              <w:widowControl/>
              <w:jc w:val="center"/>
              <w:rPr>
                <w:rFonts w:ascii="仿宋" w:hAnsi="仿宋" w:eastAsia="仿宋" w:cs="仿宋"/>
                <w:sz w:val="24"/>
                <w:highlight w:val="none"/>
              </w:rPr>
            </w:pPr>
            <w:r>
              <w:rPr>
                <w:rFonts w:hint="eastAsia" w:ascii="仿宋" w:hAnsi="仿宋" w:eastAsia="仿宋" w:cs="仿宋"/>
                <w:sz w:val="24"/>
                <w:highlight w:val="none"/>
              </w:rPr>
              <w:t>服务期</w:t>
            </w:r>
          </w:p>
        </w:tc>
        <w:tc>
          <w:tcPr>
            <w:tcW w:w="6667" w:type="dxa"/>
            <w:vAlign w:val="center"/>
          </w:tcPr>
          <w:p w14:paraId="53194A72">
            <w:pPr>
              <w:widowControl/>
              <w:rPr>
                <w:rFonts w:ascii="仿宋" w:hAnsi="仿宋" w:eastAsia="仿宋" w:cs="仿宋"/>
                <w:kern w:val="0"/>
                <w:sz w:val="24"/>
                <w:highlight w:val="none"/>
              </w:rPr>
            </w:pPr>
          </w:p>
        </w:tc>
      </w:tr>
      <w:tr w14:paraId="50C81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200" w:type="dxa"/>
            <w:vAlign w:val="center"/>
          </w:tcPr>
          <w:p w14:paraId="4B867E7C">
            <w:pPr>
              <w:widowControl/>
              <w:jc w:val="center"/>
              <w:rPr>
                <w:rFonts w:ascii="仿宋" w:hAnsi="仿宋" w:eastAsia="仿宋" w:cs="仿宋"/>
                <w:sz w:val="24"/>
                <w:highlight w:val="none"/>
              </w:rPr>
            </w:pPr>
            <w:r>
              <w:rPr>
                <w:rFonts w:hint="eastAsia" w:ascii="仿宋" w:hAnsi="仿宋" w:eastAsia="仿宋" w:cs="仿宋"/>
                <w:sz w:val="24"/>
                <w:highlight w:val="none"/>
              </w:rPr>
              <w:t>备注</w:t>
            </w:r>
          </w:p>
        </w:tc>
        <w:tc>
          <w:tcPr>
            <w:tcW w:w="6667" w:type="dxa"/>
            <w:vAlign w:val="center"/>
          </w:tcPr>
          <w:p w14:paraId="337DD229">
            <w:pPr>
              <w:widowControl/>
              <w:rPr>
                <w:rFonts w:ascii="仿宋" w:hAnsi="仿宋" w:eastAsia="仿宋" w:cs="仿宋"/>
                <w:kern w:val="0"/>
                <w:sz w:val="24"/>
                <w:highlight w:val="none"/>
              </w:rPr>
            </w:pPr>
          </w:p>
        </w:tc>
      </w:tr>
      <w:tr w14:paraId="6488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867" w:type="dxa"/>
            <w:gridSpan w:val="2"/>
            <w:vAlign w:val="center"/>
          </w:tcPr>
          <w:p w14:paraId="23A2701C">
            <w:pPr>
              <w:widowControl/>
              <w:rPr>
                <w:rFonts w:ascii="仿宋" w:hAnsi="仿宋" w:eastAsia="仿宋" w:cs="仿宋"/>
                <w:sz w:val="24"/>
                <w:highlight w:val="none"/>
              </w:rPr>
            </w:pPr>
            <w:r>
              <w:rPr>
                <w:rFonts w:hint="eastAsia" w:ascii="仿宋" w:hAnsi="仿宋" w:eastAsia="仿宋" w:cs="仿宋"/>
                <w:sz w:val="24"/>
                <w:highlight w:val="none"/>
              </w:rPr>
              <w:t>说明：</w:t>
            </w:r>
          </w:p>
          <w:p w14:paraId="7D1E0848">
            <w:pPr>
              <w:widowControl/>
              <w:rPr>
                <w:rFonts w:ascii="仿宋" w:hAnsi="仿宋" w:eastAsia="仿宋" w:cs="仿宋"/>
                <w:sz w:val="24"/>
                <w:highlight w:val="none"/>
              </w:rPr>
            </w:pPr>
            <w:r>
              <w:rPr>
                <w:rFonts w:hint="eastAsia" w:ascii="仿宋" w:hAnsi="仿宋" w:eastAsia="仿宋" w:cs="仿宋"/>
                <w:sz w:val="24"/>
                <w:highlight w:val="none"/>
              </w:rPr>
              <w:t>1.本报价为供应商完成磋商项目所需的全部费用（包括劳务费、国家按现行税收政策征收的一切税费等）。</w:t>
            </w:r>
          </w:p>
          <w:p w14:paraId="285DB139">
            <w:pPr>
              <w:widowControl/>
              <w:rPr>
                <w:rFonts w:ascii="仿宋" w:hAnsi="仿宋" w:eastAsia="仿宋" w:cs="仿宋"/>
                <w:sz w:val="24"/>
                <w:highlight w:val="none"/>
              </w:rPr>
            </w:pPr>
            <w:r>
              <w:rPr>
                <w:rFonts w:hint="eastAsia" w:ascii="仿宋" w:hAnsi="仿宋" w:eastAsia="仿宋" w:cs="仿宋"/>
                <w:sz w:val="24"/>
                <w:highlight w:val="none"/>
              </w:rPr>
              <w:t>2.磋商报价以元为单位，保留小数点后两位，大小写不一致时，以大写为准。</w:t>
            </w:r>
          </w:p>
        </w:tc>
      </w:tr>
    </w:tbl>
    <w:p w14:paraId="46EA62BD">
      <w:pPr>
        <w:spacing w:line="360" w:lineRule="auto"/>
        <w:rPr>
          <w:rFonts w:ascii="仿宋" w:hAnsi="仿宋" w:eastAsia="仿宋" w:cs="仿宋"/>
          <w:sz w:val="24"/>
          <w:highlight w:val="none"/>
        </w:rPr>
      </w:pPr>
    </w:p>
    <w:p w14:paraId="69EF0EAA">
      <w:pPr>
        <w:spacing w:line="360" w:lineRule="auto"/>
        <w:jc w:val="center"/>
        <w:rPr>
          <w:rFonts w:hint="eastAsia" w:ascii="仿宋" w:hAnsi="仿宋" w:eastAsia="仿宋" w:cs="仿宋"/>
          <w:color w:val="auto"/>
          <w:sz w:val="24"/>
          <w:highlight w:val="none"/>
        </w:rPr>
      </w:pPr>
    </w:p>
    <w:p w14:paraId="2BBF2305">
      <w:pPr>
        <w:spacing w:line="360" w:lineRule="auto"/>
        <w:ind w:firstLine="3828" w:firstLineChars="159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2FAB1487">
      <w:pPr>
        <w:spacing w:line="360" w:lineRule="auto"/>
        <w:ind w:firstLine="3828" w:firstLineChars="1595"/>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法定代表人</w:t>
      </w:r>
    </w:p>
    <w:p w14:paraId="6FFE850A">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none"/>
        </w:rPr>
        <w:t>或被授权人：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78B199C6">
      <w:pPr>
        <w:overflowPunct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      期：  年  月   日</w:t>
      </w:r>
    </w:p>
    <w:p w14:paraId="2A2EF09F">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7D21F66">
      <w:pPr>
        <w:pStyle w:val="10"/>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分项报价表（第一次）</w:t>
      </w:r>
    </w:p>
    <w:p w14:paraId="196570F9">
      <w:pPr>
        <w:spacing w:line="360" w:lineRule="auto"/>
        <w:ind w:firstLine="240"/>
        <w:rPr>
          <w:rFonts w:ascii="仿宋" w:hAnsi="仿宋" w:eastAsia="仿宋" w:cs="仿宋"/>
          <w:sz w:val="24"/>
          <w:highlight w:val="none"/>
        </w:rPr>
      </w:pPr>
      <w:r>
        <w:rPr>
          <w:rFonts w:hint="eastAsia" w:ascii="仿宋" w:hAnsi="仿宋" w:eastAsia="仿宋" w:cs="仿宋"/>
          <w:sz w:val="24"/>
          <w:highlight w:val="none"/>
        </w:rPr>
        <w:t xml:space="preserve">项目名称：                                       </w:t>
      </w:r>
    </w:p>
    <w:p w14:paraId="64EA6CD0">
      <w:pPr>
        <w:spacing w:line="360" w:lineRule="auto"/>
        <w:ind w:firstLine="240"/>
        <w:rPr>
          <w:rFonts w:ascii="仿宋" w:hAnsi="仿宋" w:eastAsia="仿宋" w:cs="仿宋"/>
          <w:sz w:val="24"/>
          <w:highlight w:val="none"/>
        </w:rPr>
      </w:pPr>
      <w:r>
        <w:rPr>
          <w:rFonts w:hint="eastAsia" w:ascii="仿宋" w:hAnsi="仿宋" w:eastAsia="仿宋" w:cs="仿宋"/>
          <w:sz w:val="24"/>
          <w:highlight w:val="none"/>
        </w:rPr>
        <w:t xml:space="preserve">项目编号：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2309"/>
        <w:gridCol w:w="1244"/>
        <w:gridCol w:w="1182"/>
        <w:gridCol w:w="1264"/>
        <w:gridCol w:w="1444"/>
        <w:gridCol w:w="883"/>
      </w:tblGrid>
      <w:tr w14:paraId="61D1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noWrap/>
            <w:vAlign w:val="center"/>
          </w:tcPr>
          <w:p w14:paraId="29F5B426">
            <w:pPr>
              <w:overflowPunct w:val="0"/>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2315" w:type="dxa"/>
            <w:noWrap/>
            <w:vAlign w:val="center"/>
          </w:tcPr>
          <w:p w14:paraId="69E54783">
            <w:pPr>
              <w:overflowPunct w:val="0"/>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服务内容</w:t>
            </w:r>
          </w:p>
        </w:tc>
        <w:tc>
          <w:tcPr>
            <w:tcW w:w="1247" w:type="dxa"/>
            <w:noWrap/>
            <w:vAlign w:val="center"/>
          </w:tcPr>
          <w:p w14:paraId="1856AE73">
            <w:pPr>
              <w:overflowPunct w:val="0"/>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单位</w:t>
            </w:r>
          </w:p>
        </w:tc>
        <w:tc>
          <w:tcPr>
            <w:tcW w:w="1185" w:type="dxa"/>
            <w:noWrap/>
            <w:vAlign w:val="center"/>
          </w:tcPr>
          <w:p w14:paraId="370C1527">
            <w:pPr>
              <w:overflowPunct w:val="0"/>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数量</w:t>
            </w:r>
          </w:p>
        </w:tc>
        <w:tc>
          <w:tcPr>
            <w:tcW w:w="1267" w:type="dxa"/>
            <w:noWrap/>
            <w:vAlign w:val="center"/>
          </w:tcPr>
          <w:p w14:paraId="54A7AEF0">
            <w:pPr>
              <w:overflowPunct w:val="0"/>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单价（元）</w:t>
            </w:r>
          </w:p>
        </w:tc>
        <w:tc>
          <w:tcPr>
            <w:tcW w:w="1446" w:type="dxa"/>
            <w:noWrap/>
            <w:vAlign w:val="center"/>
          </w:tcPr>
          <w:p w14:paraId="6E031EA7">
            <w:pPr>
              <w:overflowPunct w:val="0"/>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合计</w:t>
            </w:r>
          </w:p>
        </w:tc>
        <w:tc>
          <w:tcPr>
            <w:tcW w:w="884" w:type="dxa"/>
            <w:noWrap/>
            <w:vAlign w:val="center"/>
          </w:tcPr>
          <w:p w14:paraId="79DAF5F4">
            <w:pPr>
              <w:overflowPunct w:val="0"/>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备注</w:t>
            </w:r>
          </w:p>
        </w:tc>
      </w:tr>
      <w:tr w14:paraId="4C97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noWrap/>
            <w:vAlign w:val="center"/>
          </w:tcPr>
          <w:p w14:paraId="001C5D71">
            <w:pPr>
              <w:overflowPunct w:val="0"/>
              <w:spacing w:line="360" w:lineRule="auto"/>
              <w:jc w:val="center"/>
              <w:rPr>
                <w:rFonts w:ascii="仿宋" w:hAnsi="仿宋" w:eastAsia="仿宋" w:cs="仿宋"/>
                <w:sz w:val="24"/>
                <w:highlight w:val="none"/>
              </w:rPr>
            </w:pPr>
          </w:p>
        </w:tc>
        <w:tc>
          <w:tcPr>
            <w:tcW w:w="2315" w:type="dxa"/>
            <w:noWrap/>
            <w:vAlign w:val="center"/>
          </w:tcPr>
          <w:p w14:paraId="6AE2B667">
            <w:pPr>
              <w:overflowPunct w:val="0"/>
              <w:spacing w:line="360" w:lineRule="auto"/>
              <w:jc w:val="center"/>
              <w:rPr>
                <w:rFonts w:ascii="仿宋" w:hAnsi="仿宋" w:eastAsia="仿宋" w:cs="仿宋"/>
                <w:sz w:val="24"/>
                <w:highlight w:val="none"/>
              </w:rPr>
            </w:pPr>
          </w:p>
        </w:tc>
        <w:tc>
          <w:tcPr>
            <w:tcW w:w="1247" w:type="dxa"/>
            <w:noWrap/>
            <w:vAlign w:val="center"/>
          </w:tcPr>
          <w:p w14:paraId="06B6BC77">
            <w:pPr>
              <w:overflowPunct w:val="0"/>
              <w:spacing w:line="360" w:lineRule="auto"/>
              <w:jc w:val="center"/>
              <w:rPr>
                <w:rFonts w:ascii="仿宋" w:hAnsi="仿宋" w:eastAsia="仿宋" w:cs="仿宋"/>
                <w:sz w:val="24"/>
                <w:highlight w:val="none"/>
              </w:rPr>
            </w:pPr>
          </w:p>
        </w:tc>
        <w:tc>
          <w:tcPr>
            <w:tcW w:w="1185" w:type="dxa"/>
            <w:noWrap/>
            <w:vAlign w:val="center"/>
          </w:tcPr>
          <w:p w14:paraId="628D5D1D">
            <w:pPr>
              <w:overflowPunct w:val="0"/>
              <w:spacing w:line="360" w:lineRule="auto"/>
              <w:jc w:val="center"/>
              <w:rPr>
                <w:rFonts w:ascii="仿宋" w:hAnsi="仿宋" w:eastAsia="仿宋" w:cs="仿宋"/>
                <w:sz w:val="24"/>
                <w:highlight w:val="none"/>
              </w:rPr>
            </w:pPr>
          </w:p>
        </w:tc>
        <w:tc>
          <w:tcPr>
            <w:tcW w:w="1267" w:type="dxa"/>
            <w:noWrap/>
            <w:vAlign w:val="center"/>
          </w:tcPr>
          <w:p w14:paraId="6D3ED6BB">
            <w:pPr>
              <w:overflowPunct w:val="0"/>
              <w:spacing w:line="360" w:lineRule="auto"/>
              <w:jc w:val="center"/>
              <w:rPr>
                <w:rFonts w:ascii="仿宋" w:hAnsi="仿宋" w:eastAsia="仿宋" w:cs="仿宋"/>
                <w:sz w:val="24"/>
                <w:highlight w:val="none"/>
              </w:rPr>
            </w:pPr>
          </w:p>
        </w:tc>
        <w:tc>
          <w:tcPr>
            <w:tcW w:w="1446" w:type="dxa"/>
            <w:noWrap/>
            <w:vAlign w:val="center"/>
          </w:tcPr>
          <w:p w14:paraId="6DEC7BF4">
            <w:pPr>
              <w:overflowPunct w:val="0"/>
              <w:spacing w:line="360" w:lineRule="auto"/>
              <w:jc w:val="center"/>
              <w:rPr>
                <w:rFonts w:ascii="仿宋" w:hAnsi="仿宋" w:eastAsia="仿宋" w:cs="仿宋"/>
                <w:sz w:val="24"/>
                <w:highlight w:val="none"/>
              </w:rPr>
            </w:pPr>
          </w:p>
        </w:tc>
        <w:tc>
          <w:tcPr>
            <w:tcW w:w="884" w:type="dxa"/>
            <w:noWrap/>
            <w:vAlign w:val="center"/>
          </w:tcPr>
          <w:p w14:paraId="166705BC">
            <w:pPr>
              <w:overflowPunct w:val="0"/>
              <w:spacing w:line="360" w:lineRule="auto"/>
              <w:jc w:val="center"/>
              <w:rPr>
                <w:rFonts w:ascii="仿宋" w:hAnsi="仿宋" w:eastAsia="仿宋" w:cs="仿宋"/>
                <w:sz w:val="24"/>
                <w:highlight w:val="none"/>
              </w:rPr>
            </w:pPr>
          </w:p>
        </w:tc>
      </w:tr>
      <w:tr w14:paraId="551B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noWrap/>
            <w:vAlign w:val="center"/>
          </w:tcPr>
          <w:p w14:paraId="4EEDD791">
            <w:pPr>
              <w:overflowPunct w:val="0"/>
              <w:spacing w:line="360" w:lineRule="auto"/>
              <w:jc w:val="center"/>
              <w:rPr>
                <w:rFonts w:ascii="仿宋" w:hAnsi="仿宋" w:eastAsia="仿宋" w:cs="仿宋"/>
                <w:sz w:val="24"/>
                <w:highlight w:val="none"/>
              </w:rPr>
            </w:pPr>
          </w:p>
        </w:tc>
        <w:tc>
          <w:tcPr>
            <w:tcW w:w="2315" w:type="dxa"/>
            <w:noWrap/>
            <w:vAlign w:val="center"/>
          </w:tcPr>
          <w:p w14:paraId="04E4C733">
            <w:pPr>
              <w:overflowPunct w:val="0"/>
              <w:spacing w:line="360" w:lineRule="auto"/>
              <w:jc w:val="center"/>
              <w:rPr>
                <w:rFonts w:ascii="仿宋" w:hAnsi="仿宋" w:eastAsia="仿宋" w:cs="仿宋"/>
                <w:sz w:val="24"/>
                <w:highlight w:val="none"/>
              </w:rPr>
            </w:pPr>
          </w:p>
        </w:tc>
        <w:tc>
          <w:tcPr>
            <w:tcW w:w="1247" w:type="dxa"/>
            <w:noWrap/>
            <w:vAlign w:val="center"/>
          </w:tcPr>
          <w:p w14:paraId="4E2E6512">
            <w:pPr>
              <w:overflowPunct w:val="0"/>
              <w:spacing w:line="360" w:lineRule="auto"/>
              <w:jc w:val="center"/>
              <w:rPr>
                <w:rFonts w:ascii="仿宋" w:hAnsi="仿宋" w:eastAsia="仿宋" w:cs="仿宋"/>
                <w:sz w:val="24"/>
                <w:highlight w:val="none"/>
              </w:rPr>
            </w:pPr>
          </w:p>
        </w:tc>
        <w:tc>
          <w:tcPr>
            <w:tcW w:w="1185" w:type="dxa"/>
            <w:noWrap/>
            <w:vAlign w:val="center"/>
          </w:tcPr>
          <w:p w14:paraId="2DDE9F7B">
            <w:pPr>
              <w:overflowPunct w:val="0"/>
              <w:spacing w:line="360" w:lineRule="auto"/>
              <w:jc w:val="center"/>
              <w:rPr>
                <w:rFonts w:ascii="仿宋" w:hAnsi="仿宋" w:eastAsia="仿宋" w:cs="仿宋"/>
                <w:sz w:val="24"/>
                <w:highlight w:val="none"/>
              </w:rPr>
            </w:pPr>
          </w:p>
        </w:tc>
        <w:tc>
          <w:tcPr>
            <w:tcW w:w="1267" w:type="dxa"/>
            <w:noWrap/>
            <w:vAlign w:val="center"/>
          </w:tcPr>
          <w:p w14:paraId="70037AFF">
            <w:pPr>
              <w:overflowPunct w:val="0"/>
              <w:spacing w:line="360" w:lineRule="auto"/>
              <w:jc w:val="center"/>
              <w:rPr>
                <w:rFonts w:ascii="仿宋" w:hAnsi="仿宋" w:eastAsia="仿宋" w:cs="仿宋"/>
                <w:sz w:val="24"/>
                <w:highlight w:val="none"/>
              </w:rPr>
            </w:pPr>
          </w:p>
        </w:tc>
        <w:tc>
          <w:tcPr>
            <w:tcW w:w="1446" w:type="dxa"/>
            <w:noWrap/>
            <w:vAlign w:val="center"/>
          </w:tcPr>
          <w:p w14:paraId="1FAFEF68">
            <w:pPr>
              <w:overflowPunct w:val="0"/>
              <w:spacing w:line="360" w:lineRule="auto"/>
              <w:jc w:val="center"/>
              <w:rPr>
                <w:rFonts w:ascii="仿宋" w:hAnsi="仿宋" w:eastAsia="仿宋" w:cs="仿宋"/>
                <w:sz w:val="24"/>
                <w:highlight w:val="none"/>
              </w:rPr>
            </w:pPr>
          </w:p>
        </w:tc>
        <w:tc>
          <w:tcPr>
            <w:tcW w:w="884" w:type="dxa"/>
            <w:noWrap/>
            <w:vAlign w:val="center"/>
          </w:tcPr>
          <w:p w14:paraId="67FDC33C">
            <w:pPr>
              <w:overflowPunct w:val="0"/>
              <w:spacing w:line="360" w:lineRule="auto"/>
              <w:jc w:val="center"/>
              <w:rPr>
                <w:rFonts w:ascii="仿宋" w:hAnsi="仿宋" w:eastAsia="仿宋" w:cs="仿宋"/>
                <w:sz w:val="24"/>
                <w:highlight w:val="none"/>
              </w:rPr>
            </w:pPr>
          </w:p>
        </w:tc>
      </w:tr>
      <w:tr w14:paraId="3EEB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noWrap/>
            <w:vAlign w:val="center"/>
          </w:tcPr>
          <w:p w14:paraId="568F9BC3">
            <w:pPr>
              <w:overflowPunct w:val="0"/>
              <w:spacing w:line="360" w:lineRule="auto"/>
              <w:jc w:val="center"/>
              <w:rPr>
                <w:rFonts w:ascii="仿宋" w:hAnsi="仿宋" w:eastAsia="仿宋" w:cs="仿宋"/>
                <w:sz w:val="24"/>
                <w:highlight w:val="none"/>
              </w:rPr>
            </w:pPr>
          </w:p>
        </w:tc>
        <w:tc>
          <w:tcPr>
            <w:tcW w:w="2315" w:type="dxa"/>
            <w:noWrap/>
            <w:vAlign w:val="center"/>
          </w:tcPr>
          <w:p w14:paraId="3F44405C">
            <w:pPr>
              <w:overflowPunct w:val="0"/>
              <w:spacing w:line="360" w:lineRule="auto"/>
              <w:jc w:val="center"/>
              <w:rPr>
                <w:rFonts w:ascii="仿宋" w:hAnsi="仿宋" w:eastAsia="仿宋" w:cs="仿宋"/>
                <w:sz w:val="24"/>
                <w:highlight w:val="none"/>
              </w:rPr>
            </w:pPr>
          </w:p>
        </w:tc>
        <w:tc>
          <w:tcPr>
            <w:tcW w:w="1247" w:type="dxa"/>
            <w:noWrap/>
            <w:vAlign w:val="center"/>
          </w:tcPr>
          <w:p w14:paraId="51F39578">
            <w:pPr>
              <w:overflowPunct w:val="0"/>
              <w:spacing w:line="360" w:lineRule="auto"/>
              <w:jc w:val="center"/>
              <w:rPr>
                <w:rFonts w:ascii="仿宋" w:hAnsi="仿宋" w:eastAsia="仿宋" w:cs="仿宋"/>
                <w:sz w:val="24"/>
                <w:highlight w:val="none"/>
              </w:rPr>
            </w:pPr>
          </w:p>
        </w:tc>
        <w:tc>
          <w:tcPr>
            <w:tcW w:w="1185" w:type="dxa"/>
            <w:noWrap/>
            <w:vAlign w:val="center"/>
          </w:tcPr>
          <w:p w14:paraId="28B2DB8B">
            <w:pPr>
              <w:overflowPunct w:val="0"/>
              <w:spacing w:line="360" w:lineRule="auto"/>
              <w:jc w:val="center"/>
              <w:rPr>
                <w:rFonts w:ascii="仿宋" w:hAnsi="仿宋" w:eastAsia="仿宋" w:cs="仿宋"/>
                <w:sz w:val="24"/>
                <w:highlight w:val="none"/>
              </w:rPr>
            </w:pPr>
          </w:p>
        </w:tc>
        <w:tc>
          <w:tcPr>
            <w:tcW w:w="1267" w:type="dxa"/>
            <w:noWrap/>
            <w:vAlign w:val="center"/>
          </w:tcPr>
          <w:p w14:paraId="4B33CF48">
            <w:pPr>
              <w:overflowPunct w:val="0"/>
              <w:spacing w:line="360" w:lineRule="auto"/>
              <w:jc w:val="center"/>
              <w:rPr>
                <w:rFonts w:ascii="仿宋" w:hAnsi="仿宋" w:eastAsia="仿宋" w:cs="仿宋"/>
                <w:sz w:val="24"/>
                <w:highlight w:val="none"/>
              </w:rPr>
            </w:pPr>
          </w:p>
        </w:tc>
        <w:tc>
          <w:tcPr>
            <w:tcW w:w="1446" w:type="dxa"/>
            <w:noWrap/>
            <w:vAlign w:val="center"/>
          </w:tcPr>
          <w:p w14:paraId="39752E6D">
            <w:pPr>
              <w:overflowPunct w:val="0"/>
              <w:spacing w:line="360" w:lineRule="auto"/>
              <w:jc w:val="center"/>
              <w:rPr>
                <w:rFonts w:ascii="仿宋" w:hAnsi="仿宋" w:eastAsia="仿宋" w:cs="仿宋"/>
                <w:sz w:val="24"/>
                <w:highlight w:val="none"/>
              </w:rPr>
            </w:pPr>
          </w:p>
        </w:tc>
        <w:tc>
          <w:tcPr>
            <w:tcW w:w="884" w:type="dxa"/>
            <w:noWrap/>
            <w:vAlign w:val="center"/>
          </w:tcPr>
          <w:p w14:paraId="7A69229E">
            <w:pPr>
              <w:overflowPunct w:val="0"/>
              <w:spacing w:line="360" w:lineRule="auto"/>
              <w:jc w:val="center"/>
              <w:rPr>
                <w:rFonts w:ascii="仿宋" w:hAnsi="仿宋" w:eastAsia="仿宋" w:cs="仿宋"/>
                <w:sz w:val="24"/>
                <w:highlight w:val="none"/>
              </w:rPr>
            </w:pPr>
          </w:p>
        </w:tc>
      </w:tr>
      <w:tr w14:paraId="348C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noWrap/>
            <w:vAlign w:val="center"/>
          </w:tcPr>
          <w:p w14:paraId="3A77D6CA">
            <w:pPr>
              <w:overflowPunct w:val="0"/>
              <w:spacing w:line="360" w:lineRule="auto"/>
              <w:jc w:val="center"/>
              <w:rPr>
                <w:rFonts w:ascii="仿宋" w:hAnsi="仿宋" w:eastAsia="仿宋" w:cs="仿宋"/>
                <w:sz w:val="24"/>
                <w:highlight w:val="none"/>
              </w:rPr>
            </w:pPr>
          </w:p>
        </w:tc>
        <w:tc>
          <w:tcPr>
            <w:tcW w:w="2315" w:type="dxa"/>
            <w:noWrap/>
            <w:vAlign w:val="center"/>
          </w:tcPr>
          <w:p w14:paraId="044ACEFB">
            <w:pPr>
              <w:overflowPunct w:val="0"/>
              <w:spacing w:line="360" w:lineRule="auto"/>
              <w:jc w:val="center"/>
              <w:rPr>
                <w:rFonts w:ascii="仿宋" w:hAnsi="仿宋" w:eastAsia="仿宋" w:cs="仿宋"/>
                <w:sz w:val="24"/>
                <w:highlight w:val="none"/>
              </w:rPr>
            </w:pPr>
          </w:p>
        </w:tc>
        <w:tc>
          <w:tcPr>
            <w:tcW w:w="1247" w:type="dxa"/>
            <w:noWrap/>
            <w:vAlign w:val="center"/>
          </w:tcPr>
          <w:p w14:paraId="420D9B07">
            <w:pPr>
              <w:overflowPunct w:val="0"/>
              <w:spacing w:line="360" w:lineRule="auto"/>
              <w:jc w:val="center"/>
              <w:rPr>
                <w:rFonts w:ascii="仿宋" w:hAnsi="仿宋" w:eastAsia="仿宋" w:cs="仿宋"/>
                <w:sz w:val="24"/>
                <w:highlight w:val="none"/>
              </w:rPr>
            </w:pPr>
          </w:p>
        </w:tc>
        <w:tc>
          <w:tcPr>
            <w:tcW w:w="1185" w:type="dxa"/>
            <w:noWrap/>
            <w:vAlign w:val="center"/>
          </w:tcPr>
          <w:p w14:paraId="18C96B89">
            <w:pPr>
              <w:overflowPunct w:val="0"/>
              <w:spacing w:line="360" w:lineRule="auto"/>
              <w:jc w:val="center"/>
              <w:rPr>
                <w:rFonts w:ascii="仿宋" w:hAnsi="仿宋" w:eastAsia="仿宋" w:cs="仿宋"/>
                <w:sz w:val="24"/>
                <w:highlight w:val="none"/>
              </w:rPr>
            </w:pPr>
          </w:p>
        </w:tc>
        <w:tc>
          <w:tcPr>
            <w:tcW w:w="1267" w:type="dxa"/>
            <w:noWrap/>
            <w:vAlign w:val="center"/>
          </w:tcPr>
          <w:p w14:paraId="4EEF92F1">
            <w:pPr>
              <w:overflowPunct w:val="0"/>
              <w:spacing w:line="360" w:lineRule="auto"/>
              <w:jc w:val="center"/>
              <w:rPr>
                <w:rFonts w:ascii="仿宋" w:hAnsi="仿宋" w:eastAsia="仿宋" w:cs="仿宋"/>
                <w:sz w:val="24"/>
                <w:highlight w:val="none"/>
              </w:rPr>
            </w:pPr>
          </w:p>
        </w:tc>
        <w:tc>
          <w:tcPr>
            <w:tcW w:w="1446" w:type="dxa"/>
            <w:noWrap/>
            <w:vAlign w:val="center"/>
          </w:tcPr>
          <w:p w14:paraId="7933AA8E">
            <w:pPr>
              <w:overflowPunct w:val="0"/>
              <w:spacing w:line="360" w:lineRule="auto"/>
              <w:jc w:val="center"/>
              <w:rPr>
                <w:rFonts w:ascii="仿宋" w:hAnsi="仿宋" w:eastAsia="仿宋" w:cs="仿宋"/>
                <w:sz w:val="24"/>
                <w:highlight w:val="none"/>
              </w:rPr>
            </w:pPr>
          </w:p>
        </w:tc>
        <w:tc>
          <w:tcPr>
            <w:tcW w:w="884" w:type="dxa"/>
            <w:noWrap/>
            <w:vAlign w:val="center"/>
          </w:tcPr>
          <w:p w14:paraId="78629A66">
            <w:pPr>
              <w:overflowPunct w:val="0"/>
              <w:spacing w:line="360" w:lineRule="auto"/>
              <w:jc w:val="center"/>
              <w:rPr>
                <w:rFonts w:ascii="仿宋" w:hAnsi="仿宋" w:eastAsia="仿宋" w:cs="仿宋"/>
                <w:sz w:val="24"/>
                <w:highlight w:val="none"/>
              </w:rPr>
            </w:pPr>
          </w:p>
        </w:tc>
      </w:tr>
      <w:tr w14:paraId="3501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noWrap/>
            <w:vAlign w:val="center"/>
          </w:tcPr>
          <w:p w14:paraId="1625A94A">
            <w:pPr>
              <w:overflowPunct w:val="0"/>
              <w:spacing w:line="360" w:lineRule="auto"/>
              <w:jc w:val="center"/>
              <w:rPr>
                <w:rFonts w:ascii="仿宋" w:hAnsi="仿宋" w:eastAsia="仿宋" w:cs="仿宋"/>
                <w:sz w:val="24"/>
                <w:highlight w:val="none"/>
              </w:rPr>
            </w:pPr>
          </w:p>
        </w:tc>
        <w:tc>
          <w:tcPr>
            <w:tcW w:w="2315" w:type="dxa"/>
            <w:noWrap/>
            <w:vAlign w:val="center"/>
          </w:tcPr>
          <w:p w14:paraId="13291BBC">
            <w:pPr>
              <w:overflowPunct w:val="0"/>
              <w:spacing w:line="360" w:lineRule="auto"/>
              <w:jc w:val="center"/>
              <w:rPr>
                <w:rFonts w:ascii="仿宋" w:hAnsi="仿宋" w:eastAsia="仿宋" w:cs="仿宋"/>
                <w:sz w:val="24"/>
                <w:highlight w:val="none"/>
              </w:rPr>
            </w:pPr>
          </w:p>
        </w:tc>
        <w:tc>
          <w:tcPr>
            <w:tcW w:w="1247" w:type="dxa"/>
            <w:noWrap/>
            <w:vAlign w:val="center"/>
          </w:tcPr>
          <w:p w14:paraId="6288321B">
            <w:pPr>
              <w:overflowPunct w:val="0"/>
              <w:spacing w:line="360" w:lineRule="auto"/>
              <w:jc w:val="center"/>
              <w:rPr>
                <w:rFonts w:ascii="仿宋" w:hAnsi="仿宋" w:eastAsia="仿宋" w:cs="仿宋"/>
                <w:sz w:val="24"/>
                <w:highlight w:val="none"/>
              </w:rPr>
            </w:pPr>
          </w:p>
        </w:tc>
        <w:tc>
          <w:tcPr>
            <w:tcW w:w="1185" w:type="dxa"/>
            <w:noWrap/>
            <w:vAlign w:val="center"/>
          </w:tcPr>
          <w:p w14:paraId="2C27EC2C">
            <w:pPr>
              <w:overflowPunct w:val="0"/>
              <w:spacing w:line="360" w:lineRule="auto"/>
              <w:jc w:val="center"/>
              <w:rPr>
                <w:rFonts w:ascii="仿宋" w:hAnsi="仿宋" w:eastAsia="仿宋" w:cs="仿宋"/>
                <w:sz w:val="24"/>
                <w:highlight w:val="none"/>
              </w:rPr>
            </w:pPr>
          </w:p>
        </w:tc>
        <w:tc>
          <w:tcPr>
            <w:tcW w:w="1267" w:type="dxa"/>
            <w:noWrap/>
            <w:vAlign w:val="center"/>
          </w:tcPr>
          <w:p w14:paraId="310FA5CB">
            <w:pPr>
              <w:overflowPunct w:val="0"/>
              <w:spacing w:line="360" w:lineRule="auto"/>
              <w:jc w:val="center"/>
              <w:rPr>
                <w:rFonts w:ascii="仿宋" w:hAnsi="仿宋" w:eastAsia="仿宋" w:cs="仿宋"/>
                <w:sz w:val="24"/>
                <w:highlight w:val="none"/>
              </w:rPr>
            </w:pPr>
          </w:p>
        </w:tc>
        <w:tc>
          <w:tcPr>
            <w:tcW w:w="1446" w:type="dxa"/>
            <w:noWrap/>
            <w:vAlign w:val="center"/>
          </w:tcPr>
          <w:p w14:paraId="3EDEFD65">
            <w:pPr>
              <w:overflowPunct w:val="0"/>
              <w:spacing w:line="360" w:lineRule="auto"/>
              <w:jc w:val="center"/>
              <w:rPr>
                <w:rFonts w:ascii="仿宋" w:hAnsi="仿宋" w:eastAsia="仿宋" w:cs="仿宋"/>
                <w:sz w:val="24"/>
                <w:highlight w:val="none"/>
              </w:rPr>
            </w:pPr>
          </w:p>
        </w:tc>
        <w:tc>
          <w:tcPr>
            <w:tcW w:w="884" w:type="dxa"/>
            <w:noWrap/>
            <w:vAlign w:val="center"/>
          </w:tcPr>
          <w:p w14:paraId="553DC8A7">
            <w:pPr>
              <w:overflowPunct w:val="0"/>
              <w:spacing w:line="360" w:lineRule="auto"/>
              <w:jc w:val="center"/>
              <w:rPr>
                <w:rFonts w:ascii="仿宋" w:hAnsi="仿宋" w:eastAsia="仿宋" w:cs="仿宋"/>
                <w:sz w:val="24"/>
                <w:highlight w:val="none"/>
              </w:rPr>
            </w:pPr>
          </w:p>
        </w:tc>
      </w:tr>
      <w:tr w14:paraId="7A66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109" w:type="dxa"/>
            <w:gridSpan w:val="2"/>
            <w:noWrap/>
            <w:vAlign w:val="center"/>
          </w:tcPr>
          <w:p w14:paraId="63DA10EA">
            <w:pPr>
              <w:pStyle w:val="10"/>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6029" w:type="dxa"/>
            <w:gridSpan w:val="5"/>
            <w:noWrap/>
            <w:vAlign w:val="center"/>
          </w:tcPr>
          <w:p w14:paraId="3AA3D978">
            <w:pPr>
              <w:pStyle w:val="10"/>
              <w:jc w:val="left"/>
              <w:rPr>
                <w:rFonts w:ascii="仿宋" w:hAnsi="仿宋" w:eastAsia="仿宋" w:cs="仿宋"/>
                <w:color w:val="auto"/>
                <w:highlight w:val="none"/>
              </w:rPr>
            </w:pPr>
            <w:r>
              <w:rPr>
                <w:rFonts w:hint="eastAsia" w:ascii="仿宋" w:hAnsi="仿宋" w:eastAsia="仿宋" w:cs="仿宋"/>
                <w:color w:val="auto"/>
                <w:highlight w:val="none"/>
              </w:rPr>
              <w:t>大写：</w:t>
            </w:r>
          </w:p>
          <w:p w14:paraId="35D101FA">
            <w:pPr>
              <w:jc w:val="left"/>
              <w:rPr>
                <w:rFonts w:ascii="仿宋" w:hAnsi="仿宋" w:eastAsia="仿宋" w:cs="仿宋"/>
                <w:sz w:val="24"/>
                <w:highlight w:val="none"/>
              </w:rPr>
            </w:pPr>
            <w:r>
              <w:rPr>
                <w:rFonts w:hint="eastAsia" w:ascii="仿宋" w:hAnsi="仿宋" w:eastAsia="仿宋" w:cs="仿宋"/>
                <w:sz w:val="24"/>
                <w:highlight w:val="none"/>
              </w:rPr>
              <w:t>小写：</w:t>
            </w:r>
          </w:p>
        </w:tc>
      </w:tr>
    </w:tbl>
    <w:p w14:paraId="20801A46">
      <w:pPr>
        <w:spacing w:line="360" w:lineRule="auto"/>
        <w:ind w:firstLine="3828" w:firstLineChars="1595"/>
        <w:jc w:val="left"/>
        <w:rPr>
          <w:rFonts w:ascii="仿宋" w:hAnsi="仿宋" w:eastAsia="仿宋" w:cs="仿宋"/>
          <w:sz w:val="24"/>
          <w:highlight w:val="none"/>
        </w:rPr>
      </w:pPr>
    </w:p>
    <w:p w14:paraId="665A1E4E">
      <w:pPr>
        <w:spacing w:line="360" w:lineRule="auto"/>
        <w:ind w:firstLine="3828" w:firstLineChars="1595"/>
        <w:jc w:val="left"/>
        <w:rPr>
          <w:rFonts w:ascii="仿宋" w:hAnsi="仿宋" w:eastAsia="仿宋" w:cs="仿宋"/>
          <w:sz w:val="24"/>
          <w:highlight w:val="none"/>
        </w:rPr>
      </w:pPr>
    </w:p>
    <w:p w14:paraId="235C7E53">
      <w:pPr>
        <w:spacing w:line="360" w:lineRule="auto"/>
        <w:jc w:val="center"/>
        <w:rPr>
          <w:rFonts w:hint="eastAsia" w:ascii="仿宋" w:hAnsi="仿宋" w:eastAsia="仿宋" w:cs="仿宋"/>
          <w:color w:val="auto"/>
          <w:sz w:val="24"/>
          <w:highlight w:val="none"/>
        </w:rPr>
      </w:pPr>
    </w:p>
    <w:p w14:paraId="174142EE">
      <w:pPr>
        <w:spacing w:line="360" w:lineRule="auto"/>
        <w:ind w:firstLine="3828" w:firstLineChars="159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03D8259A">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48F42A1E">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或被授权人：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74DF6BCE">
      <w:pPr>
        <w:pStyle w:val="10"/>
        <w:rPr>
          <w:rFonts w:hint="eastAsia"/>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      期：  年  月   日</w:t>
      </w:r>
    </w:p>
    <w:p w14:paraId="64B6D0AC">
      <w:pPr>
        <w:rPr>
          <w:rFonts w:hint="eastAsia" w:ascii="仿宋" w:hAnsi="仿宋" w:eastAsia="仿宋" w:cs="仿宋"/>
          <w:sz w:val="24"/>
          <w:highlight w:val="none"/>
        </w:rPr>
      </w:pPr>
      <w:r>
        <w:rPr>
          <w:rFonts w:hint="eastAsia" w:ascii="仿宋" w:hAnsi="仿宋" w:eastAsia="仿宋" w:cs="仿宋"/>
          <w:sz w:val="24"/>
          <w:highlight w:val="none"/>
        </w:rPr>
        <w:br w:type="page"/>
      </w:r>
    </w:p>
    <w:bookmarkEnd w:id="85"/>
    <w:bookmarkEnd w:id="86"/>
    <w:bookmarkEnd w:id="87"/>
    <w:bookmarkEnd w:id="88"/>
    <w:p w14:paraId="4CC6AA1C">
      <w:pPr>
        <w:overflowPunct w:val="0"/>
        <w:spacing w:line="360" w:lineRule="auto"/>
        <w:jc w:val="center"/>
        <w:outlineLvl w:val="1"/>
        <w:rPr>
          <w:rFonts w:hint="eastAsia" w:ascii="仿宋" w:hAnsi="仿宋" w:eastAsia="仿宋" w:cs="仿宋"/>
          <w:b/>
          <w:bCs/>
          <w:sz w:val="30"/>
          <w:szCs w:val="30"/>
          <w:highlight w:val="none"/>
          <w:lang w:eastAsia="zh-CN"/>
        </w:rPr>
      </w:pPr>
      <w:bookmarkStart w:id="95" w:name="_Toc28507"/>
      <w:r>
        <w:rPr>
          <w:rFonts w:hint="eastAsia" w:ascii="仿宋" w:hAnsi="仿宋" w:eastAsia="仿宋" w:cs="仿宋"/>
          <w:b/>
          <w:bCs/>
          <w:sz w:val="30"/>
          <w:szCs w:val="30"/>
          <w:highlight w:val="none"/>
        </w:rPr>
        <w:t>五、</w:t>
      </w:r>
      <w:r>
        <w:rPr>
          <w:rFonts w:hint="eastAsia" w:ascii="仿宋" w:hAnsi="仿宋" w:eastAsia="仿宋" w:cs="仿宋"/>
          <w:b/>
          <w:bCs/>
          <w:sz w:val="30"/>
          <w:szCs w:val="30"/>
          <w:highlight w:val="none"/>
          <w:lang w:val="en-US" w:eastAsia="zh-CN"/>
        </w:rPr>
        <w:t>近年</w:t>
      </w:r>
      <w:r>
        <w:rPr>
          <w:rFonts w:hint="eastAsia" w:ascii="仿宋" w:hAnsi="仿宋" w:eastAsia="仿宋" w:cs="仿宋"/>
          <w:b/>
          <w:bCs/>
          <w:sz w:val="30"/>
          <w:szCs w:val="30"/>
          <w:highlight w:val="none"/>
        </w:rPr>
        <w:t>承接的类似项目情况表</w:t>
      </w:r>
      <w:bookmarkEnd w:id="95"/>
    </w:p>
    <w:tbl>
      <w:tblPr>
        <w:tblStyle w:val="34"/>
        <w:tblW w:w="9035"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967"/>
        <w:gridCol w:w="1700"/>
        <w:gridCol w:w="2555"/>
        <w:gridCol w:w="1988"/>
      </w:tblGrid>
      <w:tr w14:paraId="61D58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5" w:type="dxa"/>
            <w:noWrap w:val="0"/>
            <w:vAlign w:val="top"/>
          </w:tcPr>
          <w:p w14:paraId="6B552727">
            <w:pPr>
              <w:pStyle w:val="33"/>
              <w:spacing w:before="170" w:line="206" w:lineRule="auto"/>
              <w:ind w:left="180"/>
              <w:rPr>
                <w:b/>
                <w:bCs/>
              </w:rPr>
            </w:pPr>
            <w:r>
              <w:rPr>
                <w:b/>
                <w:bCs/>
                <w:spacing w:val="-7"/>
              </w:rPr>
              <w:t>序号</w:t>
            </w:r>
          </w:p>
        </w:tc>
        <w:tc>
          <w:tcPr>
            <w:tcW w:w="1967" w:type="dxa"/>
            <w:noWrap w:val="0"/>
            <w:vAlign w:val="top"/>
          </w:tcPr>
          <w:p w14:paraId="7A065904">
            <w:pPr>
              <w:pStyle w:val="33"/>
              <w:spacing w:before="139" w:line="221" w:lineRule="auto"/>
              <w:ind w:left="147"/>
              <w:rPr>
                <w:b/>
                <w:bCs/>
              </w:rPr>
            </w:pPr>
            <w:r>
              <w:rPr>
                <w:b/>
                <w:bCs/>
              </w:rPr>
              <w:t>采购单位名称</w:t>
            </w:r>
          </w:p>
        </w:tc>
        <w:tc>
          <w:tcPr>
            <w:tcW w:w="1700" w:type="dxa"/>
            <w:noWrap w:val="0"/>
            <w:vAlign w:val="top"/>
          </w:tcPr>
          <w:p w14:paraId="415FB745">
            <w:pPr>
              <w:pStyle w:val="33"/>
              <w:spacing w:before="139" w:line="221" w:lineRule="auto"/>
              <w:ind w:left="380"/>
              <w:rPr>
                <w:b/>
                <w:bCs/>
              </w:rPr>
            </w:pPr>
            <w:r>
              <w:rPr>
                <w:b/>
                <w:bCs/>
                <w:spacing w:val="-3"/>
              </w:rPr>
              <w:t>合同名称</w:t>
            </w:r>
          </w:p>
        </w:tc>
        <w:tc>
          <w:tcPr>
            <w:tcW w:w="2555" w:type="dxa"/>
            <w:noWrap w:val="0"/>
            <w:vAlign w:val="top"/>
          </w:tcPr>
          <w:p w14:paraId="1892E9B9">
            <w:pPr>
              <w:pStyle w:val="33"/>
              <w:spacing w:before="140" w:line="223" w:lineRule="auto"/>
              <w:ind w:left="564"/>
              <w:rPr>
                <w:b/>
                <w:bCs/>
              </w:rPr>
            </w:pPr>
            <w:r>
              <w:rPr>
                <w:b/>
                <w:bCs/>
                <w:spacing w:val="-1"/>
              </w:rPr>
              <w:t>合同起止时间</w:t>
            </w:r>
          </w:p>
        </w:tc>
        <w:tc>
          <w:tcPr>
            <w:tcW w:w="1988" w:type="dxa"/>
            <w:noWrap w:val="0"/>
            <w:vAlign w:val="top"/>
          </w:tcPr>
          <w:p w14:paraId="3898635F">
            <w:pPr>
              <w:pStyle w:val="33"/>
              <w:spacing w:before="140" w:line="223" w:lineRule="auto"/>
              <w:jc w:val="right"/>
              <w:rPr>
                <w:b/>
                <w:bCs/>
              </w:rPr>
            </w:pPr>
            <w:r>
              <w:rPr>
                <w:b/>
                <w:bCs/>
                <w:spacing w:val="-10"/>
              </w:rPr>
              <w:t>合同金额（万元）</w:t>
            </w:r>
          </w:p>
        </w:tc>
      </w:tr>
      <w:tr w14:paraId="53170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5A277254">
            <w:pPr>
              <w:pStyle w:val="33"/>
              <w:spacing w:before="170" w:line="206" w:lineRule="auto"/>
              <w:ind w:left="180"/>
              <w:rPr>
                <w:b/>
                <w:bCs/>
                <w:spacing w:val="-7"/>
              </w:rPr>
            </w:pPr>
          </w:p>
        </w:tc>
        <w:tc>
          <w:tcPr>
            <w:tcW w:w="1967" w:type="dxa"/>
            <w:noWrap w:val="0"/>
            <w:vAlign w:val="top"/>
          </w:tcPr>
          <w:p w14:paraId="4A41235A">
            <w:pPr>
              <w:pStyle w:val="33"/>
              <w:spacing w:before="170" w:line="206" w:lineRule="auto"/>
              <w:ind w:left="180"/>
              <w:rPr>
                <w:b/>
                <w:bCs/>
                <w:spacing w:val="-7"/>
              </w:rPr>
            </w:pPr>
          </w:p>
        </w:tc>
        <w:tc>
          <w:tcPr>
            <w:tcW w:w="1700" w:type="dxa"/>
            <w:noWrap w:val="0"/>
            <w:vAlign w:val="top"/>
          </w:tcPr>
          <w:p w14:paraId="01987DFF">
            <w:pPr>
              <w:pStyle w:val="33"/>
              <w:spacing w:before="170" w:line="206" w:lineRule="auto"/>
              <w:ind w:left="180"/>
              <w:rPr>
                <w:b/>
                <w:bCs/>
                <w:spacing w:val="-7"/>
              </w:rPr>
            </w:pPr>
          </w:p>
        </w:tc>
        <w:tc>
          <w:tcPr>
            <w:tcW w:w="2555" w:type="dxa"/>
            <w:noWrap w:val="0"/>
            <w:vAlign w:val="top"/>
          </w:tcPr>
          <w:p w14:paraId="3AD6CF93">
            <w:pPr>
              <w:pStyle w:val="33"/>
              <w:spacing w:before="170" w:line="206" w:lineRule="auto"/>
              <w:ind w:left="180"/>
              <w:rPr>
                <w:b/>
                <w:bCs/>
                <w:spacing w:val="-7"/>
              </w:rPr>
            </w:pPr>
          </w:p>
        </w:tc>
        <w:tc>
          <w:tcPr>
            <w:tcW w:w="1988" w:type="dxa"/>
            <w:noWrap w:val="0"/>
            <w:vAlign w:val="top"/>
          </w:tcPr>
          <w:p w14:paraId="205E224A">
            <w:pPr>
              <w:pStyle w:val="33"/>
              <w:spacing w:before="170" w:line="206" w:lineRule="auto"/>
              <w:ind w:left="180"/>
              <w:rPr>
                <w:b/>
                <w:bCs/>
                <w:spacing w:val="-7"/>
              </w:rPr>
            </w:pPr>
          </w:p>
        </w:tc>
      </w:tr>
      <w:tr w14:paraId="4FDAE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7CFDA673">
            <w:pPr>
              <w:pStyle w:val="33"/>
              <w:spacing w:before="170" w:line="206" w:lineRule="auto"/>
              <w:ind w:left="180"/>
              <w:rPr>
                <w:b/>
                <w:bCs/>
                <w:spacing w:val="-7"/>
              </w:rPr>
            </w:pPr>
          </w:p>
        </w:tc>
        <w:tc>
          <w:tcPr>
            <w:tcW w:w="1967" w:type="dxa"/>
            <w:noWrap w:val="0"/>
            <w:vAlign w:val="top"/>
          </w:tcPr>
          <w:p w14:paraId="4EA134A9">
            <w:pPr>
              <w:pStyle w:val="33"/>
              <w:spacing w:before="170" w:line="206" w:lineRule="auto"/>
              <w:ind w:left="180"/>
              <w:rPr>
                <w:b/>
                <w:bCs/>
                <w:spacing w:val="-7"/>
              </w:rPr>
            </w:pPr>
          </w:p>
        </w:tc>
        <w:tc>
          <w:tcPr>
            <w:tcW w:w="1700" w:type="dxa"/>
            <w:noWrap w:val="0"/>
            <w:vAlign w:val="top"/>
          </w:tcPr>
          <w:p w14:paraId="125C69E6">
            <w:pPr>
              <w:pStyle w:val="33"/>
              <w:spacing w:before="170" w:line="206" w:lineRule="auto"/>
              <w:ind w:left="180"/>
              <w:rPr>
                <w:b/>
                <w:bCs/>
                <w:spacing w:val="-7"/>
              </w:rPr>
            </w:pPr>
          </w:p>
        </w:tc>
        <w:tc>
          <w:tcPr>
            <w:tcW w:w="2555" w:type="dxa"/>
            <w:noWrap w:val="0"/>
            <w:vAlign w:val="top"/>
          </w:tcPr>
          <w:p w14:paraId="62345363">
            <w:pPr>
              <w:pStyle w:val="33"/>
              <w:spacing w:before="170" w:line="206" w:lineRule="auto"/>
              <w:ind w:left="180"/>
              <w:rPr>
                <w:b/>
                <w:bCs/>
                <w:spacing w:val="-7"/>
              </w:rPr>
            </w:pPr>
          </w:p>
        </w:tc>
        <w:tc>
          <w:tcPr>
            <w:tcW w:w="1988" w:type="dxa"/>
            <w:noWrap w:val="0"/>
            <w:vAlign w:val="top"/>
          </w:tcPr>
          <w:p w14:paraId="633BF464">
            <w:pPr>
              <w:pStyle w:val="33"/>
              <w:spacing w:before="170" w:line="206" w:lineRule="auto"/>
              <w:ind w:left="180"/>
              <w:rPr>
                <w:b/>
                <w:bCs/>
                <w:spacing w:val="-7"/>
              </w:rPr>
            </w:pPr>
          </w:p>
        </w:tc>
      </w:tr>
      <w:tr w14:paraId="2ED94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61936D99">
            <w:pPr>
              <w:pStyle w:val="33"/>
              <w:spacing w:before="170" w:line="206" w:lineRule="auto"/>
              <w:ind w:left="180"/>
              <w:rPr>
                <w:b/>
                <w:bCs/>
                <w:spacing w:val="-7"/>
              </w:rPr>
            </w:pPr>
          </w:p>
        </w:tc>
        <w:tc>
          <w:tcPr>
            <w:tcW w:w="1967" w:type="dxa"/>
            <w:noWrap w:val="0"/>
            <w:vAlign w:val="top"/>
          </w:tcPr>
          <w:p w14:paraId="0095CBE8">
            <w:pPr>
              <w:pStyle w:val="33"/>
              <w:spacing w:before="170" w:line="206" w:lineRule="auto"/>
              <w:ind w:left="180"/>
              <w:rPr>
                <w:b/>
                <w:bCs/>
                <w:spacing w:val="-7"/>
              </w:rPr>
            </w:pPr>
          </w:p>
        </w:tc>
        <w:tc>
          <w:tcPr>
            <w:tcW w:w="1700" w:type="dxa"/>
            <w:noWrap w:val="0"/>
            <w:vAlign w:val="top"/>
          </w:tcPr>
          <w:p w14:paraId="17CD12B0">
            <w:pPr>
              <w:pStyle w:val="33"/>
              <w:spacing w:before="170" w:line="206" w:lineRule="auto"/>
              <w:ind w:left="180"/>
              <w:rPr>
                <w:b/>
                <w:bCs/>
                <w:spacing w:val="-7"/>
              </w:rPr>
            </w:pPr>
          </w:p>
        </w:tc>
        <w:tc>
          <w:tcPr>
            <w:tcW w:w="2555" w:type="dxa"/>
            <w:noWrap w:val="0"/>
            <w:vAlign w:val="top"/>
          </w:tcPr>
          <w:p w14:paraId="3DBB6BE1">
            <w:pPr>
              <w:pStyle w:val="33"/>
              <w:spacing w:before="170" w:line="206" w:lineRule="auto"/>
              <w:ind w:left="180"/>
              <w:rPr>
                <w:b/>
                <w:bCs/>
                <w:spacing w:val="-7"/>
              </w:rPr>
            </w:pPr>
          </w:p>
        </w:tc>
        <w:tc>
          <w:tcPr>
            <w:tcW w:w="1988" w:type="dxa"/>
            <w:noWrap w:val="0"/>
            <w:vAlign w:val="top"/>
          </w:tcPr>
          <w:p w14:paraId="491290E8">
            <w:pPr>
              <w:pStyle w:val="33"/>
              <w:spacing w:before="170" w:line="206" w:lineRule="auto"/>
              <w:ind w:left="180"/>
              <w:rPr>
                <w:b/>
                <w:bCs/>
                <w:spacing w:val="-7"/>
              </w:rPr>
            </w:pPr>
          </w:p>
        </w:tc>
      </w:tr>
      <w:tr w14:paraId="27FB4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6DF92C1">
            <w:pPr>
              <w:pStyle w:val="33"/>
              <w:spacing w:before="170" w:line="206" w:lineRule="auto"/>
              <w:ind w:left="180"/>
              <w:rPr>
                <w:b/>
                <w:bCs/>
                <w:spacing w:val="-7"/>
              </w:rPr>
            </w:pPr>
          </w:p>
        </w:tc>
        <w:tc>
          <w:tcPr>
            <w:tcW w:w="1967" w:type="dxa"/>
            <w:noWrap w:val="0"/>
            <w:vAlign w:val="top"/>
          </w:tcPr>
          <w:p w14:paraId="54ECBC95">
            <w:pPr>
              <w:pStyle w:val="33"/>
              <w:spacing w:before="170" w:line="206" w:lineRule="auto"/>
              <w:ind w:left="180"/>
              <w:rPr>
                <w:b/>
                <w:bCs/>
                <w:spacing w:val="-7"/>
              </w:rPr>
            </w:pPr>
          </w:p>
        </w:tc>
        <w:tc>
          <w:tcPr>
            <w:tcW w:w="1700" w:type="dxa"/>
            <w:noWrap w:val="0"/>
            <w:vAlign w:val="top"/>
          </w:tcPr>
          <w:p w14:paraId="5E8B5A37">
            <w:pPr>
              <w:pStyle w:val="33"/>
              <w:spacing w:before="170" w:line="206" w:lineRule="auto"/>
              <w:ind w:left="180"/>
              <w:rPr>
                <w:b/>
                <w:bCs/>
                <w:spacing w:val="-7"/>
              </w:rPr>
            </w:pPr>
          </w:p>
        </w:tc>
        <w:tc>
          <w:tcPr>
            <w:tcW w:w="2555" w:type="dxa"/>
            <w:noWrap w:val="0"/>
            <w:vAlign w:val="top"/>
          </w:tcPr>
          <w:p w14:paraId="4C461526">
            <w:pPr>
              <w:pStyle w:val="33"/>
              <w:spacing w:before="170" w:line="206" w:lineRule="auto"/>
              <w:ind w:left="180"/>
              <w:rPr>
                <w:b/>
                <w:bCs/>
                <w:spacing w:val="-7"/>
              </w:rPr>
            </w:pPr>
          </w:p>
        </w:tc>
        <w:tc>
          <w:tcPr>
            <w:tcW w:w="1988" w:type="dxa"/>
            <w:noWrap w:val="0"/>
            <w:vAlign w:val="top"/>
          </w:tcPr>
          <w:p w14:paraId="191862E2">
            <w:pPr>
              <w:pStyle w:val="33"/>
              <w:spacing w:before="170" w:line="206" w:lineRule="auto"/>
              <w:ind w:left="180"/>
              <w:rPr>
                <w:b/>
                <w:bCs/>
                <w:spacing w:val="-7"/>
              </w:rPr>
            </w:pPr>
          </w:p>
        </w:tc>
      </w:tr>
      <w:tr w14:paraId="165BA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004D76B5">
            <w:pPr>
              <w:pStyle w:val="33"/>
              <w:spacing w:before="170" w:line="206" w:lineRule="auto"/>
              <w:ind w:left="180"/>
              <w:rPr>
                <w:b/>
                <w:bCs/>
                <w:spacing w:val="-7"/>
              </w:rPr>
            </w:pPr>
          </w:p>
        </w:tc>
        <w:tc>
          <w:tcPr>
            <w:tcW w:w="1967" w:type="dxa"/>
            <w:noWrap w:val="0"/>
            <w:vAlign w:val="top"/>
          </w:tcPr>
          <w:p w14:paraId="3D07D17C">
            <w:pPr>
              <w:pStyle w:val="33"/>
              <w:spacing w:before="170" w:line="206" w:lineRule="auto"/>
              <w:ind w:left="180"/>
              <w:rPr>
                <w:b/>
                <w:bCs/>
                <w:spacing w:val="-7"/>
              </w:rPr>
            </w:pPr>
          </w:p>
        </w:tc>
        <w:tc>
          <w:tcPr>
            <w:tcW w:w="1700" w:type="dxa"/>
            <w:noWrap w:val="0"/>
            <w:vAlign w:val="top"/>
          </w:tcPr>
          <w:p w14:paraId="52227D42">
            <w:pPr>
              <w:pStyle w:val="33"/>
              <w:spacing w:before="170" w:line="206" w:lineRule="auto"/>
              <w:ind w:left="180"/>
              <w:rPr>
                <w:b/>
                <w:bCs/>
                <w:spacing w:val="-7"/>
              </w:rPr>
            </w:pPr>
          </w:p>
        </w:tc>
        <w:tc>
          <w:tcPr>
            <w:tcW w:w="2555" w:type="dxa"/>
            <w:noWrap w:val="0"/>
            <w:vAlign w:val="top"/>
          </w:tcPr>
          <w:p w14:paraId="0AC5A9D6">
            <w:pPr>
              <w:pStyle w:val="33"/>
              <w:spacing w:before="170" w:line="206" w:lineRule="auto"/>
              <w:ind w:left="180"/>
              <w:rPr>
                <w:b/>
                <w:bCs/>
                <w:spacing w:val="-7"/>
              </w:rPr>
            </w:pPr>
          </w:p>
        </w:tc>
        <w:tc>
          <w:tcPr>
            <w:tcW w:w="1988" w:type="dxa"/>
            <w:noWrap w:val="0"/>
            <w:vAlign w:val="top"/>
          </w:tcPr>
          <w:p w14:paraId="1F1859FE">
            <w:pPr>
              <w:pStyle w:val="33"/>
              <w:spacing w:before="170" w:line="206" w:lineRule="auto"/>
              <w:ind w:left="180"/>
              <w:rPr>
                <w:b/>
                <w:bCs/>
                <w:spacing w:val="-7"/>
              </w:rPr>
            </w:pPr>
          </w:p>
        </w:tc>
      </w:tr>
      <w:tr w14:paraId="57F3A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480C1BE8">
            <w:pPr>
              <w:pStyle w:val="33"/>
              <w:spacing w:before="170" w:line="206" w:lineRule="auto"/>
              <w:ind w:left="180"/>
              <w:rPr>
                <w:b/>
                <w:bCs/>
                <w:spacing w:val="-7"/>
              </w:rPr>
            </w:pPr>
          </w:p>
        </w:tc>
        <w:tc>
          <w:tcPr>
            <w:tcW w:w="1967" w:type="dxa"/>
            <w:noWrap w:val="0"/>
            <w:vAlign w:val="top"/>
          </w:tcPr>
          <w:p w14:paraId="3EFB2478">
            <w:pPr>
              <w:pStyle w:val="33"/>
              <w:spacing w:before="170" w:line="206" w:lineRule="auto"/>
              <w:ind w:left="180"/>
              <w:rPr>
                <w:b/>
                <w:bCs/>
                <w:spacing w:val="-7"/>
              </w:rPr>
            </w:pPr>
          </w:p>
        </w:tc>
        <w:tc>
          <w:tcPr>
            <w:tcW w:w="1700" w:type="dxa"/>
            <w:noWrap w:val="0"/>
            <w:vAlign w:val="top"/>
          </w:tcPr>
          <w:p w14:paraId="522A06F7">
            <w:pPr>
              <w:pStyle w:val="33"/>
              <w:spacing w:before="170" w:line="206" w:lineRule="auto"/>
              <w:ind w:left="180"/>
              <w:rPr>
                <w:b/>
                <w:bCs/>
                <w:spacing w:val="-7"/>
              </w:rPr>
            </w:pPr>
          </w:p>
        </w:tc>
        <w:tc>
          <w:tcPr>
            <w:tcW w:w="2555" w:type="dxa"/>
            <w:noWrap w:val="0"/>
            <w:vAlign w:val="top"/>
          </w:tcPr>
          <w:p w14:paraId="57CB91E1">
            <w:pPr>
              <w:pStyle w:val="33"/>
              <w:spacing w:before="170" w:line="206" w:lineRule="auto"/>
              <w:ind w:left="180"/>
              <w:rPr>
                <w:b/>
                <w:bCs/>
                <w:spacing w:val="-7"/>
              </w:rPr>
            </w:pPr>
          </w:p>
        </w:tc>
        <w:tc>
          <w:tcPr>
            <w:tcW w:w="1988" w:type="dxa"/>
            <w:noWrap w:val="0"/>
            <w:vAlign w:val="top"/>
          </w:tcPr>
          <w:p w14:paraId="218BA2AA">
            <w:pPr>
              <w:pStyle w:val="33"/>
              <w:spacing w:before="170" w:line="206" w:lineRule="auto"/>
              <w:ind w:left="180"/>
              <w:rPr>
                <w:b/>
                <w:bCs/>
                <w:spacing w:val="-7"/>
              </w:rPr>
            </w:pPr>
          </w:p>
        </w:tc>
      </w:tr>
      <w:tr w14:paraId="6180A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6DC79193">
            <w:pPr>
              <w:pStyle w:val="33"/>
              <w:spacing w:before="170" w:line="206" w:lineRule="auto"/>
              <w:ind w:left="180"/>
              <w:rPr>
                <w:b/>
                <w:bCs/>
                <w:spacing w:val="-7"/>
              </w:rPr>
            </w:pPr>
          </w:p>
        </w:tc>
        <w:tc>
          <w:tcPr>
            <w:tcW w:w="1967" w:type="dxa"/>
            <w:noWrap w:val="0"/>
            <w:vAlign w:val="top"/>
          </w:tcPr>
          <w:p w14:paraId="5F4C4091">
            <w:pPr>
              <w:pStyle w:val="33"/>
              <w:spacing w:before="170" w:line="206" w:lineRule="auto"/>
              <w:ind w:left="180"/>
              <w:rPr>
                <w:b/>
                <w:bCs/>
                <w:spacing w:val="-7"/>
              </w:rPr>
            </w:pPr>
          </w:p>
        </w:tc>
        <w:tc>
          <w:tcPr>
            <w:tcW w:w="1700" w:type="dxa"/>
            <w:noWrap w:val="0"/>
            <w:vAlign w:val="top"/>
          </w:tcPr>
          <w:p w14:paraId="33B1E5A0">
            <w:pPr>
              <w:pStyle w:val="33"/>
              <w:spacing w:before="170" w:line="206" w:lineRule="auto"/>
              <w:ind w:left="180"/>
              <w:rPr>
                <w:b/>
                <w:bCs/>
                <w:spacing w:val="-7"/>
              </w:rPr>
            </w:pPr>
          </w:p>
        </w:tc>
        <w:tc>
          <w:tcPr>
            <w:tcW w:w="2555" w:type="dxa"/>
            <w:noWrap w:val="0"/>
            <w:vAlign w:val="top"/>
          </w:tcPr>
          <w:p w14:paraId="0D6017FE">
            <w:pPr>
              <w:pStyle w:val="33"/>
              <w:spacing w:before="170" w:line="206" w:lineRule="auto"/>
              <w:ind w:left="180"/>
              <w:rPr>
                <w:b/>
                <w:bCs/>
                <w:spacing w:val="-7"/>
              </w:rPr>
            </w:pPr>
          </w:p>
        </w:tc>
        <w:tc>
          <w:tcPr>
            <w:tcW w:w="1988" w:type="dxa"/>
            <w:noWrap w:val="0"/>
            <w:vAlign w:val="top"/>
          </w:tcPr>
          <w:p w14:paraId="7FF70C29">
            <w:pPr>
              <w:pStyle w:val="33"/>
              <w:spacing w:before="170" w:line="206" w:lineRule="auto"/>
              <w:ind w:left="180"/>
              <w:rPr>
                <w:b/>
                <w:bCs/>
                <w:spacing w:val="-7"/>
              </w:rPr>
            </w:pPr>
          </w:p>
        </w:tc>
      </w:tr>
      <w:tr w14:paraId="2ADF5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646CE6BD">
            <w:pPr>
              <w:pStyle w:val="33"/>
              <w:spacing w:before="170" w:line="206" w:lineRule="auto"/>
              <w:ind w:left="180"/>
              <w:rPr>
                <w:b/>
                <w:bCs/>
                <w:spacing w:val="-7"/>
              </w:rPr>
            </w:pPr>
            <w:r>
              <w:rPr>
                <w:b/>
                <w:bCs/>
                <w:spacing w:val="-7"/>
              </w:rPr>
              <w:t>……</w:t>
            </w:r>
          </w:p>
        </w:tc>
        <w:tc>
          <w:tcPr>
            <w:tcW w:w="1967" w:type="dxa"/>
            <w:noWrap w:val="0"/>
            <w:vAlign w:val="top"/>
          </w:tcPr>
          <w:p w14:paraId="3FA7DAED">
            <w:pPr>
              <w:pStyle w:val="33"/>
              <w:spacing w:before="170" w:line="206" w:lineRule="auto"/>
              <w:ind w:left="180"/>
              <w:rPr>
                <w:b/>
                <w:bCs/>
                <w:spacing w:val="-7"/>
              </w:rPr>
            </w:pPr>
          </w:p>
        </w:tc>
        <w:tc>
          <w:tcPr>
            <w:tcW w:w="1700" w:type="dxa"/>
            <w:noWrap w:val="0"/>
            <w:vAlign w:val="top"/>
          </w:tcPr>
          <w:p w14:paraId="6EACD269">
            <w:pPr>
              <w:pStyle w:val="33"/>
              <w:spacing w:before="170" w:line="206" w:lineRule="auto"/>
              <w:ind w:left="180"/>
              <w:rPr>
                <w:b/>
                <w:bCs/>
                <w:spacing w:val="-7"/>
              </w:rPr>
            </w:pPr>
          </w:p>
        </w:tc>
        <w:tc>
          <w:tcPr>
            <w:tcW w:w="2555" w:type="dxa"/>
            <w:noWrap w:val="0"/>
            <w:vAlign w:val="top"/>
          </w:tcPr>
          <w:p w14:paraId="31AED93B">
            <w:pPr>
              <w:pStyle w:val="33"/>
              <w:spacing w:before="170" w:line="206" w:lineRule="auto"/>
              <w:ind w:left="180"/>
              <w:rPr>
                <w:b/>
                <w:bCs/>
                <w:spacing w:val="-7"/>
              </w:rPr>
            </w:pPr>
          </w:p>
        </w:tc>
        <w:tc>
          <w:tcPr>
            <w:tcW w:w="1988" w:type="dxa"/>
            <w:noWrap w:val="0"/>
            <w:vAlign w:val="top"/>
          </w:tcPr>
          <w:p w14:paraId="02E9F0BC">
            <w:pPr>
              <w:pStyle w:val="33"/>
              <w:spacing w:before="170" w:line="206" w:lineRule="auto"/>
              <w:ind w:left="180"/>
              <w:rPr>
                <w:b/>
                <w:bCs/>
                <w:spacing w:val="-7"/>
              </w:rPr>
            </w:pPr>
          </w:p>
        </w:tc>
      </w:tr>
      <w:tr w14:paraId="52351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35" w:type="dxa"/>
            <w:gridSpan w:val="5"/>
            <w:noWrap w:val="0"/>
            <w:vAlign w:val="top"/>
          </w:tcPr>
          <w:p w14:paraId="6B556962">
            <w:pPr>
              <w:pStyle w:val="33"/>
              <w:spacing w:before="170" w:line="206" w:lineRule="auto"/>
              <w:ind w:left="180"/>
              <w:rPr>
                <w:b/>
                <w:bCs/>
                <w:spacing w:val="-7"/>
              </w:rPr>
            </w:pPr>
            <w:r>
              <w:rPr>
                <w:b/>
                <w:bCs/>
                <w:spacing w:val="-7"/>
              </w:rPr>
              <w:t>数量合计（个）：</w:t>
            </w:r>
          </w:p>
        </w:tc>
      </w:tr>
    </w:tbl>
    <w:p w14:paraId="637A351E">
      <w:pPr>
        <w:pStyle w:val="10"/>
        <w:spacing w:before="41" w:line="222" w:lineRule="auto"/>
        <w:ind w:left="333"/>
        <w:rPr>
          <w:rFonts w:hint="eastAsia" w:ascii="仿宋" w:hAnsi="仿宋" w:eastAsia="仿宋" w:cs="仿宋"/>
          <w:b/>
          <w:bCs w:val="0"/>
          <w:color w:val="auto"/>
          <w:kern w:val="0"/>
          <w:sz w:val="24"/>
          <w:szCs w:val="24"/>
          <w:highlight w:val="none"/>
        </w:rPr>
      </w:pPr>
    </w:p>
    <w:p w14:paraId="1FB3728B">
      <w:pPr>
        <w:pStyle w:val="10"/>
        <w:spacing w:before="41" w:line="222" w:lineRule="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注：</w:t>
      </w:r>
      <w:r>
        <w:rPr>
          <w:rFonts w:hint="eastAsia" w:ascii="仿宋" w:hAnsi="仿宋" w:eastAsia="仿宋" w:cs="仿宋"/>
          <w:b/>
          <w:bCs w:val="0"/>
          <w:color w:val="auto"/>
          <w:kern w:val="0"/>
          <w:sz w:val="24"/>
          <w:szCs w:val="24"/>
          <w:highlight w:val="none"/>
          <w:lang w:val="en-US" w:eastAsia="zh-CN"/>
        </w:rPr>
        <w:t>后附相关</w:t>
      </w:r>
      <w:r>
        <w:rPr>
          <w:rFonts w:hint="eastAsia" w:ascii="仿宋" w:hAnsi="仿宋" w:eastAsia="仿宋" w:cs="仿宋"/>
          <w:b/>
          <w:bCs w:val="0"/>
          <w:color w:val="auto"/>
          <w:kern w:val="0"/>
          <w:sz w:val="24"/>
          <w:szCs w:val="24"/>
          <w:highlight w:val="none"/>
        </w:rPr>
        <w:t>业绩</w:t>
      </w:r>
      <w:r>
        <w:rPr>
          <w:rFonts w:hint="eastAsia" w:ascii="仿宋" w:hAnsi="仿宋" w:eastAsia="仿宋" w:cs="仿宋"/>
          <w:b/>
          <w:bCs w:val="0"/>
          <w:color w:val="auto"/>
          <w:kern w:val="0"/>
          <w:sz w:val="24"/>
          <w:szCs w:val="24"/>
          <w:highlight w:val="none"/>
          <w:lang w:val="en-US" w:eastAsia="zh-CN"/>
        </w:rPr>
        <w:t>证明材料</w:t>
      </w:r>
      <w:r>
        <w:rPr>
          <w:rFonts w:hint="eastAsia" w:ascii="仿宋" w:hAnsi="仿宋" w:eastAsia="仿宋" w:cs="仿宋"/>
          <w:b/>
          <w:bCs w:val="0"/>
          <w:color w:val="auto"/>
          <w:kern w:val="0"/>
          <w:sz w:val="24"/>
          <w:szCs w:val="24"/>
          <w:highlight w:val="none"/>
        </w:rPr>
        <w:t>。</w:t>
      </w:r>
    </w:p>
    <w:p w14:paraId="554C361C">
      <w:pPr>
        <w:rPr>
          <w:rFonts w:ascii="仿宋" w:hAnsi="仿宋" w:eastAsia="仿宋" w:cs="仿宋"/>
          <w:sz w:val="24"/>
          <w:highlight w:val="none"/>
        </w:rPr>
      </w:pPr>
    </w:p>
    <w:p w14:paraId="78FD38A9">
      <w:pPr>
        <w:rPr>
          <w:rFonts w:ascii="仿宋" w:hAnsi="仿宋" w:eastAsia="仿宋" w:cs="仿宋"/>
          <w:sz w:val="24"/>
          <w:highlight w:val="none"/>
        </w:rPr>
      </w:pPr>
    </w:p>
    <w:p w14:paraId="24EEC4AA">
      <w:pPr>
        <w:spacing w:line="360" w:lineRule="auto"/>
        <w:jc w:val="center"/>
        <w:rPr>
          <w:rFonts w:hint="eastAsia" w:ascii="仿宋" w:hAnsi="仿宋" w:eastAsia="仿宋" w:cs="仿宋"/>
          <w:color w:val="auto"/>
          <w:sz w:val="24"/>
          <w:highlight w:val="none"/>
        </w:rPr>
      </w:pPr>
    </w:p>
    <w:p w14:paraId="561ED2D4">
      <w:pPr>
        <w:spacing w:line="360" w:lineRule="auto"/>
        <w:ind w:firstLine="3828" w:firstLineChars="159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79C8A093">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1595011B">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或被授权人：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7DD37B99">
      <w:pPr>
        <w:overflowPunct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      期：  年  月   日</w:t>
      </w:r>
    </w:p>
    <w:p w14:paraId="1809E0BF">
      <w:pPr>
        <w:rPr>
          <w:rFonts w:hint="eastAsia" w:ascii="仿宋" w:hAnsi="仿宋" w:eastAsia="仿宋" w:cs="仿宋"/>
          <w:b/>
          <w:sz w:val="24"/>
          <w:highlight w:val="none"/>
        </w:rPr>
      </w:pPr>
      <w:r>
        <w:rPr>
          <w:rFonts w:hint="eastAsia" w:ascii="仿宋" w:hAnsi="仿宋" w:eastAsia="仿宋" w:cs="仿宋"/>
          <w:b/>
          <w:sz w:val="24"/>
          <w:highlight w:val="none"/>
        </w:rPr>
        <w:br w:type="page"/>
      </w:r>
    </w:p>
    <w:p w14:paraId="1A254A34">
      <w:pPr>
        <w:overflowPunct w:val="0"/>
        <w:spacing w:line="360" w:lineRule="auto"/>
        <w:jc w:val="center"/>
        <w:outlineLvl w:val="1"/>
        <w:rPr>
          <w:rFonts w:hint="eastAsia" w:ascii="仿宋" w:hAnsi="仿宋" w:eastAsia="仿宋" w:cs="仿宋"/>
          <w:b/>
          <w:bCs/>
          <w:sz w:val="30"/>
          <w:szCs w:val="30"/>
          <w:highlight w:val="none"/>
        </w:rPr>
      </w:pPr>
      <w:bookmarkStart w:id="96" w:name="_Toc27420"/>
      <w:bookmarkStart w:id="97" w:name="_Toc26761"/>
      <w:r>
        <w:rPr>
          <w:rFonts w:hint="eastAsia" w:ascii="仿宋" w:hAnsi="仿宋" w:eastAsia="仿宋" w:cs="仿宋"/>
          <w:b/>
          <w:bCs/>
          <w:sz w:val="30"/>
          <w:szCs w:val="30"/>
          <w:highlight w:val="none"/>
        </w:rPr>
        <w:t>六、</w:t>
      </w:r>
      <w:bookmarkEnd w:id="96"/>
      <w:r>
        <w:rPr>
          <w:rFonts w:hint="eastAsia" w:ascii="仿宋" w:hAnsi="仿宋" w:eastAsia="仿宋" w:cs="仿宋"/>
          <w:b/>
          <w:bCs/>
          <w:sz w:val="30"/>
          <w:szCs w:val="30"/>
          <w:highlight w:val="none"/>
        </w:rPr>
        <w:t>项目实施方案</w:t>
      </w:r>
      <w:bookmarkEnd w:id="97"/>
    </w:p>
    <w:p w14:paraId="51243E0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4D72F0C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27193AD5">
      <w:pPr>
        <w:spacing w:line="360" w:lineRule="auto"/>
        <w:rPr>
          <w:rFonts w:hint="eastAsia" w:ascii="仿宋" w:hAnsi="仿宋" w:eastAsia="仿宋" w:cs="仿宋"/>
          <w:sz w:val="24"/>
          <w:szCs w:val="24"/>
          <w:highlight w:val="none"/>
        </w:rPr>
      </w:pPr>
      <w:r>
        <w:rPr>
          <w:rFonts w:hint="eastAsia" w:ascii="仿宋" w:hAnsi="仿宋" w:eastAsia="仿宋" w:cs="宋体"/>
          <w:kern w:val="0"/>
          <w:sz w:val="24"/>
          <w:highlight w:val="none"/>
          <w:lang w:val="en-US" w:eastAsia="zh-CN"/>
        </w:rPr>
        <w:t>供应商</w:t>
      </w:r>
      <w:r>
        <w:rPr>
          <w:rFonts w:hint="eastAsia" w:ascii="仿宋" w:hAnsi="仿宋" w:eastAsia="仿宋" w:cs="宋体"/>
          <w:kern w:val="0"/>
          <w:sz w:val="24"/>
          <w:highlight w:val="none"/>
        </w:rPr>
        <w:t>名称</w:t>
      </w:r>
      <w:r>
        <w:rPr>
          <w:rFonts w:hint="eastAsia" w:ascii="仿宋" w:hAnsi="仿宋" w:eastAsia="仿宋" w:cs="仿宋"/>
          <w:sz w:val="24"/>
          <w:szCs w:val="24"/>
          <w:highlight w:val="none"/>
        </w:rPr>
        <w:t>：</w:t>
      </w:r>
    </w:p>
    <w:p w14:paraId="2F867802">
      <w:pPr>
        <w:spacing w:line="360" w:lineRule="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 xml:space="preserve">                                                                            </w:t>
      </w:r>
    </w:p>
    <w:p w14:paraId="3652DAE0">
      <w:pPr>
        <w:kinsoku w:val="0"/>
        <w:spacing w:line="360" w:lineRule="auto"/>
        <w:jc w:val="left"/>
        <w:rPr>
          <w:rFonts w:hint="eastAsia" w:ascii="仿宋" w:hAnsi="仿宋" w:eastAsia="仿宋" w:cs="仿宋"/>
          <w:sz w:val="24"/>
          <w:highlight w:val="none"/>
          <w:lang w:eastAsia="zh-CN"/>
        </w:rPr>
      </w:pPr>
      <w:bookmarkStart w:id="98" w:name="_Hlt526418111"/>
      <w:bookmarkEnd w:id="98"/>
      <w:bookmarkStart w:id="99" w:name="_Hlt526418103"/>
      <w:bookmarkEnd w:id="99"/>
      <w:bookmarkStart w:id="100" w:name="_Hlt526418107"/>
      <w:bookmarkEnd w:id="100"/>
      <w:r>
        <w:rPr>
          <w:rFonts w:hint="eastAsia" w:ascii="仿宋" w:hAnsi="仿宋" w:eastAsia="仿宋" w:cs="仿宋"/>
          <w:b/>
          <w:sz w:val="24"/>
          <w:szCs w:val="24"/>
          <w:highlight w:val="none"/>
        </w:rPr>
        <w:t>（各</w:t>
      </w:r>
      <w:r>
        <w:rPr>
          <w:rFonts w:hint="eastAsia" w:ascii="仿宋" w:hAnsi="仿宋" w:eastAsia="仿宋" w:cs="仿宋"/>
          <w:b/>
          <w:sz w:val="24"/>
          <w:szCs w:val="24"/>
          <w:highlight w:val="none"/>
          <w:lang w:val="en-US" w:eastAsia="zh-CN"/>
        </w:rPr>
        <w:t>供应商</w:t>
      </w:r>
      <w:r>
        <w:rPr>
          <w:rFonts w:hint="eastAsia" w:ascii="仿宋" w:hAnsi="仿宋" w:eastAsia="仿宋" w:cs="仿宋"/>
          <w:b/>
          <w:sz w:val="24"/>
          <w:szCs w:val="24"/>
          <w:highlight w:val="none"/>
        </w:rPr>
        <w:t>根据评审办法，可自主编写方案说明）</w:t>
      </w:r>
    </w:p>
    <w:p w14:paraId="5804F01E">
      <w:pPr>
        <w:pStyle w:val="35"/>
        <w:keepNext w:val="0"/>
        <w:keepLines w:val="0"/>
        <w:pageBreakBefore w:val="0"/>
        <w:widowControl w:val="0"/>
        <w:kinsoku/>
        <w:wordWrap/>
        <w:overflowPunct/>
        <w:topLinePunct w:val="0"/>
        <w:autoSpaceDE/>
        <w:autoSpaceDN/>
        <w:bidi w:val="0"/>
        <w:adjustRightInd w:val="0"/>
        <w:snapToGrid/>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highlight w:val="none"/>
        </w:rPr>
        <w:t>格式自定，参照磋商文件第</w:t>
      </w:r>
      <w:r>
        <w:rPr>
          <w:rFonts w:hint="eastAsia" w:ascii="仿宋" w:hAnsi="仿宋" w:eastAsia="仿宋" w:cs="仿宋"/>
          <w:sz w:val="24"/>
          <w:highlight w:val="none"/>
          <w:lang w:val="en-US" w:eastAsia="zh-CN"/>
        </w:rPr>
        <w:t>三章</w:t>
      </w:r>
      <w:r>
        <w:rPr>
          <w:rFonts w:hint="eastAsia" w:ascii="仿宋" w:hAnsi="仿宋" w:eastAsia="仿宋" w:cs="仿宋"/>
          <w:sz w:val="24"/>
          <w:highlight w:val="none"/>
        </w:rPr>
        <w:t>《评审办法</w:t>
      </w:r>
      <w:r>
        <w:rPr>
          <w:rFonts w:hint="eastAsia" w:ascii="仿宋" w:hAnsi="仿宋" w:eastAsia="仿宋" w:cs="仿宋"/>
          <w:sz w:val="24"/>
          <w:highlight w:val="none"/>
          <w:lang w:val="en-US" w:eastAsia="zh-CN"/>
        </w:rPr>
        <w:t>及标准</w:t>
      </w:r>
      <w:r>
        <w:rPr>
          <w:rFonts w:hint="eastAsia" w:ascii="仿宋" w:hAnsi="仿宋" w:eastAsia="仿宋" w:cs="仿宋"/>
          <w:sz w:val="24"/>
          <w:highlight w:val="none"/>
        </w:rPr>
        <w:t>》各条款的要求，结合第</w:t>
      </w:r>
      <w:r>
        <w:rPr>
          <w:rFonts w:hint="eastAsia" w:ascii="仿宋" w:hAnsi="仿宋" w:eastAsia="仿宋" w:cs="仿宋"/>
          <w:sz w:val="24"/>
          <w:highlight w:val="none"/>
          <w:lang w:val="en-US" w:eastAsia="zh-CN"/>
        </w:rPr>
        <w:t>四章</w:t>
      </w:r>
      <w:r>
        <w:rPr>
          <w:rFonts w:hint="eastAsia" w:ascii="仿宋" w:hAnsi="仿宋" w:eastAsia="仿宋" w:cs="仿宋"/>
          <w:sz w:val="24"/>
          <w:highlight w:val="none"/>
        </w:rPr>
        <w:t>《磋商要求及说明》编制项目实施方案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供应商</w:t>
      </w:r>
      <w:r>
        <w:rPr>
          <w:rFonts w:hint="eastAsia" w:ascii="仿宋" w:hAnsi="仿宋" w:eastAsia="仿宋" w:cs="仿宋"/>
          <w:sz w:val="24"/>
          <w:szCs w:val="24"/>
          <w:highlight w:val="none"/>
        </w:rPr>
        <w:t>应确保上述证明文件的真实性、有效性及合法性，否则，由此引起的任何责任都由</w:t>
      </w:r>
      <w:r>
        <w:rPr>
          <w:rFonts w:hint="eastAsia" w:ascii="仿宋" w:hAnsi="仿宋" w:eastAsia="仿宋" w:cs="宋体"/>
          <w:kern w:val="0"/>
          <w:sz w:val="24"/>
          <w:highlight w:val="none"/>
          <w:lang w:eastAsia="zh-CN"/>
        </w:rPr>
        <w:t>供应商</w:t>
      </w:r>
      <w:r>
        <w:rPr>
          <w:rFonts w:hint="eastAsia" w:ascii="仿宋" w:hAnsi="仿宋" w:eastAsia="仿宋" w:cs="仿宋"/>
          <w:sz w:val="24"/>
          <w:szCs w:val="24"/>
          <w:highlight w:val="none"/>
        </w:rPr>
        <w:t>自行承担。</w:t>
      </w:r>
    </w:p>
    <w:p w14:paraId="3F8D3308">
      <w:pPr>
        <w:pStyle w:val="35"/>
        <w:keepNext w:val="0"/>
        <w:keepLines w:val="0"/>
        <w:pageBreakBefore w:val="0"/>
        <w:widowControl w:val="0"/>
        <w:kinsoku/>
        <w:wordWrap/>
        <w:overflowPunct/>
        <w:topLinePunct w:val="0"/>
        <w:autoSpaceDE/>
        <w:autoSpaceDN/>
        <w:bidi w:val="0"/>
        <w:adjustRightInd w:val="0"/>
        <w:snapToGrid/>
        <w:ind w:firstLine="480" w:firstLineChars="200"/>
        <w:jc w:val="center"/>
        <w:textAlignment w:val="auto"/>
        <w:rPr>
          <w:rFonts w:ascii="仿宋" w:hAnsi="仿宋" w:eastAsia="仿宋" w:cs="仿宋"/>
          <w:b/>
          <w:bCs/>
          <w:sz w:val="28"/>
          <w:szCs w:val="28"/>
          <w:highlight w:val="none"/>
        </w:rPr>
      </w:pPr>
      <w:r>
        <w:rPr>
          <w:rFonts w:hint="eastAsia" w:ascii="仿宋" w:hAnsi="仿宋" w:eastAsia="仿宋" w:cs="仿宋"/>
          <w:highlight w:val="none"/>
        </w:rPr>
        <w:br w:type="page"/>
      </w:r>
      <w:r>
        <w:rPr>
          <w:rFonts w:hint="eastAsia" w:ascii="仿宋" w:hAnsi="仿宋" w:eastAsia="仿宋" w:cs="仿宋"/>
          <w:b/>
          <w:bCs/>
          <w:sz w:val="28"/>
          <w:szCs w:val="28"/>
          <w:highlight w:val="none"/>
        </w:rPr>
        <w:t>1.拟派项目负责人简历表</w:t>
      </w:r>
    </w:p>
    <w:tbl>
      <w:tblPr>
        <w:tblStyle w:val="26"/>
        <w:tblW w:w="923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703"/>
        <w:gridCol w:w="970"/>
        <w:gridCol w:w="1692"/>
        <w:gridCol w:w="464"/>
        <w:gridCol w:w="1293"/>
        <w:gridCol w:w="1370"/>
      </w:tblGrid>
      <w:tr w14:paraId="6F3A32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00933579">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r>
              <w:rPr>
                <w:rFonts w:hint="eastAsia" w:ascii="仿宋" w:hAnsi="仿宋" w:eastAsia="仿宋" w:cs="仿宋"/>
                <w:spacing w:val="-3"/>
                <w:kern w:val="0"/>
                <w:sz w:val="24"/>
                <w:szCs w:val="24"/>
                <w:highlight w:val="none"/>
              </w:rPr>
              <w:t>姓  名</w:t>
            </w:r>
          </w:p>
        </w:tc>
        <w:tc>
          <w:tcPr>
            <w:tcW w:w="1703" w:type="dxa"/>
            <w:vAlign w:val="center"/>
          </w:tcPr>
          <w:p w14:paraId="6892960F">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c>
          <w:tcPr>
            <w:tcW w:w="970" w:type="dxa"/>
            <w:vAlign w:val="center"/>
          </w:tcPr>
          <w:p w14:paraId="63187DAB">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r>
              <w:rPr>
                <w:rFonts w:hint="eastAsia" w:ascii="仿宋" w:hAnsi="仿宋" w:eastAsia="仿宋" w:cs="仿宋"/>
                <w:spacing w:val="-3"/>
                <w:kern w:val="0"/>
                <w:sz w:val="24"/>
                <w:szCs w:val="24"/>
                <w:highlight w:val="none"/>
              </w:rPr>
              <w:t>性别</w:t>
            </w:r>
          </w:p>
        </w:tc>
        <w:tc>
          <w:tcPr>
            <w:tcW w:w="2156" w:type="dxa"/>
            <w:gridSpan w:val="2"/>
            <w:tcBorders>
              <w:bottom w:val="single" w:color="auto" w:sz="4" w:space="0"/>
            </w:tcBorders>
            <w:vAlign w:val="center"/>
          </w:tcPr>
          <w:p w14:paraId="324DBC2C">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c>
          <w:tcPr>
            <w:tcW w:w="1293" w:type="dxa"/>
            <w:tcBorders>
              <w:bottom w:val="single" w:color="auto" w:sz="4" w:space="0"/>
            </w:tcBorders>
            <w:vAlign w:val="center"/>
          </w:tcPr>
          <w:p w14:paraId="40B86B0B">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r>
              <w:rPr>
                <w:rFonts w:hint="eastAsia" w:ascii="仿宋" w:hAnsi="仿宋" w:eastAsia="仿宋" w:cs="仿宋"/>
                <w:spacing w:val="-3"/>
                <w:kern w:val="0"/>
                <w:sz w:val="24"/>
                <w:szCs w:val="24"/>
                <w:highlight w:val="none"/>
              </w:rPr>
              <w:t>年龄</w:t>
            </w:r>
          </w:p>
        </w:tc>
        <w:tc>
          <w:tcPr>
            <w:tcW w:w="1370" w:type="dxa"/>
            <w:tcBorders>
              <w:bottom w:val="single" w:color="auto" w:sz="4" w:space="0"/>
            </w:tcBorders>
            <w:vAlign w:val="center"/>
          </w:tcPr>
          <w:p w14:paraId="76F729CC">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r>
      <w:tr w14:paraId="7C81C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715361C0">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r>
              <w:rPr>
                <w:rFonts w:hint="eastAsia" w:ascii="仿宋" w:hAnsi="仿宋" w:eastAsia="仿宋" w:cs="仿宋"/>
                <w:spacing w:val="-3"/>
                <w:kern w:val="0"/>
                <w:sz w:val="24"/>
                <w:szCs w:val="24"/>
                <w:highlight w:val="none"/>
              </w:rPr>
              <w:t>职 称</w:t>
            </w:r>
          </w:p>
        </w:tc>
        <w:tc>
          <w:tcPr>
            <w:tcW w:w="1703" w:type="dxa"/>
            <w:vAlign w:val="center"/>
          </w:tcPr>
          <w:p w14:paraId="58EAE432">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c>
          <w:tcPr>
            <w:tcW w:w="970" w:type="dxa"/>
            <w:vAlign w:val="center"/>
          </w:tcPr>
          <w:p w14:paraId="13F0B1CF">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r>
              <w:rPr>
                <w:rFonts w:hint="eastAsia" w:ascii="仿宋" w:hAnsi="仿宋" w:eastAsia="仿宋" w:cs="仿宋"/>
                <w:spacing w:val="-3"/>
                <w:kern w:val="0"/>
                <w:sz w:val="24"/>
                <w:szCs w:val="24"/>
                <w:highlight w:val="none"/>
              </w:rPr>
              <w:t>学历</w:t>
            </w:r>
          </w:p>
        </w:tc>
        <w:tc>
          <w:tcPr>
            <w:tcW w:w="2156" w:type="dxa"/>
            <w:gridSpan w:val="2"/>
            <w:tcBorders>
              <w:bottom w:val="single" w:color="auto" w:sz="4" w:space="0"/>
            </w:tcBorders>
            <w:vAlign w:val="center"/>
          </w:tcPr>
          <w:p w14:paraId="1EA46017">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c>
          <w:tcPr>
            <w:tcW w:w="1293" w:type="dxa"/>
            <w:tcBorders>
              <w:bottom w:val="single" w:color="auto" w:sz="4" w:space="0"/>
            </w:tcBorders>
            <w:vAlign w:val="center"/>
          </w:tcPr>
          <w:p w14:paraId="0E222836">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r>
              <w:rPr>
                <w:rFonts w:hint="eastAsia" w:ascii="仿宋" w:hAnsi="仿宋" w:eastAsia="仿宋" w:cs="仿宋"/>
                <w:spacing w:val="-3"/>
                <w:kern w:val="0"/>
                <w:sz w:val="24"/>
                <w:szCs w:val="24"/>
                <w:highlight w:val="none"/>
              </w:rPr>
              <w:t>毕业时间</w:t>
            </w:r>
          </w:p>
        </w:tc>
        <w:tc>
          <w:tcPr>
            <w:tcW w:w="1370" w:type="dxa"/>
            <w:tcBorders>
              <w:bottom w:val="single" w:color="auto" w:sz="4" w:space="0"/>
            </w:tcBorders>
            <w:vAlign w:val="center"/>
          </w:tcPr>
          <w:p w14:paraId="2389E4BD">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r>
      <w:tr w14:paraId="26C6E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2B37BEEA">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r>
              <w:rPr>
                <w:rFonts w:hint="eastAsia" w:ascii="仿宋" w:hAnsi="仿宋" w:eastAsia="仿宋" w:cs="仿宋"/>
                <w:spacing w:val="-3"/>
                <w:kern w:val="0"/>
                <w:sz w:val="24"/>
                <w:szCs w:val="24"/>
                <w:highlight w:val="none"/>
              </w:rPr>
              <w:t>毕业院校</w:t>
            </w:r>
          </w:p>
        </w:tc>
        <w:tc>
          <w:tcPr>
            <w:tcW w:w="2673" w:type="dxa"/>
            <w:gridSpan w:val="2"/>
            <w:vAlign w:val="center"/>
          </w:tcPr>
          <w:p w14:paraId="53AEA897">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c>
          <w:tcPr>
            <w:tcW w:w="2156" w:type="dxa"/>
            <w:gridSpan w:val="2"/>
            <w:vAlign w:val="center"/>
          </w:tcPr>
          <w:p w14:paraId="5ED0A9CF">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r>
              <w:rPr>
                <w:rFonts w:hint="eastAsia" w:ascii="仿宋" w:hAnsi="仿宋" w:eastAsia="仿宋" w:cs="仿宋"/>
                <w:spacing w:val="-3"/>
                <w:kern w:val="0"/>
                <w:sz w:val="24"/>
                <w:szCs w:val="24"/>
                <w:highlight w:val="none"/>
              </w:rPr>
              <w:t>所学专业</w:t>
            </w:r>
          </w:p>
        </w:tc>
        <w:tc>
          <w:tcPr>
            <w:tcW w:w="2663" w:type="dxa"/>
            <w:gridSpan w:val="2"/>
            <w:vAlign w:val="center"/>
          </w:tcPr>
          <w:p w14:paraId="4CCDAC61">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r>
      <w:tr w14:paraId="11644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1746" w:type="dxa"/>
            <w:vAlign w:val="center"/>
          </w:tcPr>
          <w:p w14:paraId="4038ABCF">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r>
              <w:rPr>
                <w:rFonts w:hint="eastAsia" w:ascii="仿宋" w:hAnsi="仿宋" w:eastAsia="仿宋" w:cs="仿宋"/>
                <w:spacing w:val="-3"/>
                <w:kern w:val="0"/>
                <w:sz w:val="24"/>
                <w:szCs w:val="24"/>
                <w:highlight w:val="none"/>
              </w:rPr>
              <w:t>专业工作年限</w:t>
            </w:r>
          </w:p>
        </w:tc>
        <w:tc>
          <w:tcPr>
            <w:tcW w:w="2673" w:type="dxa"/>
            <w:gridSpan w:val="2"/>
            <w:vAlign w:val="center"/>
          </w:tcPr>
          <w:p w14:paraId="7FFA98E8">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c>
          <w:tcPr>
            <w:tcW w:w="2156" w:type="dxa"/>
            <w:gridSpan w:val="2"/>
            <w:vAlign w:val="center"/>
          </w:tcPr>
          <w:p w14:paraId="5E65864F">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r>
              <w:rPr>
                <w:rFonts w:hint="eastAsia" w:ascii="仿宋" w:hAnsi="仿宋" w:eastAsia="仿宋" w:cs="仿宋"/>
                <w:spacing w:val="-3"/>
                <w:kern w:val="0"/>
                <w:sz w:val="24"/>
                <w:szCs w:val="24"/>
                <w:highlight w:val="none"/>
              </w:rPr>
              <w:t>从事项目经理年限</w:t>
            </w:r>
          </w:p>
        </w:tc>
        <w:tc>
          <w:tcPr>
            <w:tcW w:w="2663" w:type="dxa"/>
            <w:gridSpan w:val="2"/>
            <w:vAlign w:val="center"/>
          </w:tcPr>
          <w:p w14:paraId="02A776BA">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r>
      <w:tr w14:paraId="2F5D6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C60856B">
            <w:pPr>
              <w:autoSpaceDE w:val="0"/>
              <w:autoSpaceDN w:val="0"/>
              <w:adjustRightInd w:val="0"/>
              <w:snapToGrid w:val="0"/>
              <w:spacing w:line="360" w:lineRule="auto"/>
              <w:rPr>
                <w:rFonts w:hint="eastAsia" w:ascii="仿宋" w:hAnsi="仿宋" w:eastAsia="仿宋" w:cs="仿宋"/>
                <w:spacing w:val="-3"/>
                <w:kern w:val="0"/>
                <w:sz w:val="24"/>
                <w:szCs w:val="24"/>
                <w:highlight w:val="none"/>
              </w:rPr>
            </w:pPr>
            <w:r>
              <w:rPr>
                <w:rFonts w:hint="eastAsia" w:ascii="仿宋" w:hAnsi="仿宋" w:eastAsia="仿宋" w:cs="仿宋"/>
                <w:sz w:val="24"/>
                <w:szCs w:val="24"/>
                <w:highlight w:val="none"/>
              </w:rPr>
              <w:t>注册执业资格</w:t>
            </w:r>
          </w:p>
        </w:tc>
        <w:tc>
          <w:tcPr>
            <w:tcW w:w="4819" w:type="dxa"/>
            <w:gridSpan w:val="4"/>
            <w:vAlign w:val="center"/>
          </w:tcPr>
          <w:p w14:paraId="566AB5D3">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r>
      <w:tr w14:paraId="748B3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F133D56">
            <w:pPr>
              <w:autoSpaceDE w:val="0"/>
              <w:autoSpaceDN w:val="0"/>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担任的职务及责任</w:t>
            </w:r>
          </w:p>
        </w:tc>
        <w:tc>
          <w:tcPr>
            <w:tcW w:w="4819" w:type="dxa"/>
            <w:gridSpan w:val="4"/>
            <w:vAlign w:val="center"/>
          </w:tcPr>
          <w:p w14:paraId="67686EF8">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r>
      <w:tr w14:paraId="7EE50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9238" w:type="dxa"/>
            <w:gridSpan w:val="7"/>
            <w:vAlign w:val="center"/>
          </w:tcPr>
          <w:p w14:paraId="1040B9AD">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r>
              <w:rPr>
                <w:rFonts w:hint="eastAsia" w:ascii="仿宋" w:hAnsi="仿宋" w:eastAsia="仿宋" w:cs="仿宋"/>
                <w:spacing w:val="-3"/>
                <w:kern w:val="0"/>
                <w:sz w:val="24"/>
                <w:szCs w:val="24"/>
                <w:highlight w:val="none"/>
              </w:rPr>
              <w:t>主要工作经历及业绩：</w:t>
            </w:r>
          </w:p>
        </w:tc>
      </w:tr>
      <w:tr w14:paraId="59BC94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52E39155">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r>
              <w:rPr>
                <w:rFonts w:hint="eastAsia" w:ascii="仿宋" w:hAnsi="仿宋" w:eastAsia="仿宋" w:cs="仿宋"/>
                <w:spacing w:val="-3"/>
                <w:kern w:val="0"/>
                <w:sz w:val="24"/>
                <w:szCs w:val="24"/>
                <w:highlight w:val="none"/>
              </w:rPr>
              <w:t>参加过的类似项目名称</w:t>
            </w:r>
          </w:p>
        </w:tc>
        <w:tc>
          <w:tcPr>
            <w:tcW w:w="1692" w:type="dxa"/>
            <w:vAlign w:val="center"/>
          </w:tcPr>
          <w:p w14:paraId="6B71CD9A">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r>
              <w:rPr>
                <w:rFonts w:hint="eastAsia" w:ascii="仿宋" w:hAnsi="仿宋" w:eastAsia="仿宋" w:cs="仿宋"/>
                <w:spacing w:val="-3"/>
                <w:kern w:val="0"/>
                <w:sz w:val="24"/>
                <w:szCs w:val="24"/>
                <w:highlight w:val="none"/>
              </w:rPr>
              <w:t>担任职务</w:t>
            </w:r>
          </w:p>
        </w:tc>
        <w:tc>
          <w:tcPr>
            <w:tcW w:w="3127" w:type="dxa"/>
            <w:gridSpan w:val="3"/>
            <w:vAlign w:val="center"/>
          </w:tcPr>
          <w:p w14:paraId="3C392EB2">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r>
              <w:rPr>
                <w:rFonts w:hint="eastAsia" w:ascii="仿宋" w:hAnsi="仿宋" w:eastAsia="仿宋" w:cs="仿宋"/>
                <w:spacing w:val="-3"/>
                <w:kern w:val="0"/>
                <w:sz w:val="24"/>
                <w:szCs w:val="24"/>
                <w:highlight w:val="none"/>
              </w:rPr>
              <w:t>联系电话</w:t>
            </w:r>
          </w:p>
        </w:tc>
      </w:tr>
      <w:tr w14:paraId="01481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7F9A80C">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c>
          <w:tcPr>
            <w:tcW w:w="1692" w:type="dxa"/>
            <w:vAlign w:val="center"/>
          </w:tcPr>
          <w:p w14:paraId="24C53617">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c>
          <w:tcPr>
            <w:tcW w:w="3127" w:type="dxa"/>
            <w:gridSpan w:val="3"/>
            <w:vAlign w:val="center"/>
          </w:tcPr>
          <w:p w14:paraId="206F3267">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r>
      <w:tr w14:paraId="7FC9CB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67128C21">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c>
          <w:tcPr>
            <w:tcW w:w="1692" w:type="dxa"/>
            <w:vAlign w:val="center"/>
          </w:tcPr>
          <w:p w14:paraId="727DD027">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c>
          <w:tcPr>
            <w:tcW w:w="3127" w:type="dxa"/>
            <w:gridSpan w:val="3"/>
            <w:vAlign w:val="center"/>
          </w:tcPr>
          <w:p w14:paraId="0EF36114">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r>
      <w:tr w14:paraId="78348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1536E596">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c>
          <w:tcPr>
            <w:tcW w:w="1692" w:type="dxa"/>
            <w:vAlign w:val="center"/>
          </w:tcPr>
          <w:p w14:paraId="5536684A">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c>
          <w:tcPr>
            <w:tcW w:w="3127" w:type="dxa"/>
            <w:gridSpan w:val="3"/>
            <w:vAlign w:val="center"/>
          </w:tcPr>
          <w:p w14:paraId="1E144987">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r>
      <w:tr w14:paraId="2183B9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34E62361">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c>
          <w:tcPr>
            <w:tcW w:w="1692" w:type="dxa"/>
            <w:vAlign w:val="center"/>
          </w:tcPr>
          <w:p w14:paraId="15CB043C">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c>
          <w:tcPr>
            <w:tcW w:w="3127" w:type="dxa"/>
            <w:gridSpan w:val="3"/>
            <w:vAlign w:val="center"/>
          </w:tcPr>
          <w:p w14:paraId="5BB9BB4D">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r>
      <w:tr w14:paraId="4DD66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EC013E3">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c>
          <w:tcPr>
            <w:tcW w:w="1692" w:type="dxa"/>
            <w:vAlign w:val="center"/>
          </w:tcPr>
          <w:p w14:paraId="1A0FB5FD">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c>
          <w:tcPr>
            <w:tcW w:w="3127" w:type="dxa"/>
            <w:gridSpan w:val="3"/>
            <w:vAlign w:val="center"/>
          </w:tcPr>
          <w:p w14:paraId="34A256DA">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r>
      <w:tr w14:paraId="27E40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59144670">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c>
          <w:tcPr>
            <w:tcW w:w="1692" w:type="dxa"/>
            <w:vAlign w:val="center"/>
          </w:tcPr>
          <w:p w14:paraId="49E1F2C8">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c>
          <w:tcPr>
            <w:tcW w:w="3127" w:type="dxa"/>
            <w:gridSpan w:val="3"/>
            <w:vAlign w:val="center"/>
          </w:tcPr>
          <w:p w14:paraId="726DE7FF">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r>
      <w:tr w14:paraId="30329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0" w:hRule="exact"/>
        </w:trPr>
        <w:tc>
          <w:tcPr>
            <w:tcW w:w="4419" w:type="dxa"/>
            <w:gridSpan w:val="3"/>
            <w:vAlign w:val="center"/>
          </w:tcPr>
          <w:p w14:paraId="550FC861">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c>
          <w:tcPr>
            <w:tcW w:w="1692" w:type="dxa"/>
            <w:vAlign w:val="center"/>
          </w:tcPr>
          <w:p w14:paraId="3C0A9342">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c>
          <w:tcPr>
            <w:tcW w:w="3127" w:type="dxa"/>
            <w:gridSpan w:val="3"/>
            <w:vAlign w:val="center"/>
          </w:tcPr>
          <w:p w14:paraId="29960565">
            <w:pPr>
              <w:autoSpaceDE w:val="0"/>
              <w:autoSpaceDN w:val="0"/>
              <w:adjustRightInd w:val="0"/>
              <w:snapToGrid w:val="0"/>
              <w:spacing w:line="360" w:lineRule="auto"/>
              <w:jc w:val="center"/>
              <w:rPr>
                <w:rFonts w:hint="eastAsia" w:ascii="仿宋" w:hAnsi="仿宋" w:eastAsia="仿宋" w:cs="仿宋"/>
                <w:spacing w:val="-3"/>
                <w:kern w:val="0"/>
                <w:sz w:val="24"/>
                <w:szCs w:val="24"/>
                <w:highlight w:val="none"/>
              </w:rPr>
            </w:pPr>
          </w:p>
        </w:tc>
      </w:tr>
    </w:tbl>
    <w:p w14:paraId="1C9ECEA5">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注：本表后附</w:t>
      </w:r>
      <w:r>
        <w:rPr>
          <w:rFonts w:hint="eastAsia" w:ascii="仿宋" w:hAnsi="仿宋" w:eastAsia="仿宋" w:cs="仿宋"/>
          <w:b/>
          <w:bCs/>
          <w:sz w:val="24"/>
          <w:szCs w:val="24"/>
          <w:highlight w:val="none"/>
          <w:lang w:val="en-US" w:eastAsia="zh-CN"/>
        </w:rPr>
        <w:t>相关证明材料</w:t>
      </w:r>
      <w:r>
        <w:rPr>
          <w:rFonts w:hint="eastAsia" w:ascii="仿宋" w:hAnsi="仿宋" w:eastAsia="仿宋" w:cs="仿宋"/>
          <w:b/>
          <w:bCs/>
          <w:sz w:val="24"/>
          <w:szCs w:val="24"/>
          <w:highlight w:val="none"/>
        </w:rPr>
        <w:t>。</w:t>
      </w:r>
    </w:p>
    <w:p w14:paraId="4A176EBD">
      <w:pPr>
        <w:spacing w:line="480" w:lineRule="auto"/>
        <w:ind w:firstLine="3360" w:firstLineChars="1400"/>
        <w:rPr>
          <w:rFonts w:ascii="仿宋" w:hAnsi="仿宋" w:eastAsia="仿宋" w:cs="仿宋"/>
          <w:sz w:val="24"/>
          <w:highlight w:val="none"/>
        </w:rPr>
      </w:pPr>
    </w:p>
    <w:p w14:paraId="5A69D542">
      <w:pPr>
        <w:spacing w:line="360" w:lineRule="auto"/>
        <w:jc w:val="center"/>
        <w:rPr>
          <w:rFonts w:hint="eastAsia" w:ascii="仿宋" w:hAnsi="仿宋" w:eastAsia="仿宋" w:cs="仿宋"/>
          <w:color w:val="auto"/>
          <w:sz w:val="24"/>
          <w:highlight w:val="none"/>
        </w:rPr>
      </w:pPr>
    </w:p>
    <w:p w14:paraId="7C71E1C8">
      <w:pPr>
        <w:spacing w:line="360" w:lineRule="auto"/>
        <w:ind w:firstLine="3828" w:firstLineChars="159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2B7D3957">
      <w:pPr>
        <w:spacing w:line="360" w:lineRule="auto"/>
        <w:ind w:firstLine="3828" w:firstLineChars="1595"/>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法定代表人</w:t>
      </w:r>
    </w:p>
    <w:p w14:paraId="5C51C513">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none"/>
        </w:rPr>
        <w:t>或被授权人：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21BFDBFB">
      <w:pPr>
        <w:overflowPunct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      期：  年  月   日</w:t>
      </w:r>
    </w:p>
    <w:p w14:paraId="52C039EF">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4044503E">
      <w:pPr>
        <w:spacing w:line="360" w:lineRule="auto"/>
        <w:jc w:val="center"/>
        <w:rPr>
          <w:rFonts w:ascii="仿宋" w:hAnsi="仿宋" w:eastAsia="仿宋" w:cs="仿宋"/>
          <w:sz w:val="28"/>
          <w:szCs w:val="28"/>
          <w:highlight w:val="none"/>
        </w:rPr>
      </w:pPr>
      <w:r>
        <w:rPr>
          <w:rFonts w:hint="eastAsia" w:ascii="仿宋" w:hAnsi="仿宋" w:eastAsia="仿宋" w:cs="仿宋"/>
          <w:b/>
          <w:bCs/>
          <w:sz w:val="28"/>
          <w:szCs w:val="28"/>
          <w:highlight w:val="none"/>
        </w:rPr>
        <w:t>2.拟派项目</w:t>
      </w:r>
      <w:r>
        <w:rPr>
          <w:rFonts w:hint="eastAsia" w:ascii="仿宋" w:hAnsi="仿宋" w:eastAsia="仿宋" w:cs="仿宋"/>
          <w:b/>
          <w:bCs/>
          <w:sz w:val="28"/>
          <w:szCs w:val="28"/>
          <w:highlight w:val="none"/>
          <w:lang w:val="en-US" w:eastAsia="zh-CN"/>
        </w:rPr>
        <w:t>团队人员清单</w:t>
      </w:r>
    </w:p>
    <w:tbl>
      <w:tblPr>
        <w:tblStyle w:val="26"/>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75"/>
        <w:gridCol w:w="945"/>
        <w:gridCol w:w="1198"/>
        <w:gridCol w:w="797"/>
        <w:gridCol w:w="1575"/>
        <w:gridCol w:w="2193"/>
      </w:tblGrid>
      <w:tr w14:paraId="5D59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894" w:type="dxa"/>
            <w:vAlign w:val="center"/>
          </w:tcPr>
          <w:p w14:paraId="7C13BC82">
            <w:pPr>
              <w:tabs>
                <w:tab w:val="left" w:pos="0"/>
              </w:tabs>
              <w:jc w:val="center"/>
              <w:rPr>
                <w:rFonts w:ascii="仿宋" w:hAnsi="仿宋" w:eastAsia="仿宋" w:cs="仿宋"/>
                <w:sz w:val="24"/>
                <w:highlight w:val="none"/>
              </w:rPr>
            </w:pPr>
            <w:r>
              <w:rPr>
                <w:rFonts w:hint="eastAsia" w:ascii="仿宋" w:hAnsi="仿宋" w:eastAsia="仿宋" w:cs="仿宋"/>
                <w:sz w:val="24"/>
                <w:highlight w:val="none"/>
              </w:rPr>
              <w:t>序号</w:t>
            </w:r>
          </w:p>
        </w:tc>
        <w:tc>
          <w:tcPr>
            <w:tcW w:w="1575" w:type="dxa"/>
            <w:vAlign w:val="center"/>
          </w:tcPr>
          <w:p w14:paraId="33F5D478">
            <w:pPr>
              <w:tabs>
                <w:tab w:val="left" w:pos="0"/>
              </w:tabs>
              <w:jc w:val="center"/>
              <w:rPr>
                <w:rFonts w:ascii="仿宋" w:hAnsi="仿宋" w:eastAsia="仿宋" w:cs="仿宋"/>
                <w:sz w:val="24"/>
                <w:highlight w:val="none"/>
              </w:rPr>
            </w:pPr>
            <w:r>
              <w:rPr>
                <w:rFonts w:hint="eastAsia" w:ascii="仿宋" w:hAnsi="仿宋" w:eastAsia="仿宋" w:cs="仿宋"/>
                <w:sz w:val="24"/>
                <w:highlight w:val="none"/>
              </w:rPr>
              <w:t>姓名</w:t>
            </w:r>
          </w:p>
        </w:tc>
        <w:tc>
          <w:tcPr>
            <w:tcW w:w="945" w:type="dxa"/>
            <w:vAlign w:val="center"/>
          </w:tcPr>
          <w:p w14:paraId="4EA5FBDE">
            <w:pPr>
              <w:tabs>
                <w:tab w:val="left" w:pos="0"/>
              </w:tabs>
              <w:jc w:val="center"/>
              <w:rPr>
                <w:rFonts w:ascii="仿宋" w:hAnsi="仿宋" w:eastAsia="仿宋" w:cs="仿宋"/>
                <w:sz w:val="24"/>
                <w:highlight w:val="none"/>
              </w:rPr>
            </w:pPr>
            <w:r>
              <w:rPr>
                <w:rFonts w:hint="eastAsia" w:ascii="仿宋" w:hAnsi="仿宋" w:eastAsia="仿宋" w:cs="仿宋"/>
                <w:sz w:val="24"/>
                <w:highlight w:val="none"/>
              </w:rPr>
              <w:t>性别</w:t>
            </w:r>
          </w:p>
        </w:tc>
        <w:tc>
          <w:tcPr>
            <w:tcW w:w="1198" w:type="dxa"/>
            <w:vAlign w:val="center"/>
          </w:tcPr>
          <w:p w14:paraId="5C04FD77">
            <w:pPr>
              <w:tabs>
                <w:tab w:val="left" w:pos="0"/>
              </w:tabs>
              <w:jc w:val="center"/>
              <w:rPr>
                <w:rFonts w:ascii="仿宋" w:hAnsi="仿宋" w:eastAsia="仿宋" w:cs="仿宋"/>
                <w:sz w:val="24"/>
                <w:highlight w:val="none"/>
              </w:rPr>
            </w:pPr>
            <w:r>
              <w:rPr>
                <w:rFonts w:hint="eastAsia" w:ascii="仿宋" w:hAnsi="仿宋" w:eastAsia="仿宋" w:cs="仿宋"/>
                <w:sz w:val="24"/>
                <w:highlight w:val="none"/>
              </w:rPr>
              <w:t>工作年限</w:t>
            </w:r>
          </w:p>
        </w:tc>
        <w:tc>
          <w:tcPr>
            <w:tcW w:w="797" w:type="dxa"/>
            <w:vAlign w:val="center"/>
          </w:tcPr>
          <w:p w14:paraId="111702D8">
            <w:pPr>
              <w:tabs>
                <w:tab w:val="left" w:pos="0"/>
              </w:tabs>
              <w:jc w:val="center"/>
              <w:rPr>
                <w:rFonts w:ascii="仿宋" w:hAnsi="仿宋" w:eastAsia="仿宋" w:cs="仿宋"/>
                <w:sz w:val="24"/>
                <w:highlight w:val="none"/>
              </w:rPr>
            </w:pPr>
            <w:r>
              <w:rPr>
                <w:rFonts w:hint="eastAsia" w:ascii="仿宋" w:hAnsi="仿宋" w:eastAsia="仿宋" w:cs="仿宋"/>
                <w:sz w:val="24"/>
                <w:highlight w:val="none"/>
              </w:rPr>
              <w:t>专业</w:t>
            </w:r>
          </w:p>
        </w:tc>
        <w:tc>
          <w:tcPr>
            <w:tcW w:w="1575" w:type="dxa"/>
            <w:vAlign w:val="center"/>
          </w:tcPr>
          <w:p w14:paraId="1847A886">
            <w:pPr>
              <w:tabs>
                <w:tab w:val="left" w:pos="0"/>
              </w:tabs>
              <w:jc w:val="center"/>
              <w:rPr>
                <w:rFonts w:ascii="仿宋" w:hAnsi="仿宋" w:eastAsia="仿宋" w:cs="仿宋"/>
                <w:sz w:val="24"/>
                <w:highlight w:val="none"/>
              </w:rPr>
            </w:pPr>
            <w:r>
              <w:rPr>
                <w:rFonts w:hint="eastAsia" w:ascii="仿宋" w:hAnsi="仿宋" w:eastAsia="仿宋" w:cs="仿宋"/>
                <w:sz w:val="24"/>
                <w:highlight w:val="none"/>
              </w:rPr>
              <w:t>职称或资格证书</w:t>
            </w:r>
          </w:p>
        </w:tc>
        <w:tc>
          <w:tcPr>
            <w:tcW w:w="2193" w:type="dxa"/>
            <w:vAlign w:val="center"/>
          </w:tcPr>
          <w:p w14:paraId="299E1C4E">
            <w:pPr>
              <w:tabs>
                <w:tab w:val="left" w:pos="0"/>
              </w:tabs>
              <w:jc w:val="center"/>
              <w:rPr>
                <w:rFonts w:ascii="仿宋" w:hAnsi="仿宋" w:eastAsia="仿宋" w:cs="仿宋"/>
                <w:sz w:val="24"/>
                <w:highlight w:val="none"/>
              </w:rPr>
            </w:pPr>
            <w:r>
              <w:rPr>
                <w:rFonts w:hint="eastAsia" w:ascii="仿宋" w:hAnsi="仿宋" w:eastAsia="仿宋" w:cs="仿宋"/>
                <w:sz w:val="24"/>
                <w:highlight w:val="none"/>
              </w:rPr>
              <w:t>拟在本项目中担任的工作</w:t>
            </w:r>
          </w:p>
        </w:tc>
      </w:tr>
      <w:tr w14:paraId="0CC1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67E6887B">
            <w:pPr>
              <w:tabs>
                <w:tab w:val="left" w:pos="0"/>
              </w:tabs>
              <w:spacing w:line="360" w:lineRule="auto"/>
              <w:rPr>
                <w:rFonts w:ascii="仿宋" w:hAnsi="仿宋" w:eastAsia="仿宋" w:cs="仿宋"/>
                <w:sz w:val="24"/>
                <w:highlight w:val="none"/>
              </w:rPr>
            </w:pPr>
          </w:p>
        </w:tc>
        <w:tc>
          <w:tcPr>
            <w:tcW w:w="1575" w:type="dxa"/>
          </w:tcPr>
          <w:p w14:paraId="2B17FB7D">
            <w:pPr>
              <w:tabs>
                <w:tab w:val="left" w:pos="0"/>
              </w:tabs>
              <w:spacing w:line="360" w:lineRule="auto"/>
              <w:rPr>
                <w:rFonts w:ascii="仿宋" w:hAnsi="仿宋" w:eastAsia="仿宋" w:cs="仿宋"/>
                <w:sz w:val="24"/>
                <w:highlight w:val="none"/>
              </w:rPr>
            </w:pPr>
          </w:p>
        </w:tc>
        <w:tc>
          <w:tcPr>
            <w:tcW w:w="945" w:type="dxa"/>
          </w:tcPr>
          <w:p w14:paraId="40D6581E">
            <w:pPr>
              <w:tabs>
                <w:tab w:val="left" w:pos="0"/>
              </w:tabs>
              <w:spacing w:line="360" w:lineRule="auto"/>
              <w:rPr>
                <w:rFonts w:ascii="仿宋" w:hAnsi="仿宋" w:eastAsia="仿宋" w:cs="仿宋"/>
                <w:sz w:val="24"/>
                <w:highlight w:val="none"/>
              </w:rPr>
            </w:pPr>
          </w:p>
        </w:tc>
        <w:tc>
          <w:tcPr>
            <w:tcW w:w="1198" w:type="dxa"/>
          </w:tcPr>
          <w:p w14:paraId="3B50167D">
            <w:pPr>
              <w:tabs>
                <w:tab w:val="left" w:pos="0"/>
              </w:tabs>
              <w:spacing w:line="360" w:lineRule="auto"/>
              <w:rPr>
                <w:rFonts w:ascii="仿宋" w:hAnsi="仿宋" w:eastAsia="仿宋" w:cs="仿宋"/>
                <w:sz w:val="24"/>
                <w:highlight w:val="none"/>
              </w:rPr>
            </w:pPr>
          </w:p>
        </w:tc>
        <w:tc>
          <w:tcPr>
            <w:tcW w:w="797" w:type="dxa"/>
          </w:tcPr>
          <w:p w14:paraId="6E43760E">
            <w:pPr>
              <w:tabs>
                <w:tab w:val="left" w:pos="0"/>
              </w:tabs>
              <w:spacing w:line="360" w:lineRule="auto"/>
              <w:rPr>
                <w:rFonts w:ascii="仿宋" w:hAnsi="仿宋" w:eastAsia="仿宋" w:cs="仿宋"/>
                <w:sz w:val="24"/>
                <w:highlight w:val="none"/>
              </w:rPr>
            </w:pPr>
          </w:p>
        </w:tc>
        <w:tc>
          <w:tcPr>
            <w:tcW w:w="1575" w:type="dxa"/>
          </w:tcPr>
          <w:p w14:paraId="4B191FB9">
            <w:pPr>
              <w:tabs>
                <w:tab w:val="left" w:pos="0"/>
              </w:tabs>
              <w:spacing w:line="360" w:lineRule="auto"/>
              <w:rPr>
                <w:rFonts w:ascii="仿宋" w:hAnsi="仿宋" w:eastAsia="仿宋" w:cs="仿宋"/>
                <w:sz w:val="24"/>
                <w:highlight w:val="none"/>
              </w:rPr>
            </w:pPr>
          </w:p>
        </w:tc>
        <w:tc>
          <w:tcPr>
            <w:tcW w:w="2193" w:type="dxa"/>
          </w:tcPr>
          <w:p w14:paraId="1BB7313C">
            <w:pPr>
              <w:tabs>
                <w:tab w:val="left" w:pos="0"/>
              </w:tabs>
              <w:spacing w:line="360" w:lineRule="auto"/>
              <w:rPr>
                <w:rFonts w:ascii="仿宋" w:hAnsi="仿宋" w:eastAsia="仿宋" w:cs="仿宋"/>
                <w:sz w:val="24"/>
                <w:highlight w:val="none"/>
              </w:rPr>
            </w:pPr>
          </w:p>
        </w:tc>
      </w:tr>
      <w:tr w14:paraId="2387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3F73B1B4">
            <w:pPr>
              <w:tabs>
                <w:tab w:val="left" w:pos="0"/>
              </w:tabs>
              <w:spacing w:line="360" w:lineRule="auto"/>
              <w:rPr>
                <w:rFonts w:ascii="仿宋" w:hAnsi="仿宋" w:eastAsia="仿宋" w:cs="仿宋"/>
                <w:sz w:val="24"/>
                <w:highlight w:val="none"/>
              </w:rPr>
            </w:pPr>
          </w:p>
        </w:tc>
        <w:tc>
          <w:tcPr>
            <w:tcW w:w="1575" w:type="dxa"/>
          </w:tcPr>
          <w:p w14:paraId="6D920D5A">
            <w:pPr>
              <w:tabs>
                <w:tab w:val="left" w:pos="0"/>
              </w:tabs>
              <w:spacing w:line="360" w:lineRule="auto"/>
              <w:rPr>
                <w:rFonts w:ascii="仿宋" w:hAnsi="仿宋" w:eastAsia="仿宋" w:cs="仿宋"/>
                <w:sz w:val="24"/>
                <w:highlight w:val="none"/>
              </w:rPr>
            </w:pPr>
          </w:p>
        </w:tc>
        <w:tc>
          <w:tcPr>
            <w:tcW w:w="945" w:type="dxa"/>
          </w:tcPr>
          <w:p w14:paraId="3F09E684">
            <w:pPr>
              <w:tabs>
                <w:tab w:val="left" w:pos="0"/>
              </w:tabs>
              <w:spacing w:line="360" w:lineRule="auto"/>
              <w:rPr>
                <w:rFonts w:ascii="仿宋" w:hAnsi="仿宋" w:eastAsia="仿宋" w:cs="仿宋"/>
                <w:sz w:val="24"/>
                <w:highlight w:val="none"/>
              </w:rPr>
            </w:pPr>
          </w:p>
        </w:tc>
        <w:tc>
          <w:tcPr>
            <w:tcW w:w="1198" w:type="dxa"/>
          </w:tcPr>
          <w:p w14:paraId="3A247080">
            <w:pPr>
              <w:tabs>
                <w:tab w:val="left" w:pos="0"/>
              </w:tabs>
              <w:spacing w:line="360" w:lineRule="auto"/>
              <w:rPr>
                <w:rFonts w:ascii="仿宋" w:hAnsi="仿宋" w:eastAsia="仿宋" w:cs="仿宋"/>
                <w:sz w:val="24"/>
                <w:highlight w:val="none"/>
              </w:rPr>
            </w:pPr>
          </w:p>
        </w:tc>
        <w:tc>
          <w:tcPr>
            <w:tcW w:w="797" w:type="dxa"/>
          </w:tcPr>
          <w:p w14:paraId="6A534E89">
            <w:pPr>
              <w:tabs>
                <w:tab w:val="left" w:pos="0"/>
              </w:tabs>
              <w:spacing w:line="360" w:lineRule="auto"/>
              <w:rPr>
                <w:rFonts w:ascii="仿宋" w:hAnsi="仿宋" w:eastAsia="仿宋" w:cs="仿宋"/>
                <w:sz w:val="24"/>
                <w:highlight w:val="none"/>
              </w:rPr>
            </w:pPr>
          </w:p>
        </w:tc>
        <w:tc>
          <w:tcPr>
            <w:tcW w:w="1575" w:type="dxa"/>
          </w:tcPr>
          <w:p w14:paraId="6553DF74">
            <w:pPr>
              <w:tabs>
                <w:tab w:val="left" w:pos="0"/>
              </w:tabs>
              <w:spacing w:line="360" w:lineRule="auto"/>
              <w:rPr>
                <w:rFonts w:ascii="仿宋" w:hAnsi="仿宋" w:eastAsia="仿宋" w:cs="仿宋"/>
                <w:sz w:val="24"/>
                <w:highlight w:val="none"/>
              </w:rPr>
            </w:pPr>
          </w:p>
        </w:tc>
        <w:tc>
          <w:tcPr>
            <w:tcW w:w="2193" w:type="dxa"/>
          </w:tcPr>
          <w:p w14:paraId="472506D7">
            <w:pPr>
              <w:tabs>
                <w:tab w:val="left" w:pos="0"/>
              </w:tabs>
              <w:spacing w:line="360" w:lineRule="auto"/>
              <w:rPr>
                <w:rFonts w:ascii="仿宋" w:hAnsi="仿宋" w:eastAsia="仿宋" w:cs="仿宋"/>
                <w:sz w:val="24"/>
                <w:highlight w:val="none"/>
              </w:rPr>
            </w:pPr>
          </w:p>
        </w:tc>
      </w:tr>
      <w:tr w14:paraId="2A9A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2B3A7891">
            <w:pPr>
              <w:tabs>
                <w:tab w:val="left" w:pos="0"/>
              </w:tabs>
              <w:spacing w:line="360" w:lineRule="auto"/>
              <w:rPr>
                <w:rFonts w:ascii="仿宋" w:hAnsi="仿宋" w:eastAsia="仿宋" w:cs="仿宋"/>
                <w:sz w:val="24"/>
                <w:highlight w:val="none"/>
              </w:rPr>
            </w:pPr>
          </w:p>
        </w:tc>
        <w:tc>
          <w:tcPr>
            <w:tcW w:w="1575" w:type="dxa"/>
          </w:tcPr>
          <w:p w14:paraId="497EDA1A">
            <w:pPr>
              <w:tabs>
                <w:tab w:val="left" w:pos="0"/>
              </w:tabs>
              <w:spacing w:line="360" w:lineRule="auto"/>
              <w:rPr>
                <w:rFonts w:ascii="仿宋" w:hAnsi="仿宋" w:eastAsia="仿宋" w:cs="仿宋"/>
                <w:sz w:val="24"/>
                <w:highlight w:val="none"/>
              </w:rPr>
            </w:pPr>
          </w:p>
        </w:tc>
        <w:tc>
          <w:tcPr>
            <w:tcW w:w="945" w:type="dxa"/>
          </w:tcPr>
          <w:p w14:paraId="2C7EEAC9">
            <w:pPr>
              <w:tabs>
                <w:tab w:val="left" w:pos="0"/>
              </w:tabs>
              <w:spacing w:line="360" w:lineRule="auto"/>
              <w:rPr>
                <w:rFonts w:ascii="仿宋" w:hAnsi="仿宋" w:eastAsia="仿宋" w:cs="仿宋"/>
                <w:sz w:val="24"/>
                <w:highlight w:val="none"/>
              </w:rPr>
            </w:pPr>
          </w:p>
        </w:tc>
        <w:tc>
          <w:tcPr>
            <w:tcW w:w="1198" w:type="dxa"/>
          </w:tcPr>
          <w:p w14:paraId="1ACCA670">
            <w:pPr>
              <w:tabs>
                <w:tab w:val="left" w:pos="0"/>
              </w:tabs>
              <w:spacing w:line="360" w:lineRule="auto"/>
              <w:rPr>
                <w:rFonts w:ascii="仿宋" w:hAnsi="仿宋" w:eastAsia="仿宋" w:cs="仿宋"/>
                <w:sz w:val="24"/>
                <w:highlight w:val="none"/>
              </w:rPr>
            </w:pPr>
          </w:p>
        </w:tc>
        <w:tc>
          <w:tcPr>
            <w:tcW w:w="797" w:type="dxa"/>
          </w:tcPr>
          <w:p w14:paraId="212DEC23">
            <w:pPr>
              <w:tabs>
                <w:tab w:val="left" w:pos="0"/>
              </w:tabs>
              <w:spacing w:line="360" w:lineRule="auto"/>
              <w:rPr>
                <w:rFonts w:ascii="仿宋" w:hAnsi="仿宋" w:eastAsia="仿宋" w:cs="仿宋"/>
                <w:sz w:val="24"/>
                <w:highlight w:val="none"/>
              </w:rPr>
            </w:pPr>
          </w:p>
        </w:tc>
        <w:tc>
          <w:tcPr>
            <w:tcW w:w="1575" w:type="dxa"/>
          </w:tcPr>
          <w:p w14:paraId="791AF9A7">
            <w:pPr>
              <w:tabs>
                <w:tab w:val="left" w:pos="0"/>
              </w:tabs>
              <w:spacing w:line="360" w:lineRule="auto"/>
              <w:rPr>
                <w:rFonts w:ascii="仿宋" w:hAnsi="仿宋" w:eastAsia="仿宋" w:cs="仿宋"/>
                <w:sz w:val="24"/>
                <w:highlight w:val="none"/>
              </w:rPr>
            </w:pPr>
          </w:p>
        </w:tc>
        <w:tc>
          <w:tcPr>
            <w:tcW w:w="2193" w:type="dxa"/>
          </w:tcPr>
          <w:p w14:paraId="2AE85370">
            <w:pPr>
              <w:tabs>
                <w:tab w:val="left" w:pos="0"/>
              </w:tabs>
              <w:spacing w:line="360" w:lineRule="auto"/>
              <w:rPr>
                <w:rFonts w:ascii="仿宋" w:hAnsi="仿宋" w:eastAsia="仿宋" w:cs="仿宋"/>
                <w:sz w:val="24"/>
                <w:highlight w:val="none"/>
              </w:rPr>
            </w:pPr>
          </w:p>
        </w:tc>
      </w:tr>
      <w:tr w14:paraId="0399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61887F01">
            <w:pPr>
              <w:tabs>
                <w:tab w:val="left" w:pos="0"/>
              </w:tabs>
              <w:spacing w:line="360" w:lineRule="auto"/>
              <w:rPr>
                <w:rFonts w:ascii="仿宋" w:hAnsi="仿宋" w:eastAsia="仿宋" w:cs="仿宋"/>
                <w:sz w:val="24"/>
                <w:highlight w:val="none"/>
              </w:rPr>
            </w:pPr>
          </w:p>
        </w:tc>
        <w:tc>
          <w:tcPr>
            <w:tcW w:w="1575" w:type="dxa"/>
          </w:tcPr>
          <w:p w14:paraId="3CC4C11F">
            <w:pPr>
              <w:tabs>
                <w:tab w:val="left" w:pos="0"/>
              </w:tabs>
              <w:spacing w:line="360" w:lineRule="auto"/>
              <w:rPr>
                <w:rFonts w:ascii="仿宋" w:hAnsi="仿宋" w:eastAsia="仿宋" w:cs="仿宋"/>
                <w:sz w:val="24"/>
                <w:highlight w:val="none"/>
              </w:rPr>
            </w:pPr>
          </w:p>
        </w:tc>
        <w:tc>
          <w:tcPr>
            <w:tcW w:w="945" w:type="dxa"/>
          </w:tcPr>
          <w:p w14:paraId="30DD15F5">
            <w:pPr>
              <w:tabs>
                <w:tab w:val="left" w:pos="0"/>
              </w:tabs>
              <w:spacing w:line="360" w:lineRule="auto"/>
              <w:rPr>
                <w:rFonts w:ascii="仿宋" w:hAnsi="仿宋" w:eastAsia="仿宋" w:cs="仿宋"/>
                <w:sz w:val="24"/>
                <w:highlight w:val="none"/>
              </w:rPr>
            </w:pPr>
          </w:p>
        </w:tc>
        <w:tc>
          <w:tcPr>
            <w:tcW w:w="1198" w:type="dxa"/>
          </w:tcPr>
          <w:p w14:paraId="7BF6485E">
            <w:pPr>
              <w:tabs>
                <w:tab w:val="left" w:pos="0"/>
              </w:tabs>
              <w:spacing w:line="360" w:lineRule="auto"/>
              <w:rPr>
                <w:rFonts w:ascii="仿宋" w:hAnsi="仿宋" w:eastAsia="仿宋" w:cs="仿宋"/>
                <w:sz w:val="24"/>
                <w:highlight w:val="none"/>
              </w:rPr>
            </w:pPr>
          </w:p>
        </w:tc>
        <w:tc>
          <w:tcPr>
            <w:tcW w:w="797" w:type="dxa"/>
          </w:tcPr>
          <w:p w14:paraId="4C4E3803">
            <w:pPr>
              <w:tabs>
                <w:tab w:val="left" w:pos="0"/>
              </w:tabs>
              <w:spacing w:line="360" w:lineRule="auto"/>
              <w:rPr>
                <w:rFonts w:ascii="仿宋" w:hAnsi="仿宋" w:eastAsia="仿宋" w:cs="仿宋"/>
                <w:sz w:val="24"/>
                <w:highlight w:val="none"/>
              </w:rPr>
            </w:pPr>
          </w:p>
        </w:tc>
        <w:tc>
          <w:tcPr>
            <w:tcW w:w="1575" w:type="dxa"/>
          </w:tcPr>
          <w:p w14:paraId="1D905A9D">
            <w:pPr>
              <w:tabs>
                <w:tab w:val="left" w:pos="0"/>
              </w:tabs>
              <w:spacing w:line="360" w:lineRule="auto"/>
              <w:rPr>
                <w:rFonts w:ascii="仿宋" w:hAnsi="仿宋" w:eastAsia="仿宋" w:cs="仿宋"/>
                <w:sz w:val="24"/>
                <w:highlight w:val="none"/>
              </w:rPr>
            </w:pPr>
          </w:p>
        </w:tc>
        <w:tc>
          <w:tcPr>
            <w:tcW w:w="2193" w:type="dxa"/>
          </w:tcPr>
          <w:p w14:paraId="65EBA300">
            <w:pPr>
              <w:tabs>
                <w:tab w:val="left" w:pos="0"/>
              </w:tabs>
              <w:spacing w:line="360" w:lineRule="auto"/>
              <w:rPr>
                <w:rFonts w:ascii="仿宋" w:hAnsi="仿宋" w:eastAsia="仿宋" w:cs="仿宋"/>
                <w:sz w:val="24"/>
                <w:highlight w:val="none"/>
              </w:rPr>
            </w:pPr>
          </w:p>
        </w:tc>
      </w:tr>
      <w:tr w14:paraId="2CC5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6585829">
            <w:pPr>
              <w:tabs>
                <w:tab w:val="left" w:pos="0"/>
              </w:tabs>
              <w:spacing w:line="360" w:lineRule="auto"/>
              <w:rPr>
                <w:rFonts w:ascii="仿宋" w:hAnsi="仿宋" w:eastAsia="仿宋" w:cs="仿宋"/>
                <w:sz w:val="24"/>
                <w:highlight w:val="none"/>
              </w:rPr>
            </w:pPr>
          </w:p>
        </w:tc>
        <w:tc>
          <w:tcPr>
            <w:tcW w:w="1575" w:type="dxa"/>
          </w:tcPr>
          <w:p w14:paraId="0A7C96F2">
            <w:pPr>
              <w:tabs>
                <w:tab w:val="left" w:pos="0"/>
              </w:tabs>
              <w:spacing w:line="360" w:lineRule="auto"/>
              <w:rPr>
                <w:rFonts w:ascii="仿宋" w:hAnsi="仿宋" w:eastAsia="仿宋" w:cs="仿宋"/>
                <w:sz w:val="24"/>
                <w:highlight w:val="none"/>
              </w:rPr>
            </w:pPr>
          </w:p>
        </w:tc>
        <w:tc>
          <w:tcPr>
            <w:tcW w:w="945" w:type="dxa"/>
          </w:tcPr>
          <w:p w14:paraId="6920083E">
            <w:pPr>
              <w:tabs>
                <w:tab w:val="left" w:pos="0"/>
              </w:tabs>
              <w:spacing w:line="360" w:lineRule="auto"/>
              <w:rPr>
                <w:rFonts w:ascii="仿宋" w:hAnsi="仿宋" w:eastAsia="仿宋" w:cs="仿宋"/>
                <w:sz w:val="24"/>
                <w:highlight w:val="none"/>
              </w:rPr>
            </w:pPr>
          </w:p>
        </w:tc>
        <w:tc>
          <w:tcPr>
            <w:tcW w:w="1198" w:type="dxa"/>
          </w:tcPr>
          <w:p w14:paraId="3BE259AD">
            <w:pPr>
              <w:tabs>
                <w:tab w:val="left" w:pos="0"/>
              </w:tabs>
              <w:spacing w:line="360" w:lineRule="auto"/>
              <w:rPr>
                <w:rFonts w:ascii="仿宋" w:hAnsi="仿宋" w:eastAsia="仿宋" w:cs="仿宋"/>
                <w:sz w:val="24"/>
                <w:highlight w:val="none"/>
              </w:rPr>
            </w:pPr>
          </w:p>
        </w:tc>
        <w:tc>
          <w:tcPr>
            <w:tcW w:w="797" w:type="dxa"/>
          </w:tcPr>
          <w:p w14:paraId="37AE1D75">
            <w:pPr>
              <w:tabs>
                <w:tab w:val="left" w:pos="0"/>
              </w:tabs>
              <w:spacing w:line="360" w:lineRule="auto"/>
              <w:rPr>
                <w:rFonts w:ascii="仿宋" w:hAnsi="仿宋" w:eastAsia="仿宋" w:cs="仿宋"/>
                <w:sz w:val="24"/>
                <w:highlight w:val="none"/>
              </w:rPr>
            </w:pPr>
          </w:p>
        </w:tc>
        <w:tc>
          <w:tcPr>
            <w:tcW w:w="1575" w:type="dxa"/>
          </w:tcPr>
          <w:p w14:paraId="50E7B98A">
            <w:pPr>
              <w:tabs>
                <w:tab w:val="left" w:pos="0"/>
              </w:tabs>
              <w:spacing w:line="360" w:lineRule="auto"/>
              <w:rPr>
                <w:rFonts w:ascii="仿宋" w:hAnsi="仿宋" w:eastAsia="仿宋" w:cs="仿宋"/>
                <w:sz w:val="24"/>
                <w:highlight w:val="none"/>
              </w:rPr>
            </w:pPr>
          </w:p>
        </w:tc>
        <w:tc>
          <w:tcPr>
            <w:tcW w:w="2193" w:type="dxa"/>
          </w:tcPr>
          <w:p w14:paraId="688ACC1C">
            <w:pPr>
              <w:tabs>
                <w:tab w:val="left" w:pos="0"/>
              </w:tabs>
              <w:spacing w:line="360" w:lineRule="auto"/>
              <w:rPr>
                <w:rFonts w:ascii="仿宋" w:hAnsi="仿宋" w:eastAsia="仿宋" w:cs="仿宋"/>
                <w:sz w:val="24"/>
                <w:highlight w:val="none"/>
              </w:rPr>
            </w:pPr>
          </w:p>
        </w:tc>
      </w:tr>
      <w:tr w14:paraId="0FC2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0B716C9E">
            <w:pPr>
              <w:tabs>
                <w:tab w:val="left" w:pos="0"/>
              </w:tabs>
              <w:spacing w:line="360" w:lineRule="auto"/>
              <w:rPr>
                <w:rFonts w:ascii="仿宋" w:hAnsi="仿宋" w:eastAsia="仿宋" w:cs="仿宋"/>
                <w:sz w:val="24"/>
                <w:highlight w:val="none"/>
              </w:rPr>
            </w:pPr>
          </w:p>
        </w:tc>
        <w:tc>
          <w:tcPr>
            <w:tcW w:w="1575" w:type="dxa"/>
          </w:tcPr>
          <w:p w14:paraId="4D4A5E9F">
            <w:pPr>
              <w:tabs>
                <w:tab w:val="left" w:pos="0"/>
              </w:tabs>
              <w:spacing w:line="360" w:lineRule="auto"/>
              <w:rPr>
                <w:rFonts w:ascii="仿宋" w:hAnsi="仿宋" w:eastAsia="仿宋" w:cs="仿宋"/>
                <w:sz w:val="24"/>
                <w:highlight w:val="none"/>
              </w:rPr>
            </w:pPr>
          </w:p>
        </w:tc>
        <w:tc>
          <w:tcPr>
            <w:tcW w:w="945" w:type="dxa"/>
          </w:tcPr>
          <w:p w14:paraId="4B1F33C9">
            <w:pPr>
              <w:tabs>
                <w:tab w:val="left" w:pos="0"/>
              </w:tabs>
              <w:spacing w:line="360" w:lineRule="auto"/>
              <w:rPr>
                <w:rFonts w:ascii="仿宋" w:hAnsi="仿宋" w:eastAsia="仿宋" w:cs="仿宋"/>
                <w:sz w:val="24"/>
                <w:highlight w:val="none"/>
              </w:rPr>
            </w:pPr>
          </w:p>
        </w:tc>
        <w:tc>
          <w:tcPr>
            <w:tcW w:w="1198" w:type="dxa"/>
          </w:tcPr>
          <w:p w14:paraId="650BA6BE">
            <w:pPr>
              <w:tabs>
                <w:tab w:val="left" w:pos="0"/>
              </w:tabs>
              <w:spacing w:line="360" w:lineRule="auto"/>
              <w:rPr>
                <w:rFonts w:ascii="仿宋" w:hAnsi="仿宋" w:eastAsia="仿宋" w:cs="仿宋"/>
                <w:sz w:val="24"/>
                <w:highlight w:val="none"/>
              </w:rPr>
            </w:pPr>
          </w:p>
        </w:tc>
        <w:tc>
          <w:tcPr>
            <w:tcW w:w="797" w:type="dxa"/>
          </w:tcPr>
          <w:p w14:paraId="4F2DE23C">
            <w:pPr>
              <w:tabs>
                <w:tab w:val="left" w:pos="0"/>
              </w:tabs>
              <w:spacing w:line="360" w:lineRule="auto"/>
              <w:rPr>
                <w:rFonts w:ascii="仿宋" w:hAnsi="仿宋" w:eastAsia="仿宋" w:cs="仿宋"/>
                <w:sz w:val="24"/>
                <w:highlight w:val="none"/>
              </w:rPr>
            </w:pPr>
          </w:p>
        </w:tc>
        <w:tc>
          <w:tcPr>
            <w:tcW w:w="1575" w:type="dxa"/>
          </w:tcPr>
          <w:p w14:paraId="0C5A46FB">
            <w:pPr>
              <w:tabs>
                <w:tab w:val="left" w:pos="0"/>
              </w:tabs>
              <w:spacing w:line="360" w:lineRule="auto"/>
              <w:rPr>
                <w:rFonts w:ascii="仿宋" w:hAnsi="仿宋" w:eastAsia="仿宋" w:cs="仿宋"/>
                <w:sz w:val="24"/>
                <w:highlight w:val="none"/>
              </w:rPr>
            </w:pPr>
          </w:p>
        </w:tc>
        <w:tc>
          <w:tcPr>
            <w:tcW w:w="2193" w:type="dxa"/>
          </w:tcPr>
          <w:p w14:paraId="3D55F318">
            <w:pPr>
              <w:tabs>
                <w:tab w:val="left" w:pos="0"/>
              </w:tabs>
              <w:spacing w:line="360" w:lineRule="auto"/>
              <w:rPr>
                <w:rFonts w:ascii="仿宋" w:hAnsi="仿宋" w:eastAsia="仿宋" w:cs="仿宋"/>
                <w:sz w:val="24"/>
                <w:highlight w:val="none"/>
              </w:rPr>
            </w:pPr>
          </w:p>
        </w:tc>
      </w:tr>
      <w:tr w14:paraId="65F4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5F6D93A4">
            <w:pPr>
              <w:tabs>
                <w:tab w:val="left" w:pos="0"/>
              </w:tabs>
              <w:spacing w:line="360" w:lineRule="auto"/>
              <w:rPr>
                <w:rFonts w:ascii="仿宋" w:hAnsi="仿宋" w:eastAsia="仿宋" w:cs="仿宋"/>
                <w:sz w:val="24"/>
                <w:highlight w:val="none"/>
              </w:rPr>
            </w:pPr>
          </w:p>
        </w:tc>
        <w:tc>
          <w:tcPr>
            <w:tcW w:w="1575" w:type="dxa"/>
          </w:tcPr>
          <w:p w14:paraId="3D68A77C">
            <w:pPr>
              <w:tabs>
                <w:tab w:val="left" w:pos="0"/>
              </w:tabs>
              <w:spacing w:line="360" w:lineRule="auto"/>
              <w:rPr>
                <w:rFonts w:ascii="仿宋" w:hAnsi="仿宋" w:eastAsia="仿宋" w:cs="仿宋"/>
                <w:sz w:val="24"/>
                <w:highlight w:val="none"/>
              </w:rPr>
            </w:pPr>
          </w:p>
        </w:tc>
        <w:tc>
          <w:tcPr>
            <w:tcW w:w="945" w:type="dxa"/>
          </w:tcPr>
          <w:p w14:paraId="3FA17D8A">
            <w:pPr>
              <w:tabs>
                <w:tab w:val="left" w:pos="0"/>
              </w:tabs>
              <w:spacing w:line="360" w:lineRule="auto"/>
              <w:rPr>
                <w:rFonts w:ascii="仿宋" w:hAnsi="仿宋" w:eastAsia="仿宋" w:cs="仿宋"/>
                <w:sz w:val="24"/>
                <w:highlight w:val="none"/>
              </w:rPr>
            </w:pPr>
          </w:p>
        </w:tc>
        <w:tc>
          <w:tcPr>
            <w:tcW w:w="1198" w:type="dxa"/>
          </w:tcPr>
          <w:p w14:paraId="67C965DB">
            <w:pPr>
              <w:tabs>
                <w:tab w:val="left" w:pos="0"/>
              </w:tabs>
              <w:spacing w:line="360" w:lineRule="auto"/>
              <w:rPr>
                <w:rFonts w:ascii="仿宋" w:hAnsi="仿宋" w:eastAsia="仿宋" w:cs="仿宋"/>
                <w:sz w:val="24"/>
                <w:highlight w:val="none"/>
              </w:rPr>
            </w:pPr>
          </w:p>
        </w:tc>
        <w:tc>
          <w:tcPr>
            <w:tcW w:w="797" w:type="dxa"/>
          </w:tcPr>
          <w:p w14:paraId="4BAF0EBE">
            <w:pPr>
              <w:tabs>
                <w:tab w:val="left" w:pos="0"/>
              </w:tabs>
              <w:spacing w:line="360" w:lineRule="auto"/>
              <w:rPr>
                <w:rFonts w:ascii="仿宋" w:hAnsi="仿宋" w:eastAsia="仿宋" w:cs="仿宋"/>
                <w:sz w:val="24"/>
                <w:highlight w:val="none"/>
              </w:rPr>
            </w:pPr>
          </w:p>
        </w:tc>
        <w:tc>
          <w:tcPr>
            <w:tcW w:w="1575" w:type="dxa"/>
          </w:tcPr>
          <w:p w14:paraId="1F742E00">
            <w:pPr>
              <w:tabs>
                <w:tab w:val="left" w:pos="0"/>
              </w:tabs>
              <w:spacing w:line="360" w:lineRule="auto"/>
              <w:rPr>
                <w:rFonts w:ascii="仿宋" w:hAnsi="仿宋" w:eastAsia="仿宋" w:cs="仿宋"/>
                <w:sz w:val="24"/>
                <w:highlight w:val="none"/>
              </w:rPr>
            </w:pPr>
          </w:p>
        </w:tc>
        <w:tc>
          <w:tcPr>
            <w:tcW w:w="2193" w:type="dxa"/>
          </w:tcPr>
          <w:p w14:paraId="4711B757">
            <w:pPr>
              <w:tabs>
                <w:tab w:val="left" w:pos="0"/>
              </w:tabs>
              <w:spacing w:line="360" w:lineRule="auto"/>
              <w:rPr>
                <w:rFonts w:ascii="仿宋" w:hAnsi="仿宋" w:eastAsia="仿宋" w:cs="仿宋"/>
                <w:sz w:val="24"/>
                <w:highlight w:val="none"/>
              </w:rPr>
            </w:pPr>
          </w:p>
        </w:tc>
      </w:tr>
      <w:tr w14:paraId="1794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52B21148">
            <w:pPr>
              <w:tabs>
                <w:tab w:val="left" w:pos="0"/>
              </w:tabs>
              <w:spacing w:line="360" w:lineRule="auto"/>
              <w:rPr>
                <w:rFonts w:ascii="仿宋" w:hAnsi="仿宋" w:eastAsia="仿宋" w:cs="仿宋"/>
                <w:sz w:val="24"/>
                <w:highlight w:val="none"/>
              </w:rPr>
            </w:pPr>
          </w:p>
        </w:tc>
        <w:tc>
          <w:tcPr>
            <w:tcW w:w="1575" w:type="dxa"/>
          </w:tcPr>
          <w:p w14:paraId="5EE6B33A">
            <w:pPr>
              <w:tabs>
                <w:tab w:val="left" w:pos="0"/>
              </w:tabs>
              <w:spacing w:line="360" w:lineRule="auto"/>
              <w:rPr>
                <w:rFonts w:ascii="仿宋" w:hAnsi="仿宋" w:eastAsia="仿宋" w:cs="仿宋"/>
                <w:sz w:val="24"/>
                <w:highlight w:val="none"/>
              </w:rPr>
            </w:pPr>
          </w:p>
        </w:tc>
        <w:tc>
          <w:tcPr>
            <w:tcW w:w="945" w:type="dxa"/>
          </w:tcPr>
          <w:p w14:paraId="4224AB19">
            <w:pPr>
              <w:tabs>
                <w:tab w:val="left" w:pos="0"/>
              </w:tabs>
              <w:spacing w:line="360" w:lineRule="auto"/>
              <w:rPr>
                <w:rFonts w:ascii="仿宋" w:hAnsi="仿宋" w:eastAsia="仿宋" w:cs="仿宋"/>
                <w:sz w:val="24"/>
                <w:highlight w:val="none"/>
              </w:rPr>
            </w:pPr>
          </w:p>
        </w:tc>
        <w:tc>
          <w:tcPr>
            <w:tcW w:w="1198" w:type="dxa"/>
          </w:tcPr>
          <w:p w14:paraId="20CF67C6">
            <w:pPr>
              <w:tabs>
                <w:tab w:val="left" w:pos="0"/>
              </w:tabs>
              <w:spacing w:line="360" w:lineRule="auto"/>
              <w:rPr>
                <w:rFonts w:ascii="仿宋" w:hAnsi="仿宋" w:eastAsia="仿宋" w:cs="仿宋"/>
                <w:sz w:val="24"/>
                <w:highlight w:val="none"/>
              </w:rPr>
            </w:pPr>
          </w:p>
        </w:tc>
        <w:tc>
          <w:tcPr>
            <w:tcW w:w="797" w:type="dxa"/>
          </w:tcPr>
          <w:p w14:paraId="78C5E3F7">
            <w:pPr>
              <w:tabs>
                <w:tab w:val="left" w:pos="0"/>
              </w:tabs>
              <w:spacing w:line="360" w:lineRule="auto"/>
              <w:rPr>
                <w:rFonts w:ascii="仿宋" w:hAnsi="仿宋" w:eastAsia="仿宋" w:cs="仿宋"/>
                <w:sz w:val="24"/>
                <w:highlight w:val="none"/>
              </w:rPr>
            </w:pPr>
          </w:p>
        </w:tc>
        <w:tc>
          <w:tcPr>
            <w:tcW w:w="1575" w:type="dxa"/>
          </w:tcPr>
          <w:p w14:paraId="30567702">
            <w:pPr>
              <w:tabs>
                <w:tab w:val="left" w:pos="0"/>
              </w:tabs>
              <w:spacing w:line="360" w:lineRule="auto"/>
              <w:rPr>
                <w:rFonts w:ascii="仿宋" w:hAnsi="仿宋" w:eastAsia="仿宋" w:cs="仿宋"/>
                <w:sz w:val="24"/>
                <w:highlight w:val="none"/>
              </w:rPr>
            </w:pPr>
          </w:p>
        </w:tc>
        <w:tc>
          <w:tcPr>
            <w:tcW w:w="2193" w:type="dxa"/>
          </w:tcPr>
          <w:p w14:paraId="0610E07A">
            <w:pPr>
              <w:tabs>
                <w:tab w:val="left" w:pos="0"/>
              </w:tabs>
              <w:spacing w:line="360" w:lineRule="auto"/>
              <w:rPr>
                <w:rFonts w:ascii="仿宋" w:hAnsi="仿宋" w:eastAsia="仿宋" w:cs="仿宋"/>
                <w:sz w:val="24"/>
                <w:highlight w:val="none"/>
              </w:rPr>
            </w:pPr>
          </w:p>
        </w:tc>
      </w:tr>
      <w:tr w14:paraId="02C7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6F0DE6F8">
            <w:pPr>
              <w:tabs>
                <w:tab w:val="left" w:pos="0"/>
              </w:tabs>
              <w:spacing w:line="360" w:lineRule="auto"/>
              <w:rPr>
                <w:rFonts w:ascii="仿宋" w:hAnsi="仿宋" w:eastAsia="仿宋" w:cs="仿宋"/>
                <w:sz w:val="24"/>
                <w:highlight w:val="none"/>
              </w:rPr>
            </w:pPr>
          </w:p>
        </w:tc>
        <w:tc>
          <w:tcPr>
            <w:tcW w:w="1575" w:type="dxa"/>
          </w:tcPr>
          <w:p w14:paraId="502C8C47">
            <w:pPr>
              <w:tabs>
                <w:tab w:val="left" w:pos="0"/>
              </w:tabs>
              <w:spacing w:line="360" w:lineRule="auto"/>
              <w:rPr>
                <w:rFonts w:ascii="仿宋" w:hAnsi="仿宋" w:eastAsia="仿宋" w:cs="仿宋"/>
                <w:sz w:val="24"/>
                <w:highlight w:val="none"/>
              </w:rPr>
            </w:pPr>
          </w:p>
        </w:tc>
        <w:tc>
          <w:tcPr>
            <w:tcW w:w="945" w:type="dxa"/>
          </w:tcPr>
          <w:p w14:paraId="0253865D">
            <w:pPr>
              <w:tabs>
                <w:tab w:val="left" w:pos="0"/>
              </w:tabs>
              <w:spacing w:line="360" w:lineRule="auto"/>
              <w:rPr>
                <w:rFonts w:ascii="仿宋" w:hAnsi="仿宋" w:eastAsia="仿宋" w:cs="仿宋"/>
                <w:sz w:val="24"/>
                <w:highlight w:val="none"/>
              </w:rPr>
            </w:pPr>
          </w:p>
        </w:tc>
        <w:tc>
          <w:tcPr>
            <w:tcW w:w="1198" w:type="dxa"/>
          </w:tcPr>
          <w:p w14:paraId="554E3208">
            <w:pPr>
              <w:tabs>
                <w:tab w:val="left" w:pos="0"/>
              </w:tabs>
              <w:spacing w:line="360" w:lineRule="auto"/>
              <w:rPr>
                <w:rFonts w:ascii="仿宋" w:hAnsi="仿宋" w:eastAsia="仿宋" w:cs="仿宋"/>
                <w:sz w:val="24"/>
                <w:highlight w:val="none"/>
              </w:rPr>
            </w:pPr>
          </w:p>
        </w:tc>
        <w:tc>
          <w:tcPr>
            <w:tcW w:w="797" w:type="dxa"/>
          </w:tcPr>
          <w:p w14:paraId="3F75035F">
            <w:pPr>
              <w:tabs>
                <w:tab w:val="left" w:pos="0"/>
              </w:tabs>
              <w:spacing w:line="360" w:lineRule="auto"/>
              <w:rPr>
                <w:rFonts w:ascii="仿宋" w:hAnsi="仿宋" w:eastAsia="仿宋" w:cs="仿宋"/>
                <w:sz w:val="24"/>
                <w:highlight w:val="none"/>
              </w:rPr>
            </w:pPr>
          </w:p>
        </w:tc>
        <w:tc>
          <w:tcPr>
            <w:tcW w:w="1575" w:type="dxa"/>
          </w:tcPr>
          <w:p w14:paraId="4D3445E3">
            <w:pPr>
              <w:tabs>
                <w:tab w:val="left" w:pos="0"/>
              </w:tabs>
              <w:spacing w:line="360" w:lineRule="auto"/>
              <w:rPr>
                <w:rFonts w:ascii="仿宋" w:hAnsi="仿宋" w:eastAsia="仿宋" w:cs="仿宋"/>
                <w:sz w:val="24"/>
                <w:highlight w:val="none"/>
              </w:rPr>
            </w:pPr>
          </w:p>
        </w:tc>
        <w:tc>
          <w:tcPr>
            <w:tcW w:w="2193" w:type="dxa"/>
          </w:tcPr>
          <w:p w14:paraId="0DCF370C">
            <w:pPr>
              <w:tabs>
                <w:tab w:val="left" w:pos="0"/>
              </w:tabs>
              <w:spacing w:line="360" w:lineRule="auto"/>
              <w:rPr>
                <w:rFonts w:ascii="仿宋" w:hAnsi="仿宋" w:eastAsia="仿宋" w:cs="仿宋"/>
                <w:sz w:val="24"/>
                <w:highlight w:val="none"/>
              </w:rPr>
            </w:pPr>
          </w:p>
        </w:tc>
      </w:tr>
      <w:tr w14:paraId="3E35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254213A6">
            <w:pPr>
              <w:tabs>
                <w:tab w:val="left" w:pos="0"/>
              </w:tabs>
              <w:spacing w:line="360" w:lineRule="auto"/>
              <w:rPr>
                <w:rFonts w:ascii="仿宋" w:hAnsi="仿宋" w:eastAsia="仿宋" w:cs="仿宋"/>
                <w:sz w:val="24"/>
                <w:highlight w:val="none"/>
              </w:rPr>
            </w:pPr>
          </w:p>
        </w:tc>
        <w:tc>
          <w:tcPr>
            <w:tcW w:w="1575" w:type="dxa"/>
          </w:tcPr>
          <w:p w14:paraId="0FCBBED6">
            <w:pPr>
              <w:tabs>
                <w:tab w:val="left" w:pos="0"/>
              </w:tabs>
              <w:spacing w:line="360" w:lineRule="auto"/>
              <w:rPr>
                <w:rFonts w:ascii="仿宋" w:hAnsi="仿宋" w:eastAsia="仿宋" w:cs="仿宋"/>
                <w:sz w:val="24"/>
                <w:highlight w:val="none"/>
              </w:rPr>
            </w:pPr>
          </w:p>
        </w:tc>
        <w:tc>
          <w:tcPr>
            <w:tcW w:w="945" w:type="dxa"/>
          </w:tcPr>
          <w:p w14:paraId="59164985">
            <w:pPr>
              <w:tabs>
                <w:tab w:val="left" w:pos="0"/>
              </w:tabs>
              <w:spacing w:line="360" w:lineRule="auto"/>
              <w:rPr>
                <w:rFonts w:ascii="仿宋" w:hAnsi="仿宋" w:eastAsia="仿宋" w:cs="仿宋"/>
                <w:sz w:val="24"/>
                <w:highlight w:val="none"/>
              </w:rPr>
            </w:pPr>
          </w:p>
        </w:tc>
        <w:tc>
          <w:tcPr>
            <w:tcW w:w="1198" w:type="dxa"/>
          </w:tcPr>
          <w:p w14:paraId="2670FDC9">
            <w:pPr>
              <w:tabs>
                <w:tab w:val="left" w:pos="0"/>
              </w:tabs>
              <w:spacing w:line="360" w:lineRule="auto"/>
              <w:rPr>
                <w:rFonts w:ascii="仿宋" w:hAnsi="仿宋" w:eastAsia="仿宋" w:cs="仿宋"/>
                <w:sz w:val="24"/>
                <w:highlight w:val="none"/>
              </w:rPr>
            </w:pPr>
          </w:p>
        </w:tc>
        <w:tc>
          <w:tcPr>
            <w:tcW w:w="797" w:type="dxa"/>
          </w:tcPr>
          <w:p w14:paraId="7180B9FA">
            <w:pPr>
              <w:tabs>
                <w:tab w:val="left" w:pos="0"/>
              </w:tabs>
              <w:spacing w:line="360" w:lineRule="auto"/>
              <w:rPr>
                <w:rFonts w:ascii="仿宋" w:hAnsi="仿宋" w:eastAsia="仿宋" w:cs="仿宋"/>
                <w:sz w:val="24"/>
                <w:highlight w:val="none"/>
              </w:rPr>
            </w:pPr>
          </w:p>
        </w:tc>
        <w:tc>
          <w:tcPr>
            <w:tcW w:w="1575" w:type="dxa"/>
          </w:tcPr>
          <w:p w14:paraId="00F1E79C">
            <w:pPr>
              <w:tabs>
                <w:tab w:val="left" w:pos="0"/>
              </w:tabs>
              <w:spacing w:line="360" w:lineRule="auto"/>
              <w:rPr>
                <w:rFonts w:ascii="仿宋" w:hAnsi="仿宋" w:eastAsia="仿宋" w:cs="仿宋"/>
                <w:sz w:val="24"/>
                <w:highlight w:val="none"/>
              </w:rPr>
            </w:pPr>
          </w:p>
        </w:tc>
        <w:tc>
          <w:tcPr>
            <w:tcW w:w="2193" w:type="dxa"/>
          </w:tcPr>
          <w:p w14:paraId="5F780CF2">
            <w:pPr>
              <w:tabs>
                <w:tab w:val="left" w:pos="0"/>
              </w:tabs>
              <w:spacing w:line="360" w:lineRule="auto"/>
              <w:rPr>
                <w:rFonts w:ascii="仿宋" w:hAnsi="仿宋" w:eastAsia="仿宋" w:cs="仿宋"/>
                <w:sz w:val="24"/>
                <w:highlight w:val="none"/>
              </w:rPr>
            </w:pPr>
          </w:p>
        </w:tc>
      </w:tr>
      <w:tr w14:paraId="5B88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356194AB">
            <w:pPr>
              <w:tabs>
                <w:tab w:val="left" w:pos="0"/>
              </w:tabs>
              <w:spacing w:line="360" w:lineRule="auto"/>
              <w:rPr>
                <w:rFonts w:ascii="仿宋" w:hAnsi="仿宋" w:eastAsia="仿宋" w:cs="仿宋"/>
                <w:sz w:val="24"/>
                <w:highlight w:val="none"/>
              </w:rPr>
            </w:pPr>
          </w:p>
        </w:tc>
        <w:tc>
          <w:tcPr>
            <w:tcW w:w="1575" w:type="dxa"/>
          </w:tcPr>
          <w:p w14:paraId="12B1B5CB">
            <w:pPr>
              <w:tabs>
                <w:tab w:val="left" w:pos="0"/>
              </w:tabs>
              <w:spacing w:line="360" w:lineRule="auto"/>
              <w:rPr>
                <w:rFonts w:ascii="仿宋" w:hAnsi="仿宋" w:eastAsia="仿宋" w:cs="仿宋"/>
                <w:sz w:val="24"/>
                <w:highlight w:val="none"/>
              </w:rPr>
            </w:pPr>
          </w:p>
        </w:tc>
        <w:tc>
          <w:tcPr>
            <w:tcW w:w="945" w:type="dxa"/>
          </w:tcPr>
          <w:p w14:paraId="3A02BA33">
            <w:pPr>
              <w:tabs>
                <w:tab w:val="left" w:pos="0"/>
              </w:tabs>
              <w:spacing w:line="360" w:lineRule="auto"/>
              <w:rPr>
                <w:rFonts w:ascii="仿宋" w:hAnsi="仿宋" w:eastAsia="仿宋" w:cs="仿宋"/>
                <w:sz w:val="24"/>
                <w:highlight w:val="none"/>
              </w:rPr>
            </w:pPr>
          </w:p>
        </w:tc>
        <w:tc>
          <w:tcPr>
            <w:tcW w:w="1198" w:type="dxa"/>
          </w:tcPr>
          <w:p w14:paraId="5CF6F3AD">
            <w:pPr>
              <w:tabs>
                <w:tab w:val="left" w:pos="0"/>
              </w:tabs>
              <w:spacing w:line="360" w:lineRule="auto"/>
              <w:rPr>
                <w:rFonts w:ascii="仿宋" w:hAnsi="仿宋" w:eastAsia="仿宋" w:cs="仿宋"/>
                <w:sz w:val="24"/>
                <w:highlight w:val="none"/>
              </w:rPr>
            </w:pPr>
          </w:p>
        </w:tc>
        <w:tc>
          <w:tcPr>
            <w:tcW w:w="797" w:type="dxa"/>
          </w:tcPr>
          <w:p w14:paraId="006457B5">
            <w:pPr>
              <w:tabs>
                <w:tab w:val="left" w:pos="0"/>
              </w:tabs>
              <w:spacing w:line="360" w:lineRule="auto"/>
              <w:rPr>
                <w:rFonts w:ascii="仿宋" w:hAnsi="仿宋" w:eastAsia="仿宋" w:cs="仿宋"/>
                <w:sz w:val="24"/>
                <w:highlight w:val="none"/>
              </w:rPr>
            </w:pPr>
          </w:p>
        </w:tc>
        <w:tc>
          <w:tcPr>
            <w:tcW w:w="1575" w:type="dxa"/>
          </w:tcPr>
          <w:p w14:paraId="24CA0FEC">
            <w:pPr>
              <w:tabs>
                <w:tab w:val="left" w:pos="0"/>
              </w:tabs>
              <w:spacing w:line="360" w:lineRule="auto"/>
              <w:rPr>
                <w:rFonts w:ascii="仿宋" w:hAnsi="仿宋" w:eastAsia="仿宋" w:cs="仿宋"/>
                <w:sz w:val="24"/>
                <w:highlight w:val="none"/>
              </w:rPr>
            </w:pPr>
          </w:p>
        </w:tc>
        <w:tc>
          <w:tcPr>
            <w:tcW w:w="2193" w:type="dxa"/>
          </w:tcPr>
          <w:p w14:paraId="402A94B4">
            <w:pPr>
              <w:tabs>
                <w:tab w:val="left" w:pos="0"/>
              </w:tabs>
              <w:spacing w:line="360" w:lineRule="auto"/>
              <w:rPr>
                <w:rFonts w:ascii="仿宋" w:hAnsi="仿宋" w:eastAsia="仿宋" w:cs="仿宋"/>
                <w:sz w:val="24"/>
                <w:highlight w:val="none"/>
              </w:rPr>
            </w:pPr>
          </w:p>
        </w:tc>
      </w:tr>
    </w:tbl>
    <w:p w14:paraId="61CBDDF8">
      <w:pPr>
        <w:spacing w:line="360" w:lineRule="auto"/>
        <w:rPr>
          <w:rFonts w:ascii="仿宋" w:hAnsi="仿宋" w:eastAsia="仿宋" w:cs="仿宋"/>
          <w:b/>
          <w:bCs/>
          <w:sz w:val="24"/>
          <w:szCs w:val="24"/>
          <w:highlight w:val="none"/>
        </w:rPr>
      </w:pPr>
      <w:r>
        <w:rPr>
          <w:rFonts w:hint="eastAsia" w:ascii="仿宋" w:hAnsi="仿宋" w:eastAsia="仿宋" w:cs="仿宋"/>
          <w:b/>
          <w:bCs w:val="0"/>
          <w:color w:val="auto"/>
          <w:sz w:val="24"/>
          <w:highlight w:val="none"/>
        </w:rPr>
        <w:t>注：</w:t>
      </w:r>
      <w:r>
        <w:rPr>
          <w:rFonts w:hint="eastAsia" w:ascii="仿宋" w:hAnsi="仿宋" w:eastAsia="仿宋" w:cs="仿宋"/>
          <w:b/>
          <w:bCs/>
          <w:sz w:val="24"/>
          <w:szCs w:val="24"/>
          <w:highlight w:val="none"/>
        </w:rPr>
        <w:t>本表后附</w:t>
      </w:r>
      <w:r>
        <w:rPr>
          <w:rFonts w:hint="eastAsia" w:ascii="仿宋" w:hAnsi="仿宋" w:eastAsia="仿宋" w:cs="仿宋"/>
          <w:b/>
          <w:bCs/>
          <w:sz w:val="24"/>
          <w:szCs w:val="24"/>
          <w:highlight w:val="none"/>
          <w:lang w:val="en-US" w:eastAsia="zh-CN"/>
        </w:rPr>
        <w:t>相关证明材料</w:t>
      </w:r>
      <w:r>
        <w:rPr>
          <w:rFonts w:hint="eastAsia" w:ascii="仿宋" w:hAnsi="仿宋" w:eastAsia="仿宋" w:cs="仿宋"/>
          <w:b/>
          <w:bCs/>
          <w:sz w:val="24"/>
          <w:szCs w:val="24"/>
          <w:highlight w:val="none"/>
        </w:rPr>
        <w:t>。</w:t>
      </w:r>
    </w:p>
    <w:p w14:paraId="67687C9A">
      <w:pPr>
        <w:pStyle w:val="10"/>
        <w:spacing w:before="159" w:line="480" w:lineRule="exact"/>
        <w:rPr>
          <w:rFonts w:hint="eastAsia" w:ascii="仿宋" w:hAnsi="仿宋" w:eastAsia="仿宋" w:cs="仿宋"/>
          <w:b/>
          <w:bCs/>
          <w:color w:val="auto"/>
          <w:sz w:val="24"/>
          <w:highlight w:val="none"/>
        </w:rPr>
      </w:pPr>
    </w:p>
    <w:p w14:paraId="58CCFEF0">
      <w:pPr>
        <w:spacing w:line="480" w:lineRule="exact"/>
        <w:ind w:firstLine="3306" w:firstLineChars="1181"/>
        <w:rPr>
          <w:rFonts w:ascii="仿宋" w:hAnsi="仿宋" w:eastAsia="仿宋" w:cs="仿宋"/>
          <w:sz w:val="28"/>
          <w:szCs w:val="28"/>
          <w:highlight w:val="none"/>
        </w:rPr>
      </w:pPr>
    </w:p>
    <w:p w14:paraId="240267C7">
      <w:pPr>
        <w:spacing w:line="360" w:lineRule="auto"/>
        <w:jc w:val="center"/>
        <w:rPr>
          <w:rFonts w:hint="eastAsia" w:ascii="仿宋" w:hAnsi="仿宋" w:eastAsia="仿宋" w:cs="仿宋"/>
          <w:color w:val="auto"/>
          <w:sz w:val="24"/>
          <w:highlight w:val="none"/>
        </w:rPr>
      </w:pPr>
    </w:p>
    <w:p w14:paraId="40083AE9">
      <w:pPr>
        <w:spacing w:line="360" w:lineRule="auto"/>
        <w:ind w:firstLine="3828" w:firstLineChars="159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E809D14">
      <w:pPr>
        <w:spacing w:line="360" w:lineRule="auto"/>
        <w:ind w:firstLine="3828" w:firstLineChars="1595"/>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法定代表人</w:t>
      </w:r>
    </w:p>
    <w:p w14:paraId="486823AD">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none"/>
        </w:rPr>
        <w:t>或被授权人：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2321B624">
      <w:pPr>
        <w:overflowPunct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      期：  年  月   日</w:t>
      </w:r>
    </w:p>
    <w:p w14:paraId="1764DB8F">
      <w:pPr>
        <w:overflowPunct w:val="0"/>
        <w:spacing w:line="360" w:lineRule="auto"/>
        <w:jc w:val="center"/>
        <w:outlineLvl w:val="9"/>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423081BF">
      <w:pPr>
        <w:overflowPunct w:val="0"/>
        <w:spacing w:line="360" w:lineRule="auto"/>
        <w:jc w:val="center"/>
        <w:outlineLvl w:val="1"/>
        <w:rPr>
          <w:rStyle w:val="42"/>
          <w:rFonts w:hint="eastAsia" w:ascii="仿宋" w:hAnsi="仿宋" w:eastAsia="仿宋" w:cs="仿宋"/>
          <w:sz w:val="32"/>
          <w:szCs w:val="32"/>
        </w:rPr>
      </w:pPr>
      <w:bookmarkStart w:id="101" w:name="_Toc24121"/>
      <w:bookmarkStart w:id="102" w:name="_Toc12541"/>
      <w:bookmarkStart w:id="103" w:name="_Toc17258"/>
      <w:bookmarkStart w:id="104" w:name="_Toc5082"/>
      <w:r>
        <w:rPr>
          <w:rStyle w:val="42"/>
          <w:rFonts w:hint="eastAsia" w:ascii="仿宋" w:hAnsi="仿宋" w:eastAsia="仿宋" w:cs="仿宋"/>
          <w:sz w:val="32"/>
          <w:szCs w:val="32"/>
          <w:lang w:val="en-US" w:eastAsia="zh-CN"/>
        </w:rPr>
        <w:t>七</w:t>
      </w:r>
      <w:r>
        <w:rPr>
          <w:rStyle w:val="42"/>
          <w:rFonts w:hint="eastAsia" w:ascii="仿宋" w:hAnsi="仿宋" w:eastAsia="仿宋" w:cs="仿宋"/>
          <w:sz w:val="32"/>
          <w:szCs w:val="32"/>
        </w:rPr>
        <w:t>、商务和</w:t>
      </w:r>
      <w:r>
        <w:rPr>
          <w:rStyle w:val="42"/>
          <w:rFonts w:hint="eastAsia" w:ascii="仿宋" w:hAnsi="仿宋" w:eastAsia="仿宋" w:cs="仿宋"/>
          <w:sz w:val="32"/>
          <w:szCs w:val="32"/>
          <w:lang w:val="en-US" w:eastAsia="zh-CN"/>
        </w:rPr>
        <w:t>服务</w:t>
      </w:r>
      <w:r>
        <w:rPr>
          <w:rStyle w:val="42"/>
          <w:rFonts w:hint="eastAsia" w:ascii="仿宋" w:hAnsi="仿宋" w:eastAsia="仿宋" w:cs="仿宋"/>
          <w:sz w:val="32"/>
          <w:szCs w:val="32"/>
        </w:rPr>
        <w:t>响应说明</w:t>
      </w:r>
      <w:bookmarkEnd w:id="101"/>
      <w:bookmarkEnd w:id="102"/>
    </w:p>
    <w:bookmarkEnd w:id="103"/>
    <w:bookmarkEnd w:id="104"/>
    <w:p w14:paraId="11C5F0B5">
      <w:pPr>
        <w:adjustRightInd w:val="0"/>
        <w:snapToGrid w:val="0"/>
        <w:spacing w:line="360" w:lineRule="auto"/>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1、商务偏离表</w:t>
      </w:r>
    </w:p>
    <w:tbl>
      <w:tblPr>
        <w:tblStyle w:val="2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00"/>
        <w:gridCol w:w="2696"/>
        <w:gridCol w:w="1824"/>
        <w:gridCol w:w="1824"/>
      </w:tblGrid>
      <w:tr w14:paraId="0BF4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394DAE30">
            <w:pPr>
              <w:pStyle w:val="12"/>
              <w:spacing w:before="120"/>
              <w:ind w:left="0" w:right="34"/>
              <w:jc w:val="center"/>
              <w:rPr>
                <w:rFonts w:ascii="仿宋" w:hAnsi="仿宋" w:eastAsia="仿宋"/>
                <w:b/>
                <w:highlight w:val="none"/>
              </w:rPr>
            </w:pPr>
            <w:r>
              <w:rPr>
                <w:rFonts w:hint="eastAsia" w:ascii="仿宋" w:hAnsi="仿宋" w:eastAsia="仿宋"/>
                <w:b/>
                <w:highlight w:val="none"/>
              </w:rPr>
              <w:t>序号</w:t>
            </w:r>
          </w:p>
        </w:tc>
        <w:tc>
          <w:tcPr>
            <w:tcW w:w="2000" w:type="dxa"/>
            <w:tcBorders>
              <w:top w:val="single" w:color="auto" w:sz="4" w:space="0"/>
              <w:left w:val="nil"/>
              <w:bottom w:val="single" w:color="auto" w:sz="4" w:space="0"/>
              <w:right w:val="single" w:color="auto" w:sz="4" w:space="0"/>
            </w:tcBorders>
            <w:noWrap/>
            <w:vAlign w:val="center"/>
          </w:tcPr>
          <w:p w14:paraId="714D3697">
            <w:pPr>
              <w:pStyle w:val="12"/>
              <w:spacing w:before="120"/>
              <w:ind w:left="0" w:right="34"/>
              <w:jc w:val="center"/>
              <w:rPr>
                <w:rFonts w:ascii="仿宋" w:hAnsi="仿宋" w:eastAsia="仿宋"/>
                <w:b/>
                <w:highlight w:val="none"/>
              </w:rPr>
            </w:pPr>
            <w:r>
              <w:rPr>
                <w:rFonts w:hint="eastAsia" w:ascii="仿宋" w:hAnsi="仿宋" w:eastAsia="仿宋"/>
                <w:b/>
                <w:highlight w:val="none"/>
              </w:rPr>
              <w:t>磋商要求</w:t>
            </w:r>
          </w:p>
        </w:tc>
        <w:tc>
          <w:tcPr>
            <w:tcW w:w="2696" w:type="dxa"/>
            <w:tcBorders>
              <w:top w:val="single" w:color="auto" w:sz="4" w:space="0"/>
              <w:left w:val="nil"/>
              <w:bottom w:val="single" w:color="auto" w:sz="4" w:space="0"/>
              <w:right w:val="single" w:color="auto" w:sz="4" w:space="0"/>
            </w:tcBorders>
            <w:noWrap/>
            <w:vAlign w:val="center"/>
          </w:tcPr>
          <w:p w14:paraId="5687C817">
            <w:pPr>
              <w:pStyle w:val="12"/>
              <w:spacing w:before="120"/>
              <w:ind w:left="0" w:right="34"/>
              <w:jc w:val="center"/>
              <w:rPr>
                <w:rFonts w:hint="eastAsia" w:ascii="仿宋" w:hAnsi="仿宋" w:eastAsia="仿宋"/>
                <w:b/>
                <w:highlight w:val="none"/>
                <w:lang w:val="en-US" w:eastAsia="zh-CN"/>
              </w:rPr>
            </w:pPr>
            <w:r>
              <w:rPr>
                <w:rFonts w:hint="eastAsia" w:ascii="仿宋" w:hAnsi="仿宋" w:eastAsia="仿宋"/>
                <w:b/>
                <w:highlight w:val="none"/>
              </w:rPr>
              <w:t>磋商响应</w:t>
            </w:r>
            <w:r>
              <w:rPr>
                <w:rFonts w:hint="eastAsia" w:ascii="仿宋" w:hAnsi="仿宋" w:eastAsia="仿宋"/>
                <w:b/>
                <w:highlight w:val="none"/>
                <w:lang w:val="en-US" w:eastAsia="zh-CN"/>
              </w:rPr>
              <w:t>内容</w:t>
            </w:r>
          </w:p>
        </w:tc>
        <w:tc>
          <w:tcPr>
            <w:tcW w:w="1824" w:type="dxa"/>
            <w:tcBorders>
              <w:top w:val="single" w:color="auto" w:sz="4" w:space="0"/>
              <w:left w:val="nil"/>
              <w:bottom w:val="single" w:color="auto" w:sz="4" w:space="0"/>
              <w:right w:val="single" w:color="auto" w:sz="4" w:space="0"/>
            </w:tcBorders>
            <w:noWrap/>
            <w:vAlign w:val="center"/>
          </w:tcPr>
          <w:p w14:paraId="0FF749E8">
            <w:pPr>
              <w:pStyle w:val="12"/>
              <w:spacing w:before="120"/>
              <w:ind w:left="0" w:right="34"/>
              <w:jc w:val="center"/>
              <w:rPr>
                <w:rFonts w:ascii="仿宋" w:hAnsi="仿宋" w:eastAsia="仿宋"/>
                <w:b/>
                <w:highlight w:val="none"/>
              </w:rPr>
            </w:pPr>
            <w:r>
              <w:rPr>
                <w:rFonts w:hint="eastAsia" w:ascii="仿宋" w:hAnsi="仿宋" w:eastAsia="仿宋"/>
                <w:b/>
                <w:highlight w:val="none"/>
              </w:rPr>
              <w:t>偏离</w:t>
            </w:r>
          </w:p>
        </w:tc>
        <w:tc>
          <w:tcPr>
            <w:tcW w:w="1824" w:type="dxa"/>
            <w:tcBorders>
              <w:top w:val="single" w:color="auto" w:sz="4" w:space="0"/>
              <w:left w:val="nil"/>
              <w:bottom w:val="single" w:color="auto" w:sz="4" w:space="0"/>
              <w:right w:val="single" w:color="auto" w:sz="4" w:space="0"/>
            </w:tcBorders>
            <w:noWrap/>
            <w:vAlign w:val="center"/>
          </w:tcPr>
          <w:p w14:paraId="3B61A3E5">
            <w:pPr>
              <w:pStyle w:val="12"/>
              <w:spacing w:before="120"/>
              <w:ind w:left="0" w:right="34"/>
              <w:jc w:val="center"/>
              <w:rPr>
                <w:rFonts w:ascii="仿宋" w:hAnsi="仿宋" w:eastAsia="仿宋"/>
                <w:b/>
                <w:highlight w:val="none"/>
              </w:rPr>
            </w:pPr>
            <w:r>
              <w:rPr>
                <w:rFonts w:hint="eastAsia" w:ascii="仿宋" w:hAnsi="仿宋" w:eastAsia="仿宋"/>
                <w:b/>
                <w:highlight w:val="none"/>
              </w:rPr>
              <w:t>备注</w:t>
            </w:r>
          </w:p>
        </w:tc>
      </w:tr>
      <w:tr w14:paraId="17FF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73E6D73">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26D249C8">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16350F67">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58A5A66C">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4C622AC0">
            <w:pPr>
              <w:pStyle w:val="12"/>
              <w:spacing w:before="120"/>
              <w:ind w:right="34"/>
              <w:jc w:val="center"/>
              <w:rPr>
                <w:rFonts w:ascii="仿宋" w:hAnsi="仿宋" w:eastAsia="仿宋"/>
                <w:b/>
                <w:highlight w:val="none"/>
              </w:rPr>
            </w:pPr>
          </w:p>
        </w:tc>
      </w:tr>
      <w:tr w14:paraId="71F0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DBD6F0E">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020FA865">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59AF6519">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5D1C97F7">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49D2198">
            <w:pPr>
              <w:pStyle w:val="12"/>
              <w:spacing w:before="120"/>
              <w:ind w:right="34"/>
              <w:jc w:val="center"/>
              <w:rPr>
                <w:rFonts w:ascii="仿宋" w:hAnsi="仿宋" w:eastAsia="仿宋"/>
                <w:b/>
                <w:highlight w:val="none"/>
              </w:rPr>
            </w:pPr>
          </w:p>
        </w:tc>
      </w:tr>
      <w:tr w14:paraId="241A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41C069E1">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02752BF2">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0778BDAC">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9B60B62">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618936CE">
            <w:pPr>
              <w:pStyle w:val="12"/>
              <w:spacing w:before="120"/>
              <w:ind w:right="34"/>
              <w:jc w:val="center"/>
              <w:rPr>
                <w:rFonts w:ascii="仿宋" w:hAnsi="仿宋" w:eastAsia="仿宋"/>
                <w:b/>
                <w:highlight w:val="none"/>
              </w:rPr>
            </w:pPr>
          </w:p>
        </w:tc>
      </w:tr>
      <w:tr w14:paraId="7607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8F55333">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571B3FEF">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1E1B064E">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6BEC8AC3">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625DF529">
            <w:pPr>
              <w:pStyle w:val="12"/>
              <w:spacing w:before="120"/>
              <w:ind w:right="34"/>
              <w:jc w:val="center"/>
              <w:rPr>
                <w:rFonts w:ascii="仿宋" w:hAnsi="仿宋" w:eastAsia="仿宋"/>
                <w:b/>
                <w:highlight w:val="none"/>
              </w:rPr>
            </w:pPr>
          </w:p>
        </w:tc>
      </w:tr>
      <w:tr w14:paraId="441B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3ED8333B">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25016215">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7F541C83">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59878869">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34111E90">
            <w:pPr>
              <w:pStyle w:val="12"/>
              <w:spacing w:before="120"/>
              <w:ind w:right="34"/>
              <w:jc w:val="center"/>
              <w:rPr>
                <w:rFonts w:ascii="仿宋" w:hAnsi="仿宋" w:eastAsia="仿宋"/>
                <w:b/>
                <w:highlight w:val="none"/>
              </w:rPr>
            </w:pPr>
          </w:p>
        </w:tc>
      </w:tr>
      <w:tr w14:paraId="212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5E3C021A">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286C0F26">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4F512908">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6A3CEA01">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908D888">
            <w:pPr>
              <w:pStyle w:val="12"/>
              <w:spacing w:before="120"/>
              <w:ind w:right="34"/>
              <w:jc w:val="center"/>
              <w:rPr>
                <w:rFonts w:ascii="仿宋" w:hAnsi="仿宋" w:eastAsia="仿宋"/>
                <w:b/>
                <w:highlight w:val="none"/>
              </w:rPr>
            </w:pPr>
          </w:p>
        </w:tc>
      </w:tr>
      <w:tr w14:paraId="54F3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1ECFEC0B">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519C363A">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12628C2F">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4366A0FA">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4116B2CE">
            <w:pPr>
              <w:pStyle w:val="12"/>
              <w:spacing w:before="120"/>
              <w:ind w:right="34"/>
              <w:jc w:val="center"/>
              <w:rPr>
                <w:rFonts w:ascii="仿宋" w:hAnsi="仿宋" w:eastAsia="仿宋"/>
                <w:b/>
                <w:highlight w:val="none"/>
              </w:rPr>
            </w:pPr>
          </w:p>
        </w:tc>
      </w:tr>
    </w:tbl>
    <w:p w14:paraId="77CE75F5">
      <w:pPr>
        <w:pStyle w:val="12"/>
        <w:spacing w:before="120" w:line="360" w:lineRule="auto"/>
        <w:ind w:left="0" w:right="34"/>
        <w:jc w:val="both"/>
        <w:rPr>
          <w:rFonts w:hint="default" w:ascii="仿宋" w:hAnsi="仿宋" w:eastAsia="仿宋" w:cs="仿宋"/>
          <w:bCs/>
          <w:highlight w:val="none"/>
          <w:lang w:val="en-US" w:eastAsia="zh-CN"/>
        </w:rPr>
      </w:pPr>
      <w:r>
        <w:rPr>
          <w:rFonts w:hint="eastAsia" w:ascii="仿宋" w:hAnsi="仿宋" w:eastAsia="仿宋" w:cs="仿宋"/>
          <w:bCs/>
          <w:szCs w:val="24"/>
          <w:highlight w:val="none"/>
        </w:rPr>
        <w:t>1.供应商须按照</w:t>
      </w:r>
      <w:r>
        <w:rPr>
          <w:rFonts w:hint="eastAsia" w:ascii="仿宋" w:hAnsi="仿宋" w:eastAsia="仿宋" w:cs="仿宋"/>
          <w:bCs/>
          <w:szCs w:val="24"/>
          <w:highlight w:val="none"/>
          <w:lang w:val="en-US" w:eastAsia="zh-CN"/>
        </w:rPr>
        <w:t>磋商</w:t>
      </w:r>
      <w:r>
        <w:rPr>
          <w:rFonts w:hint="eastAsia" w:ascii="仿宋" w:hAnsi="仿宋" w:eastAsia="仿宋" w:cs="仿宋"/>
          <w:bCs/>
          <w:szCs w:val="24"/>
          <w:highlight w:val="none"/>
        </w:rPr>
        <w:t>文件“第</w:t>
      </w:r>
      <w:r>
        <w:rPr>
          <w:rFonts w:hint="eastAsia" w:ascii="仿宋" w:hAnsi="仿宋" w:eastAsia="仿宋" w:cs="仿宋"/>
          <w:bCs/>
          <w:szCs w:val="24"/>
          <w:highlight w:val="none"/>
          <w:lang w:val="en-US" w:eastAsia="zh-CN"/>
        </w:rPr>
        <w:t>五章</w:t>
      </w:r>
      <w:r>
        <w:rPr>
          <w:rFonts w:hint="eastAsia" w:ascii="仿宋" w:hAnsi="仿宋" w:eastAsia="仿宋" w:cs="仿宋"/>
          <w:bCs/>
          <w:szCs w:val="24"/>
          <w:highlight w:val="none"/>
        </w:rPr>
        <w:t>商务及合同主要条款”表格部分逐条填写。如实填写该表，如有隐瞒，后果由供应商自负</w:t>
      </w:r>
      <w:r>
        <w:rPr>
          <w:rFonts w:hint="eastAsia" w:ascii="仿宋" w:hAnsi="仿宋" w:eastAsia="仿宋" w:cs="仿宋"/>
          <w:bCs/>
          <w:szCs w:val="24"/>
          <w:highlight w:val="none"/>
          <w:lang w:eastAsia="zh-CN"/>
        </w:rPr>
        <w:t>，</w:t>
      </w:r>
      <w:r>
        <w:rPr>
          <w:rFonts w:hint="eastAsia" w:ascii="仿宋" w:hAnsi="仿宋" w:eastAsia="仿宋" w:cs="仿宋"/>
          <w:bCs/>
          <w:szCs w:val="24"/>
          <w:highlight w:val="none"/>
          <w:lang w:val="en-US" w:eastAsia="zh-CN"/>
        </w:rPr>
        <w:t>偏离视为无效响应。</w:t>
      </w:r>
    </w:p>
    <w:p w14:paraId="40EA13F5">
      <w:pPr>
        <w:pStyle w:val="12"/>
        <w:spacing w:before="120" w:line="360" w:lineRule="auto"/>
        <w:ind w:left="0" w:right="34"/>
        <w:jc w:val="both"/>
        <w:rPr>
          <w:rFonts w:ascii="仿宋" w:hAnsi="仿宋" w:eastAsia="仿宋" w:cs="仿宋"/>
          <w:bCs/>
          <w:highlight w:val="none"/>
        </w:rPr>
      </w:pPr>
      <w:r>
        <w:rPr>
          <w:rFonts w:hint="eastAsia" w:ascii="仿宋" w:hAnsi="仿宋" w:eastAsia="仿宋" w:cs="仿宋"/>
          <w:bCs/>
          <w:highlight w:val="none"/>
        </w:rPr>
        <w:t>2.此表可增加，偏离内容填写“正偏离”、“负偏离”或“无偏离”。</w:t>
      </w:r>
    </w:p>
    <w:p w14:paraId="31BDB561">
      <w:pPr>
        <w:pStyle w:val="12"/>
        <w:spacing w:before="120"/>
        <w:ind w:left="0" w:right="34"/>
        <w:jc w:val="both"/>
        <w:rPr>
          <w:rFonts w:ascii="仿宋" w:hAnsi="仿宋" w:eastAsia="仿宋" w:cs="仿宋"/>
          <w:bCs/>
          <w:highlight w:val="none"/>
        </w:rPr>
      </w:pPr>
      <w:r>
        <w:rPr>
          <w:rFonts w:hint="eastAsia" w:ascii="仿宋" w:hAnsi="仿宋" w:eastAsia="仿宋" w:cs="仿宋"/>
          <w:bCs/>
          <w:highlight w:val="none"/>
          <w:lang w:val="en-US" w:eastAsia="zh-CN"/>
        </w:rPr>
        <w:t>3.供应商如对</w:t>
      </w:r>
      <w:r>
        <w:rPr>
          <w:rFonts w:hint="eastAsia" w:ascii="仿宋" w:hAnsi="仿宋" w:eastAsia="仿宋" w:cs="仿宋"/>
          <w:bCs/>
          <w:szCs w:val="24"/>
          <w:highlight w:val="none"/>
        </w:rPr>
        <w:t>“第</w:t>
      </w:r>
      <w:r>
        <w:rPr>
          <w:rFonts w:hint="eastAsia" w:ascii="仿宋" w:hAnsi="仿宋" w:eastAsia="仿宋" w:cs="仿宋"/>
          <w:bCs/>
          <w:szCs w:val="24"/>
          <w:highlight w:val="none"/>
          <w:lang w:val="en-US" w:eastAsia="zh-CN"/>
        </w:rPr>
        <w:t>五章</w:t>
      </w:r>
      <w:r>
        <w:rPr>
          <w:rFonts w:hint="eastAsia" w:ascii="仿宋" w:hAnsi="仿宋" w:eastAsia="仿宋" w:cs="仿宋"/>
          <w:bCs/>
          <w:szCs w:val="24"/>
          <w:highlight w:val="none"/>
        </w:rPr>
        <w:t>商务及合同主要条款”</w:t>
      </w:r>
      <w:r>
        <w:rPr>
          <w:rFonts w:hint="eastAsia" w:ascii="仿宋" w:hAnsi="仿宋" w:eastAsia="仿宋" w:cs="仿宋"/>
          <w:bCs/>
          <w:highlight w:val="none"/>
          <w:lang w:val="en-US" w:eastAsia="zh-CN"/>
        </w:rPr>
        <w:t>无偏离时，可提交空白表。</w:t>
      </w:r>
    </w:p>
    <w:p w14:paraId="26A83FB7">
      <w:pPr>
        <w:pStyle w:val="12"/>
        <w:spacing w:before="120"/>
        <w:ind w:left="0" w:right="34"/>
        <w:jc w:val="both"/>
        <w:rPr>
          <w:rFonts w:ascii="仿宋" w:hAnsi="仿宋" w:eastAsia="仿宋" w:cs="仿宋"/>
          <w:bCs/>
          <w:highlight w:val="none"/>
        </w:rPr>
      </w:pPr>
    </w:p>
    <w:p w14:paraId="7C13408D">
      <w:pPr>
        <w:pStyle w:val="17"/>
        <w:rPr>
          <w:rFonts w:ascii="仿宋" w:hAnsi="仿宋" w:eastAsia="仿宋" w:cs="仿宋"/>
          <w:sz w:val="24"/>
          <w:szCs w:val="24"/>
          <w:highlight w:val="none"/>
        </w:rPr>
      </w:pPr>
    </w:p>
    <w:p w14:paraId="1DA11250">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892235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204CB3AA">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或被授权人：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FF8CF05">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7B684D7">
      <w:pPr>
        <w:rPr>
          <w:rFonts w:ascii="仿宋" w:hAnsi="仿宋" w:eastAsia="仿宋" w:cs="仿宋"/>
          <w:b/>
          <w:bCs/>
          <w:sz w:val="32"/>
          <w:szCs w:val="32"/>
          <w:highlight w:val="none"/>
        </w:rPr>
      </w:pPr>
    </w:p>
    <w:p w14:paraId="5EDDDA00">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19EADE6C">
      <w:pPr>
        <w:pStyle w:val="12"/>
        <w:spacing w:before="120"/>
        <w:ind w:left="0" w:right="34"/>
        <w:jc w:val="center"/>
        <w:rPr>
          <w:rFonts w:ascii="仿宋" w:hAnsi="仿宋" w:eastAsia="仿宋" w:cs="仿宋"/>
          <w:b/>
          <w:bCs/>
          <w:sz w:val="28"/>
          <w:szCs w:val="28"/>
          <w:highlight w:val="none"/>
        </w:rPr>
      </w:pPr>
      <w:bookmarkStart w:id="105" w:name="_Toc14672"/>
      <w:r>
        <w:rPr>
          <w:rFonts w:hint="eastAsia" w:ascii="仿宋" w:hAnsi="仿宋" w:eastAsia="仿宋" w:cs="仿宋"/>
          <w:b/>
          <w:bCs/>
          <w:sz w:val="28"/>
          <w:szCs w:val="28"/>
          <w:highlight w:val="none"/>
        </w:rPr>
        <w:t>2、</w:t>
      </w:r>
      <w:r>
        <w:rPr>
          <w:rFonts w:hint="eastAsia" w:ascii="仿宋" w:hAnsi="仿宋" w:eastAsia="仿宋" w:cs="仿宋"/>
          <w:b/>
          <w:bCs/>
          <w:sz w:val="28"/>
          <w:szCs w:val="28"/>
          <w:highlight w:val="none"/>
          <w:lang w:val="en-US" w:eastAsia="zh-CN"/>
        </w:rPr>
        <w:t>服务</w:t>
      </w:r>
      <w:r>
        <w:rPr>
          <w:rFonts w:hint="eastAsia" w:ascii="仿宋" w:hAnsi="仿宋" w:eastAsia="仿宋" w:cs="仿宋"/>
          <w:b/>
          <w:bCs/>
          <w:sz w:val="28"/>
          <w:szCs w:val="28"/>
          <w:highlight w:val="none"/>
        </w:rPr>
        <w:t>偏离表</w:t>
      </w:r>
      <w:bookmarkEnd w:id="105"/>
    </w:p>
    <w:tbl>
      <w:tblPr>
        <w:tblStyle w:val="26"/>
        <w:tblW w:w="89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02"/>
        <w:gridCol w:w="2332"/>
        <w:gridCol w:w="2220"/>
        <w:gridCol w:w="2195"/>
        <w:gridCol w:w="1440"/>
      </w:tblGrid>
      <w:tr w14:paraId="32041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802" w:type="dxa"/>
            <w:vAlign w:val="center"/>
          </w:tcPr>
          <w:p w14:paraId="25983125">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2332" w:type="dxa"/>
            <w:vAlign w:val="center"/>
          </w:tcPr>
          <w:p w14:paraId="19D557DB">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val="en-US" w:eastAsia="zh-CN"/>
              </w:rPr>
              <w:t>磋商文件</w:t>
            </w:r>
            <w:r>
              <w:rPr>
                <w:rFonts w:hint="eastAsia" w:ascii="仿宋" w:hAnsi="仿宋" w:eastAsia="仿宋" w:cs="仿宋"/>
                <w:b/>
                <w:bCs/>
                <w:sz w:val="24"/>
                <w:highlight w:val="none"/>
              </w:rPr>
              <w:t>服务要求</w:t>
            </w:r>
          </w:p>
        </w:tc>
        <w:tc>
          <w:tcPr>
            <w:tcW w:w="2220" w:type="dxa"/>
            <w:vAlign w:val="center"/>
          </w:tcPr>
          <w:p w14:paraId="5D462B5D">
            <w:pPr>
              <w:spacing w:line="360" w:lineRule="auto"/>
              <w:jc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磋商响应内容</w:t>
            </w:r>
          </w:p>
        </w:tc>
        <w:tc>
          <w:tcPr>
            <w:tcW w:w="2195" w:type="dxa"/>
            <w:vAlign w:val="center"/>
          </w:tcPr>
          <w:p w14:paraId="1359DACE">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偏离情况</w:t>
            </w:r>
          </w:p>
        </w:tc>
        <w:tc>
          <w:tcPr>
            <w:tcW w:w="1440" w:type="dxa"/>
            <w:vAlign w:val="center"/>
          </w:tcPr>
          <w:p w14:paraId="2FFEAE60">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说明及证明材料位置</w:t>
            </w:r>
          </w:p>
        </w:tc>
      </w:tr>
      <w:tr w14:paraId="098FF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488025CD">
            <w:pPr>
              <w:spacing w:line="360" w:lineRule="auto"/>
              <w:jc w:val="center"/>
              <w:rPr>
                <w:rFonts w:ascii="仿宋" w:hAnsi="仿宋" w:eastAsia="仿宋" w:cs="仿宋"/>
                <w:sz w:val="24"/>
                <w:highlight w:val="none"/>
              </w:rPr>
            </w:pPr>
          </w:p>
        </w:tc>
        <w:tc>
          <w:tcPr>
            <w:tcW w:w="2332" w:type="dxa"/>
          </w:tcPr>
          <w:p w14:paraId="79FAA0E1">
            <w:pPr>
              <w:spacing w:line="360" w:lineRule="auto"/>
              <w:jc w:val="center"/>
              <w:rPr>
                <w:rFonts w:ascii="仿宋" w:hAnsi="仿宋" w:eastAsia="仿宋" w:cs="仿宋"/>
                <w:sz w:val="24"/>
                <w:highlight w:val="none"/>
              </w:rPr>
            </w:pPr>
          </w:p>
        </w:tc>
        <w:tc>
          <w:tcPr>
            <w:tcW w:w="2220" w:type="dxa"/>
          </w:tcPr>
          <w:p w14:paraId="49AC5D4B">
            <w:pPr>
              <w:spacing w:line="360" w:lineRule="auto"/>
              <w:jc w:val="center"/>
              <w:rPr>
                <w:rFonts w:ascii="仿宋" w:hAnsi="仿宋" w:eastAsia="仿宋" w:cs="仿宋"/>
                <w:sz w:val="24"/>
                <w:highlight w:val="none"/>
              </w:rPr>
            </w:pPr>
          </w:p>
        </w:tc>
        <w:tc>
          <w:tcPr>
            <w:tcW w:w="2195" w:type="dxa"/>
          </w:tcPr>
          <w:p w14:paraId="21DB474B">
            <w:pPr>
              <w:spacing w:line="360" w:lineRule="auto"/>
              <w:jc w:val="center"/>
              <w:rPr>
                <w:rFonts w:ascii="仿宋" w:hAnsi="仿宋" w:eastAsia="仿宋" w:cs="仿宋"/>
                <w:sz w:val="24"/>
                <w:highlight w:val="none"/>
              </w:rPr>
            </w:pPr>
          </w:p>
        </w:tc>
        <w:tc>
          <w:tcPr>
            <w:tcW w:w="1440" w:type="dxa"/>
          </w:tcPr>
          <w:p w14:paraId="0D40C2C5">
            <w:pPr>
              <w:spacing w:line="360" w:lineRule="auto"/>
              <w:jc w:val="center"/>
              <w:rPr>
                <w:rFonts w:ascii="仿宋" w:hAnsi="仿宋" w:eastAsia="仿宋" w:cs="仿宋"/>
                <w:sz w:val="24"/>
                <w:highlight w:val="none"/>
              </w:rPr>
            </w:pPr>
          </w:p>
        </w:tc>
      </w:tr>
      <w:tr w14:paraId="6F9B7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668F0EEF">
            <w:pPr>
              <w:spacing w:line="360" w:lineRule="auto"/>
              <w:jc w:val="center"/>
              <w:rPr>
                <w:rFonts w:ascii="仿宋" w:hAnsi="仿宋" w:eastAsia="仿宋" w:cs="仿宋"/>
                <w:sz w:val="24"/>
                <w:highlight w:val="none"/>
              </w:rPr>
            </w:pPr>
          </w:p>
        </w:tc>
        <w:tc>
          <w:tcPr>
            <w:tcW w:w="2332" w:type="dxa"/>
          </w:tcPr>
          <w:p w14:paraId="53B4BDD3">
            <w:pPr>
              <w:spacing w:line="360" w:lineRule="auto"/>
              <w:jc w:val="center"/>
              <w:rPr>
                <w:rFonts w:ascii="仿宋" w:hAnsi="仿宋" w:eastAsia="仿宋" w:cs="仿宋"/>
                <w:sz w:val="24"/>
                <w:highlight w:val="none"/>
              </w:rPr>
            </w:pPr>
          </w:p>
        </w:tc>
        <w:tc>
          <w:tcPr>
            <w:tcW w:w="2220" w:type="dxa"/>
          </w:tcPr>
          <w:p w14:paraId="4A54B777">
            <w:pPr>
              <w:spacing w:line="360" w:lineRule="auto"/>
              <w:jc w:val="center"/>
              <w:rPr>
                <w:rFonts w:ascii="仿宋" w:hAnsi="仿宋" w:eastAsia="仿宋" w:cs="仿宋"/>
                <w:sz w:val="24"/>
                <w:highlight w:val="none"/>
              </w:rPr>
            </w:pPr>
          </w:p>
        </w:tc>
        <w:tc>
          <w:tcPr>
            <w:tcW w:w="2195" w:type="dxa"/>
          </w:tcPr>
          <w:p w14:paraId="4814673A">
            <w:pPr>
              <w:spacing w:line="360" w:lineRule="auto"/>
              <w:jc w:val="center"/>
              <w:rPr>
                <w:rFonts w:ascii="仿宋" w:hAnsi="仿宋" w:eastAsia="仿宋" w:cs="仿宋"/>
                <w:sz w:val="24"/>
                <w:highlight w:val="none"/>
              </w:rPr>
            </w:pPr>
          </w:p>
        </w:tc>
        <w:tc>
          <w:tcPr>
            <w:tcW w:w="1440" w:type="dxa"/>
          </w:tcPr>
          <w:p w14:paraId="38B74083">
            <w:pPr>
              <w:spacing w:line="360" w:lineRule="auto"/>
              <w:jc w:val="center"/>
              <w:rPr>
                <w:rFonts w:ascii="仿宋" w:hAnsi="仿宋" w:eastAsia="仿宋" w:cs="仿宋"/>
                <w:sz w:val="24"/>
                <w:highlight w:val="none"/>
              </w:rPr>
            </w:pPr>
          </w:p>
        </w:tc>
      </w:tr>
      <w:tr w14:paraId="52B80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FEB1946">
            <w:pPr>
              <w:spacing w:line="360" w:lineRule="auto"/>
              <w:jc w:val="center"/>
              <w:rPr>
                <w:rFonts w:ascii="仿宋" w:hAnsi="仿宋" w:eastAsia="仿宋" w:cs="仿宋"/>
                <w:sz w:val="24"/>
                <w:highlight w:val="none"/>
              </w:rPr>
            </w:pPr>
          </w:p>
        </w:tc>
        <w:tc>
          <w:tcPr>
            <w:tcW w:w="2332" w:type="dxa"/>
          </w:tcPr>
          <w:p w14:paraId="70C40FE1">
            <w:pPr>
              <w:spacing w:line="360" w:lineRule="auto"/>
              <w:jc w:val="center"/>
              <w:rPr>
                <w:rFonts w:ascii="仿宋" w:hAnsi="仿宋" w:eastAsia="仿宋" w:cs="仿宋"/>
                <w:sz w:val="24"/>
                <w:highlight w:val="none"/>
              </w:rPr>
            </w:pPr>
          </w:p>
        </w:tc>
        <w:tc>
          <w:tcPr>
            <w:tcW w:w="2220" w:type="dxa"/>
          </w:tcPr>
          <w:p w14:paraId="0BCD3AAB">
            <w:pPr>
              <w:spacing w:line="360" w:lineRule="auto"/>
              <w:jc w:val="center"/>
              <w:rPr>
                <w:rFonts w:ascii="仿宋" w:hAnsi="仿宋" w:eastAsia="仿宋" w:cs="仿宋"/>
                <w:sz w:val="24"/>
                <w:highlight w:val="none"/>
              </w:rPr>
            </w:pPr>
          </w:p>
        </w:tc>
        <w:tc>
          <w:tcPr>
            <w:tcW w:w="2195" w:type="dxa"/>
          </w:tcPr>
          <w:p w14:paraId="4DAC47E4">
            <w:pPr>
              <w:spacing w:line="360" w:lineRule="auto"/>
              <w:jc w:val="center"/>
              <w:rPr>
                <w:rFonts w:ascii="仿宋" w:hAnsi="仿宋" w:eastAsia="仿宋" w:cs="仿宋"/>
                <w:sz w:val="24"/>
                <w:highlight w:val="none"/>
              </w:rPr>
            </w:pPr>
          </w:p>
        </w:tc>
        <w:tc>
          <w:tcPr>
            <w:tcW w:w="1440" w:type="dxa"/>
          </w:tcPr>
          <w:p w14:paraId="46C9E216">
            <w:pPr>
              <w:spacing w:line="360" w:lineRule="auto"/>
              <w:jc w:val="center"/>
              <w:rPr>
                <w:rFonts w:ascii="仿宋" w:hAnsi="仿宋" w:eastAsia="仿宋" w:cs="仿宋"/>
                <w:sz w:val="24"/>
                <w:highlight w:val="none"/>
              </w:rPr>
            </w:pPr>
          </w:p>
        </w:tc>
      </w:tr>
      <w:tr w14:paraId="14E7C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6EA7A31">
            <w:pPr>
              <w:spacing w:line="360" w:lineRule="auto"/>
              <w:jc w:val="center"/>
              <w:rPr>
                <w:rFonts w:ascii="仿宋" w:hAnsi="仿宋" w:eastAsia="仿宋" w:cs="仿宋"/>
                <w:sz w:val="24"/>
                <w:highlight w:val="none"/>
              </w:rPr>
            </w:pPr>
          </w:p>
        </w:tc>
        <w:tc>
          <w:tcPr>
            <w:tcW w:w="2332" w:type="dxa"/>
          </w:tcPr>
          <w:p w14:paraId="298760CD">
            <w:pPr>
              <w:spacing w:line="360" w:lineRule="auto"/>
              <w:jc w:val="center"/>
              <w:rPr>
                <w:rFonts w:ascii="仿宋" w:hAnsi="仿宋" w:eastAsia="仿宋" w:cs="仿宋"/>
                <w:sz w:val="24"/>
                <w:highlight w:val="none"/>
              </w:rPr>
            </w:pPr>
          </w:p>
        </w:tc>
        <w:tc>
          <w:tcPr>
            <w:tcW w:w="2220" w:type="dxa"/>
          </w:tcPr>
          <w:p w14:paraId="3341DE1A">
            <w:pPr>
              <w:spacing w:line="360" w:lineRule="auto"/>
              <w:jc w:val="center"/>
              <w:rPr>
                <w:rFonts w:ascii="仿宋" w:hAnsi="仿宋" w:eastAsia="仿宋" w:cs="仿宋"/>
                <w:sz w:val="24"/>
                <w:highlight w:val="none"/>
              </w:rPr>
            </w:pPr>
          </w:p>
        </w:tc>
        <w:tc>
          <w:tcPr>
            <w:tcW w:w="2195" w:type="dxa"/>
          </w:tcPr>
          <w:p w14:paraId="28C98FB3">
            <w:pPr>
              <w:spacing w:line="360" w:lineRule="auto"/>
              <w:jc w:val="center"/>
              <w:rPr>
                <w:rFonts w:ascii="仿宋" w:hAnsi="仿宋" w:eastAsia="仿宋" w:cs="仿宋"/>
                <w:sz w:val="24"/>
                <w:highlight w:val="none"/>
              </w:rPr>
            </w:pPr>
          </w:p>
        </w:tc>
        <w:tc>
          <w:tcPr>
            <w:tcW w:w="1440" w:type="dxa"/>
          </w:tcPr>
          <w:p w14:paraId="40B76B9A">
            <w:pPr>
              <w:spacing w:line="360" w:lineRule="auto"/>
              <w:jc w:val="center"/>
              <w:rPr>
                <w:rFonts w:ascii="仿宋" w:hAnsi="仿宋" w:eastAsia="仿宋" w:cs="仿宋"/>
                <w:sz w:val="24"/>
                <w:highlight w:val="none"/>
              </w:rPr>
            </w:pPr>
          </w:p>
        </w:tc>
      </w:tr>
      <w:tr w14:paraId="01243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7F83503">
            <w:pPr>
              <w:spacing w:line="360" w:lineRule="auto"/>
              <w:jc w:val="center"/>
              <w:rPr>
                <w:rFonts w:ascii="仿宋" w:hAnsi="仿宋" w:eastAsia="仿宋" w:cs="仿宋"/>
                <w:sz w:val="24"/>
                <w:highlight w:val="none"/>
              </w:rPr>
            </w:pPr>
          </w:p>
        </w:tc>
        <w:tc>
          <w:tcPr>
            <w:tcW w:w="2332" w:type="dxa"/>
          </w:tcPr>
          <w:p w14:paraId="131EB4DF">
            <w:pPr>
              <w:spacing w:line="360" w:lineRule="auto"/>
              <w:jc w:val="center"/>
              <w:rPr>
                <w:rFonts w:ascii="仿宋" w:hAnsi="仿宋" w:eastAsia="仿宋" w:cs="仿宋"/>
                <w:sz w:val="24"/>
                <w:highlight w:val="none"/>
              </w:rPr>
            </w:pPr>
          </w:p>
        </w:tc>
        <w:tc>
          <w:tcPr>
            <w:tcW w:w="2220" w:type="dxa"/>
          </w:tcPr>
          <w:p w14:paraId="48250CD3">
            <w:pPr>
              <w:spacing w:line="360" w:lineRule="auto"/>
              <w:jc w:val="center"/>
              <w:rPr>
                <w:rFonts w:ascii="仿宋" w:hAnsi="仿宋" w:eastAsia="仿宋" w:cs="仿宋"/>
                <w:sz w:val="24"/>
                <w:highlight w:val="none"/>
              </w:rPr>
            </w:pPr>
          </w:p>
        </w:tc>
        <w:tc>
          <w:tcPr>
            <w:tcW w:w="2195" w:type="dxa"/>
          </w:tcPr>
          <w:p w14:paraId="7DB9FF75">
            <w:pPr>
              <w:spacing w:line="360" w:lineRule="auto"/>
              <w:jc w:val="center"/>
              <w:rPr>
                <w:rFonts w:ascii="仿宋" w:hAnsi="仿宋" w:eastAsia="仿宋" w:cs="仿宋"/>
                <w:sz w:val="24"/>
                <w:highlight w:val="none"/>
              </w:rPr>
            </w:pPr>
          </w:p>
        </w:tc>
        <w:tc>
          <w:tcPr>
            <w:tcW w:w="1440" w:type="dxa"/>
          </w:tcPr>
          <w:p w14:paraId="7DA126AF">
            <w:pPr>
              <w:spacing w:line="360" w:lineRule="auto"/>
              <w:jc w:val="center"/>
              <w:rPr>
                <w:rFonts w:ascii="仿宋" w:hAnsi="仿宋" w:eastAsia="仿宋" w:cs="仿宋"/>
                <w:sz w:val="24"/>
                <w:highlight w:val="none"/>
              </w:rPr>
            </w:pPr>
          </w:p>
        </w:tc>
      </w:tr>
      <w:tr w14:paraId="1609D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39636ED0">
            <w:pPr>
              <w:spacing w:line="360" w:lineRule="auto"/>
              <w:jc w:val="center"/>
              <w:rPr>
                <w:rFonts w:ascii="仿宋" w:hAnsi="仿宋" w:eastAsia="仿宋" w:cs="仿宋"/>
                <w:sz w:val="24"/>
                <w:highlight w:val="none"/>
              </w:rPr>
            </w:pPr>
          </w:p>
        </w:tc>
        <w:tc>
          <w:tcPr>
            <w:tcW w:w="2332" w:type="dxa"/>
          </w:tcPr>
          <w:p w14:paraId="15B5C6F6">
            <w:pPr>
              <w:spacing w:line="360" w:lineRule="auto"/>
              <w:jc w:val="center"/>
              <w:rPr>
                <w:rFonts w:ascii="仿宋" w:hAnsi="仿宋" w:eastAsia="仿宋" w:cs="仿宋"/>
                <w:sz w:val="24"/>
                <w:highlight w:val="none"/>
              </w:rPr>
            </w:pPr>
          </w:p>
        </w:tc>
        <w:tc>
          <w:tcPr>
            <w:tcW w:w="2220" w:type="dxa"/>
          </w:tcPr>
          <w:p w14:paraId="1BD15C95">
            <w:pPr>
              <w:spacing w:line="360" w:lineRule="auto"/>
              <w:jc w:val="center"/>
              <w:rPr>
                <w:rFonts w:ascii="仿宋" w:hAnsi="仿宋" w:eastAsia="仿宋" w:cs="仿宋"/>
                <w:sz w:val="24"/>
                <w:highlight w:val="none"/>
              </w:rPr>
            </w:pPr>
          </w:p>
        </w:tc>
        <w:tc>
          <w:tcPr>
            <w:tcW w:w="2195" w:type="dxa"/>
          </w:tcPr>
          <w:p w14:paraId="185AF67B">
            <w:pPr>
              <w:spacing w:line="360" w:lineRule="auto"/>
              <w:jc w:val="center"/>
              <w:rPr>
                <w:rFonts w:ascii="仿宋" w:hAnsi="仿宋" w:eastAsia="仿宋" w:cs="仿宋"/>
                <w:sz w:val="24"/>
                <w:highlight w:val="none"/>
              </w:rPr>
            </w:pPr>
          </w:p>
        </w:tc>
        <w:tc>
          <w:tcPr>
            <w:tcW w:w="1440" w:type="dxa"/>
          </w:tcPr>
          <w:p w14:paraId="1DEB7B82">
            <w:pPr>
              <w:spacing w:line="360" w:lineRule="auto"/>
              <w:jc w:val="center"/>
              <w:rPr>
                <w:rFonts w:ascii="仿宋" w:hAnsi="仿宋" w:eastAsia="仿宋" w:cs="仿宋"/>
                <w:sz w:val="24"/>
                <w:highlight w:val="none"/>
              </w:rPr>
            </w:pPr>
          </w:p>
        </w:tc>
      </w:tr>
      <w:tr w14:paraId="0C903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535844AA">
            <w:pPr>
              <w:spacing w:line="360" w:lineRule="auto"/>
              <w:jc w:val="center"/>
              <w:rPr>
                <w:rFonts w:ascii="仿宋" w:hAnsi="仿宋" w:eastAsia="仿宋" w:cs="仿宋"/>
                <w:sz w:val="24"/>
                <w:highlight w:val="none"/>
              </w:rPr>
            </w:pPr>
          </w:p>
        </w:tc>
        <w:tc>
          <w:tcPr>
            <w:tcW w:w="2332" w:type="dxa"/>
          </w:tcPr>
          <w:p w14:paraId="782B8A2F">
            <w:pPr>
              <w:spacing w:line="360" w:lineRule="auto"/>
              <w:jc w:val="center"/>
              <w:rPr>
                <w:rFonts w:ascii="仿宋" w:hAnsi="仿宋" w:eastAsia="仿宋" w:cs="仿宋"/>
                <w:sz w:val="24"/>
                <w:highlight w:val="none"/>
              </w:rPr>
            </w:pPr>
          </w:p>
        </w:tc>
        <w:tc>
          <w:tcPr>
            <w:tcW w:w="2220" w:type="dxa"/>
          </w:tcPr>
          <w:p w14:paraId="41254215">
            <w:pPr>
              <w:spacing w:line="360" w:lineRule="auto"/>
              <w:jc w:val="center"/>
              <w:rPr>
                <w:rFonts w:ascii="仿宋" w:hAnsi="仿宋" w:eastAsia="仿宋" w:cs="仿宋"/>
                <w:sz w:val="24"/>
                <w:highlight w:val="none"/>
              </w:rPr>
            </w:pPr>
          </w:p>
        </w:tc>
        <w:tc>
          <w:tcPr>
            <w:tcW w:w="2195" w:type="dxa"/>
          </w:tcPr>
          <w:p w14:paraId="2421616B">
            <w:pPr>
              <w:spacing w:line="360" w:lineRule="auto"/>
              <w:jc w:val="center"/>
              <w:rPr>
                <w:rFonts w:ascii="仿宋" w:hAnsi="仿宋" w:eastAsia="仿宋" w:cs="仿宋"/>
                <w:sz w:val="24"/>
                <w:highlight w:val="none"/>
              </w:rPr>
            </w:pPr>
          </w:p>
        </w:tc>
        <w:tc>
          <w:tcPr>
            <w:tcW w:w="1440" w:type="dxa"/>
          </w:tcPr>
          <w:p w14:paraId="0E966263">
            <w:pPr>
              <w:spacing w:line="360" w:lineRule="auto"/>
              <w:jc w:val="center"/>
              <w:rPr>
                <w:rFonts w:ascii="仿宋" w:hAnsi="仿宋" w:eastAsia="仿宋" w:cs="仿宋"/>
                <w:sz w:val="24"/>
                <w:highlight w:val="none"/>
              </w:rPr>
            </w:pPr>
          </w:p>
        </w:tc>
      </w:tr>
      <w:tr w14:paraId="6E664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6267CFF5">
            <w:pPr>
              <w:spacing w:line="360" w:lineRule="auto"/>
              <w:jc w:val="center"/>
              <w:rPr>
                <w:rFonts w:ascii="仿宋" w:hAnsi="仿宋" w:eastAsia="仿宋" w:cs="仿宋"/>
                <w:sz w:val="24"/>
                <w:highlight w:val="none"/>
              </w:rPr>
            </w:pPr>
          </w:p>
        </w:tc>
        <w:tc>
          <w:tcPr>
            <w:tcW w:w="2332" w:type="dxa"/>
          </w:tcPr>
          <w:p w14:paraId="40575464">
            <w:pPr>
              <w:spacing w:line="360" w:lineRule="auto"/>
              <w:jc w:val="center"/>
              <w:rPr>
                <w:rFonts w:ascii="仿宋" w:hAnsi="仿宋" w:eastAsia="仿宋" w:cs="仿宋"/>
                <w:sz w:val="24"/>
                <w:highlight w:val="none"/>
              </w:rPr>
            </w:pPr>
          </w:p>
        </w:tc>
        <w:tc>
          <w:tcPr>
            <w:tcW w:w="2220" w:type="dxa"/>
          </w:tcPr>
          <w:p w14:paraId="202D3838">
            <w:pPr>
              <w:spacing w:line="360" w:lineRule="auto"/>
              <w:jc w:val="center"/>
              <w:rPr>
                <w:rFonts w:ascii="仿宋" w:hAnsi="仿宋" w:eastAsia="仿宋" w:cs="仿宋"/>
                <w:sz w:val="24"/>
                <w:highlight w:val="none"/>
              </w:rPr>
            </w:pPr>
          </w:p>
        </w:tc>
        <w:tc>
          <w:tcPr>
            <w:tcW w:w="2195" w:type="dxa"/>
          </w:tcPr>
          <w:p w14:paraId="188E9134">
            <w:pPr>
              <w:spacing w:line="360" w:lineRule="auto"/>
              <w:jc w:val="center"/>
              <w:rPr>
                <w:rFonts w:ascii="仿宋" w:hAnsi="仿宋" w:eastAsia="仿宋" w:cs="仿宋"/>
                <w:sz w:val="24"/>
                <w:highlight w:val="none"/>
              </w:rPr>
            </w:pPr>
          </w:p>
        </w:tc>
        <w:tc>
          <w:tcPr>
            <w:tcW w:w="1440" w:type="dxa"/>
          </w:tcPr>
          <w:p w14:paraId="556B5657">
            <w:pPr>
              <w:spacing w:line="360" w:lineRule="auto"/>
              <w:jc w:val="center"/>
              <w:rPr>
                <w:rFonts w:ascii="仿宋" w:hAnsi="仿宋" w:eastAsia="仿宋" w:cs="仿宋"/>
                <w:sz w:val="24"/>
                <w:highlight w:val="none"/>
              </w:rPr>
            </w:pPr>
          </w:p>
        </w:tc>
      </w:tr>
    </w:tbl>
    <w:p w14:paraId="135A3B43">
      <w:pPr>
        <w:spacing w:line="480" w:lineRule="auto"/>
        <w:rPr>
          <w:rFonts w:ascii="仿宋" w:hAnsi="仿宋" w:eastAsia="仿宋" w:cs="仿宋"/>
          <w:sz w:val="24"/>
          <w:highlight w:val="none"/>
        </w:rPr>
      </w:pPr>
      <w:r>
        <w:rPr>
          <w:rFonts w:hint="eastAsia" w:ascii="仿宋" w:hAnsi="仿宋" w:eastAsia="仿宋" w:cs="仿宋"/>
          <w:sz w:val="24"/>
          <w:highlight w:val="none"/>
        </w:rPr>
        <w:t>注：</w:t>
      </w:r>
    </w:p>
    <w:p w14:paraId="06C24D52">
      <w:pPr>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磋商文件</w:t>
      </w:r>
      <w:r>
        <w:rPr>
          <w:rFonts w:hint="eastAsia" w:ascii="仿宋" w:hAnsi="仿宋" w:eastAsia="仿宋" w:cs="仿宋"/>
          <w:sz w:val="24"/>
          <w:szCs w:val="24"/>
          <w:highlight w:val="none"/>
        </w:rPr>
        <w:t>服务要求”一栏应填写第</w:t>
      </w:r>
      <w:r>
        <w:rPr>
          <w:rFonts w:hint="eastAsia" w:ascii="仿宋" w:hAnsi="仿宋" w:eastAsia="仿宋" w:cs="仿宋"/>
          <w:sz w:val="24"/>
          <w:szCs w:val="24"/>
          <w:highlight w:val="none"/>
          <w:lang w:val="en-US" w:eastAsia="zh-CN"/>
        </w:rPr>
        <w:t>四章</w:t>
      </w:r>
      <w:r>
        <w:rPr>
          <w:rFonts w:hint="eastAsia" w:ascii="仿宋" w:hAnsi="仿宋" w:eastAsia="仿宋" w:cs="仿宋"/>
          <w:sz w:val="24"/>
          <w:szCs w:val="24"/>
          <w:highlight w:val="none"/>
        </w:rPr>
        <w:t>磋商要求及说明的内容；</w:t>
      </w:r>
    </w:p>
    <w:p w14:paraId="48392E0D">
      <w:pPr>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磋商响应内容</w:t>
      </w:r>
      <w:r>
        <w:rPr>
          <w:rFonts w:hint="eastAsia" w:ascii="仿宋" w:hAnsi="仿宋" w:eastAsia="仿宋" w:cs="仿宋"/>
          <w:sz w:val="24"/>
          <w:szCs w:val="24"/>
          <w:highlight w:val="none"/>
        </w:rPr>
        <w:t>”一栏必须详细，并应对照</w:t>
      </w:r>
      <w:r>
        <w:rPr>
          <w:rFonts w:hint="eastAsia" w:ascii="仿宋" w:hAnsi="仿宋" w:eastAsia="仿宋" w:cs="仿宋"/>
          <w:sz w:val="24"/>
          <w:szCs w:val="24"/>
          <w:highlight w:val="none"/>
          <w:lang w:val="en-US" w:eastAsia="zh-CN"/>
        </w:rPr>
        <w:t>磋商要求及说明</w:t>
      </w:r>
      <w:r>
        <w:rPr>
          <w:rFonts w:hint="eastAsia" w:ascii="仿宋" w:hAnsi="仿宋" w:eastAsia="仿宋" w:cs="仿宋"/>
          <w:sz w:val="24"/>
          <w:szCs w:val="24"/>
          <w:highlight w:val="none"/>
        </w:rPr>
        <w:t>一一对应响应；</w:t>
      </w:r>
    </w:p>
    <w:p w14:paraId="7AB36D8A">
      <w:pPr>
        <w:rPr>
          <w:rFonts w:hint="eastAsia" w:ascii="仿宋" w:hAnsi="仿宋" w:eastAsia="仿宋" w:cs="仿宋"/>
          <w:sz w:val="24"/>
          <w:szCs w:val="24"/>
          <w:highlight w:val="none"/>
        </w:rPr>
      </w:pPr>
      <w:r>
        <w:rPr>
          <w:rFonts w:hint="eastAsia" w:ascii="仿宋" w:hAnsi="仿宋" w:eastAsia="仿宋" w:cs="仿宋"/>
          <w:sz w:val="24"/>
          <w:szCs w:val="24"/>
          <w:highlight w:val="none"/>
        </w:rPr>
        <w:t>3、“偏离情况”一栏应如实填写“正偏离”、“负偏离”或“无偏离”；</w:t>
      </w:r>
    </w:p>
    <w:p w14:paraId="103DCF5F">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所填写的“偏离情况”与</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判定不一致时，以</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意见为主。</w:t>
      </w:r>
    </w:p>
    <w:p w14:paraId="71DA0F8E">
      <w:pPr>
        <w:spacing w:line="480" w:lineRule="auto"/>
        <w:ind w:firstLine="2940" w:firstLineChars="1400"/>
        <w:rPr>
          <w:rFonts w:hint="eastAsia" w:ascii="仿宋" w:hAnsi="仿宋" w:eastAsia="仿宋" w:cs="仿宋"/>
          <w:highlight w:val="none"/>
        </w:rPr>
      </w:pPr>
    </w:p>
    <w:p w14:paraId="37E9F09E">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4CCBA8E">
      <w:pPr>
        <w:spacing w:line="360" w:lineRule="auto"/>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法定代表人</w:t>
      </w:r>
    </w:p>
    <w:p w14:paraId="19D038D9">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none"/>
        </w:rPr>
        <w:t>或被授权人：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2367E1C7">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C7A5945">
      <w:pPr>
        <w:pStyle w:val="32"/>
        <w:spacing w:line="500" w:lineRule="exact"/>
        <w:ind w:firstLine="2520" w:firstLineChars="1200"/>
        <w:rPr>
          <w:rFonts w:ascii="仿宋" w:hAnsi="仿宋" w:eastAsia="仿宋" w:cs="仿宋"/>
          <w:szCs w:val="24"/>
          <w:highlight w:val="none"/>
        </w:rPr>
      </w:pPr>
    </w:p>
    <w:p w14:paraId="6C8C1293">
      <w:pPr>
        <w:pStyle w:val="36"/>
        <w:spacing w:beforeLines="50"/>
        <w:ind w:firstLine="3360" w:firstLineChars="1400"/>
        <w:outlineLvl w:val="9"/>
        <w:rPr>
          <w:rFonts w:ascii="仿宋" w:hAnsi="仿宋" w:eastAsia="仿宋" w:cs="仿宋"/>
          <w:sz w:val="24"/>
          <w:szCs w:val="24"/>
          <w:highlight w:val="none"/>
        </w:rPr>
      </w:pPr>
    </w:p>
    <w:p w14:paraId="0B79877A">
      <w:pPr>
        <w:outlineLvl w:val="9"/>
        <w:rPr>
          <w:rFonts w:ascii="仿宋" w:hAnsi="仿宋" w:eastAsia="仿宋" w:cs="仿宋"/>
          <w:szCs w:val="28"/>
          <w:highlight w:val="none"/>
        </w:rPr>
      </w:pPr>
    </w:p>
    <w:p w14:paraId="016488F5">
      <w:pPr>
        <w:outlineLvl w:val="9"/>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0A880AA6">
      <w:pPr>
        <w:overflowPunct w:val="0"/>
        <w:spacing w:line="360" w:lineRule="auto"/>
        <w:jc w:val="center"/>
        <w:outlineLvl w:val="1"/>
        <w:rPr>
          <w:rFonts w:hint="eastAsia" w:ascii="仿宋" w:hAnsi="仿宋" w:eastAsia="仿宋" w:cs="仿宋"/>
          <w:b/>
          <w:bCs/>
          <w:sz w:val="30"/>
          <w:szCs w:val="30"/>
          <w:highlight w:val="none"/>
        </w:rPr>
      </w:pPr>
      <w:bookmarkStart w:id="106" w:name="_Toc19284"/>
      <w:bookmarkStart w:id="107" w:name="_Toc627"/>
      <w:r>
        <w:rPr>
          <w:rFonts w:hint="eastAsia" w:ascii="仿宋" w:hAnsi="仿宋" w:eastAsia="仿宋" w:cs="仿宋"/>
          <w:b/>
          <w:bCs/>
          <w:sz w:val="30"/>
          <w:szCs w:val="30"/>
          <w:highlight w:val="none"/>
          <w:lang w:val="en-US" w:eastAsia="zh-CN"/>
        </w:rPr>
        <w:t>八</w:t>
      </w:r>
      <w:r>
        <w:rPr>
          <w:rFonts w:hint="eastAsia" w:ascii="仿宋" w:hAnsi="仿宋" w:eastAsia="仿宋" w:cs="仿宋"/>
          <w:b/>
          <w:bCs/>
          <w:sz w:val="30"/>
          <w:szCs w:val="30"/>
          <w:highlight w:val="none"/>
        </w:rPr>
        <w:t>、资格证明文件</w:t>
      </w:r>
      <w:bookmarkEnd w:id="106"/>
      <w:bookmarkEnd w:id="107"/>
    </w:p>
    <w:p w14:paraId="13F05FF7">
      <w:pPr>
        <w:overflowPunct w:val="0"/>
        <w:spacing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供应商情况表</w:t>
      </w:r>
    </w:p>
    <w:tbl>
      <w:tblPr>
        <w:tblStyle w:val="26"/>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764"/>
        <w:gridCol w:w="2265"/>
        <w:gridCol w:w="1848"/>
      </w:tblGrid>
      <w:tr w14:paraId="177B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2337D40C">
            <w:pPr>
              <w:overflowPunct w:val="0"/>
              <w:spacing w:line="400" w:lineRule="atLeast"/>
              <w:jc w:val="center"/>
              <w:rPr>
                <w:rFonts w:ascii="仿宋" w:hAnsi="仿宋" w:eastAsia="仿宋" w:cs="仿宋"/>
                <w:sz w:val="24"/>
                <w:highlight w:val="none"/>
              </w:rPr>
            </w:pPr>
            <w:r>
              <w:rPr>
                <w:rFonts w:hint="eastAsia" w:ascii="仿宋" w:hAnsi="仿宋" w:eastAsia="仿宋" w:cs="仿宋"/>
                <w:sz w:val="24"/>
                <w:highlight w:val="none"/>
              </w:rPr>
              <w:t>单位名称</w:t>
            </w:r>
          </w:p>
        </w:tc>
        <w:tc>
          <w:tcPr>
            <w:tcW w:w="2764" w:type="dxa"/>
          </w:tcPr>
          <w:p w14:paraId="30936BC9">
            <w:pPr>
              <w:overflowPunct w:val="0"/>
              <w:spacing w:line="400" w:lineRule="atLeast"/>
              <w:jc w:val="center"/>
              <w:rPr>
                <w:rFonts w:ascii="仿宋" w:hAnsi="仿宋" w:eastAsia="仿宋" w:cs="仿宋"/>
                <w:sz w:val="24"/>
                <w:highlight w:val="none"/>
              </w:rPr>
            </w:pPr>
          </w:p>
        </w:tc>
        <w:tc>
          <w:tcPr>
            <w:tcW w:w="2265" w:type="dxa"/>
          </w:tcPr>
          <w:p w14:paraId="1A792C27">
            <w:pPr>
              <w:overflowPunct w:val="0"/>
              <w:spacing w:line="400" w:lineRule="atLeast"/>
              <w:jc w:val="center"/>
              <w:rPr>
                <w:rFonts w:ascii="仿宋" w:hAnsi="仿宋" w:eastAsia="仿宋" w:cs="仿宋"/>
                <w:sz w:val="24"/>
                <w:highlight w:val="none"/>
              </w:rPr>
            </w:pPr>
            <w:r>
              <w:rPr>
                <w:rFonts w:hint="eastAsia" w:ascii="仿宋" w:hAnsi="仿宋" w:eastAsia="仿宋" w:cs="仿宋"/>
                <w:sz w:val="24"/>
                <w:highlight w:val="none"/>
              </w:rPr>
              <w:t>统一社会信用代码</w:t>
            </w:r>
          </w:p>
        </w:tc>
        <w:tc>
          <w:tcPr>
            <w:tcW w:w="1848" w:type="dxa"/>
          </w:tcPr>
          <w:p w14:paraId="7AB362D0">
            <w:pPr>
              <w:overflowPunct w:val="0"/>
              <w:spacing w:line="400" w:lineRule="atLeast"/>
              <w:jc w:val="center"/>
              <w:rPr>
                <w:rFonts w:ascii="仿宋" w:hAnsi="仿宋" w:eastAsia="仿宋" w:cs="仿宋"/>
                <w:sz w:val="24"/>
                <w:highlight w:val="none"/>
              </w:rPr>
            </w:pPr>
          </w:p>
        </w:tc>
      </w:tr>
      <w:tr w14:paraId="318F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4554FA4E">
            <w:pPr>
              <w:overflowPunct w:val="0"/>
              <w:spacing w:line="400" w:lineRule="atLeast"/>
              <w:jc w:val="center"/>
              <w:rPr>
                <w:rFonts w:ascii="仿宋" w:hAnsi="仿宋" w:eastAsia="仿宋" w:cs="仿宋"/>
                <w:sz w:val="24"/>
                <w:highlight w:val="none"/>
              </w:rPr>
            </w:pPr>
            <w:r>
              <w:rPr>
                <w:rFonts w:hint="eastAsia" w:ascii="仿宋" w:hAnsi="仿宋" w:eastAsia="仿宋" w:cs="仿宋"/>
                <w:sz w:val="24"/>
                <w:highlight w:val="none"/>
              </w:rPr>
              <w:t>营业执照编号</w:t>
            </w:r>
          </w:p>
        </w:tc>
        <w:tc>
          <w:tcPr>
            <w:tcW w:w="2764" w:type="dxa"/>
          </w:tcPr>
          <w:p w14:paraId="33CF7A8D">
            <w:pPr>
              <w:overflowPunct w:val="0"/>
              <w:spacing w:line="400" w:lineRule="atLeast"/>
              <w:jc w:val="center"/>
              <w:rPr>
                <w:rFonts w:ascii="仿宋" w:hAnsi="仿宋" w:eastAsia="仿宋" w:cs="仿宋"/>
                <w:sz w:val="24"/>
                <w:highlight w:val="none"/>
              </w:rPr>
            </w:pPr>
          </w:p>
        </w:tc>
        <w:tc>
          <w:tcPr>
            <w:tcW w:w="2265" w:type="dxa"/>
          </w:tcPr>
          <w:p w14:paraId="0361C4D3">
            <w:pPr>
              <w:overflowPunct w:val="0"/>
              <w:spacing w:line="400" w:lineRule="atLeast"/>
              <w:jc w:val="center"/>
              <w:rPr>
                <w:rFonts w:ascii="仿宋" w:hAnsi="仿宋" w:eastAsia="仿宋" w:cs="仿宋"/>
                <w:sz w:val="24"/>
                <w:highlight w:val="none"/>
              </w:rPr>
            </w:pPr>
            <w:r>
              <w:rPr>
                <w:rFonts w:hint="eastAsia" w:ascii="仿宋" w:hAnsi="仿宋" w:eastAsia="仿宋" w:cs="仿宋"/>
                <w:sz w:val="24"/>
                <w:highlight w:val="none"/>
              </w:rPr>
              <w:t>注册日期</w:t>
            </w:r>
          </w:p>
        </w:tc>
        <w:tc>
          <w:tcPr>
            <w:tcW w:w="1848" w:type="dxa"/>
          </w:tcPr>
          <w:p w14:paraId="37477A6D">
            <w:pPr>
              <w:overflowPunct w:val="0"/>
              <w:spacing w:line="400" w:lineRule="atLeast"/>
              <w:jc w:val="center"/>
              <w:rPr>
                <w:rFonts w:ascii="仿宋" w:hAnsi="仿宋" w:eastAsia="仿宋" w:cs="仿宋"/>
                <w:sz w:val="24"/>
                <w:highlight w:val="none"/>
              </w:rPr>
            </w:pPr>
          </w:p>
        </w:tc>
      </w:tr>
      <w:tr w14:paraId="085F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60C1C87A">
            <w:pPr>
              <w:overflowPunct w:val="0"/>
              <w:spacing w:line="400" w:lineRule="atLeast"/>
              <w:jc w:val="center"/>
              <w:rPr>
                <w:rFonts w:ascii="仿宋" w:hAnsi="仿宋" w:eastAsia="仿宋" w:cs="仿宋"/>
                <w:sz w:val="24"/>
                <w:highlight w:val="none"/>
              </w:rPr>
            </w:pPr>
            <w:r>
              <w:rPr>
                <w:rFonts w:hint="eastAsia" w:ascii="仿宋" w:hAnsi="仿宋" w:eastAsia="仿宋" w:cs="仿宋"/>
                <w:sz w:val="24"/>
                <w:highlight w:val="none"/>
              </w:rPr>
              <w:t>营业地址</w:t>
            </w:r>
          </w:p>
        </w:tc>
        <w:tc>
          <w:tcPr>
            <w:tcW w:w="2764" w:type="dxa"/>
          </w:tcPr>
          <w:p w14:paraId="7170D208">
            <w:pPr>
              <w:overflowPunct w:val="0"/>
              <w:spacing w:line="400" w:lineRule="atLeast"/>
              <w:jc w:val="center"/>
              <w:rPr>
                <w:rFonts w:ascii="仿宋" w:hAnsi="仿宋" w:eastAsia="仿宋" w:cs="仿宋"/>
                <w:sz w:val="24"/>
                <w:highlight w:val="none"/>
              </w:rPr>
            </w:pPr>
          </w:p>
        </w:tc>
        <w:tc>
          <w:tcPr>
            <w:tcW w:w="2265" w:type="dxa"/>
          </w:tcPr>
          <w:p w14:paraId="0BCFE1B4">
            <w:pPr>
              <w:overflowPunct w:val="0"/>
              <w:spacing w:line="400" w:lineRule="atLeast"/>
              <w:jc w:val="center"/>
              <w:rPr>
                <w:rFonts w:ascii="仿宋" w:hAnsi="仿宋" w:eastAsia="仿宋" w:cs="仿宋"/>
                <w:sz w:val="24"/>
                <w:highlight w:val="none"/>
              </w:rPr>
            </w:pPr>
            <w:r>
              <w:rPr>
                <w:rFonts w:hint="eastAsia" w:ascii="仿宋" w:hAnsi="仿宋" w:eastAsia="仿宋" w:cs="仿宋"/>
                <w:sz w:val="24"/>
                <w:highlight w:val="none"/>
              </w:rPr>
              <w:t>注册资金</w:t>
            </w:r>
          </w:p>
        </w:tc>
        <w:tc>
          <w:tcPr>
            <w:tcW w:w="1848" w:type="dxa"/>
          </w:tcPr>
          <w:p w14:paraId="4D75B17B">
            <w:pPr>
              <w:overflowPunct w:val="0"/>
              <w:spacing w:line="400" w:lineRule="atLeast"/>
              <w:jc w:val="center"/>
              <w:rPr>
                <w:rFonts w:ascii="仿宋" w:hAnsi="仿宋" w:eastAsia="仿宋" w:cs="仿宋"/>
                <w:sz w:val="24"/>
                <w:highlight w:val="none"/>
              </w:rPr>
            </w:pPr>
          </w:p>
        </w:tc>
      </w:tr>
      <w:tr w14:paraId="22BD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759994FD">
            <w:pPr>
              <w:overflowPunct w:val="0"/>
              <w:spacing w:line="400" w:lineRule="atLeast"/>
              <w:jc w:val="center"/>
              <w:rPr>
                <w:rFonts w:ascii="仿宋" w:hAnsi="仿宋" w:eastAsia="仿宋" w:cs="仿宋"/>
                <w:sz w:val="24"/>
                <w:highlight w:val="none"/>
              </w:rPr>
            </w:pPr>
            <w:r>
              <w:rPr>
                <w:rFonts w:hint="eastAsia" w:ascii="仿宋" w:hAnsi="仿宋" w:eastAsia="仿宋" w:cs="仿宋"/>
                <w:sz w:val="24"/>
                <w:highlight w:val="none"/>
              </w:rPr>
              <w:t>法定代表人</w:t>
            </w:r>
          </w:p>
        </w:tc>
        <w:tc>
          <w:tcPr>
            <w:tcW w:w="2764" w:type="dxa"/>
          </w:tcPr>
          <w:p w14:paraId="13B43E80">
            <w:pPr>
              <w:overflowPunct w:val="0"/>
              <w:spacing w:line="400" w:lineRule="atLeast"/>
              <w:jc w:val="center"/>
              <w:rPr>
                <w:rFonts w:ascii="仿宋" w:hAnsi="仿宋" w:eastAsia="仿宋" w:cs="仿宋"/>
                <w:sz w:val="24"/>
                <w:highlight w:val="none"/>
              </w:rPr>
            </w:pPr>
          </w:p>
        </w:tc>
        <w:tc>
          <w:tcPr>
            <w:tcW w:w="2265" w:type="dxa"/>
          </w:tcPr>
          <w:p w14:paraId="57470C56">
            <w:pPr>
              <w:overflowPunct w:val="0"/>
              <w:spacing w:line="400" w:lineRule="atLeast"/>
              <w:jc w:val="center"/>
              <w:rPr>
                <w:rFonts w:ascii="仿宋" w:hAnsi="仿宋" w:eastAsia="仿宋" w:cs="仿宋"/>
                <w:sz w:val="24"/>
                <w:highlight w:val="none"/>
              </w:rPr>
            </w:pPr>
            <w:r>
              <w:rPr>
                <w:rFonts w:hint="eastAsia" w:ascii="仿宋" w:hAnsi="仿宋" w:eastAsia="仿宋" w:cs="仿宋"/>
                <w:sz w:val="24"/>
                <w:highlight w:val="none"/>
              </w:rPr>
              <w:t>手机</w:t>
            </w:r>
          </w:p>
        </w:tc>
        <w:tc>
          <w:tcPr>
            <w:tcW w:w="1848" w:type="dxa"/>
          </w:tcPr>
          <w:p w14:paraId="18881866">
            <w:pPr>
              <w:overflowPunct w:val="0"/>
              <w:spacing w:line="400" w:lineRule="atLeast"/>
              <w:jc w:val="center"/>
              <w:rPr>
                <w:rFonts w:ascii="仿宋" w:hAnsi="仿宋" w:eastAsia="仿宋" w:cs="仿宋"/>
                <w:sz w:val="24"/>
                <w:highlight w:val="none"/>
              </w:rPr>
            </w:pPr>
          </w:p>
        </w:tc>
      </w:tr>
      <w:tr w14:paraId="053A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4423DA01">
            <w:pPr>
              <w:overflowPunct w:val="0"/>
              <w:spacing w:line="400" w:lineRule="atLeast"/>
              <w:jc w:val="center"/>
              <w:rPr>
                <w:rFonts w:ascii="仿宋" w:hAnsi="仿宋" w:eastAsia="仿宋" w:cs="仿宋"/>
                <w:sz w:val="24"/>
                <w:highlight w:val="none"/>
              </w:rPr>
            </w:pPr>
            <w:r>
              <w:rPr>
                <w:rFonts w:hint="eastAsia" w:ascii="仿宋" w:hAnsi="仿宋" w:eastAsia="仿宋" w:cs="仿宋"/>
                <w:sz w:val="24"/>
                <w:highlight w:val="none"/>
              </w:rPr>
              <w:t>授权代表人</w:t>
            </w:r>
          </w:p>
        </w:tc>
        <w:tc>
          <w:tcPr>
            <w:tcW w:w="2764" w:type="dxa"/>
          </w:tcPr>
          <w:p w14:paraId="27519A26">
            <w:pPr>
              <w:overflowPunct w:val="0"/>
              <w:spacing w:line="400" w:lineRule="atLeast"/>
              <w:jc w:val="center"/>
              <w:rPr>
                <w:rFonts w:ascii="仿宋" w:hAnsi="仿宋" w:eastAsia="仿宋" w:cs="仿宋"/>
                <w:sz w:val="24"/>
                <w:highlight w:val="none"/>
              </w:rPr>
            </w:pPr>
          </w:p>
        </w:tc>
        <w:tc>
          <w:tcPr>
            <w:tcW w:w="2265" w:type="dxa"/>
          </w:tcPr>
          <w:p w14:paraId="125C788C">
            <w:pPr>
              <w:overflowPunct w:val="0"/>
              <w:spacing w:line="400" w:lineRule="atLeast"/>
              <w:jc w:val="center"/>
              <w:rPr>
                <w:rFonts w:ascii="仿宋" w:hAnsi="仿宋" w:eastAsia="仿宋" w:cs="仿宋"/>
                <w:sz w:val="24"/>
                <w:highlight w:val="none"/>
              </w:rPr>
            </w:pPr>
            <w:r>
              <w:rPr>
                <w:rFonts w:hint="eastAsia" w:ascii="仿宋" w:hAnsi="仿宋" w:eastAsia="仿宋" w:cs="仿宋"/>
                <w:sz w:val="24"/>
                <w:highlight w:val="none"/>
              </w:rPr>
              <w:t>手机</w:t>
            </w:r>
          </w:p>
        </w:tc>
        <w:tc>
          <w:tcPr>
            <w:tcW w:w="1848" w:type="dxa"/>
          </w:tcPr>
          <w:p w14:paraId="732A2687">
            <w:pPr>
              <w:overflowPunct w:val="0"/>
              <w:spacing w:line="400" w:lineRule="atLeast"/>
              <w:jc w:val="center"/>
              <w:rPr>
                <w:rFonts w:ascii="仿宋" w:hAnsi="仿宋" w:eastAsia="仿宋" w:cs="仿宋"/>
                <w:sz w:val="24"/>
                <w:highlight w:val="none"/>
              </w:rPr>
            </w:pPr>
          </w:p>
        </w:tc>
      </w:tr>
      <w:tr w14:paraId="628E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5D2B6BB4">
            <w:pPr>
              <w:overflowPunct w:val="0"/>
              <w:spacing w:line="400" w:lineRule="atLeast"/>
              <w:jc w:val="center"/>
              <w:rPr>
                <w:rFonts w:ascii="仿宋" w:hAnsi="仿宋" w:eastAsia="仿宋" w:cs="仿宋"/>
                <w:sz w:val="24"/>
                <w:highlight w:val="none"/>
              </w:rPr>
            </w:pPr>
            <w:r>
              <w:rPr>
                <w:rFonts w:hint="eastAsia" w:ascii="仿宋" w:hAnsi="仿宋" w:eastAsia="仿宋" w:cs="仿宋"/>
                <w:sz w:val="24"/>
                <w:highlight w:val="none"/>
              </w:rPr>
              <w:t>企业基本户开户行</w:t>
            </w:r>
          </w:p>
        </w:tc>
        <w:tc>
          <w:tcPr>
            <w:tcW w:w="6877" w:type="dxa"/>
            <w:gridSpan w:val="3"/>
          </w:tcPr>
          <w:p w14:paraId="2411653B">
            <w:pPr>
              <w:overflowPunct w:val="0"/>
              <w:spacing w:line="400" w:lineRule="atLeast"/>
              <w:jc w:val="center"/>
              <w:rPr>
                <w:rFonts w:ascii="仿宋" w:hAnsi="仿宋" w:eastAsia="仿宋" w:cs="仿宋"/>
                <w:sz w:val="24"/>
                <w:highlight w:val="none"/>
              </w:rPr>
            </w:pPr>
          </w:p>
        </w:tc>
      </w:tr>
      <w:tr w14:paraId="3AEF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5" w:type="dxa"/>
          </w:tcPr>
          <w:p w14:paraId="0338AAD8">
            <w:pPr>
              <w:overflowPunct w:val="0"/>
              <w:spacing w:line="400" w:lineRule="atLeast"/>
              <w:jc w:val="center"/>
              <w:rPr>
                <w:rFonts w:ascii="仿宋" w:hAnsi="仿宋" w:eastAsia="仿宋" w:cs="仿宋"/>
                <w:sz w:val="24"/>
                <w:highlight w:val="none"/>
              </w:rPr>
            </w:pPr>
            <w:r>
              <w:rPr>
                <w:rFonts w:hint="eastAsia" w:ascii="仿宋" w:hAnsi="仿宋" w:eastAsia="仿宋" w:cs="仿宋"/>
                <w:sz w:val="24"/>
                <w:highlight w:val="none"/>
              </w:rPr>
              <w:t>账号</w:t>
            </w:r>
          </w:p>
        </w:tc>
        <w:tc>
          <w:tcPr>
            <w:tcW w:w="6877" w:type="dxa"/>
            <w:gridSpan w:val="3"/>
          </w:tcPr>
          <w:p w14:paraId="3427AD62">
            <w:pPr>
              <w:overflowPunct w:val="0"/>
              <w:spacing w:line="400" w:lineRule="atLeast"/>
              <w:jc w:val="center"/>
              <w:rPr>
                <w:rFonts w:ascii="仿宋" w:hAnsi="仿宋" w:eastAsia="仿宋" w:cs="仿宋"/>
                <w:sz w:val="24"/>
                <w:highlight w:val="none"/>
              </w:rPr>
            </w:pPr>
          </w:p>
        </w:tc>
      </w:tr>
      <w:tr w14:paraId="38F2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2C7A0A48">
            <w:pPr>
              <w:overflowPunct w:val="0"/>
              <w:spacing w:line="400" w:lineRule="atLeast"/>
              <w:jc w:val="center"/>
              <w:rPr>
                <w:rFonts w:ascii="仿宋" w:hAnsi="仿宋" w:eastAsia="仿宋" w:cs="仿宋"/>
                <w:sz w:val="24"/>
                <w:highlight w:val="none"/>
              </w:rPr>
            </w:pPr>
            <w:r>
              <w:rPr>
                <w:rFonts w:hint="eastAsia" w:ascii="仿宋" w:hAnsi="仿宋" w:eastAsia="仿宋" w:cs="仿宋"/>
                <w:sz w:val="24"/>
                <w:highlight w:val="none"/>
              </w:rPr>
              <w:t>主要营业范围</w:t>
            </w:r>
          </w:p>
        </w:tc>
        <w:tc>
          <w:tcPr>
            <w:tcW w:w="6877" w:type="dxa"/>
            <w:gridSpan w:val="3"/>
          </w:tcPr>
          <w:p w14:paraId="02CD19DA">
            <w:pPr>
              <w:overflowPunct w:val="0"/>
              <w:spacing w:line="400" w:lineRule="atLeast"/>
              <w:jc w:val="center"/>
              <w:rPr>
                <w:rFonts w:ascii="仿宋" w:hAnsi="仿宋" w:eastAsia="仿宋" w:cs="仿宋"/>
                <w:sz w:val="24"/>
                <w:highlight w:val="none"/>
              </w:rPr>
            </w:pPr>
          </w:p>
        </w:tc>
      </w:tr>
      <w:tr w14:paraId="66CE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70FBD911">
            <w:pPr>
              <w:overflowPunct w:val="0"/>
              <w:spacing w:line="400" w:lineRule="atLeast"/>
              <w:jc w:val="center"/>
              <w:rPr>
                <w:rFonts w:ascii="仿宋" w:hAnsi="仿宋" w:eastAsia="仿宋" w:cs="仿宋"/>
                <w:sz w:val="24"/>
                <w:highlight w:val="none"/>
              </w:rPr>
            </w:pPr>
            <w:r>
              <w:rPr>
                <w:rFonts w:hint="eastAsia" w:ascii="仿宋" w:hAnsi="仿宋" w:eastAsia="仿宋" w:cs="仿宋"/>
                <w:sz w:val="24"/>
                <w:highlight w:val="none"/>
              </w:rPr>
              <w:t>企业概况</w:t>
            </w:r>
          </w:p>
        </w:tc>
        <w:tc>
          <w:tcPr>
            <w:tcW w:w="6877" w:type="dxa"/>
            <w:gridSpan w:val="3"/>
          </w:tcPr>
          <w:p w14:paraId="4B748D9A">
            <w:pPr>
              <w:overflowPunct w:val="0"/>
              <w:spacing w:line="400" w:lineRule="atLeast"/>
              <w:jc w:val="center"/>
              <w:rPr>
                <w:rFonts w:ascii="仿宋" w:hAnsi="仿宋" w:eastAsia="仿宋" w:cs="仿宋"/>
                <w:sz w:val="24"/>
                <w:highlight w:val="none"/>
              </w:rPr>
            </w:pPr>
          </w:p>
        </w:tc>
      </w:tr>
      <w:tr w14:paraId="376C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155" w:type="dxa"/>
            <w:vAlign w:val="center"/>
          </w:tcPr>
          <w:p w14:paraId="35861BFD">
            <w:pPr>
              <w:overflowPunct w:val="0"/>
              <w:spacing w:line="400" w:lineRule="atLeast"/>
              <w:jc w:val="center"/>
              <w:rPr>
                <w:rFonts w:ascii="仿宋" w:hAnsi="仿宋" w:eastAsia="仿宋" w:cs="仿宋"/>
                <w:sz w:val="24"/>
                <w:highlight w:val="none"/>
              </w:rPr>
            </w:pPr>
            <w:r>
              <w:rPr>
                <w:rFonts w:hint="eastAsia" w:ascii="仿宋" w:hAnsi="仿宋" w:eastAsia="仿宋" w:cs="仿宋"/>
                <w:sz w:val="24"/>
                <w:highlight w:val="none"/>
              </w:rPr>
              <w:t>备注</w:t>
            </w:r>
          </w:p>
        </w:tc>
        <w:tc>
          <w:tcPr>
            <w:tcW w:w="6877" w:type="dxa"/>
            <w:gridSpan w:val="3"/>
          </w:tcPr>
          <w:p w14:paraId="69EF0A8D">
            <w:pPr>
              <w:overflowPunct w:val="0"/>
              <w:spacing w:line="400" w:lineRule="atLeast"/>
              <w:jc w:val="center"/>
              <w:rPr>
                <w:rFonts w:ascii="仿宋" w:hAnsi="仿宋" w:eastAsia="仿宋" w:cs="仿宋"/>
                <w:sz w:val="24"/>
                <w:highlight w:val="none"/>
              </w:rPr>
            </w:pPr>
          </w:p>
        </w:tc>
      </w:tr>
    </w:tbl>
    <w:p w14:paraId="5FB1D4A6">
      <w:pPr>
        <w:overflowPunct w:val="0"/>
        <w:spacing w:line="360" w:lineRule="auto"/>
        <w:rPr>
          <w:rFonts w:ascii="仿宋" w:hAnsi="仿宋" w:eastAsia="仿宋" w:cs="仿宋"/>
          <w:b/>
          <w:bCs/>
          <w:highlight w:val="none"/>
        </w:rPr>
      </w:pPr>
      <w:r>
        <w:rPr>
          <w:rFonts w:hint="eastAsia" w:ascii="仿宋" w:hAnsi="仿宋" w:eastAsia="仿宋" w:cs="仿宋"/>
          <w:sz w:val="24"/>
          <w:highlight w:val="none"/>
        </w:rPr>
        <w:t>后附资料</w:t>
      </w:r>
    </w:p>
    <w:p w14:paraId="4FE8976C">
      <w:pPr>
        <w:rPr>
          <w:rFonts w:ascii="仿宋" w:hAnsi="仿宋" w:eastAsia="仿宋" w:cs="仿宋"/>
          <w:color w:val="333333"/>
          <w:kern w:val="0"/>
          <w:sz w:val="24"/>
          <w:highlight w:val="none"/>
          <w:shd w:val="clear" w:color="auto" w:fill="FFFFFF"/>
        </w:rPr>
      </w:pPr>
      <w:r>
        <w:rPr>
          <w:rFonts w:hint="eastAsia" w:ascii="仿宋" w:hAnsi="仿宋" w:eastAsia="仿宋" w:cs="仿宋"/>
          <w:color w:val="333333"/>
          <w:kern w:val="0"/>
          <w:sz w:val="24"/>
          <w:highlight w:val="none"/>
          <w:shd w:val="clear" w:color="auto" w:fill="FFFFFF"/>
        </w:rPr>
        <w:br w:type="page"/>
      </w:r>
    </w:p>
    <w:p w14:paraId="079BECE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（1）基本资格条件：符合《中华人民共和国政府采购法》第二十二条的规定的供应商条件，提供以下文件：</w:t>
      </w:r>
    </w:p>
    <w:p w14:paraId="15B08DBF">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1、具有独立承担民事责任能力的法人、其他组织或自然人，提供合法有效的统一社会信用代码营业执照（事业单位法人证书/专业服务机构执业许可证/民办非企业单位登记证书，自然人提供身份证）。</w:t>
      </w:r>
    </w:p>
    <w:p w14:paraId="1D7CCC50">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财务状况报告：提供2023年或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613E3823">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7BAB0566">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p>
    <w:p w14:paraId="045689A0">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5、提供具有履行本合同所必需的专业技术能力的书面声明。</w:t>
      </w:r>
    </w:p>
    <w:p w14:paraId="02350678">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6、参加本次政府采购活动前3年内在经营活动中没有重大违纪，以及未被列入失信被执行人、重大税收违法失信主体、政府采购严重违法失信行为记录名单的书面声明。</w:t>
      </w:r>
    </w:p>
    <w:p w14:paraId="7A8BC739">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7、法定代表人直接参加磋商的，须出具法定代表人身份证明书及身份证；授权代表参加磋商的，须出具法定代表人授权书及授权代表身</w:t>
      </w:r>
      <w:r>
        <w:rPr>
          <w:rFonts w:hint="eastAsia" w:ascii="仿宋" w:hAnsi="仿宋" w:eastAsia="仿宋" w:cs="仿宋"/>
          <w:b w:val="0"/>
          <w:bCs w:val="0"/>
          <w:i w:val="0"/>
          <w:iCs w:val="0"/>
          <w:caps w:val="0"/>
          <w:color w:val="auto"/>
          <w:spacing w:val="0"/>
          <w:sz w:val="24"/>
          <w:szCs w:val="24"/>
          <w:highlight w:val="none"/>
        </w:rPr>
        <w:t>份证。</w:t>
      </w:r>
      <w:r>
        <w:rPr>
          <w:rFonts w:hint="eastAsia" w:ascii="仿宋" w:hAnsi="仿宋" w:eastAsia="仿宋" w:cs="仿宋"/>
          <w:b w:val="0"/>
          <w:bCs w:val="0"/>
          <w:highlight w:val="none"/>
          <w:lang w:eastAsia="zh-CN"/>
        </w:rPr>
        <w:t>（被授权人需提供文件递交截止时间前六个月内任意一个月的社会保障资金的缴纳证明）</w:t>
      </w:r>
    </w:p>
    <w:p w14:paraId="654224B4">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7AAFC569">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9、供应商关联关系声明，包括：①控股管理关系（不得与参加本项目的其他供应商单位负责人为同一人或者存在直接控股、管理关系），②未为本项目提供整体设计、规范编制或者项目管理、监理、检测等服务。</w:t>
      </w:r>
    </w:p>
    <w:p w14:paraId="6162A7C2">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10、</w:t>
      </w:r>
      <w:r>
        <w:rPr>
          <w:rFonts w:hint="eastAsia" w:ascii="仿宋" w:hAnsi="仿宋" w:eastAsia="仿宋" w:cs="仿宋"/>
          <w:highlight w:val="none"/>
          <w:lang w:eastAsia="zh-CN"/>
        </w:rPr>
        <w:t>本项目专门面向中小企业采购，供应商须提供中小企业声明函；</w:t>
      </w:r>
    </w:p>
    <w:p w14:paraId="28C090AE">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val="0"/>
          <w:iCs w:val="0"/>
          <w:caps w:val="0"/>
          <w:color w:val="auto"/>
          <w:spacing w:val="0"/>
          <w:sz w:val="24"/>
          <w:szCs w:val="24"/>
          <w:highlight w:val="none"/>
          <w:lang w:val="en-US" w:eastAsia="zh-CN"/>
        </w:rPr>
        <w:t>1</w:t>
      </w:r>
      <w:r>
        <w:rPr>
          <w:rFonts w:hint="eastAsia" w:ascii="仿宋" w:hAnsi="仿宋" w:eastAsia="仿宋" w:cs="仿宋"/>
          <w:i w:val="0"/>
          <w:iCs w:val="0"/>
          <w:caps w:val="0"/>
          <w:color w:val="auto"/>
          <w:spacing w:val="0"/>
          <w:sz w:val="24"/>
          <w:szCs w:val="24"/>
          <w:highlight w:val="none"/>
        </w:rPr>
        <w:t>、本项目不允许联合体</w:t>
      </w:r>
      <w:r>
        <w:rPr>
          <w:rFonts w:hint="eastAsia" w:ascii="仿宋" w:hAnsi="仿宋" w:eastAsia="仿宋" w:cs="仿宋"/>
          <w:i w:val="0"/>
          <w:iCs w:val="0"/>
          <w:caps w:val="0"/>
          <w:color w:val="auto"/>
          <w:spacing w:val="0"/>
          <w:sz w:val="24"/>
          <w:szCs w:val="24"/>
          <w:highlight w:val="none"/>
          <w:lang w:val="en-US" w:eastAsia="zh-CN"/>
        </w:rPr>
        <w:t>磋商</w:t>
      </w:r>
      <w:r>
        <w:rPr>
          <w:rFonts w:hint="eastAsia" w:ascii="仿宋" w:hAnsi="仿宋" w:eastAsia="仿宋" w:cs="仿宋"/>
          <w:i w:val="0"/>
          <w:iCs w:val="0"/>
          <w:caps w:val="0"/>
          <w:color w:val="auto"/>
          <w:spacing w:val="0"/>
          <w:sz w:val="24"/>
          <w:szCs w:val="24"/>
          <w:highlight w:val="none"/>
        </w:rPr>
        <w:t>。</w:t>
      </w:r>
    </w:p>
    <w:p w14:paraId="1AA30DA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b/>
          <w:bCs/>
          <w:sz w:val="24"/>
          <w:highlight w:val="none"/>
          <w:lang w:val="en-US" w:eastAsia="zh-CN"/>
        </w:rPr>
        <w:t>备注：</w:t>
      </w:r>
    </w:p>
    <w:p w14:paraId="75AFC4E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①以上资格证明文件供应商必须完全提供，复印件胶装在投标文件中并加盖供应商公章（如相关证明材料由第三方出具，应有第三方公章），缺项或未按要求响应的视为无效投标；</w:t>
      </w:r>
    </w:p>
    <w:p w14:paraId="58846C6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②分支机构参与磋商时，须提供分支机构的资格要求证明文件； 响应文件中应附法定代表人（非负责人）出具的法定代表人授权委托书。法人只能授权一家分支机构参与本项目采购活动，且不能与分支机构同时参加；</w:t>
      </w:r>
    </w:p>
    <w:p w14:paraId="4BED074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sz w:val="24"/>
          <w:highlight w:val="none"/>
          <w:lang w:val="en-US" w:eastAsia="zh-CN"/>
        </w:rPr>
        <w:t>③事业</w:t>
      </w:r>
      <w:r>
        <w:rPr>
          <w:rFonts w:hint="eastAsia" w:ascii="仿宋" w:hAnsi="仿宋" w:eastAsia="仿宋" w:cs="仿宋"/>
          <w:color w:val="auto"/>
          <w:sz w:val="24"/>
          <w:highlight w:val="none"/>
          <w:lang w:val="en-US" w:eastAsia="zh-CN"/>
        </w:rPr>
        <w:t>单位法人参与磋商可不提供财务状况报告、社会保障资金缴纳证明及税收缴纳证明；</w:t>
      </w:r>
    </w:p>
    <w:p w14:paraId="2CCEEE81">
      <w:pPr>
        <w:spacing w:line="440" w:lineRule="exact"/>
        <w:ind w:firstLine="482" w:firstLineChars="200"/>
        <w:jc w:val="left"/>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注：</w:t>
      </w:r>
      <w:r>
        <w:rPr>
          <w:rFonts w:hint="eastAsia" w:ascii="仿宋" w:hAnsi="仿宋" w:eastAsia="仿宋" w:cs="仿宋"/>
          <w:b/>
          <w:bCs/>
          <w:sz w:val="24"/>
          <w:highlight w:val="none"/>
        </w:rPr>
        <w:t>以上资格证明文件（除信用查询结果外）供应商必须完全提供，复印件胶装在响应文件中并加盖单位公章，缺项或未按要求提供的，不通过资格性审查。</w:t>
      </w:r>
    </w:p>
    <w:p w14:paraId="611687BA">
      <w:pPr>
        <w:pStyle w:val="36"/>
        <w:spacing w:line="520" w:lineRule="exact"/>
        <w:ind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shd w:val="clear"/>
        </w:rPr>
        <w:br w:type="page"/>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1:</w:t>
      </w:r>
    </w:p>
    <w:p w14:paraId="5D448E4D">
      <w:pPr>
        <w:adjustRightInd w:val="0"/>
        <w:snapToGrid w:val="0"/>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履行合同所必需的设备和专业技术能力的书面声明</w:t>
      </w:r>
    </w:p>
    <w:p w14:paraId="26CE0379">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_GB2312" w:hAnsi="仿宋_GB2312" w:eastAsia="仿宋_GB2312" w:cs="仿宋_GB2312"/>
          <w:spacing w:val="4"/>
          <w:sz w:val="24"/>
          <w:szCs w:val="24"/>
          <w:u w:val="single"/>
        </w:rPr>
      </w:pPr>
      <w:r>
        <w:rPr>
          <w:rFonts w:hint="eastAsia" w:ascii="仿宋_GB2312" w:hAnsi="仿宋_GB2312" w:eastAsia="仿宋_GB2312" w:cs="仿宋_GB2312"/>
          <w:spacing w:val="4"/>
          <w:sz w:val="24"/>
          <w:szCs w:val="24"/>
          <w:u w:val="single"/>
        </w:rPr>
        <w:t>（采购人名称）：</w:t>
      </w:r>
    </w:p>
    <w:p w14:paraId="43353359">
      <w:pPr>
        <w:overflowPunct w:val="0"/>
        <w:spacing w:line="560" w:lineRule="exact"/>
        <w:ind w:firstLine="496" w:firstLineChars="200"/>
        <w:rPr>
          <w:rFonts w:ascii="仿宋" w:hAnsi="仿宋" w:eastAsia="仿宋" w:cs="仿宋"/>
          <w:b/>
          <w:bCs/>
          <w:highlight w:val="none"/>
        </w:rPr>
      </w:pPr>
      <w:r>
        <w:rPr>
          <w:rFonts w:hint="eastAsia" w:ascii="仿宋_GB2312" w:hAnsi="仿宋_GB2312" w:eastAsia="仿宋_GB2312" w:cs="仿宋_GB2312"/>
          <w:spacing w:val="4"/>
          <w:sz w:val="24"/>
          <w:szCs w:val="24"/>
          <w:u w:val="single"/>
        </w:rPr>
        <w:t xml:space="preserve">      （供应商名称）    </w:t>
      </w:r>
      <w:r>
        <w:rPr>
          <w:rFonts w:hint="eastAsia" w:ascii="仿宋_GB2312" w:hAnsi="仿宋_GB2312" w:eastAsia="仿宋_GB2312" w:cs="仿宋_GB2312"/>
          <w:spacing w:val="4"/>
          <w:sz w:val="24"/>
          <w:szCs w:val="24"/>
        </w:rPr>
        <w:t xml:space="preserve"> 于</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年</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月</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日在中华人民共和国境内</w:t>
      </w:r>
      <w:r>
        <w:rPr>
          <w:rFonts w:hint="eastAsia" w:ascii="仿宋_GB2312" w:hAnsi="仿宋_GB2312" w:eastAsia="仿宋_GB2312" w:cs="仿宋_GB2312"/>
          <w:spacing w:val="4"/>
          <w:sz w:val="24"/>
          <w:szCs w:val="24"/>
          <w:u w:val="single"/>
        </w:rPr>
        <w:t xml:space="preserve">               （详细注册地址）  </w:t>
      </w:r>
      <w:r>
        <w:rPr>
          <w:rFonts w:hint="eastAsia" w:ascii="仿宋_GB2312" w:hAnsi="仿宋_GB2312" w:eastAsia="仿宋_GB2312" w:cs="仿宋_GB2312"/>
          <w:spacing w:val="4"/>
          <w:sz w:val="24"/>
          <w:szCs w:val="24"/>
        </w:rPr>
        <w:t>合法注册并经营，公司主营业务为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，营业（生产经营）面积为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 xml:space="preserve"> ，现有员工数量为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highlight w:val="none"/>
          <w:u w:val="single"/>
        </w:rPr>
        <w:t xml:space="preserve">  </w:t>
      </w:r>
      <w:r>
        <w:rPr>
          <w:rFonts w:hint="eastAsia" w:ascii="仿宋_GB2312" w:hAnsi="仿宋_GB2312" w:eastAsia="仿宋_GB2312" w:cs="仿宋_GB2312"/>
          <w:spacing w:val="4"/>
          <w:sz w:val="24"/>
          <w:szCs w:val="24"/>
          <w:highlight w:val="none"/>
        </w:rPr>
        <w:t>，本公司郑重承诺，具有履行本合同所必需的设备和专业技术能力。</w:t>
      </w:r>
      <w:r>
        <w:rPr>
          <w:rFonts w:hint="eastAsia" w:ascii="仿宋_GB2312" w:hAnsi="仿宋_GB2312" w:eastAsia="仿宋_GB2312" w:cs="仿宋_GB2312"/>
          <w:sz w:val="24"/>
          <w:szCs w:val="24"/>
          <w:highlight w:val="none"/>
        </w:rPr>
        <w:t>如有</w:t>
      </w:r>
      <w:r>
        <w:rPr>
          <w:rFonts w:hint="eastAsia" w:ascii="仿宋_GB2312" w:hAnsi="仿宋_GB2312" w:eastAsia="仿宋_GB2312" w:cs="仿宋_GB2312"/>
          <w:sz w:val="24"/>
          <w:szCs w:val="24"/>
          <w:highlight w:val="none"/>
          <w:lang w:eastAsia="zh-CN"/>
        </w:rPr>
        <w:t>虚假</w:t>
      </w:r>
      <w:r>
        <w:rPr>
          <w:rFonts w:hint="eastAsia" w:ascii="仿宋_GB2312" w:hAnsi="仿宋_GB2312" w:eastAsia="仿宋_GB2312" w:cs="仿宋_GB2312"/>
          <w:sz w:val="24"/>
          <w:szCs w:val="24"/>
          <w:highlight w:val="none"/>
        </w:rPr>
        <w:t>，我方将无条件地退出本项目的采购活动，并遵照《</w:t>
      </w:r>
      <w:r>
        <w:rPr>
          <w:rFonts w:hint="eastAsia" w:ascii="仿宋_GB2312" w:hAnsi="仿宋_GB2312" w:eastAsia="仿宋_GB2312" w:cs="仿宋_GB2312"/>
          <w:sz w:val="24"/>
          <w:szCs w:val="24"/>
          <w:highlight w:val="none"/>
          <w:lang w:val="en-US" w:eastAsia="zh-CN"/>
        </w:rPr>
        <w:t>中华人民共和国</w:t>
      </w:r>
      <w:r>
        <w:rPr>
          <w:rFonts w:hint="eastAsia" w:ascii="仿宋_GB2312" w:hAnsi="仿宋_GB2312" w:eastAsia="仿宋_GB2312" w:cs="仿宋_GB2312"/>
          <w:sz w:val="24"/>
          <w:szCs w:val="24"/>
          <w:highlight w:val="none"/>
        </w:rPr>
        <w:t>政府采购法》有关"提供虚假材料的规定"接受处罚</w:t>
      </w:r>
      <w:r>
        <w:rPr>
          <w:rFonts w:hint="eastAsia" w:ascii="仿宋" w:hAnsi="仿宋" w:eastAsia="仿宋" w:cs="仿宋"/>
          <w:spacing w:val="4"/>
          <w:highlight w:val="none"/>
        </w:rPr>
        <w:t>。</w:t>
      </w:r>
    </w:p>
    <w:p w14:paraId="44C031D7">
      <w:pPr>
        <w:pStyle w:val="14"/>
        <w:adjustRightInd w:val="0"/>
        <w:snapToGrid w:val="0"/>
        <w:spacing w:line="720" w:lineRule="exact"/>
        <w:rPr>
          <w:rFonts w:ascii="仿宋" w:hAnsi="仿宋" w:eastAsia="仿宋" w:cs="仿宋"/>
          <w:spacing w:val="4"/>
          <w:sz w:val="24"/>
          <w:szCs w:val="24"/>
          <w:highlight w:val="none"/>
        </w:rPr>
      </w:pPr>
    </w:p>
    <w:p w14:paraId="5BA1012C">
      <w:pPr>
        <w:pStyle w:val="14"/>
        <w:adjustRightInd w:val="0"/>
        <w:snapToGrid w:val="0"/>
        <w:spacing w:line="720" w:lineRule="exact"/>
        <w:rPr>
          <w:rFonts w:ascii="仿宋" w:hAnsi="仿宋" w:eastAsia="仿宋" w:cs="仿宋"/>
          <w:spacing w:val="4"/>
          <w:sz w:val="24"/>
          <w:szCs w:val="24"/>
          <w:highlight w:val="none"/>
        </w:rPr>
      </w:pPr>
    </w:p>
    <w:p w14:paraId="568BD56E">
      <w:pPr>
        <w:pStyle w:val="14"/>
        <w:adjustRightInd w:val="0"/>
        <w:snapToGrid w:val="0"/>
        <w:spacing w:line="720" w:lineRule="exact"/>
        <w:rPr>
          <w:rFonts w:ascii="仿宋" w:hAnsi="仿宋" w:eastAsia="仿宋" w:cs="仿宋"/>
          <w:spacing w:val="4"/>
          <w:sz w:val="24"/>
          <w:szCs w:val="24"/>
          <w:highlight w:val="none"/>
        </w:rPr>
      </w:pPr>
    </w:p>
    <w:p w14:paraId="4FB964B9">
      <w:pPr>
        <w:spacing w:line="360" w:lineRule="auto"/>
        <w:jc w:val="center"/>
        <w:rPr>
          <w:rFonts w:hint="eastAsia" w:ascii="仿宋" w:hAnsi="仿宋" w:eastAsia="仿宋" w:cs="仿宋"/>
          <w:color w:val="auto"/>
          <w:sz w:val="24"/>
          <w:highlight w:val="none"/>
        </w:rPr>
      </w:pPr>
    </w:p>
    <w:p w14:paraId="3F0A437E">
      <w:pPr>
        <w:spacing w:line="360" w:lineRule="auto"/>
        <w:ind w:firstLine="3828" w:firstLineChars="159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DE76EB5">
      <w:pPr>
        <w:spacing w:line="360" w:lineRule="auto"/>
        <w:ind w:firstLine="3828" w:firstLineChars="1595"/>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法定代表人</w:t>
      </w:r>
    </w:p>
    <w:p w14:paraId="73B0741F">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none"/>
        </w:rPr>
        <w:t>或被授权人：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6051F13">
      <w:pPr>
        <w:rPr>
          <w:rFonts w:hint="eastAsia" w:ascii="仿宋" w:hAnsi="仿宋" w:eastAsia="仿宋" w:cs="仿宋"/>
          <w:sz w:val="28"/>
          <w:szCs w:val="28"/>
          <w:highlight w:val="none"/>
          <w:shd w:val="clear"/>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      期：  年  月   日</w:t>
      </w:r>
      <w:r>
        <w:rPr>
          <w:rFonts w:hint="eastAsia" w:ascii="仿宋" w:hAnsi="仿宋" w:eastAsia="仿宋" w:cs="仿宋"/>
          <w:sz w:val="28"/>
          <w:szCs w:val="28"/>
          <w:highlight w:val="none"/>
          <w:shd w:val="clear"/>
        </w:rPr>
        <w:br w:type="page"/>
      </w:r>
    </w:p>
    <w:p w14:paraId="3D60C94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仿宋" w:hAnsi="仿宋" w:eastAsia="仿宋" w:cs="仿宋"/>
          <w:sz w:val="28"/>
          <w:szCs w:val="28"/>
          <w:highlight w:val="none"/>
        </w:rPr>
      </w:pPr>
      <w:r>
        <w:rPr>
          <w:rFonts w:hint="eastAsia" w:ascii="仿宋" w:hAnsi="仿宋" w:eastAsia="仿宋" w:cs="仿宋"/>
          <w:bCs/>
          <w:sz w:val="28"/>
          <w:szCs w:val="28"/>
          <w:highlight w:val="none"/>
        </w:rPr>
        <w:t>附</w:t>
      </w:r>
      <w:r>
        <w:rPr>
          <w:rFonts w:hint="eastAsia" w:ascii="仿宋" w:hAnsi="仿宋" w:eastAsia="仿宋" w:cs="仿宋"/>
          <w:sz w:val="28"/>
          <w:szCs w:val="28"/>
          <w:highlight w:val="none"/>
        </w:rPr>
        <w:t>件</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w:t>
      </w:r>
    </w:p>
    <w:p w14:paraId="6BB3030F">
      <w:pPr>
        <w:widowControl/>
        <w:spacing w:line="360" w:lineRule="auto"/>
        <w:ind w:left="1"/>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参加政府采购活动前3年内在经营活动中没有重大违法</w:t>
      </w:r>
      <w:r>
        <w:rPr>
          <w:rFonts w:hint="eastAsia" w:ascii="仿宋" w:hAnsi="仿宋" w:eastAsia="仿宋" w:cs="仿宋"/>
          <w:b/>
          <w:kern w:val="0"/>
          <w:sz w:val="28"/>
          <w:szCs w:val="28"/>
          <w:highlight w:val="none"/>
          <w:lang w:eastAsia="zh-CN"/>
        </w:rPr>
        <w:t>记录</w:t>
      </w:r>
      <w:r>
        <w:rPr>
          <w:rFonts w:hint="eastAsia" w:ascii="仿宋" w:hAnsi="仿宋" w:eastAsia="仿宋" w:cs="仿宋"/>
          <w:b/>
          <w:kern w:val="0"/>
          <w:sz w:val="28"/>
          <w:szCs w:val="28"/>
          <w:highlight w:val="none"/>
        </w:rPr>
        <w:t>的书面声明</w:t>
      </w:r>
    </w:p>
    <w:p w14:paraId="5FF308B8">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本单位郑重声明：</w:t>
      </w:r>
    </w:p>
    <w:p w14:paraId="726DA28D">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1、我单位在参加采购活动前三年内在经营活动中没有《政府采购法》第二十二条第一款第(五)项所称重大违法记录。</w:t>
      </w:r>
    </w:p>
    <w:p w14:paraId="3191ACA2">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2、我单位或者其法定代表人、董事、监事、高级管理人员未因经营活动中的违法行为受到刑事处罚或者责令停产停业、吊销许可证或者执照、较大数额罚款等行政处罚。</w:t>
      </w:r>
    </w:p>
    <w:p w14:paraId="5C1E14FA">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4、我方______（填“未被列入”或“被列入”）失信被执行人名单。</w:t>
      </w:r>
    </w:p>
    <w:p w14:paraId="096CF5FC">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5、我方______（填“未被列入”或“被列入”）重大税收违法失信主体。</w:t>
      </w:r>
    </w:p>
    <w:p w14:paraId="31BE931A">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6、我方______（填“未被列入”或“被列入”）政府采购严重违法失信行为记录名单。</w:t>
      </w:r>
    </w:p>
    <w:p w14:paraId="275293C4">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我单位已就上述不良信用行为按照</w:t>
      </w:r>
      <w:r>
        <w:rPr>
          <w:rFonts w:hint="eastAsia" w:ascii="仿宋" w:hAnsi="仿宋" w:eastAsia="仿宋" w:cs="仿宋"/>
          <w:sz w:val="24"/>
          <w:szCs w:val="24"/>
          <w:highlight w:val="none"/>
          <w:shd w:val="clear" w:color="auto" w:fill="FFFFFF"/>
          <w:lang w:val="en-US" w:eastAsia="zh-CN"/>
        </w:rPr>
        <w:t>竞争性磋商</w:t>
      </w:r>
      <w:r>
        <w:rPr>
          <w:rFonts w:hint="eastAsia" w:ascii="仿宋" w:hAnsi="仿宋" w:eastAsia="仿宋" w:cs="仿宋"/>
          <w:sz w:val="24"/>
          <w:szCs w:val="24"/>
          <w:highlight w:val="none"/>
          <w:shd w:val="clear" w:color="auto" w:fill="FFFFFF"/>
        </w:rPr>
        <w:t>文件中</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须知前附表规定进行了查询。我单位承诺：合同签订前，若我单位具有不良信用记录情形，贵方可取消我单位</w:t>
      </w:r>
      <w:r>
        <w:rPr>
          <w:rFonts w:hint="eastAsia" w:ascii="仿宋" w:hAnsi="仿宋" w:eastAsia="仿宋" w:cs="仿宋"/>
          <w:sz w:val="24"/>
          <w:szCs w:val="24"/>
          <w:highlight w:val="none"/>
          <w:shd w:val="clear" w:color="auto" w:fill="FFFFFF"/>
          <w:lang w:val="en-US" w:eastAsia="zh-CN"/>
        </w:rPr>
        <w:t>成交</w:t>
      </w:r>
      <w:r>
        <w:rPr>
          <w:rFonts w:hint="eastAsia" w:ascii="仿宋" w:hAnsi="仿宋" w:eastAsia="仿宋" w:cs="仿宋"/>
          <w:sz w:val="24"/>
          <w:szCs w:val="24"/>
          <w:highlight w:val="none"/>
          <w:shd w:val="clear" w:color="auto" w:fill="FFFFFF"/>
        </w:rPr>
        <w:t>资格或者不授予合同，所有责任由我单位自行承担。同时，我单位愿意无条件接受监管部门的调查处理。</w:t>
      </w:r>
    </w:p>
    <w:p w14:paraId="04827EA4">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特此声明！</w:t>
      </w:r>
    </w:p>
    <w:p w14:paraId="589A2CB6">
      <w:pPr>
        <w:spacing w:line="500" w:lineRule="exact"/>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sz w:val="24"/>
          <w:szCs w:val="24"/>
          <w:highlight w:val="none"/>
          <w:shd w:val="clear" w:color="auto" w:fill="FFFFFF"/>
        </w:rPr>
        <w:t>备注：</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在参加政府采购活动前3年内因违法经营被禁止在一定期限内参加政府采购活动，期限届满的，可以参加政府采购活动，但应提供期限届满的证明材料。</w:t>
      </w:r>
    </w:p>
    <w:p w14:paraId="53EE05E8">
      <w:pPr>
        <w:pStyle w:val="23"/>
        <w:wordWrap w:val="0"/>
        <w:spacing w:beforeAutospacing="0" w:afterAutospacing="0" w:line="560" w:lineRule="exact"/>
        <w:ind w:firstLine="420"/>
        <w:rPr>
          <w:rFonts w:ascii="仿宋" w:hAnsi="仿宋" w:eastAsia="仿宋" w:cs="仿宋"/>
          <w:highlight w:val="none"/>
          <w:shd w:val="clear" w:color="auto" w:fill="FFFFFF"/>
        </w:rPr>
      </w:pPr>
    </w:p>
    <w:p w14:paraId="16EDD98D">
      <w:pPr>
        <w:spacing w:line="360" w:lineRule="auto"/>
        <w:jc w:val="center"/>
        <w:rPr>
          <w:rFonts w:hint="eastAsia" w:ascii="仿宋" w:hAnsi="仿宋" w:eastAsia="仿宋" w:cs="仿宋"/>
          <w:color w:val="auto"/>
          <w:sz w:val="24"/>
          <w:highlight w:val="none"/>
        </w:rPr>
      </w:pPr>
    </w:p>
    <w:p w14:paraId="45FC7E99">
      <w:pPr>
        <w:spacing w:line="360" w:lineRule="auto"/>
        <w:ind w:firstLine="3828" w:firstLineChars="159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10591BA">
      <w:pPr>
        <w:spacing w:line="360" w:lineRule="auto"/>
        <w:ind w:firstLine="3828" w:firstLineChars="1595"/>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法定代表人</w:t>
      </w:r>
    </w:p>
    <w:p w14:paraId="7C9B304A">
      <w:pPr>
        <w:tabs>
          <w:tab w:val="left" w:pos="1100"/>
        </w:tabs>
        <w:spacing w:line="360" w:lineRule="auto"/>
        <w:ind w:firstLine="3828" w:firstLineChars="1595"/>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none"/>
        </w:rPr>
        <w:t>或被授权人：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791F438B">
      <w:pPr>
        <w:tabs>
          <w:tab w:val="left" w:pos="1100"/>
        </w:tabs>
        <w:spacing w:line="360" w:lineRule="auto"/>
        <w:ind w:firstLine="3828" w:firstLineChars="1595"/>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6D854344">
      <w:pPr>
        <w:pStyle w:val="12"/>
        <w:overflowPunct w:val="0"/>
        <w:spacing w:before="120"/>
        <w:ind w:left="2167" w:right="1470" w:hanging="697"/>
        <w:jc w:val="center"/>
        <w:rPr>
          <w:rFonts w:ascii="仿宋" w:hAnsi="仿宋" w:eastAsia="仿宋" w:cs="仿宋"/>
          <w:sz w:val="28"/>
          <w:szCs w:val="28"/>
          <w:highlight w:val="none"/>
        </w:rPr>
      </w:pPr>
    </w:p>
    <w:p w14:paraId="3DE0AAFB">
      <w:pPr>
        <w:rPr>
          <w:rFonts w:ascii="仿宋" w:hAnsi="仿宋" w:eastAsia="仿宋" w:cs="仿宋"/>
          <w:bCs/>
          <w:sz w:val="28"/>
          <w:szCs w:val="28"/>
          <w:highlight w:val="none"/>
        </w:rPr>
      </w:pPr>
      <w:r>
        <w:rPr>
          <w:rFonts w:hint="eastAsia" w:ascii="仿宋" w:hAnsi="仿宋" w:eastAsia="仿宋" w:cs="仿宋"/>
          <w:bCs/>
          <w:sz w:val="28"/>
          <w:szCs w:val="28"/>
          <w:highlight w:val="none"/>
        </w:rPr>
        <w:br w:type="page"/>
      </w:r>
    </w:p>
    <w:p w14:paraId="71AA35F1">
      <w:pPr>
        <w:overflowPunct w:val="0"/>
        <w:adjustRightInd w:val="0"/>
        <w:snapToGrid w:val="0"/>
        <w:spacing w:line="440" w:lineRule="exact"/>
        <w:jc w:val="left"/>
        <w:rPr>
          <w:rFonts w:ascii="仿宋" w:hAnsi="仿宋" w:eastAsia="仿宋" w:cs="仿宋"/>
          <w:sz w:val="28"/>
          <w:szCs w:val="28"/>
          <w:highlight w:val="none"/>
        </w:rPr>
      </w:pPr>
      <w:r>
        <w:rPr>
          <w:rFonts w:hint="eastAsia" w:ascii="仿宋" w:hAnsi="仿宋" w:eastAsia="仿宋" w:cs="仿宋"/>
          <w:bCs/>
          <w:sz w:val="28"/>
          <w:szCs w:val="28"/>
          <w:highlight w:val="none"/>
        </w:rPr>
        <w:t>附</w:t>
      </w:r>
      <w:r>
        <w:rPr>
          <w:rFonts w:hint="eastAsia" w:ascii="仿宋" w:hAnsi="仿宋" w:eastAsia="仿宋" w:cs="仿宋"/>
          <w:sz w:val="28"/>
          <w:szCs w:val="28"/>
          <w:highlight w:val="none"/>
        </w:rPr>
        <w:t>件</w:t>
      </w:r>
      <w:r>
        <w:rPr>
          <w:rFonts w:hint="eastAsia" w:ascii="仿宋" w:hAnsi="仿宋" w:eastAsia="仿宋" w:cs="仿宋"/>
          <w:bCs/>
          <w:sz w:val="28"/>
          <w:szCs w:val="28"/>
          <w:highlight w:val="none"/>
          <w:lang w:val="en-US" w:eastAsia="zh-CN"/>
        </w:rPr>
        <w:t>3</w:t>
      </w:r>
      <w:r>
        <w:rPr>
          <w:rFonts w:hint="eastAsia" w:ascii="仿宋" w:hAnsi="仿宋" w:eastAsia="仿宋" w:cs="仿宋"/>
          <w:bCs/>
          <w:sz w:val="28"/>
          <w:szCs w:val="28"/>
          <w:highlight w:val="none"/>
        </w:rPr>
        <w:t>：</w:t>
      </w:r>
    </w:p>
    <w:p w14:paraId="5BEB1147">
      <w:pPr>
        <w:widowControl/>
        <w:spacing w:line="360" w:lineRule="auto"/>
        <w:ind w:left="1"/>
        <w:jc w:val="center"/>
        <w:rPr>
          <w:rFonts w:hint="eastAsia" w:ascii="仿宋" w:hAnsi="仿宋" w:eastAsia="仿宋" w:cs="仿宋"/>
          <w:b/>
          <w:kern w:val="0"/>
          <w:sz w:val="30"/>
          <w:szCs w:val="30"/>
          <w:highlight w:val="none"/>
          <w:lang w:val="en-US" w:eastAsia="zh-CN"/>
        </w:rPr>
      </w:pPr>
      <w:r>
        <w:rPr>
          <w:rFonts w:hint="eastAsia" w:ascii="仿宋" w:hAnsi="仿宋" w:eastAsia="仿宋" w:cs="仿宋"/>
          <w:b/>
          <w:kern w:val="0"/>
          <w:sz w:val="30"/>
          <w:szCs w:val="30"/>
          <w:highlight w:val="none"/>
          <w:lang w:val="en-US" w:eastAsia="zh-CN"/>
        </w:rPr>
        <w:t>供应商</w:t>
      </w:r>
      <w:r>
        <w:rPr>
          <w:rFonts w:hint="eastAsia" w:ascii="仿宋" w:hAnsi="仿宋" w:eastAsia="仿宋" w:cs="仿宋"/>
          <w:b/>
          <w:kern w:val="0"/>
          <w:sz w:val="30"/>
          <w:szCs w:val="30"/>
          <w:highlight w:val="none"/>
        </w:rPr>
        <w:t>企业关系关联</w:t>
      </w:r>
      <w:r>
        <w:rPr>
          <w:rFonts w:hint="eastAsia" w:ascii="仿宋" w:hAnsi="仿宋" w:eastAsia="仿宋" w:cs="仿宋"/>
          <w:b/>
          <w:kern w:val="0"/>
          <w:sz w:val="30"/>
          <w:szCs w:val="30"/>
          <w:highlight w:val="none"/>
          <w:lang w:val="en-US" w:eastAsia="zh-CN"/>
        </w:rPr>
        <w:t>声明</w:t>
      </w:r>
    </w:p>
    <w:p w14:paraId="6D91174A">
      <w:pPr>
        <w:spacing w:line="540" w:lineRule="exact"/>
        <w:ind w:right="-197" w:rightChars="-94"/>
        <w:jc w:val="left"/>
        <w:rPr>
          <w:rFonts w:hint="eastAsia" w:ascii="仿宋_GB2312" w:hAnsi="Times New Roman" w:eastAsia="仿宋_GB2312" w:cs="Times New Roman"/>
          <w:color w:val="auto"/>
          <w:sz w:val="24"/>
          <w:szCs w:val="24"/>
          <w:highlight w:val="none"/>
          <w:u w:val="single"/>
        </w:rPr>
      </w:pPr>
      <w:r>
        <w:rPr>
          <w:rFonts w:hint="eastAsia" w:ascii="仿宋_GB2312" w:hAnsi="Times New Roman" w:eastAsia="仿宋_GB2312" w:cs="Times New Roman"/>
          <w:color w:val="auto"/>
          <w:sz w:val="24"/>
          <w:szCs w:val="24"/>
          <w:highlight w:val="none"/>
          <w:u w:val="single"/>
        </w:rPr>
        <w:t>（采购人名称）    ：</w:t>
      </w:r>
    </w:p>
    <w:p w14:paraId="4373E73F">
      <w:pPr>
        <w:spacing w:line="540" w:lineRule="exact"/>
        <w:ind w:right="-197" w:rightChars="-94" w:firstLine="480" w:firstLineChars="200"/>
        <w:jc w:val="left"/>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eastAsia="zh-CN"/>
        </w:rPr>
        <w:t>一、</w:t>
      </w:r>
      <w:r>
        <w:rPr>
          <w:rFonts w:hint="eastAsia" w:ascii="仿宋_GB2312" w:eastAsia="仿宋_GB2312" w:cs="Times New Roman"/>
          <w:color w:val="auto"/>
          <w:sz w:val="24"/>
          <w:szCs w:val="24"/>
          <w:highlight w:val="none"/>
          <w:lang w:val="en-US" w:eastAsia="zh-CN"/>
        </w:rPr>
        <w:t>关联关系清单</w:t>
      </w:r>
    </w:p>
    <w:tbl>
      <w:tblPr>
        <w:tblStyle w:val="27"/>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040"/>
        <w:gridCol w:w="3080"/>
        <w:gridCol w:w="900"/>
      </w:tblGrid>
      <w:tr w14:paraId="3A81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04" w:type="dxa"/>
            <w:gridSpan w:val="4"/>
            <w:noWrap w:val="0"/>
            <w:vAlign w:val="center"/>
          </w:tcPr>
          <w:p w14:paraId="6AD35197">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存在直接控股、管理关系的相关单位</w:t>
            </w:r>
          </w:p>
        </w:tc>
      </w:tr>
      <w:tr w14:paraId="3B60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46DE5046">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4040" w:type="dxa"/>
            <w:noWrap w:val="0"/>
            <w:vAlign w:val="center"/>
          </w:tcPr>
          <w:p w14:paraId="0F2D5B2B">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直接控股股东名称及出资比例</w:t>
            </w:r>
          </w:p>
        </w:tc>
        <w:tc>
          <w:tcPr>
            <w:tcW w:w="3080" w:type="dxa"/>
            <w:noWrap w:val="0"/>
            <w:vAlign w:val="center"/>
          </w:tcPr>
          <w:p w14:paraId="4C570589">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直接管理关系单位名称</w:t>
            </w:r>
          </w:p>
        </w:tc>
        <w:tc>
          <w:tcPr>
            <w:tcW w:w="900" w:type="dxa"/>
            <w:noWrap w:val="0"/>
            <w:vAlign w:val="center"/>
          </w:tcPr>
          <w:p w14:paraId="40231C36">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备注</w:t>
            </w:r>
          </w:p>
        </w:tc>
      </w:tr>
      <w:tr w14:paraId="3736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0C174133">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w:t>
            </w:r>
          </w:p>
        </w:tc>
        <w:tc>
          <w:tcPr>
            <w:tcW w:w="4040" w:type="dxa"/>
            <w:noWrap w:val="0"/>
            <w:vAlign w:val="top"/>
          </w:tcPr>
          <w:p w14:paraId="0EC58058">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59DE3343">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4BD189A6">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740B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220CCB7B">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w:t>
            </w:r>
          </w:p>
        </w:tc>
        <w:tc>
          <w:tcPr>
            <w:tcW w:w="4040" w:type="dxa"/>
            <w:noWrap w:val="0"/>
            <w:vAlign w:val="top"/>
          </w:tcPr>
          <w:p w14:paraId="7272484E">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0C3C157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7C755453">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5F81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0321573C">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w:t>
            </w:r>
          </w:p>
        </w:tc>
        <w:tc>
          <w:tcPr>
            <w:tcW w:w="4040" w:type="dxa"/>
            <w:noWrap w:val="0"/>
            <w:vAlign w:val="top"/>
          </w:tcPr>
          <w:p w14:paraId="20B35BC9">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4D4E8F5F">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2E5612B3">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086B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41965138">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4040" w:type="dxa"/>
            <w:noWrap w:val="0"/>
            <w:vAlign w:val="top"/>
          </w:tcPr>
          <w:p w14:paraId="702E87AA">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61BA51A7">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2AA1D8D4">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bl>
    <w:p w14:paraId="73E68EB7">
      <w:pPr>
        <w:spacing w:line="540" w:lineRule="exact"/>
        <w:ind w:right="-197"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二、我单位</w:t>
      </w:r>
      <w:r>
        <w:rPr>
          <w:rFonts w:hint="eastAsia" w:ascii="仿宋_GB2312" w:eastAsia="仿宋_GB2312" w:cs="Times New Roman"/>
          <w:color w:val="auto"/>
          <w:sz w:val="24"/>
          <w:szCs w:val="24"/>
          <w:highlight w:val="none"/>
          <w:lang w:val="en-US" w:eastAsia="zh-CN"/>
        </w:rPr>
        <w:t>不属于</w:t>
      </w:r>
      <w:r>
        <w:rPr>
          <w:rFonts w:hint="eastAsia" w:ascii="仿宋_GB2312" w:hAnsi="Times New Roman" w:eastAsia="仿宋_GB2312" w:cs="Times New Roman"/>
          <w:color w:val="auto"/>
          <w:sz w:val="24"/>
          <w:szCs w:val="24"/>
          <w:highlight w:val="none"/>
        </w:rPr>
        <w:t>为本采购项目提供过整体设计、规范编制或者项目管理、监理、检测等服务的</w:t>
      </w:r>
      <w:r>
        <w:rPr>
          <w:rFonts w:hint="eastAsia" w:ascii="仿宋_GB2312" w:hAnsi="Times New Roman" w:eastAsia="仿宋_GB2312" w:cs="Times New Roman"/>
          <w:color w:val="auto"/>
          <w:sz w:val="24"/>
          <w:szCs w:val="24"/>
          <w:highlight w:val="none"/>
          <w:lang w:eastAsia="zh-CN"/>
        </w:rPr>
        <w:t>供应商</w:t>
      </w:r>
      <w:r>
        <w:rPr>
          <w:rFonts w:hint="eastAsia" w:ascii="仿宋_GB2312" w:hAnsi="Times New Roman" w:eastAsia="仿宋_GB2312" w:cs="Times New Roman"/>
          <w:color w:val="auto"/>
          <w:sz w:val="24"/>
          <w:szCs w:val="24"/>
          <w:highlight w:val="none"/>
        </w:rPr>
        <w:t>。</w:t>
      </w:r>
    </w:p>
    <w:p w14:paraId="32B9A518">
      <w:pPr>
        <w:spacing w:line="540" w:lineRule="exact"/>
        <w:ind w:right="-197"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本单位对上述声明的真实性负责</w:t>
      </w:r>
      <w:r>
        <w:rPr>
          <w:rFonts w:hint="eastAsia" w:ascii="仿宋_GB2312" w:hAnsi="Times New Roman" w:eastAsia="仿宋_GB2312" w:cs="Times New Roman"/>
          <w:color w:val="auto"/>
          <w:sz w:val="24"/>
          <w:szCs w:val="24"/>
          <w:highlight w:val="none"/>
          <w:lang w:eastAsia="zh-CN"/>
        </w:rPr>
        <w:t>，</w:t>
      </w:r>
      <w:r>
        <w:rPr>
          <w:rFonts w:hint="eastAsia" w:ascii="仿宋_GB2312" w:hAnsi="Times New Roman" w:eastAsia="仿宋_GB2312" w:cs="Times New Roman"/>
          <w:color w:val="auto"/>
          <w:sz w:val="24"/>
          <w:szCs w:val="24"/>
          <w:highlight w:val="none"/>
        </w:rPr>
        <w:t>如有</w:t>
      </w:r>
      <w:r>
        <w:rPr>
          <w:rFonts w:hint="eastAsia" w:ascii="仿宋_GB2312" w:hAnsi="Times New Roman" w:eastAsia="仿宋_GB2312" w:cs="Times New Roman"/>
          <w:color w:val="auto"/>
          <w:sz w:val="24"/>
          <w:szCs w:val="24"/>
          <w:highlight w:val="none"/>
          <w:lang w:eastAsia="zh-CN"/>
        </w:rPr>
        <w:t>虚假</w:t>
      </w:r>
      <w:r>
        <w:rPr>
          <w:rFonts w:hint="eastAsia" w:ascii="仿宋_GB2312" w:hAnsi="Times New Roman" w:eastAsia="仿宋_GB2312" w:cs="Times New Roman"/>
          <w:color w:val="auto"/>
          <w:sz w:val="24"/>
          <w:szCs w:val="24"/>
          <w:highlight w:val="none"/>
        </w:rPr>
        <w:t>，我方将无条件地退出本项目的采购活动，并遵照《</w:t>
      </w:r>
      <w:r>
        <w:rPr>
          <w:rFonts w:hint="eastAsia" w:ascii="仿宋_GB2312" w:hAnsi="仿宋_GB2312" w:eastAsia="仿宋_GB2312" w:cs="仿宋_GB2312"/>
          <w:color w:val="auto"/>
          <w:sz w:val="24"/>
          <w:szCs w:val="24"/>
          <w:highlight w:val="none"/>
          <w:lang w:val="en-US" w:eastAsia="zh-CN"/>
        </w:rPr>
        <w:t>中华人民共和国</w:t>
      </w:r>
      <w:r>
        <w:rPr>
          <w:rFonts w:hint="eastAsia" w:ascii="仿宋_GB2312" w:hAnsi="仿宋_GB2312" w:eastAsia="仿宋_GB2312" w:cs="仿宋_GB2312"/>
          <w:color w:val="auto"/>
          <w:sz w:val="24"/>
          <w:szCs w:val="24"/>
          <w:highlight w:val="none"/>
        </w:rPr>
        <w:t>政府采购法</w:t>
      </w:r>
      <w:r>
        <w:rPr>
          <w:rFonts w:hint="eastAsia" w:ascii="仿宋_GB2312" w:hAnsi="Times New Roman" w:eastAsia="仿宋_GB2312" w:cs="Times New Roman"/>
          <w:color w:val="auto"/>
          <w:sz w:val="24"/>
          <w:szCs w:val="24"/>
          <w:highlight w:val="none"/>
        </w:rPr>
        <w:t>》有关"提供虚假材料的规定"接受处罚。</w:t>
      </w:r>
      <w:r>
        <w:rPr>
          <w:rFonts w:hint="eastAsia" w:ascii="仿宋_GB2312" w:hAnsi="Times New Roman" w:eastAsia="仿宋_GB2312" w:cs="Times New Roman"/>
          <w:color w:val="auto"/>
          <w:sz w:val="24"/>
          <w:szCs w:val="24"/>
          <w:highlight w:val="none"/>
        </w:rPr>
        <w:br w:type="textWrapping"/>
      </w:r>
      <w:r>
        <w:rPr>
          <w:rFonts w:hint="eastAsia" w:ascii="仿宋_GB2312" w:hAnsi="Times New Roman" w:eastAsia="仿宋_GB2312" w:cs="Times New Roman"/>
          <w:color w:val="auto"/>
          <w:sz w:val="24"/>
          <w:szCs w:val="24"/>
          <w:highlight w:val="none"/>
        </w:rPr>
        <w:t xml:space="preserve">     特此声明。</w:t>
      </w:r>
    </w:p>
    <w:p w14:paraId="445F3A15">
      <w:pPr>
        <w:pStyle w:val="14"/>
        <w:adjustRightInd w:val="0"/>
        <w:snapToGrid w:val="0"/>
        <w:spacing w:line="720" w:lineRule="exact"/>
        <w:rPr>
          <w:rFonts w:ascii="仿宋" w:hAnsi="仿宋" w:eastAsia="仿宋" w:cs="仿宋"/>
          <w:color w:val="auto"/>
          <w:spacing w:val="4"/>
          <w:szCs w:val="24"/>
          <w:highlight w:val="none"/>
        </w:rPr>
      </w:pPr>
    </w:p>
    <w:p w14:paraId="79A97105">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723AEBAC">
      <w:pPr>
        <w:spacing w:line="360" w:lineRule="auto"/>
        <w:ind w:firstLine="0" w:firstLineChars="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法定代表人</w:t>
      </w:r>
    </w:p>
    <w:p w14:paraId="2DA0CF5A">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highlight w:val="none"/>
          <w:u w:val="none"/>
        </w:rPr>
        <w:t>或被授权人：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35818B07">
      <w:pPr>
        <w:pStyle w:val="32"/>
        <w:spacing w:line="500" w:lineRule="exact"/>
        <w:ind w:left="0" w:leftChars="0"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3F3FA85">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5D5DE003">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781EF3CB">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rPr>
        <w:t>备注：</w:t>
      </w:r>
      <w:r>
        <w:rPr>
          <w:rFonts w:hint="eastAsia" w:ascii="仿宋" w:hAnsi="仿宋" w:eastAsia="仿宋" w:cs="仿宋"/>
          <w:b w:val="0"/>
          <w:bCs/>
          <w:kern w:val="0"/>
          <w:sz w:val="24"/>
          <w:szCs w:val="24"/>
          <w:highlight w:val="none"/>
          <w:lang w:val="zh-CN" w:eastAsia="zh-CN"/>
        </w:rPr>
        <w:t xml:space="preserve">1.直接控股股东：是指其出资额占有限责任公司资本总额百分之五十以上或者其持有的股份占股份有限公司股份总额百分之五十以上的股东；出资额或者持有股份的比例虽然不足百分之五，但依其出资额或者持有的股份所享有的表决权已足以对股东会、股东大会的决议产生重大影响的股东。 </w:t>
      </w:r>
    </w:p>
    <w:p w14:paraId="2539BCE7">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2.</w:t>
      </w:r>
      <w:r>
        <w:rPr>
          <w:rFonts w:hint="eastAsia" w:ascii="仿宋" w:hAnsi="仿宋" w:eastAsia="仿宋" w:cs="仿宋"/>
          <w:b w:val="0"/>
          <w:bCs/>
          <w:kern w:val="0"/>
          <w:sz w:val="24"/>
          <w:szCs w:val="24"/>
          <w:highlight w:val="none"/>
          <w:lang w:val="en-US" w:eastAsia="zh-CN"/>
        </w:rPr>
        <w:t>直接</w:t>
      </w:r>
      <w:r>
        <w:rPr>
          <w:rFonts w:hint="eastAsia" w:ascii="仿宋" w:hAnsi="仿宋" w:eastAsia="仿宋" w:cs="仿宋"/>
          <w:b w:val="0"/>
          <w:bCs/>
          <w:kern w:val="0"/>
          <w:sz w:val="24"/>
          <w:szCs w:val="24"/>
          <w:highlight w:val="none"/>
          <w:lang w:val="zh-CN" w:eastAsia="zh-CN"/>
        </w:rPr>
        <w:t xml:space="preserve">管理关系：是指不具有出资持股关系的其他单位之间存在的管理与被管理关系，如一些上下级关系的事业单位和团体组织。 </w:t>
      </w:r>
    </w:p>
    <w:p w14:paraId="1A2001BD">
      <w:pPr>
        <w:keepNext w:val="0"/>
        <w:keepLines w:val="0"/>
        <w:pageBreakBefore w:val="0"/>
        <w:widowControl w:val="0"/>
        <w:kinsoku w:val="0"/>
        <w:wordWrap/>
        <w:overflowPunct/>
        <w:topLinePunct w:val="0"/>
        <w:autoSpaceDE/>
        <w:autoSpaceDN/>
        <w:bidi w:val="0"/>
        <w:adjustRightInd w:val="0"/>
        <w:snapToGrid/>
        <w:spacing w:line="336" w:lineRule="auto"/>
        <w:ind w:firstLine="480" w:firstLineChars="200"/>
        <w:jc w:val="left"/>
        <w:textAlignment w:val="auto"/>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 xml:space="preserve">3.本表所指的控股、管理关系仅限于直接控股、直接管理关系，不包括间接的控股或管理关系。公司实际控制人与公司之间的关系不属于本表所指的直接控股关系。 </w:t>
      </w:r>
    </w:p>
    <w:p w14:paraId="2E14ACB4">
      <w:pPr>
        <w:pStyle w:val="32"/>
        <w:spacing w:line="500" w:lineRule="exact"/>
        <w:rPr>
          <w:rFonts w:ascii="仿宋" w:hAnsi="仿宋" w:eastAsia="仿宋" w:cs="仿宋"/>
          <w:szCs w:val="24"/>
          <w:highlight w:val="none"/>
        </w:rPr>
      </w:pPr>
      <w:r>
        <w:rPr>
          <w:rFonts w:hint="eastAsia" w:ascii="仿宋" w:hAnsi="仿宋" w:eastAsia="仿宋" w:cs="仿宋"/>
          <w:b w:val="0"/>
          <w:bCs/>
          <w:kern w:val="0"/>
          <w:sz w:val="24"/>
          <w:szCs w:val="24"/>
          <w:highlight w:val="none"/>
          <w:lang w:val="zh-CN" w:eastAsia="zh-CN"/>
        </w:rPr>
        <w:t>4.</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如不存在直接控股股东的，则在“直接控股股东名称及出资比例”处填写“无”或“/”。</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不存在直接管理关系的，则在“直接管理关系单位名称”中填“无”或“/”。</w:t>
      </w:r>
    </w:p>
    <w:p w14:paraId="31B105FD">
      <w:pPr>
        <w:overflowPunct w:val="0"/>
        <w:spacing w:line="360" w:lineRule="auto"/>
        <w:jc w:val="center"/>
        <w:outlineLvl w:val="9"/>
        <w:rPr>
          <w:rFonts w:hint="eastAsia" w:ascii="仿宋" w:hAnsi="仿宋" w:eastAsia="仿宋" w:cs="仿宋"/>
          <w:b/>
          <w:bCs/>
          <w:color w:val="auto"/>
          <w:sz w:val="24"/>
          <w:highlight w:val="none"/>
        </w:rPr>
      </w:pPr>
    </w:p>
    <w:p w14:paraId="6735BC0B">
      <w:pPr>
        <w:overflowPunct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sz w:val="28"/>
          <w:szCs w:val="28"/>
          <w:highlight w:val="none"/>
        </w:rPr>
        <w:br w:type="page"/>
      </w:r>
    </w:p>
    <w:p w14:paraId="33DFAE48">
      <w:pPr>
        <w:pStyle w:val="36"/>
        <w:spacing w:beforeLines="50"/>
        <w:ind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附件4</w:t>
      </w:r>
      <w:r>
        <w:rPr>
          <w:rFonts w:hint="eastAsia" w:ascii="仿宋" w:hAnsi="仿宋" w:eastAsia="仿宋" w:cs="仿宋"/>
          <w:sz w:val="28"/>
          <w:szCs w:val="28"/>
          <w:highlight w:val="none"/>
          <w:lang w:val="en-US" w:eastAsia="zh-CN"/>
        </w:rPr>
        <w:t>:</w:t>
      </w:r>
    </w:p>
    <w:p w14:paraId="7FA29351">
      <w:pPr>
        <w:widowControl/>
        <w:spacing w:line="360" w:lineRule="auto"/>
        <w:ind w:left="1"/>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lang w:val="en-US" w:eastAsia="zh-CN"/>
        </w:rPr>
        <w:t>非联合体不分包响应声明</w:t>
      </w:r>
    </w:p>
    <w:p w14:paraId="00667395">
      <w:pPr>
        <w:keepNext w:val="0"/>
        <w:keepLines w:val="0"/>
        <w:pageBreakBefore w:val="0"/>
        <w:kinsoku/>
        <w:wordWrap/>
        <w:topLinePunct w:val="0"/>
        <w:autoSpaceDE/>
        <w:autoSpaceDN/>
        <w:bidi w:val="0"/>
        <w:spacing w:line="480" w:lineRule="auto"/>
        <w:ind w:right="-197" w:rightChars="-94"/>
        <w:jc w:val="left"/>
        <w:textAlignment w:val="auto"/>
        <w:rPr>
          <w:rFonts w:hint="eastAsia" w:ascii="仿宋_GB2312" w:hAnsi="Times New Roman" w:eastAsia="仿宋_GB2312" w:cs="Times New Roman"/>
          <w:sz w:val="24"/>
          <w:szCs w:val="24"/>
          <w:highlight w:val="none"/>
          <w:u w:val="single"/>
        </w:rPr>
      </w:pPr>
      <w:r>
        <w:rPr>
          <w:rFonts w:hint="eastAsia" w:ascii="仿宋_GB2312" w:hAnsi="Times New Roman" w:eastAsia="仿宋_GB2312" w:cs="Times New Roman"/>
          <w:sz w:val="24"/>
          <w:szCs w:val="24"/>
          <w:highlight w:val="none"/>
          <w:u w:val="single"/>
        </w:rPr>
        <w:t>（采购人名称）    ：</w:t>
      </w:r>
    </w:p>
    <w:p w14:paraId="4BCB96B8">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我单位作为</w:t>
      </w:r>
      <w:r>
        <w:rPr>
          <w:rFonts w:hint="eastAsia" w:ascii="仿宋_GB2312" w:hAnsi="Times New Roman" w:eastAsia="仿宋_GB2312" w:cs="Times New Roman"/>
          <w:sz w:val="24"/>
          <w:szCs w:val="24"/>
          <w:highlight w:val="none"/>
          <w:u w:val="single"/>
          <w:lang w:val="en-US" w:eastAsia="zh-CN"/>
        </w:rPr>
        <w:t xml:space="preserve">   （项目名称）    </w:t>
      </w:r>
      <w:r>
        <w:rPr>
          <w:rFonts w:hint="eastAsia" w:ascii="仿宋_GB2312" w:hAnsi="Times New Roman" w:eastAsia="仿宋_GB2312" w:cs="Times New Roman"/>
          <w:sz w:val="24"/>
          <w:szCs w:val="24"/>
          <w:highlight w:val="none"/>
          <w:lang w:val="en-US" w:eastAsia="zh-CN"/>
        </w:rPr>
        <w:t xml:space="preserve">的供应商，在此郑重声明本项目为非联合体磋商，本项目实施过程由本单位独立承担。 </w:t>
      </w:r>
    </w:p>
    <w:p w14:paraId="10735B02">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本单位对上述声明的真实性负责。如有虚假，将依法承担相应责任。</w:t>
      </w:r>
    </w:p>
    <w:p w14:paraId="7A506ABD">
      <w:pPr>
        <w:rPr>
          <w:rFonts w:hint="eastAsia" w:ascii="仿宋_GB2312" w:hAnsi="Times New Roman" w:eastAsia="仿宋_GB2312" w:cs="Times New Roman"/>
          <w:sz w:val="28"/>
          <w:szCs w:val="28"/>
          <w:highlight w:val="none"/>
          <w:lang w:val="en-US" w:eastAsia="zh-CN"/>
        </w:rPr>
      </w:pPr>
    </w:p>
    <w:p w14:paraId="4CC8DDE7">
      <w:pPr>
        <w:spacing w:line="360" w:lineRule="auto"/>
        <w:jc w:val="left"/>
        <w:rPr>
          <w:rFonts w:hint="eastAsia" w:ascii="仿宋" w:hAnsi="仿宋" w:eastAsia="仿宋" w:cs="仿宋"/>
          <w:color w:val="auto"/>
          <w:sz w:val="24"/>
          <w:highlight w:val="none"/>
        </w:rPr>
      </w:pPr>
    </w:p>
    <w:p w14:paraId="3D98C447">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3415A7E">
      <w:pPr>
        <w:spacing w:line="360" w:lineRule="auto"/>
        <w:ind w:firstLine="0" w:firstLineChars="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法定代表人</w:t>
      </w:r>
    </w:p>
    <w:p w14:paraId="2C87F64C">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none"/>
        </w:rPr>
        <w:t>或被授权人：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ECC6D2F">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7ED33B7B">
      <w:pPr>
        <w:rPr>
          <w:rFonts w:ascii="仿宋" w:hAnsi="仿宋" w:eastAsia="仿宋" w:cs="仿宋"/>
          <w:color w:val="auto"/>
          <w:szCs w:val="24"/>
          <w:highlight w:val="none"/>
        </w:rPr>
      </w:pPr>
      <w:r>
        <w:rPr>
          <w:rFonts w:ascii="仿宋" w:hAnsi="仿宋" w:eastAsia="仿宋" w:cs="仿宋"/>
          <w:color w:val="auto"/>
          <w:szCs w:val="24"/>
          <w:highlight w:val="none"/>
        </w:rPr>
        <w:br w:type="page"/>
      </w:r>
    </w:p>
    <w:p w14:paraId="2E1171D6">
      <w:pPr>
        <w:tabs>
          <w:tab w:val="left" w:pos="-180"/>
        </w:tabs>
        <w:ind w:right="178" w:rightChars="85"/>
        <w:jc w:val="both"/>
        <w:rPr>
          <w:rFonts w:hint="default" w:ascii="仿宋" w:hAnsi="仿宋" w:eastAsia="仿宋" w:cs="仿宋"/>
          <w:b/>
          <w:sz w:val="32"/>
          <w:szCs w:val="32"/>
          <w:highlight w:val="none"/>
          <w:lang w:val="en-US" w:eastAsia="zh-CN"/>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5:</w:t>
      </w:r>
    </w:p>
    <w:p w14:paraId="34A326DE">
      <w:pPr>
        <w:spacing w:line="480" w:lineRule="auto"/>
        <w:jc w:val="center"/>
        <w:rPr>
          <w:rFonts w:ascii="仿宋" w:hAnsi="仿宋" w:eastAsia="仿宋" w:cs="仿宋"/>
          <w:b/>
          <w:sz w:val="36"/>
          <w:szCs w:val="36"/>
          <w:highlight w:val="none"/>
        </w:rPr>
      </w:pPr>
      <w:r>
        <w:rPr>
          <w:rFonts w:hint="eastAsia" w:ascii="仿宋" w:hAnsi="仿宋" w:eastAsia="仿宋" w:cs="仿宋"/>
          <w:b/>
          <w:sz w:val="30"/>
          <w:szCs w:val="30"/>
          <w:highlight w:val="none"/>
        </w:rPr>
        <w:t>拒绝商业贿赂承诺书</w:t>
      </w:r>
    </w:p>
    <w:p w14:paraId="5627EC0A">
      <w:pPr>
        <w:keepNext w:val="0"/>
        <w:keepLines w:val="0"/>
        <w:pageBreakBefore w:val="0"/>
        <w:widowControl/>
        <w:suppressLineNumbers w:val="0"/>
        <w:kinsoku/>
        <w:wordWrap/>
        <w:topLinePunct w:val="0"/>
        <w:autoSpaceDE/>
        <w:autoSpaceDN/>
        <w:bidi w:val="0"/>
        <w:spacing w:line="480" w:lineRule="auto"/>
        <w:ind w:firstLine="496" w:firstLineChars="200"/>
        <w:jc w:val="left"/>
        <w:textAlignment w:val="auto"/>
        <w:rPr>
          <w:rFonts w:hint="eastAsia" w:ascii="仿宋_GB2312" w:hAnsi="Times New Roman" w:eastAsia="仿宋_GB2312" w:cs="Times New Roman"/>
          <w:color w:val="auto"/>
          <w:sz w:val="24"/>
          <w:szCs w:val="24"/>
          <w:highlight w:val="none"/>
          <w:lang w:val="en-US" w:eastAsia="zh-CN"/>
        </w:rPr>
      </w:pPr>
      <w:r>
        <w:rPr>
          <w:rFonts w:hint="eastAsia" w:ascii="仿宋" w:hAnsi="仿宋" w:eastAsia="仿宋" w:cs="仿宋"/>
          <w:spacing w:val="4"/>
          <w:sz w:val="24"/>
          <w:szCs w:val="24"/>
          <w:highlight w:val="none"/>
        </w:rPr>
        <w:t>为响应党中央、国务院关于治理政府采购领域商业贿赂行为的号召，我公司在此庄严承诺：</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1、在参与政府采购活动中遵纪守法、诚信经营、公平竞标。</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2、不向政府采购人、采购代理机构和政府采购评审专家进行任何形式的商业贿赂以谋取交易机会。</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3、不向政府采购代理机构和采购人提供虚假资质证明文件或采用虚假应标方式参与政府采购市场竞争并谋取中标、成交。</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4、不采取“围标、陪标”等商业欺诈手段获得政府采购订单。</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5、不采取不正当手段诋毁、排挤其他</w:t>
      </w:r>
      <w:r>
        <w:rPr>
          <w:rFonts w:hint="eastAsia" w:ascii="仿宋" w:hAnsi="仿宋" w:eastAsia="仿宋" w:cs="仿宋"/>
          <w:spacing w:val="4"/>
          <w:sz w:val="24"/>
          <w:szCs w:val="24"/>
          <w:highlight w:val="none"/>
          <w:lang w:eastAsia="zh-CN"/>
        </w:rPr>
        <w:t>供应商</w:t>
      </w:r>
      <w:r>
        <w:rPr>
          <w:rFonts w:hint="eastAsia" w:ascii="仿宋" w:hAnsi="仿宋" w:eastAsia="仿宋" w:cs="仿宋"/>
          <w:spacing w:val="4"/>
          <w:sz w:val="24"/>
          <w:szCs w:val="24"/>
          <w:highlight w:val="none"/>
        </w:rPr>
        <w:t>。</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6、不在提供商品和服务时“偷梁换柱、以次充好”损害采购人的合法权益。</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7、不与采购人、采购代理机构、政府采购评审专家</w:t>
      </w:r>
      <w:r>
        <w:rPr>
          <w:rFonts w:hint="eastAsia" w:ascii="仿宋" w:hAnsi="仿宋" w:eastAsia="仿宋" w:cs="仿宋"/>
          <w:spacing w:val="4"/>
          <w:sz w:val="24"/>
          <w:szCs w:val="24"/>
          <w:highlight w:val="none"/>
          <w:lang w:eastAsia="zh-CN"/>
        </w:rPr>
        <w:t>或其他供应商</w:t>
      </w:r>
      <w:r>
        <w:rPr>
          <w:rFonts w:hint="eastAsia" w:ascii="仿宋" w:hAnsi="仿宋" w:eastAsia="仿宋" w:cs="仿宋"/>
          <w:spacing w:val="4"/>
          <w:sz w:val="24"/>
          <w:szCs w:val="24"/>
          <w:highlight w:val="none"/>
        </w:rPr>
        <w:t>恶意串通，进行质疑和投诉，维护政府采购市场秩序。</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8、尊重和接受政府采购监督管理部门的监督和政府采购代理机构招标采购要求，承担因违约行为给采购人造成的损失。</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9、不发生其他有悖于政府采购公开、公平、公正和诚信原则的行为。</w:t>
      </w:r>
    </w:p>
    <w:p w14:paraId="14BD17CE">
      <w:pPr>
        <w:rPr>
          <w:rFonts w:hint="eastAsia" w:ascii="仿宋_GB2312" w:hAnsi="Times New Roman" w:eastAsia="仿宋_GB2312" w:cs="Times New Roman"/>
          <w:color w:val="auto"/>
          <w:sz w:val="28"/>
          <w:szCs w:val="28"/>
          <w:highlight w:val="none"/>
          <w:lang w:val="en-US" w:eastAsia="zh-CN"/>
        </w:rPr>
      </w:pPr>
    </w:p>
    <w:p w14:paraId="7A95E2AB">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73321488">
      <w:pPr>
        <w:spacing w:line="360" w:lineRule="auto"/>
        <w:ind w:firstLine="480" w:firstLineChars="20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法定代表人</w:t>
      </w:r>
    </w:p>
    <w:p w14:paraId="0ADFA99D">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none"/>
        </w:rPr>
        <w:t>或被授权人：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14176964">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61BBBC35">
      <w:pPr>
        <w:tabs>
          <w:tab w:val="left" w:pos="-180"/>
        </w:tabs>
        <w:ind w:right="178" w:rightChars="85"/>
        <w:jc w:val="center"/>
        <w:rPr>
          <w:rFonts w:hint="eastAsia" w:ascii="仿宋" w:hAnsi="仿宋" w:eastAsia="仿宋" w:cs="仿宋"/>
          <w:b/>
          <w:sz w:val="32"/>
          <w:szCs w:val="32"/>
          <w:highlight w:val="none"/>
        </w:rPr>
      </w:pPr>
    </w:p>
    <w:p w14:paraId="17398F49">
      <w:pPr>
        <w:tabs>
          <w:tab w:val="left" w:pos="-180"/>
        </w:tabs>
        <w:ind w:right="178" w:rightChars="85"/>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6:</w:t>
      </w:r>
    </w:p>
    <w:p w14:paraId="1343AEAE">
      <w:pPr>
        <w:tabs>
          <w:tab w:val="left" w:pos="-180"/>
        </w:tabs>
        <w:ind w:right="178" w:rightChars="85"/>
        <w:jc w:val="center"/>
        <w:rPr>
          <w:rFonts w:ascii="仿宋" w:hAnsi="仿宋" w:eastAsia="仿宋" w:cs="仿宋"/>
          <w:b/>
          <w:sz w:val="32"/>
          <w:szCs w:val="32"/>
          <w:highlight w:val="none"/>
        </w:rPr>
      </w:pPr>
      <w:r>
        <w:rPr>
          <w:rFonts w:hint="eastAsia" w:ascii="仿宋" w:hAnsi="仿宋" w:eastAsia="仿宋" w:cs="仿宋"/>
          <w:b/>
          <w:sz w:val="32"/>
          <w:szCs w:val="32"/>
          <w:highlight w:val="none"/>
        </w:rPr>
        <w:t>无围标、串标行为承诺书</w:t>
      </w:r>
    </w:p>
    <w:p w14:paraId="623BA838">
      <w:pPr>
        <w:pStyle w:val="36"/>
        <w:spacing w:line="50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本公司</w:t>
      </w:r>
      <w:r>
        <w:rPr>
          <w:rFonts w:hint="eastAsia" w:ascii="仿宋" w:hAnsi="仿宋" w:eastAsia="仿宋" w:cs="仿宋"/>
          <w:sz w:val="24"/>
          <w:szCs w:val="24"/>
          <w:highlight w:val="none"/>
          <w:lang w:val="en-US" w:eastAsia="zh-CN"/>
        </w:rPr>
        <w:t>郑重</w:t>
      </w:r>
      <w:r>
        <w:rPr>
          <w:rFonts w:hint="eastAsia" w:ascii="仿宋" w:hAnsi="仿宋" w:eastAsia="仿宋" w:cs="仿宋"/>
          <w:sz w:val="24"/>
          <w:szCs w:val="24"/>
          <w:highlight w:val="none"/>
        </w:rPr>
        <w:t>承诺：我公司自觉遵守《中华人民共和国政府采购法》、《中华人民共和国政府采购法实施条例》、《中华人民共和国招标投标法》和《中华人民共和国招标投标法实施条例》以及政府采购、招投标管理的有关规定。我公司在参加本次项目（项目名称：，项目编号：）活动中，无以下围标、串标行为：</w:t>
      </w:r>
    </w:p>
    <w:p w14:paraId="0C7478BB">
      <w:pPr>
        <w:pStyle w:val="36"/>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1）不同供应商的投标（响应）文件由同一单位或者个人编制；</w:t>
      </w:r>
    </w:p>
    <w:p w14:paraId="25A11BA6">
      <w:pPr>
        <w:pStyle w:val="36"/>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2）不同供应商委托同一单位或者个人办理投标（谈判、磋商）事宜；</w:t>
      </w:r>
    </w:p>
    <w:p w14:paraId="084F19F0">
      <w:pPr>
        <w:pStyle w:val="36"/>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3）不同供应商的投标（响应）文件载明的项目管理成员或者联系人员为同一人；</w:t>
      </w:r>
    </w:p>
    <w:p w14:paraId="728490A4">
      <w:pPr>
        <w:pStyle w:val="36"/>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4）不同供应商的投标（响应）文件异常一致或者投标（响应）报价呈规律性差异；</w:t>
      </w:r>
    </w:p>
    <w:p w14:paraId="76F36F25">
      <w:pPr>
        <w:pStyle w:val="36"/>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5）不同供应商的投标（响应）文件相互混装；</w:t>
      </w:r>
    </w:p>
    <w:p w14:paraId="7EB05AD9">
      <w:pPr>
        <w:pStyle w:val="36"/>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6）不同供应商的投标（谈判、磋商）保证金从同一单位或者个人的账户转出；</w:t>
      </w:r>
    </w:p>
    <w:p w14:paraId="63ECDE13">
      <w:pPr>
        <w:pStyle w:val="36"/>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7）不同供应商的单位负责人为同一人或者存在直接控股、管理关系的不同供应商，参加同一合同项下的政府采购活动；</w:t>
      </w:r>
    </w:p>
    <w:p w14:paraId="6EC88271">
      <w:pPr>
        <w:pStyle w:val="36"/>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8）法律法规界定的其他围标串标行为。</w:t>
      </w:r>
    </w:p>
    <w:p w14:paraId="06637412">
      <w:pPr>
        <w:pStyle w:val="36"/>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如有发现我公司存在围标、串标行为，我公司愿承担一切法律责任。</w:t>
      </w:r>
    </w:p>
    <w:p w14:paraId="301B3D9B">
      <w:pPr>
        <w:pStyle w:val="36"/>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特此承诺！</w:t>
      </w:r>
    </w:p>
    <w:p w14:paraId="2C00994E">
      <w:pPr>
        <w:pStyle w:val="36"/>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注：以上格式不得修改。</w:t>
      </w:r>
    </w:p>
    <w:p w14:paraId="1F9D725C">
      <w:pPr>
        <w:spacing w:line="360" w:lineRule="auto"/>
        <w:jc w:val="center"/>
        <w:rPr>
          <w:rFonts w:hint="eastAsia" w:ascii="仿宋" w:hAnsi="仿宋" w:eastAsia="仿宋" w:cs="仿宋"/>
          <w:color w:val="auto"/>
          <w:sz w:val="24"/>
          <w:highlight w:val="none"/>
        </w:rPr>
      </w:pPr>
    </w:p>
    <w:p w14:paraId="1332541E">
      <w:pPr>
        <w:spacing w:line="360" w:lineRule="auto"/>
        <w:ind w:firstLine="3828" w:firstLineChars="159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A465609">
      <w:pPr>
        <w:spacing w:line="360" w:lineRule="auto"/>
        <w:ind w:firstLine="3828" w:firstLineChars="1595"/>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法定代表人</w:t>
      </w:r>
    </w:p>
    <w:p w14:paraId="3B147107">
      <w:pPr>
        <w:spacing w:line="360" w:lineRule="auto"/>
        <w:ind w:firstLine="3828" w:firstLineChars="15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none"/>
        </w:rPr>
        <w:t>或被授权人：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266BD6A8">
      <w:pPr>
        <w:overflowPunct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      期：  年  月   日</w:t>
      </w:r>
    </w:p>
    <w:p w14:paraId="76B46524">
      <w:pPr>
        <w:pStyle w:val="36"/>
        <w:spacing w:beforeLines="50" w:line="500" w:lineRule="exact"/>
        <w:ind w:firstLine="3360" w:firstLineChars="1400"/>
        <w:rPr>
          <w:rFonts w:ascii="仿宋" w:hAnsi="仿宋" w:eastAsia="仿宋" w:cs="仿宋"/>
          <w:sz w:val="24"/>
          <w:szCs w:val="24"/>
          <w:highlight w:val="none"/>
        </w:rPr>
      </w:pPr>
    </w:p>
    <w:p w14:paraId="132CAC4A">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56D1497E">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p>
    <w:p w14:paraId="18045B0C">
      <w:pPr>
        <w:spacing w:line="360" w:lineRule="auto"/>
        <w:jc w:val="center"/>
        <w:rPr>
          <w:rFonts w:ascii="仿宋" w:hAnsi="仿宋" w:eastAsia="仿宋" w:cs="仿宋"/>
          <w:b/>
          <w:spacing w:val="6"/>
          <w:sz w:val="32"/>
          <w:szCs w:val="32"/>
          <w:highlight w:val="none"/>
        </w:rPr>
      </w:pPr>
      <w:bookmarkStart w:id="108" w:name="OLE_LINK14"/>
      <w:bookmarkStart w:id="109" w:name="OLE_LINK13"/>
      <w:r>
        <w:rPr>
          <w:rFonts w:hint="eastAsia" w:ascii="仿宋" w:hAnsi="仿宋" w:eastAsia="仿宋" w:cs="仿宋"/>
          <w:b/>
          <w:spacing w:val="6"/>
          <w:sz w:val="32"/>
          <w:szCs w:val="32"/>
          <w:highlight w:val="none"/>
        </w:rPr>
        <w:t>中小企业声明函（</w:t>
      </w:r>
      <w:r>
        <w:rPr>
          <w:rFonts w:hint="eastAsia" w:ascii="仿宋" w:hAnsi="仿宋" w:eastAsia="仿宋" w:cs="仿宋"/>
          <w:b/>
          <w:spacing w:val="6"/>
          <w:sz w:val="32"/>
          <w:szCs w:val="32"/>
          <w:highlight w:val="none"/>
          <w:lang w:val="en-US" w:eastAsia="zh-CN"/>
        </w:rPr>
        <w:t>服务</w:t>
      </w:r>
      <w:r>
        <w:rPr>
          <w:rFonts w:hint="eastAsia" w:ascii="仿宋" w:hAnsi="仿宋" w:eastAsia="仿宋" w:cs="仿宋"/>
          <w:b/>
          <w:spacing w:val="6"/>
          <w:sz w:val="32"/>
          <w:szCs w:val="32"/>
          <w:highlight w:val="none"/>
        </w:rPr>
        <w:t>）</w:t>
      </w:r>
    </w:p>
    <w:p w14:paraId="6990197A">
      <w:pPr>
        <w:spacing w:line="500" w:lineRule="exact"/>
        <w:ind w:firstLine="723" w:firstLineChars="300"/>
        <w:rPr>
          <w:rFonts w:ascii="仿宋" w:hAnsi="仿宋" w:eastAsia="仿宋" w:cs="宋体"/>
          <w:color w:val="333333"/>
          <w:kern w:val="0"/>
          <w:sz w:val="24"/>
          <w:highlight w:val="none"/>
        </w:rPr>
      </w:pPr>
      <w:r>
        <w:rPr>
          <w:rFonts w:hint="eastAsia" w:ascii="仿宋" w:hAnsi="仿宋" w:eastAsia="仿宋" w:cs="仿宋"/>
          <w:b/>
          <w:bCs/>
          <w:sz w:val="24"/>
          <w:highlight w:val="none"/>
        </w:rPr>
        <w:t>（注：符合中小企业划型标准的企业请提供本函，不符合的不提供本函）</w:t>
      </w:r>
    </w:p>
    <w:p w14:paraId="386E245F">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本公司(联合体)郑重声明，根据《政府采购促进中小企业发展管理办法》(财库(2020)46号)的规定，本公司(联合体)参加</w:t>
      </w:r>
      <w:r>
        <w:rPr>
          <w:rFonts w:hint="eastAsia" w:ascii="仿宋" w:hAnsi="仿宋" w:eastAsia="仿宋" w:cs="宋体"/>
          <w:kern w:val="0"/>
          <w:sz w:val="24"/>
          <w:highlight w:val="none"/>
          <w:u w:val="single"/>
        </w:rPr>
        <w:t xml:space="preserve">  (单位名称) </w:t>
      </w:r>
      <w:r>
        <w:rPr>
          <w:rFonts w:hint="eastAsia" w:ascii="仿宋" w:hAnsi="仿宋" w:eastAsia="仿宋" w:cs="宋体"/>
          <w:kern w:val="0"/>
          <w:sz w:val="24"/>
          <w:highlight w:val="none"/>
        </w:rPr>
        <w:t xml:space="preserve"> 的</w:t>
      </w:r>
      <w:r>
        <w:rPr>
          <w:rFonts w:hint="eastAsia" w:ascii="仿宋" w:hAnsi="仿宋" w:eastAsia="仿宋" w:cs="宋体"/>
          <w:kern w:val="0"/>
          <w:sz w:val="24"/>
          <w:highlight w:val="none"/>
          <w:u w:val="single"/>
        </w:rPr>
        <w:t xml:space="preserve"> (项目名称) 采购</w:t>
      </w:r>
      <w:r>
        <w:rPr>
          <w:rFonts w:hint="eastAsia" w:ascii="仿宋" w:hAnsi="仿宋" w:eastAsia="仿宋" w:cs="宋体"/>
          <w:kern w:val="0"/>
          <w:sz w:val="24"/>
          <w:highlight w:val="none"/>
        </w:rPr>
        <w:t>活动，服务全部由符合政策要求的中小企业承接。相关企业(含联合体中的中小企业、签订分包意向协议的中小企业)的具体情况如下：</w:t>
      </w:r>
    </w:p>
    <w:p w14:paraId="609D44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s="宋体"/>
          <w:kern w:val="0"/>
          <w:sz w:val="24"/>
          <w:highlight w:val="none"/>
        </w:rPr>
      </w:pPr>
      <w:r>
        <w:rPr>
          <w:rFonts w:hint="default" w:ascii="仿宋" w:hAnsi="仿宋" w:eastAsia="仿宋" w:cs="宋体"/>
          <w:kern w:val="0"/>
          <w:sz w:val="24"/>
          <w:szCs w:val="24"/>
          <w:highlight w:val="none"/>
          <w:lang w:val="en-US" w:eastAsia="zh-CN" w:bidi="ar-SA"/>
        </w:rPr>
        <w:t>1.</w:t>
      </w: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(中型企必、小型企业、微型企业) </w:t>
      </w:r>
      <w:r>
        <w:rPr>
          <w:rFonts w:hint="eastAsia" w:ascii="仿宋" w:hAnsi="仿宋" w:eastAsia="仿宋" w:cs="宋体"/>
          <w:kern w:val="0"/>
          <w:sz w:val="24"/>
          <w:highlight w:val="none"/>
        </w:rPr>
        <w:t>；</w:t>
      </w:r>
    </w:p>
    <w:p w14:paraId="354766C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仿宋" w:hAnsi="仿宋" w:eastAsia="仿宋" w:cs="宋体"/>
          <w:kern w:val="0"/>
          <w:sz w:val="24"/>
          <w:highlight w:val="none"/>
        </w:rPr>
      </w:pPr>
      <w:r>
        <w:rPr>
          <w:rFonts w:hint="eastAsia" w:ascii="仿宋" w:hAnsi="仿宋" w:eastAsia="仿宋" w:cs="宋体"/>
          <w:kern w:val="0"/>
          <w:sz w:val="24"/>
          <w:highlight w:val="none"/>
        </w:rPr>
        <w:t xml:space="preserve">2. </w:t>
      </w: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(中型企必、小型企业、微型企业) </w:t>
      </w:r>
      <w:r>
        <w:rPr>
          <w:rFonts w:hint="eastAsia" w:ascii="仿宋" w:hAnsi="仿宋" w:eastAsia="仿宋" w:cs="宋体"/>
          <w:kern w:val="0"/>
          <w:sz w:val="24"/>
          <w:highlight w:val="none"/>
        </w:rPr>
        <w:t>；</w:t>
      </w:r>
    </w:p>
    <w:p w14:paraId="4F567642">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w:t>
      </w:r>
    </w:p>
    <w:p w14:paraId="6EE8FB2A">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以上企业，不属于大企业的分支机构，不存在控股股东为大企业的情形，也不存在与大企业的负责人为同一人的情形。</w:t>
      </w:r>
    </w:p>
    <w:p w14:paraId="10FFB470">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本企业对上述声明内容的真实性负责。如有虚假，将依法承担相应责任。</w:t>
      </w:r>
    </w:p>
    <w:p w14:paraId="0443A66A">
      <w:pPr>
        <w:spacing w:line="500" w:lineRule="exact"/>
        <w:ind w:firstLine="480" w:firstLineChars="200"/>
        <w:rPr>
          <w:rFonts w:ascii="仿宋" w:hAnsi="仿宋" w:eastAsia="仿宋" w:cs="宋体"/>
          <w:color w:val="333333"/>
          <w:kern w:val="0"/>
          <w:sz w:val="24"/>
          <w:highlight w:val="none"/>
        </w:rPr>
      </w:pPr>
      <w:r>
        <w:rPr>
          <w:rFonts w:hint="eastAsia" w:ascii="仿宋" w:hAnsi="仿宋" w:eastAsia="仿宋" w:cs="宋体"/>
          <w:color w:val="333333"/>
          <w:kern w:val="0"/>
          <w:sz w:val="24"/>
          <w:highlight w:val="none"/>
        </w:rPr>
        <w:t xml:space="preserve">                                  </w:t>
      </w:r>
    </w:p>
    <w:p w14:paraId="2DEABDA7">
      <w:pPr>
        <w:spacing w:line="360" w:lineRule="auto"/>
        <w:ind w:firstLine="4200" w:firstLineChars="1750"/>
        <w:rPr>
          <w:rFonts w:ascii="仿宋" w:hAnsi="仿宋" w:eastAsia="仿宋" w:cs="宋体"/>
          <w:kern w:val="0"/>
          <w:sz w:val="24"/>
          <w:highlight w:val="none"/>
        </w:rPr>
      </w:pPr>
      <w:r>
        <w:rPr>
          <w:rFonts w:hint="eastAsia" w:ascii="仿宋" w:hAnsi="仿宋" w:eastAsia="仿宋" w:cs="宋体"/>
          <w:kern w:val="0"/>
          <w:sz w:val="24"/>
          <w:highlight w:val="none"/>
        </w:rPr>
        <w:t>企业名称(盖章):</w:t>
      </w:r>
    </w:p>
    <w:p w14:paraId="4A1995E2">
      <w:pPr>
        <w:spacing w:line="360" w:lineRule="auto"/>
        <w:ind w:firstLine="4320" w:firstLineChars="1800"/>
        <w:rPr>
          <w:rFonts w:ascii="仿宋" w:hAnsi="仿宋" w:eastAsia="仿宋" w:cs="宋体"/>
          <w:kern w:val="0"/>
          <w:sz w:val="24"/>
          <w:highlight w:val="none"/>
        </w:rPr>
      </w:pPr>
      <w:r>
        <w:rPr>
          <w:rFonts w:hint="eastAsia" w:ascii="仿宋" w:hAnsi="仿宋" w:eastAsia="仿宋" w:cs="宋体"/>
          <w:kern w:val="0"/>
          <w:sz w:val="24"/>
          <w:highlight w:val="none"/>
        </w:rPr>
        <w:t>日期：</w:t>
      </w:r>
    </w:p>
    <w:p w14:paraId="13F8EB26">
      <w:pPr>
        <w:spacing w:line="360" w:lineRule="auto"/>
        <w:rPr>
          <w:rFonts w:ascii="华文仿宋" w:hAnsi="华文仿宋" w:eastAsia="华文仿宋" w:cs="宋体"/>
          <w:kern w:val="0"/>
          <w:sz w:val="30"/>
          <w:szCs w:val="30"/>
          <w:highlight w:val="none"/>
          <w:u w:val="single"/>
        </w:rPr>
      </w:pPr>
      <w:r>
        <w:rPr>
          <w:rFonts w:hint="eastAsia" w:ascii="华文仿宋" w:hAnsi="华文仿宋" w:eastAsia="华文仿宋" w:cs="宋体"/>
          <w:kern w:val="0"/>
          <w:sz w:val="30"/>
          <w:szCs w:val="30"/>
          <w:highlight w:val="none"/>
          <w:u w:val="single"/>
        </w:rPr>
        <w:t xml:space="preserve">                                                     </w:t>
      </w:r>
      <w:r>
        <w:rPr>
          <w:rFonts w:hint="eastAsia" w:ascii="华文仿宋" w:hAnsi="华文仿宋" w:eastAsia="华文仿宋" w:cs="宋体"/>
          <w:kern w:val="0"/>
          <w:sz w:val="30"/>
          <w:szCs w:val="30"/>
          <w:highlight w:val="none"/>
          <w:u w:val="single"/>
          <w:lang w:val="en-US" w:eastAsia="zh-CN"/>
        </w:rPr>
        <w:t xml:space="preserve">    </w:t>
      </w:r>
      <w:r>
        <w:rPr>
          <w:rFonts w:hint="eastAsia" w:ascii="华文仿宋" w:hAnsi="华文仿宋" w:eastAsia="华文仿宋" w:cs="宋体"/>
          <w:kern w:val="0"/>
          <w:sz w:val="30"/>
          <w:szCs w:val="30"/>
          <w:highlight w:val="none"/>
          <w:u w:val="single"/>
        </w:rPr>
        <w:t xml:space="preserve">   </w:t>
      </w:r>
    </w:p>
    <w:p w14:paraId="4FF2DCF1">
      <w:pPr>
        <w:keepNext w:val="0"/>
        <w:keepLines w:val="0"/>
        <w:pageBreakBefore w:val="0"/>
        <w:widowControl w:val="0"/>
        <w:kinsoku/>
        <w:wordWrap/>
        <w:overflowPunct/>
        <w:topLinePunct w:val="0"/>
        <w:autoSpaceDE/>
        <w:autoSpaceDN/>
        <w:bidi w:val="0"/>
        <w:adjustRightInd/>
        <w:snapToGrid/>
        <w:spacing w:before="65" w:line="280" w:lineRule="exact"/>
        <w:ind w:right="70"/>
        <w:jc w:val="both"/>
        <w:textAlignment w:val="auto"/>
        <w:rPr>
          <w:rFonts w:hint="eastAsia" w:ascii="仿宋" w:hAnsi="仿宋" w:eastAsia="仿宋" w:cs="仿宋"/>
          <w:sz w:val="22"/>
          <w:szCs w:val="22"/>
        </w:rPr>
      </w:pPr>
      <w:r>
        <w:rPr>
          <w:rFonts w:hint="eastAsia" w:ascii="仿宋" w:hAnsi="仿宋" w:eastAsia="仿宋" w:cs="仿宋"/>
          <w:spacing w:val="12"/>
          <w:sz w:val="22"/>
          <w:szCs w:val="22"/>
        </w:rPr>
        <w:t>备注：</w:t>
      </w:r>
      <w:r>
        <w:rPr>
          <w:rFonts w:hint="eastAsia" w:ascii="仿宋" w:hAnsi="仿宋" w:eastAsia="仿宋" w:cs="仿宋"/>
          <w:spacing w:val="-58"/>
          <w:sz w:val="22"/>
          <w:szCs w:val="22"/>
        </w:rPr>
        <w:t xml:space="preserve"> </w:t>
      </w:r>
      <w:r>
        <w:rPr>
          <w:rFonts w:hint="eastAsia" w:ascii="仿宋" w:hAnsi="仿宋" w:eastAsia="仿宋" w:cs="仿宋"/>
          <w:spacing w:val="12"/>
          <w:sz w:val="22"/>
          <w:szCs w:val="22"/>
        </w:rPr>
        <w:t>1、填写前请认真阅读《工业和信息化部、国家统计局、国家发展和</w:t>
      </w:r>
      <w:r>
        <w:rPr>
          <w:rFonts w:hint="eastAsia" w:ascii="仿宋" w:hAnsi="仿宋" w:eastAsia="仿宋" w:cs="仿宋"/>
          <w:spacing w:val="11"/>
          <w:sz w:val="22"/>
          <w:szCs w:val="22"/>
        </w:rPr>
        <w:t>改革委员会、财政</w:t>
      </w:r>
      <w:r>
        <w:rPr>
          <w:rFonts w:hint="eastAsia" w:ascii="仿宋" w:hAnsi="仿宋" w:eastAsia="仿宋" w:cs="仿宋"/>
          <w:spacing w:val="10"/>
          <w:sz w:val="22"/>
          <w:szCs w:val="22"/>
        </w:rPr>
        <w:t>部关于印发中小企业划型标准规定的通知》（工信部联企业[2011]300</w:t>
      </w:r>
      <w:r>
        <w:rPr>
          <w:rFonts w:hint="eastAsia" w:ascii="仿宋" w:hAnsi="仿宋" w:eastAsia="仿宋" w:cs="仿宋"/>
          <w:spacing w:val="-16"/>
          <w:sz w:val="22"/>
          <w:szCs w:val="22"/>
        </w:rPr>
        <w:t xml:space="preserve"> </w:t>
      </w:r>
      <w:r>
        <w:rPr>
          <w:rFonts w:hint="eastAsia" w:ascii="仿宋" w:hAnsi="仿宋" w:eastAsia="仿宋" w:cs="仿宋"/>
          <w:spacing w:val="10"/>
          <w:sz w:val="22"/>
          <w:szCs w:val="22"/>
        </w:rPr>
        <w:t>号）和财政部、工业和信息化部关于印发《政府采购促进中小企业发展管理办法》</w:t>
      </w:r>
      <w:r>
        <w:rPr>
          <w:rFonts w:hint="eastAsia" w:ascii="仿宋" w:hAnsi="仿宋" w:eastAsia="仿宋" w:cs="仿宋"/>
          <w:spacing w:val="-59"/>
          <w:sz w:val="22"/>
          <w:szCs w:val="22"/>
        </w:rPr>
        <w:t xml:space="preserve"> </w:t>
      </w:r>
      <w:r>
        <w:rPr>
          <w:rFonts w:hint="eastAsia" w:ascii="仿宋" w:hAnsi="仿宋" w:eastAsia="仿宋" w:cs="仿宋"/>
          <w:spacing w:val="10"/>
          <w:sz w:val="22"/>
          <w:szCs w:val="22"/>
        </w:rPr>
        <w:t>的通知(财库[2020]46</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号)相关规定。</w:t>
      </w:r>
    </w:p>
    <w:p w14:paraId="2DDF95A7">
      <w:pPr>
        <w:keepNext w:val="0"/>
        <w:keepLines w:val="0"/>
        <w:pageBreakBefore w:val="0"/>
        <w:widowControl w:val="0"/>
        <w:kinsoku/>
        <w:wordWrap/>
        <w:overflowPunct/>
        <w:topLinePunct w:val="0"/>
        <w:autoSpaceDE/>
        <w:autoSpaceDN/>
        <w:bidi w:val="0"/>
        <w:adjustRightInd/>
        <w:snapToGrid/>
        <w:spacing w:before="94" w:line="280" w:lineRule="exact"/>
        <w:ind w:left="6" w:right="70" w:firstLine="431"/>
        <w:textAlignment w:val="auto"/>
        <w:rPr>
          <w:rFonts w:hint="eastAsia" w:ascii="仿宋" w:hAnsi="仿宋" w:eastAsia="仿宋" w:cs="仿宋"/>
          <w:sz w:val="22"/>
          <w:szCs w:val="22"/>
        </w:rPr>
      </w:pPr>
      <w:r>
        <w:rPr>
          <w:rFonts w:hint="eastAsia" w:ascii="仿宋" w:hAnsi="仿宋" w:eastAsia="仿宋" w:cs="仿宋"/>
          <w:spacing w:val="13"/>
          <w:sz w:val="22"/>
          <w:szCs w:val="22"/>
        </w:rPr>
        <w:t>2、从业人员、营业收入、资产总额填报上一年度数据，无上一年度数据的新</w:t>
      </w:r>
      <w:r>
        <w:rPr>
          <w:rFonts w:hint="eastAsia" w:ascii="仿宋" w:hAnsi="仿宋" w:eastAsia="仿宋" w:cs="仿宋"/>
          <w:spacing w:val="12"/>
          <w:sz w:val="22"/>
          <w:szCs w:val="22"/>
        </w:rPr>
        <w:t>成立企业可不填</w:t>
      </w:r>
      <w:r>
        <w:rPr>
          <w:rFonts w:hint="eastAsia" w:ascii="仿宋" w:hAnsi="仿宋" w:eastAsia="仿宋" w:cs="仿宋"/>
          <w:spacing w:val="1"/>
          <w:sz w:val="22"/>
          <w:szCs w:val="22"/>
        </w:rPr>
        <w:t>报。</w:t>
      </w:r>
    </w:p>
    <w:p w14:paraId="0CA0E368">
      <w:pPr>
        <w:keepNext w:val="0"/>
        <w:keepLines w:val="0"/>
        <w:pageBreakBefore w:val="0"/>
        <w:widowControl w:val="0"/>
        <w:kinsoku/>
        <w:wordWrap/>
        <w:overflowPunct/>
        <w:topLinePunct w:val="0"/>
        <w:autoSpaceDE/>
        <w:autoSpaceDN/>
        <w:bidi w:val="0"/>
        <w:adjustRightInd/>
        <w:snapToGrid/>
        <w:spacing w:line="280" w:lineRule="exact"/>
        <w:ind w:firstLine="492" w:firstLineChars="200"/>
        <w:textAlignment w:val="auto"/>
        <w:rPr>
          <w:rFonts w:hint="eastAsia" w:ascii="仿宋" w:hAnsi="仿宋" w:eastAsia="仿宋" w:cs="仿宋"/>
          <w:kern w:val="0"/>
          <w:sz w:val="22"/>
          <w:szCs w:val="22"/>
          <w:highlight w:val="none"/>
        </w:rPr>
      </w:pPr>
      <w:r>
        <w:rPr>
          <w:rFonts w:hint="eastAsia" w:ascii="仿宋" w:hAnsi="仿宋" w:eastAsia="仿宋" w:cs="仿宋"/>
          <w:spacing w:val="13"/>
          <w:sz w:val="22"/>
          <w:szCs w:val="22"/>
          <w:lang w:val="en-US" w:eastAsia="zh-CN"/>
        </w:rPr>
        <w:t>3</w:t>
      </w:r>
      <w:r>
        <w:rPr>
          <w:rFonts w:hint="eastAsia" w:ascii="仿宋" w:hAnsi="仿宋" w:eastAsia="仿宋" w:cs="仿宋"/>
          <w:spacing w:val="13"/>
          <w:sz w:val="22"/>
          <w:szCs w:val="22"/>
        </w:rPr>
        <w:t>、根据《工业和信息化部、国家统计局、国家发展和改革委员会、财政</w:t>
      </w:r>
      <w:r>
        <w:rPr>
          <w:rFonts w:hint="eastAsia" w:ascii="仿宋" w:hAnsi="仿宋" w:eastAsia="仿宋" w:cs="仿宋"/>
          <w:spacing w:val="12"/>
          <w:sz w:val="22"/>
          <w:szCs w:val="22"/>
        </w:rPr>
        <w:t>部关于印发中小企业</w:t>
      </w:r>
      <w:r>
        <w:rPr>
          <w:rFonts w:hint="eastAsia" w:ascii="仿宋" w:hAnsi="仿宋" w:eastAsia="仿宋" w:cs="仿宋"/>
          <w:sz w:val="22"/>
          <w:szCs w:val="22"/>
        </w:rPr>
        <w:t xml:space="preserve"> </w:t>
      </w:r>
      <w:r>
        <w:rPr>
          <w:rFonts w:hint="eastAsia" w:ascii="仿宋" w:hAnsi="仿宋" w:eastAsia="仿宋" w:cs="仿宋"/>
          <w:spacing w:val="12"/>
          <w:sz w:val="22"/>
          <w:szCs w:val="22"/>
        </w:rPr>
        <w:t>划型标准规定的通知》（工信部联企业[201</w:t>
      </w:r>
      <w:r>
        <w:rPr>
          <w:rFonts w:hint="eastAsia" w:ascii="仿宋" w:hAnsi="仿宋" w:eastAsia="仿宋" w:cs="仿宋"/>
          <w:spacing w:val="11"/>
          <w:sz w:val="22"/>
          <w:szCs w:val="22"/>
        </w:rPr>
        <w:t>1]300</w:t>
      </w:r>
      <w:r>
        <w:rPr>
          <w:rFonts w:hint="eastAsia" w:ascii="仿宋" w:hAnsi="仿宋" w:eastAsia="仿宋" w:cs="仿宋"/>
          <w:spacing w:val="-28"/>
          <w:sz w:val="22"/>
          <w:szCs w:val="22"/>
        </w:rPr>
        <w:t xml:space="preserve"> </w:t>
      </w:r>
      <w:r>
        <w:rPr>
          <w:rFonts w:hint="eastAsia" w:ascii="仿宋" w:hAnsi="仿宋" w:eastAsia="仿宋" w:cs="仿宋"/>
          <w:spacing w:val="11"/>
          <w:sz w:val="22"/>
          <w:szCs w:val="22"/>
        </w:rPr>
        <w:t>号</w:t>
      </w:r>
      <w:r>
        <w:rPr>
          <w:rFonts w:hint="eastAsia" w:ascii="仿宋" w:hAnsi="仿宋" w:eastAsia="仿宋" w:cs="仿宋"/>
          <w:spacing w:val="1"/>
          <w:sz w:val="22"/>
          <w:szCs w:val="22"/>
        </w:rPr>
        <w:t>）</w:t>
      </w:r>
      <w:r>
        <w:rPr>
          <w:rFonts w:hint="eastAsia" w:ascii="仿宋" w:hAnsi="仿宋" w:eastAsia="仿宋" w:cs="仿宋"/>
          <w:spacing w:val="9"/>
          <w:sz w:val="22"/>
          <w:szCs w:val="22"/>
        </w:rPr>
        <w:t>。</w:t>
      </w:r>
      <w:r>
        <w:rPr>
          <w:rFonts w:hint="eastAsia" w:ascii="仿宋" w:hAnsi="仿宋" w:eastAsia="仿宋" w:cs="仿宋"/>
          <w:kern w:val="0"/>
          <w:sz w:val="22"/>
          <w:szCs w:val="22"/>
          <w:highlight w:val="none"/>
        </w:rPr>
        <w:t xml:space="preserve"> </w:t>
      </w:r>
    </w:p>
    <w:p w14:paraId="70041FD4">
      <w:pPr>
        <w:spacing w:line="50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p>
    <w:bookmarkEnd w:id="108"/>
    <w:bookmarkEnd w:id="109"/>
    <w:p w14:paraId="34F03FAC">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残疾人福利性单位声明函</w:t>
      </w:r>
    </w:p>
    <w:p w14:paraId="2F981998">
      <w:pPr>
        <w:pStyle w:val="10"/>
        <w:spacing w:line="360" w:lineRule="auto"/>
        <w:ind w:firstLine="964" w:firstLineChars="400"/>
        <w:rPr>
          <w:rFonts w:ascii="仿宋" w:hAnsi="仿宋" w:eastAsia="仿宋" w:cs="仿宋"/>
          <w:color w:val="auto"/>
          <w:highlight w:val="none"/>
        </w:rPr>
      </w:pPr>
      <w:r>
        <w:rPr>
          <w:rFonts w:hint="eastAsia" w:ascii="仿宋" w:hAnsi="仿宋" w:eastAsia="仿宋" w:cs="仿宋"/>
          <w:b/>
          <w:bCs/>
          <w:color w:val="auto"/>
          <w:highlight w:val="none"/>
        </w:rPr>
        <w:t>（注：符合残疾人福利性的企业请提供本函，不符合的不提供本函）</w:t>
      </w:r>
    </w:p>
    <w:p w14:paraId="19D146E1">
      <w:pPr>
        <w:pStyle w:val="10"/>
        <w:keepNext w:val="0"/>
        <w:keepLines w:val="0"/>
        <w:pageBreakBefore w:val="0"/>
        <w:widowControl w:val="0"/>
        <w:kinsoku/>
        <w:wordWrap/>
        <w:overflowPunct/>
        <w:topLinePunct w:val="0"/>
        <w:autoSpaceDE/>
        <w:autoSpaceDN/>
        <w:bidi w:val="0"/>
        <w:adjustRightInd/>
        <w:snapToGrid/>
        <w:spacing w:before="133" w:line="360" w:lineRule="auto"/>
        <w:ind w:left="11" w:right="2" w:firstLine="575"/>
        <w:jc w:val="both"/>
        <w:textAlignment w:val="auto"/>
        <w:rPr>
          <w:rFonts w:hint="eastAsia" w:ascii="仿宋" w:hAnsi="仿宋" w:eastAsia="仿宋" w:cs="宋体"/>
          <w:b w:val="0"/>
          <w:color w:val="auto"/>
          <w:kern w:val="0"/>
          <w:sz w:val="24"/>
          <w:highlight w:val="none"/>
          <w:lang w:val="en-US" w:eastAsia="zh-CN" w:bidi="ar-SA"/>
        </w:rPr>
      </w:pPr>
      <w:r>
        <w:rPr>
          <w:rFonts w:hint="eastAsia" w:ascii="仿宋" w:hAnsi="仿宋" w:eastAsia="仿宋" w:cs="宋体"/>
          <w:b w:val="0"/>
          <w:color w:val="auto"/>
          <w:kern w:val="0"/>
          <w:sz w:val="24"/>
          <w:highlight w:val="none"/>
          <w:lang w:val="en-US" w:eastAsia="zh-CN" w:bidi="ar-SA"/>
        </w:rPr>
        <w:t>本单位郑重声明，根据《财政部 民政部 中国残疾人联合会关于促进 残疾人就业政府采购政策的通知》 （财库[2017]141 号） 的规定，本单 位为符合条件的残疾人福利性单位，且本单位参加</w:t>
      </w:r>
      <w:r>
        <w:rPr>
          <w:rFonts w:hint="eastAsia" w:ascii="仿宋" w:hAnsi="仿宋" w:eastAsia="仿宋" w:cs="宋体"/>
          <w:b w:val="0"/>
          <w:color w:val="auto"/>
          <w:kern w:val="0"/>
          <w:sz w:val="24"/>
          <w:highlight w:val="none"/>
          <w:u w:val="single"/>
          <w:lang w:val="en-US" w:eastAsia="zh-CN" w:bidi="ar-SA"/>
        </w:rPr>
        <w:t xml:space="preserve">    项目名称  </w:t>
      </w:r>
      <w:r>
        <w:rPr>
          <w:rFonts w:hint="eastAsia" w:ascii="仿宋" w:hAnsi="仿宋" w:eastAsia="仿宋" w:cs="宋体"/>
          <w:b w:val="0"/>
          <w:color w:val="auto"/>
          <w:kern w:val="0"/>
          <w:sz w:val="24"/>
          <w:highlight w:val="none"/>
          <w:lang w:val="en-US" w:eastAsia="zh-CN" w:bidi="ar-SA"/>
        </w:rPr>
        <w:t>（项目编号：</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）第</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标段采购活动提供本单位制造的货物（由本单位承担 工程/提供服务），或者提供其他残疾人福利性单位制造的货物（不包括使 用非残疾人福利性单位注册商标的货物）。</w:t>
      </w:r>
    </w:p>
    <w:p w14:paraId="53590818">
      <w:pPr>
        <w:spacing w:line="500" w:lineRule="exact"/>
        <w:ind w:firstLine="480" w:firstLineChars="200"/>
        <w:rPr>
          <w:rFonts w:ascii="仿宋" w:hAnsi="仿宋" w:eastAsia="仿宋" w:cs="仿宋"/>
          <w:spacing w:val="6"/>
          <w:sz w:val="28"/>
          <w:szCs w:val="28"/>
          <w:highlight w:val="none"/>
        </w:rPr>
      </w:pPr>
      <w:r>
        <w:rPr>
          <w:rFonts w:hint="eastAsia" w:ascii="仿宋" w:hAnsi="仿宋" w:eastAsia="仿宋" w:cs="宋体"/>
          <w:b w:val="0"/>
          <w:kern w:val="0"/>
          <w:sz w:val="24"/>
          <w:highlight w:val="none"/>
          <w:lang w:val="en-US" w:eastAsia="zh-CN" w:bidi="ar-SA"/>
        </w:rPr>
        <w:t>本单位对上述声明的真实性负责。如有虚假，将依法承担相应责任。</w:t>
      </w:r>
    </w:p>
    <w:p w14:paraId="27263041">
      <w:pPr>
        <w:spacing w:line="500" w:lineRule="exact"/>
        <w:ind w:left="1258" w:leftChars="599" w:firstLine="2740" w:firstLineChars="1142"/>
        <w:rPr>
          <w:rFonts w:hint="eastAsia" w:ascii="仿宋" w:hAnsi="仿宋" w:eastAsia="仿宋" w:cs="仿宋"/>
          <w:kern w:val="0"/>
          <w:sz w:val="24"/>
          <w:szCs w:val="20"/>
          <w:highlight w:val="none"/>
        </w:rPr>
      </w:pPr>
    </w:p>
    <w:p w14:paraId="019BA5E8">
      <w:pPr>
        <w:spacing w:line="500" w:lineRule="exact"/>
        <w:ind w:left="1258" w:leftChars="599" w:firstLine="2740" w:firstLineChars="1142"/>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残疾人福利性单位（盖公章）：</w:t>
      </w:r>
    </w:p>
    <w:p w14:paraId="6E56646C">
      <w:pPr>
        <w:spacing w:line="500" w:lineRule="exact"/>
        <w:ind w:left="1258" w:leftChars="599" w:firstLine="2740" w:firstLineChars="1142"/>
        <w:rPr>
          <w:rFonts w:ascii="仿宋" w:hAnsi="仿宋" w:eastAsia="仿宋" w:cs="仿宋"/>
          <w:kern w:val="0"/>
          <w:sz w:val="24"/>
          <w:szCs w:val="20"/>
          <w:highlight w:val="none"/>
        </w:rPr>
      </w:pPr>
      <w:r>
        <w:rPr>
          <w:rFonts w:hint="eastAsia" w:ascii="仿宋" w:hAnsi="仿宋" w:eastAsia="仿宋" w:cs="仿宋"/>
          <w:kern w:val="0"/>
          <w:sz w:val="24"/>
          <w:highlight w:val="none"/>
        </w:rPr>
        <w:t>法定代表人或</w:t>
      </w:r>
      <w:r>
        <w:rPr>
          <w:rFonts w:hint="eastAsia" w:ascii="仿宋" w:hAnsi="仿宋" w:eastAsia="仿宋" w:cs="仿宋"/>
          <w:kern w:val="0"/>
          <w:sz w:val="24"/>
          <w:highlight w:val="none"/>
          <w:lang w:val="en-US" w:eastAsia="zh-CN"/>
        </w:rPr>
        <w:t>被授权人</w:t>
      </w:r>
      <w:r>
        <w:rPr>
          <w:rFonts w:hint="eastAsia" w:ascii="仿宋" w:hAnsi="仿宋" w:eastAsia="仿宋" w:cs="仿宋"/>
          <w:kern w:val="0"/>
          <w:sz w:val="24"/>
          <w:highlight w:val="none"/>
        </w:rPr>
        <w:t xml:space="preserve">（签字或盖章）:  </w:t>
      </w:r>
    </w:p>
    <w:p w14:paraId="2D071075">
      <w:pPr>
        <w:spacing w:line="500" w:lineRule="exact"/>
        <w:ind w:firstLine="4080" w:firstLineChars="1700"/>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日          期：</w:t>
      </w:r>
    </w:p>
    <w:p w14:paraId="38535FD5">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5261E052">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b/>
          <w:bCs/>
          <w:spacing w:val="13"/>
          <w:sz w:val="22"/>
          <w:szCs w:val="22"/>
          <w:lang w:val="en-US" w:eastAsia="zh-CN"/>
        </w:rPr>
        <w:t>备注：</w:t>
      </w:r>
      <w:r>
        <w:rPr>
          <w:rFonts w:hint="eastAsia" w:ascii="仿宋" w:hAnsi="仿宋" w:eastAsia="仿宋" w:cs="仿宋"/>
          <w:spacing w:val="13"/>
          <w:sz w:val="22"/>
          <w:szCs w:val="22"/>
          <w:lang w:val="en-US" w:eastAsia="zh-CN"/>
        </w:rPr>
        <w:t>项目不分标段的，第</w:t>
      </w:r>
      <w:r>
        <w:rPr>
          <w:rFonts w:hint="eastAsia" w:ascii="仿宋" w:hAnsi="仿宋" w:eastAsia="仿宋" w:cs="仿宋"/>
          <w:spacing w:val="13"/>
          <w:sz w:val="22"/>
          <w:szCs w:val="22"/>
          <w:u w:val="single"/>
          <w:lang w:val="en-US" w:eastAsia="zh-CN"/>
        </w:rPr>
        <w:t xml:space="preserve">     </w:t>
      </w:r>
      <w:r>
        <w:rPr>
          <w:rFonts w:hint="eastAsia" w:ascii="仿宋" w:hAnsi="仿宋" w:eastAsia="仿宋" w:cs="仿宋"/>
          <w:spacing w:val="13"/>
          <w:sz w:val="22"/>
          <w:szCs w:val="22"/>
          <w:lang w:val="en-US" w:eastAsia="zh-CN"/>
        </w:rPr>
        <w:t>标段空白处填写“/ ”。</w:t>
      </w:r>
    </w:p>
    <w:p w14:paraId="5E47F881">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根据《财政部 民政部 中国残疾人联合会关于促进残疾人就业政府采购政策的通知》（财库[2017] 141 号） 的规定：</w:t>
      </w:r>
    </w:p>
    <w:p w14:paraId="1E3279E4">
      <w:pPr>
        <w:keepNext w:val="0"/>
        <w:keepLines w:val="0"/>
        <w:pageBreakBefore w:val="0"/>
        <w:widowControl w:val="0"/>
        <w:kinsoku/>
        <w:wordWrap/>
        <w:overflowPunct/>
        <w:topLinePunct w:val="0"/>
        <w:autoSpaceDE/>
        <w:autoSpaceDN/>
        <w:bidi w:val="0"/>
        <w:adjustRightInd/>
        <w:snapToGrid/>
        <w:spacing w:line="300" w:lineRule="exact"/>
        <w:ind w:firstLine="246" w:firstLineChars="1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一、享受政府采购支持政策的残疾人福利性单位应当同时满足以下条件：</w:t>
      </w:r>
    </w:p>
    <w:p w14:paraId="587D3B45">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（一）安置的残疾人占本单位在职职工人数的比例不低于 25%（含 25%），并且安置的残疾人人数不少于 10 人（含 10 人）；</w:t>
      </w:r>
    </w:p>
    <w:p w14:paraId="62BCFA97">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（二）依法与安置的每位残疾人签订了一年以上（含一年）的劳动合同或服务协议；</w:t>
      </w:r>
    </w:p>
    <w:p w14:paraId="40DBF0C1">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（三）为安置的每位残疾人按月足额缴纳了基本养老保险、基本医疗保险、失业保险、工伤保险和生育保险等社会保险费；</w:t>
      </w:r>
    </w:p>
    <w:p w14:paraId="0EDAE109">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（四）通过银行等金融机构向安置的每位残疾人，按月支付了不低于单位所在区县适用的经省级人民政府批准的月最低工资标准的工资；</w:t>
      </w:r>
    </w:p>
    <w:p w14:paraId="63C075FC">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（五）提供本单位制造的货物、承担的工程或者服务（以下简称产品），或者提供其他残疾人福利性单位制造的货物（不包括使用非残疾人福利性单位注册商标的货物）。</w:t>
      </w:r>
    </w:p>
    <w:p w14:paraId="40BF244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52DEAE5C">
      <w:pPr>
        <w:spacing w:line="336" w:lineRule="auto"/>
        <w:ind w:firstLine="492" w:firstLineChars="200"/>
        <w:rPr>
          <w:rFonts w:hint="eastAsia" w:ascii="仿宋" w:hAnsi="仿宋" w:eastAsia="仿宋" w:cs="仿宋"/>
          <w:sz w:val="24"/>
          <w:highlight w:val="none"/>
        </w:rPr>
        <w:sectPr>
          <w:pgSz w:w="11906" w:h="16838"/>
          <w:pgMar w:top="1440" w:right="1417" w:bottom="1440" w:left="1587" w:header="850" w:footer="992" w:gutter="0"/>
          <w:pgNumType w:fmt="numberInDash"/>
          <w:cols w:space="0" w:num="1"/>
          <w:rtlGutter w:val="0"/>
          <w:docGrid w:type="lines" w:linePitch="317" w:charSpace="0"/>
        </w:sectPr>
      </w:pPr>
      <w:r>
        <w:rPr>
          <w:rFonts w:hint="eastAsia" w:ascii="仿宋" w:hAnsi="仿宋" w:eastAsia="仿宋" w:cs="仿宋"/>
          <w:spacing w:val="13"/>
          <w:sz w:val="22"/>
          <w:szCs w:val="22"/>
          <w:lang w:val="en-US" w:eastAsia="zh-CN"/>
        </w:rPr>
        <w:t>二、中标、成交供应商为残疾人福利性单位的，采购人或者其委托的采购代理机构应当随中标、成交结果同时公告其《残疾人福利性单位声明函》，接受社会监督。</w:t>
      </w:r>
    </w:p>
    <w:p w14:paraId="3B1B273F">
      <w:pPr>
        <w:widowControl/>
        <w:spacing w:line="360" w:lineRule="auto"/>
        <w:jc w:val="both"/>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附件9：</w:t>
      </w:r>
    </w:p>
    <w:p w14:paraId="753FC1AE">
      <w:pPr>
        <w:widowControl/>
        <w:spacing w:line="360" w:lineRule="auto"/>
        <w:ind w:left="1" w:firstLine="1506" w:firstLineChars="500"/>
        <w:jc w:val="both"/>
        <w:rPr>
          <w:rFonts w:hint="eastAsia" w:ascii="仿宋" w:hAnsi="仿宋" w:eastAsia="仿宋" w:cs="仿宋"/>
          <w:b/>
          <w:kern w:val="0"/>
          <w:sz w:val="30"/>
          <w:szCs w:val="30"/>
          <w:highlight w:val="none"/>
          <w:lang w:val="zh-CN" w:eastAsia="zh-CN"/>
        </w:rPr>
      </w:pPr>
      <w:r>
        <w:rPr>
          <w:rFonts w:hint="eastAsia" w:ascii="仿宋" w:hAnsi="仿宋" w:eastAsia="仿宋" w:cs="仿宋"/>
          <w:b/>
          <w:kern w:val="0"/>
          <w:sz w:val="30"/>
          <w:szCs w:val="30"/>
          <w:highlight w:val="none"/>
          <w:lang w:val="zh-CN" w:eastAsia="zh-CN"/>
        </w:rPr>
        <w:t>监狱、戒毒企业声明函（如适用）（格式）</w:t>
      </w:r>
    </w:p>
    <w:p w14:paraId="12A482CA">
      <w:pPr>
        <w:pStyle w:val="10"/>
        <w:spacing w:line="360" w:lineRule="auto"/>
        <w:ind w:firstLine="960" w:firstLineChars="400"/>
        <w:rPr>
          <w:rFonts w:hint="eastAsia" w:ascii="仿宋_GB2312" w:hAnsi="仿宋_GB2312" w:eastAsia="仿宋_GB2312" w:cs="仿宋_GB2312"/>
          <w:color w:val="auto"/>
          <w:sz w:val="28"/>
          <w:szCs w:val="28"/>
        </w:rPr>
      </w:pPr>
      <w:r>
        <w:rPr>
          <w:rFonts w:hint="eastAsia" w:ascii="仿宋" w:hAnsi="仿宋" w:eastAsia="仿宋" w:cs="仿宋"/>
          <w:bCs/>
          <w:color w:val="auto"/>
          <w:sz w:val="24"/>
          <w:szCs w:val="24"/>
          <w:highlight w:val="none"/>
        </w:rPr>
        <w:t>（注：符合</w:t>
      </w:r>
      <w:r>
        <w:rPr>
          <w:rFonts w:hint="eastAsia" w:ascii="仿宋" w:hAnsi="仿宋" w:eastAsia="仿宋" w:cs="仿宋"/>
          <w:bCs/>
          <w:color w:val="auto"/>
          <w:sz w:val="24"/>
          <w:szCs w:val="24"/>
          <w:highlight w:val="none"/>
          <w:lang w:val="zh-CN" w:eastAsia="zh-CN"/>
        </w:rPr>
        <w:t>监狱、戒毒企业</w:t>
      </w:r>
      <w:r>
        <w:rPr>
          <w:rFonts w:hint="eastAsia" w:ascii="仿宋" w:hAnsi="仿宋" w:eastAsia="仿宋" w:cs="仿宋"/>
          <w:bCs/>
          <w:color w:val="auto"/>
          <w:sz w:val="24"/>
          <w:szCs w:val="24"/>
          <w:highlight w:val="none"/>
        </w:rPr>
        <w:t>的企业请提供本函，不符合的不提供本函）</w:t>
      </w:r>
    </w:p>
    <w:p w14:paraId="4595001E">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本单位郑重声明，根据《财政部司法部关于政府采购支持监狱企业发展有关问题的通知》（财库</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2014</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68号）的规定，本单位为符合条件的监狱、戒毒企业，且本单位参加的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项目采购活动提供本单位制造的货物（由本单位承担工程/提供服务），或者提供其他监狱、戒毒企业制造的货物（不包括使用非监狱、戒毒企业注册商标的货物）。</w:t>
      </w:r>
    </w:p>
    <w:p w14:paraId="59DF0F82">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本单位对上述声明的真实性负责。如有虚假，将依法承担相应责任。</w:t>
      </w:r>
    </w:p>
    <w:p w14:paraId="3B145922">
      <w:pPr>
        <w:spacing w:line="360" w:lineRule="auto"/>
        <w:ind w:firstLine="480"/>
        <w:rPr>
          <w:rFonts w:hint="eastAsia" w:ascii="仿宋_GB2312" w:hAnsi="仿宋_GB2312" w:eastAsia="仿宋_GB2312" w:cs="仿宋_GB2312"/>
          <w:color w:val="auto"/>
          <w:sz w:val="28"/>
          <w:szCs w:val="28"/>
        </w:rPr>
      </w:pPr>
    </w:p>
    <w:p w14:paraId="0F368A89">
      <w:pPr>
        <w:spacing w:line="500" w:lineRule="exact"/>
        <w:ind w:firstLine="2880" w:firstLineChars="1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en-US" w:eastAsia="zh-CN"/>
        </w:rPr>
        <w:t>监狱戒毒企业</w:t>
      </w:r>
      <w:r>
        <w:rPr>
          <w:rFonts w:hint="eastAsia" w:ascii="仿宋" w:hAnsi="仿宋" w:eastAsia="仿宋" w:cs="仿宋"/>
          <w:color w:val="auto"/>
          <w:kern w:val="0"/>
          <w:sz w:val="24"/>
          <w:highlight w:val="none"/>
        </w:rPr>
        <w:t>（盖公章）：</w:t>
      </w:r>
      <w:r>
        <w:rPr>
          <w:rFonts w:hint="eastAsia" w:ascii="仿宋" w:hAnsi="仿宋" w:eastAsia="仿宋" w:cs="仿宋"/>
          <w:color w:val="auto"/>
          <w:kern w:val="0"/>
          <w:sz w:val="24"/>
          <w:highlight w:val="none"/>
          <w:u w:val="single"/>
        </w:rPr>
        <w:t xml:space="preserve">                  </w:t>
      </w:r>
    </w:p>
    <w:p w14:paraId="5027689A">
      <w:pPr>
        <w:spacing w:line="500" w:lineRule="exact"/>
        <w:ind w:firstLine="2880" w:firstLineChars="1200"/>
        <w:rPr>
          <w:rFonts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法定代表人或</w:t>
      </w:r>
      <w:r>
        <w:rPr>
          <w:rFonts w:hint="eastAsia" w:ascii="仿宋" w:hAnsi="仿宋" w:eastAsia="仿宋" w:cs="仿宋"/>
          <w:color w:val="auto"/>
          <w:kern w:val="0"/>
          <w:sz w:val="24"/>
          <w:szCs w:val="24"/>
          <w:highlight w:val="none"/>
          <w:lang w:val="en-US" w:eastAsia="zh-CN"/>
        </w:rPr>
        <w:t>被授权人</w:t>
      </w:r>
      <w:r>
        <w:rPr>
          <w:rFonts w:hint="eastAsia" w:ascii="仿宋" w:hAnsi="仿宋" w:eastAsia="仿宋" w:cs="仿宋"/>
          <w:color w:val="auto"/>
          <w:sz w:val="24"/>
          <w:szCs w:val="24"/>
          <w:highlight w:val="none"/>
        </w:rPr>
        <w:t>（签字或盖章）</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szCs w:val="24"/>
          <w:highlight w:val="none"/>
        </w:rPr>
        <w:t xml:space="preserve">         </w:t>
      </w:r>
    </w:p>
    <w:p w14:paraId="15448DFE">
      <w:pPr>
        <w:tabs>
          <w:tab w:val="left" w:pos="4860"/>
        </w:tabs>
        <w:spacing w:line="360" w:lineRule="auto"/>
        <w:ind w:right="1560" w:firstLine="2880" w:firstLineChars="1200"/>
        <w:jc w:val="both"/>
        <w:rPr>
          <w:rFonts w:hint="eastAsia" w:ascii="仿宋_GB2312" w:hAnsi="仿宋_GB2312" w:eastAsia="仿宋_GB2312" w:cs="仿宋_GB2312"/>
          <w:color w:val="auto"/>
          <w:sz w:val="28"/>
          <w:szCs w:val="28"/>
        </w:rPr>
      </w:pPr>
      <w:r>
        <w:rPr>
          <w:rFonts w:hint="eastAsia" w:ascii="仿宋" w:hAnsi="仿宋" w:eastAsia="仿宋" w:cs="仿宋"/>
          <w:color w:val="auto"/>
          <w:kern w:val="0"/>
          <w:sz w:val="24"/>
          <w:highlight w:val="none"/>
        </w:rPr>
        <w:t>日          期：</w:t>
      </w:r>
      <w:r>
        <w:rPr>
          <w:rFonts w:hint="eastAsia" w:ascii="仿宋" w:hAnsi="仿宋" w:eastAsia="仿宋" w:cs="仿宋"/>
          <w:color w:val="auto"/>
          <w:kern w:val="0"/>
          <w:sz w:val="24"/>
          <w:highlight w:val="none"/>
          <w:u w:val="single"/>
        </w:rPr>
        <w:t xml:space="preserve">                          </w:t>
      </w:r>
    </w:p>
    <w:p w14:paraId="51E3D293">
      <w:pPr>
        <w:tabs>
          <w:tab w:val="left" w:pos="4860"/>
        </w:tabs>
        <w:spacing w:line="360" w:lineRule="auto"/>
        <w:ind w:right="1560" w:firstLine="560" w:firstLineChars="200"/>
        <w:jc w:val="center"/>
        <w:rPr>
          <w:rFonts w:hint="eastAsia" w:ascii="仿宋_GB2312" w:hAnsi="仿宋_GB2312" w:eastAsia="仿宋_GB2312" w:cs="仿宋_GB2312"/>
          <w:color w:val="auto"/>
          <w:sz w:val="28"/>
          <w:szCs w:val="28"/>
        </w:rPr>
      </w:pPr>
    </w:p>
    <w:p w14:paraId="1A64AE40">
      <w:pPr>
        <w:pStyle w:val="10"/>
        <w:rPr>
          <w:rFonts w:hint="eastAsia" w:ascii="仿宋_GB2312" w:hAnsi="仿宋_GB2312" w:eastAsia="仿宋_GB2312" w:cs="仿宋_GB2312"/>
          <w:color w:val="auto"/>
          <w:sz w:val="28"/>
          <w:szCs w:val="28"/>
        </w:rPr>
      </w:pPr>
    </w:p>
    <w:p w14:paraId="548D2936">
      <w:pPr>
        <w:pStyle w:val="22"/>
        <w:rPr>
          <w:rFonts w:hint="eastAsia"/>
          <w:color w:val="auto"/>
        </w:rPr>
      </w:pPr>
    </w:p>
    <w:p w14:paraId="2A718AE6">
      <w:pPr>
        <w:pStyle w:val="10"/>
        <w:rPr>
          <w:rFonts w:hint="eastAsia" w:ascii="仿宋" w:hAnsi="仿宋" w:eastAsia="仿宋" w:cs="仿宋"/>
          <w:bCs/>
          <w:color w:val="auto"/>
          <w:sz w:val="28"/>
          <w:szCs w:val="28"/>
          <w:highlight w:val="none"/>
          <w:lang w:val="en-US" w:eastAsia="zh-CN"/>
        </w:rPr>
      </w:pPr>
      <w:r>
        <w:rPr>
          <w:rFonts w:hint="eastAsia" w:ascii="仿宋_GB2312" w:hAnsi="仿宋_GB2312" w:eastAsia="仿宋_GB2312" w:cs="仿宋_GB2312"/>
          <w:color w:val="auto"/>
          <w:sz w:val="22"/>
          <w:szCs w:val="22"/>
        </w:rPr>
        <w:t>备注：未按上述要求提供、填写的，评审时不予以考虑。</w:t>
      </w:r>
      <w:r>
        <w:rPr>
          <w:rFonts w:hint="eastAsia" w:ascii="仿宋_GB2312" w:hAnsi="仿宋_GB2312" w:eastAsia="仿宋_GB2312" w:cs="仿宋_GB2312"/>
          <w:color w:val="auto"/>
          <w:sz w:val="22"/>
          <w:szCs w:val="22"/>
          <w:lang w:eastAsia="zh-CN"/>
        </w:rPr>
        <w:t>供应商</w:t>
      </w:r>
      <w:r>
        <w:rPr>
          <w:rFonts w:hint="eastAsia" w:ascii="仿宋_GB2312" w:hAnsi="仿宋_GB2312" w:eastAsia="仿宋_GB2312" w:cs="仿宋_GB2312"/>
          <w:color w:val="auto"/>
          <w:sz w:val="22"/>
          <w:szCs w:val="22"/>
        </w:rPr>
        <w:t>提供的《监狱、戒毒企业声明函》必须真实有效，</w:t>
      </w:r>
      <w:r>
        <w:rPr>
          <w:rFonts w:hint="eastAsia" w:ascii="仿宋_GB2312" w:hAnsi="仿宋_GB2312" w:eastAsia="仿宋_GB2312" w:cs="仿宋_GB2312"/>
          <w:color w:val="auto"/>
          <w:sz w:val="22"/>
          <w:szCs w:val="22"/>
          <w:lang w:eastAsia="zh-CN"/>
        </w:rPr>
        <w:t>供应商</w:t>
      </w:r>
      <w:r>
        <w:rPr>
          <w:rFonts w:hint="eastAsia" w:ascii="仿宋_GB2312" w:hAnsi="仿宋_GB2312" w:eastAsia="仿宋_GB2312" w:cs="仿宋_GB2312"/>
          <w:color w:val="auto"/>
          <w:sz w:val="22"/>
          <w:szCs w:val="22"/>
        </w:rPr>
        <w:t>应当提供由省级以上监狱管理局、戒毒管理局(含新疆生产建设兵团)出具的属于监狱企业的证明文件</w:t>
      </w:r>
      <w:r>
        <w:rPr>
          <w:rFonts w:hint="eastAsia" w:ascii="仿宋_GB2312" w:hAnsi="仿宋_GB2312" w:eastAsia="仿宋_GB2312" w:cs="仿宋_GB2312"/>
          <w:color w:val="auto"/>
          <w:sz w:val="28"/>
          <w:szCs w:val="28"/>
        </w:rPr>
        <w:t>。</w:t>
      </w:r>
    </w:p>
    <w:p w14:paraId="22DB1DED">
      <w:pPr>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br w:type="page"/>
      </w:r>
    </w:p>
    <w:p w14:paraId="1DDE84CC">
      <w:pPr>
        <w:overflowPunct w:val="0"/>
        <w:spacing w:line="360" w:lineRule="auto"/>
        <w:jc w:val="center"/>
        <w:outlineLvl w:val="1"/>
        <w:rPr>
          <w:rFonts w:hint="eastAsia" w:ascii="仿宋" w:hAnsi="仿宋" w:eastAsia="仿宋" w:cs="仿宋"/>
          <w:b/>
          <w:bCs/>
          <w:sz w:val="30"/>
          <w:szCs w:val="30"/>
          <w:highlight w:val="none"/>
          <w:lang w:val="en-US" w:eastAsia="zh-CN"/>
        </w:rPr>
      </w:pPr>
      <w:bookmarkStart w:id="110" w:name="_Toc11652"/>
      <w:r>
        <w:rPr>
          <w:rFonts w:hint="eastAsia" w:ascii="仿宋" w:hAnsi="仿宋" w:eastAsia="仿宋" w:cs="仿宋"/>
          <w:b/>
          <w:bCs/>
          <w:sz w:val="30"/>
          <w:szCs w:val="30"/>
          <w:highlight w:val="none"/>
          <w:lang w:val="en-US" w:eastAsia="zh-CN"/>
        </w:rPr>
        <w:t>九、其他资料（如有）</w:t>
      </w:r>
      <w:bookmarkEnd w:id="110"/>
    </w:p>
    <w:p w14:paraId="17ACCB09">
      <w:pPr>
        <w:jc w:val="center"/>
        <w:rPr>
          <w:rFonts w:hint="eastAsia" w:ascii="仿宋" w:hAnsi="仿宋" w:eastAsia="仿宋" w:cs="仿宋"/>
          <w:b/>
          <w:bCs/>
          <w:spacing w:val="4"/>
          <w:kern w:val="0"/>
          <w:sz w:val="28"/>
          <w:szCs w:val="28"/>
          <w:highlight w:val="none"/>
        </w:rPr>
        <w:sectPr>
          <w:pgSz w:w="11906" w:h="16838"/>
          <w:pgMar w:top="1440" w:right="1417" w:bottom="1440" w:left="1587" w:header="850" w:footer="992" w:gutter="0"/>
          <w:pgNumType w:fmt="numberInDash"/>
          <w:cols w:space="0" w:num="1"/>
          <w:rtlGutter w:val="0"/>
          <w:docGrid w:type="lines" w:linePitch="317" w:charSpace="0"/>
        </w:sectPr>
      </w:pPr>
      <w:r>
        <w:rPr>
          <w:rFonts w:hint="eastAsia" w:ascii="仿宋" w:hAnsi="仿宋" w:eastAsia="仿宋" w:cs="仿宋"/>
          <w:color w:val="auto"/>
          <w:sz w:val="28"/>
          <w:szCs w:val="21"/>
          <w:highlight w:val="none"/>
        </w:rPr>
        <w:t>（附有关本次采购的其他说明资料）</w:t>
      </w:r>
    </w:p>
    <w:p w14:paraId="33D8DB7F">
      <w:pPr>
        <w:spacing w:before="120" w:beforeLines="50" w:after="240" w:afterLines="100"/>
        <w:jc w:val="both"/>
        <w:outlineLvl w:val="9"/>
        <w:rPr>
          <w:rFonts w:hint="default" w:ascii="仿宋" w:hAnsi="仿宋" w:eastAsia="仿宋" w:cs="仿宋"/>
          <w:b/>
          <w:bCs/>
          <w:color w:val="auto"/>
          <w:spacing w:val="4"/>
          <w:sz w:val="28"/>
          <w:szCs w:val="28"/>
          <w:highlight w:val="none"/>
          <w:lang w:val="en-US" w:eastAsia="zh-CN"/>
        </w:rPr>
      </w:pPr>
      <w:r>
        <w:rPr>
          <w:rFonts w:hint="eastAsia" w:ascii="仿宋" w:hAnsi="仿宋" w:eastAsia="仿宋" w:cs="仿宋"/>
          <w:b/>
          <w:bCs/>
          <w:color w:val="auto"/>
          <w:spacing w:val="4"/>
          <w:sz w:val="28"/>
          <w:szCs w:val="28"/>
          <w:highlight w:val="none"/>
          <w:lang w:val="en-US" w:eastAsia="zh-CN"/>
        </w:rPr>
        <w:t>附件1：磋商保证金转账凭证</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8"/>
      </w:tblGrid>
      <w:tr w14:paraId="1D9A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1" w:hRule="atLeast"/>
        </w:trPr>
        <w:tc>
          <w:tcPr>
            <w:tcW w:w="9118" w:type="dxa"/>
            <w:vAlign w:val="center"/>
          </w:tcPr>
          <w:p w14:paraId="30F6323E">
            <w:pPr>
              <w:jc w:val="center"/>
              <w:outlineLvl w:val="9"/>
              <w:rPr>
                <w:rFonts w:hint="default"/>
                <w:vertAlign w:val="baseline"/>
                <w:lang w:val="en-US" w:eastAsia="zh-CN"/>
              </w:rPr>
            </w:pPr>
            <w:r>
              <w:rPr>
                <w:rFonts w:hint="eastAsia" w:ascii="仿宋" w:hAnsi="仿宋" w:eastAsia="仿宋" w:cs="仿宋"/>
                <w:b w:val="0"/>
                <w:bCs w:val="0"/>
                <w:color w:val="auto"/>
                <w:spacing w:val="4"/>
                <w:sz w:val="24"/>
                <w:szCs w:val="24"/>
                <w:highlight w:val="none"/>
                <w:lang w:val="en-US" w:eastAsia="zh-CN"/>
              </w:rPr>
              <w:t>磋商保证金转账凭证粘贴处</w:t>
            </w:r>
          </w:p>
        </w:tc>
      </w:tr>
    </w:tbl>
    <w:p w14:paraId="0859FE84">
      <w:pPr>
        <w:widowControl/>
        <w:ind w:firstLine="420"/>
        <w:jc w:val="center"/>
        <w:rPr>
          <w:rFonts w:hint="eastAsia" w:ascii="仿宋" w:hAnsi="仿宋" w:eastAsia="仿宋" w:cs="仿宋"/>
          <w:b/>
          <w:bCs/>
          <w:spacing w:val="4"/>
          <w:kern w:val="0"/>
          <w:sz w:val="28"/>
          <w:szCs w:val="28"/>
          <w:highlight w:val="none"/>
        </w:rPr>
        <w:sectPr>
          <w:pgSz w:w="11906" w:h="16838"/>
          <w:pgMar w:top="1440" w:right="1417" w:bottom="1440" w:left="1587" w:header="850" w:footer="992" w:gutter="0"/>
          <w:pgNumType w:fmt="numberInDash"/>
          <w:cols w:space="0" w:num="1"/>
          <w:rtlGutter w:val="0"/>
          <w:docGrid w:type="lines" w:linePitch="317" w:charSpace="0"/>
        </w:sectPr>
      </w:pPr>
    </w:p>
    <w:p w14:paraId="67FCA6C8">
      <w:pPr>
        <w:widowControl/>
        <w:ind w:firstLine="420"/>
        <w:jc w:val="center"/>
        <w:rPr>
          <w:rFonts w:ascii="仿宋" w:hAnsi="仿宋" w:eastAsia="仿宋" w:cs="仿宋"/>
          <w:b/>
          <w:bCs/>
          <w:spacing w:val="4"/>
          <w:kern w:val="0"/>
          <w:sz w:val="24"/>
          <w:highlight w:val="none"/>
        </w:rPr>
      </w:pPr>
      <w:r>
        <w:rPr>
          <w:rFonts w:hint="eastAsia" w:ascii="仿宋" w:hAnsi="仿宋" w:eastAsia="仿宋" w:cs="仿宋"/>
          <w:b/>
          <w:bCs/>
          <w:spacing w:val="4"/>
          <w:kern w:val="0"/>
          <w:sz w:val="28"/>
          <w:szCs w:val="28"/>
          <w:highlight w:val="none"/>
        </w:rPr>
        <w:t>保证金退还信息表</w:t>
      </w:r>
    </w:p>
    <w:p w14:paraId="4183CF8D">
      <w:pPr>
        <w:spacing w:line="480" w:lineRule="auto"/>
        <w:rPr>
          <w:rFonts w:ascii="仿宋" w:hAnsi="仿宋" w:eastAsia="仿宋" w:cs="仿宋"/>
          <w:b/>
          <w:bCs/>
          <w:sz w:val="24"/>
          <w:highlight w:val="none"/>
        </w:rPr>
      </w:pPr>
      <w:r>
        <w:rPr>
          <w:rFonts w:hint="eastAsia" w:ascii="仿宋" w:hAnsi="仿宋" w:eastAsia="仿宋" w:cs="仿宋"/>
          <w:b/>
          <w:bCs/>
          <w:spacing w:val="4"/>
          <w:sz w:val="24"/>
          <w:highlight w:val="none"/>
        </w:rPr>
        <w:t>致：</w:t>
      </w:r>
      <w:r>
        <w:rPr>
          <w:rFonts w:hint="eastAsia" w:ascii="仿宋" w:hAnsi="仿宋" w:eastAsia="仿宋" w:cs="仿宋"/>
          <w:b/>
          <w:bCs/>
          <w:spacing w:val="4"/>
          <w:sz w:val="24"/>
          <w:highlight w:val="none"/>
          <w:u w:val="single"/>
        </w:rPr>
        <w:t>陕西德仁招标有限公司</w:t>
      </w:r>
    </w:p>
    <w:p w14:paraId="424019DE">
      <w:pPr>
        <w:spacing w:line="480" w:lineRule="auto"/>
        <w:ind w:firstLine="482"/>
        <w:rPr>
          <w:rFonts w:ascii="仿宋" w:hAnsi="仿宋" w:eastAsia="仿宋" w:cs="仿宋"/>
          <w:sz w:val="24"/>
          <w:highlight w:val="none"/>
        </w:rPr>
      </w:pPr>
      <w:r>
        <w:rPr>
          <w:rFonts w:hint="eastAsia" w:ascii="仿宋" w:hAnsi="仿宋" w:eastAsia="仿宋" w:cs="仿宋"/>
          <w:sz w:val="24"/>
          <w:highlight w:val="none"/>
        </w:rPr>
        <w:t>我单位为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sz w:val="24"/>
          <w:highlight w:val="none"/>
        </w:rPr>
        <w:t>，提交的保证金</w:t>
      </w:r>
      <w:r>
        <w:rPr>
          <w:rFonts w:hint="eastAsia" w:ascii="仿宋" w:hAnsi="仿宋" w:eastAsia="仿宋" w:cs="仿宋"/>
          <w:sz w:val="24"/>
          <w:highlight w:val="none"/>
          <w:u w:val="single"/>
        </w:rPr>
        <w:t xml:space="preserve">人民币             </w:t>
      </w:r>
      <w:r>
        <w:rPr>
          <w:rFonts w:hint="eastAsia" w:ascii="仿宋" w:hAnsi="仿宋" w:eastAsia="仿宋" w:cs="仿宋"/>
          <w:sz w:val="24"/>
          <w:highlight w:val="none"/>
        </w:rPr>
        <w:t>元（小写¥：元），按</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文件规定退还至下列账户：</w:t>
      </w:r>
    </w:p>
    <w:tbl>
      <w:tblPr>
        <w:tblStyle w:val="26"/>
        <w:tblW w:w="4998" w:type="pct"/>
        <w:jc w:val="center"/>
        <w:tblLayout w:type="autofit"/>
        <w:tblCellMar>
          <w:top w:w="0" w:type="dxa"/>
          <w:left w:w="108" w:type="dxa"/>
          <w:bottom w:w="0" w:type="dxa"/>
          <w:right w:w="108" w:type="dxa"/>
        </w:tblCellMar>
      </w:tblPr>
      <w:tblGrid>
        <w:gridCol w:w="552"/>
        <w:gridCol w:w="1824"/>
        <w:gridCol w:w="2456"/>
        <w:gridCol w:w="1368"/>
        <w:gridCol w:w="2914"/>
      </w:tblGrid>
      <w:tr w14:paraId="50519C09">
        <w:trPr>
          <w:cantSplit/>
          <w:trHeight w:val="669" w:hRule="atLeast"/>
          <w:jc w:val="center"/>
        </w:trPr>
        <w:tc>
          <w:tcPr>
            <w:tcW w:w="303" w:type="pct"/>
            <w:vMerge w:val="restart"/>
            <w:tcBorders>
              <w:top w:val="single" w:color="auto" w:sz="4" w:space="0"/>
              <w:left w:val="single" w:color="auto" w:sz="4" w:space="0"/>
              <w:bottom w:val="single" w:color="000000" w:sz="4" w:space="0"/>
              <w:right w:val="single" w:color="auto" w:sz="4" w:space="0"/>
            </w:tcBorders>
            <w:vAlign w:val="center"/>
          </w:tcPr>
          <w:p w14:paraId="0B4514F7">
            <w:pPr>
              <w:spacing w:line="240" w:lineRule="auto"/>
              <w:jc w:val="center"/>
              <w:rPr>
                <w:rFonts w:ascii="仿宋" w:hAnsi="仿宋" w:eastAsia="仿宋" w:cs="仿宋"/>
                <w:sz w:val="24"/>
                <w:highlight w:val="none"/>
              </w:rPr>
            </w:pPr>
            <w:r>
              <w:rPr>
                <w:rFonts w:hint="eastAsia" w:ascii="仿宋" w:hAnsi="仿宋" w:eastAsia="仿宋" w:cs="仿宋"/>
                <w:sz w:val="24"/>
                <w:highlight w:val="none"/>
              </w:rPr>
              <w:t>收款单位</w:t>
            </w:r>
          </w:p>
        </w:tc>
        <w:tc>
          <w:tcPr>
            <w:tcW w:w="1000" w:type="pct"/>
            <w:tcBorders>
              <w:top w:val="single" w:color="auto" w:sz="4" w:space="0"/>
              <w:left w:val="nil"/>
              <w:bottom w:val="single" w:color="auto" w:sz="4" w:space="0"/>
              <w:right w:val="single" w:color="auto" w:sz="4" w:space="0"/>
            </w:tcBorders>
            <w:vAlign w:val="center"/>
          </w:tcPr>
          <w:p w14:paraId="054DAD3E">
            <w:pPr>
              <w:spacing w:line="240" w:lineRule="auto"/>
              <w:jc w:val="center"/>
              <w:rPr>
                <w:rFonts w:ascii="仿宋" w:hAnsi="仿宋" w:eastAsia="仿宋" w:cs="仿宋"/>
                <w:sz w:val="24"/>
                <w:highlight w:val="none"/>
              </w:rPr>
            </w:pPr>
            <w:r>
              <w:rPr>
                <w:rFonts w:hint="eastAsia" w:ascii="仿宋" w:hAnsi="仿宋" w:eastAsia="仿宋" w:cs="仿宋"/>
                <w:sz w:val="24"/>
                <w:highlight w:val="none"/>
              </w:rPr>
              <w:t>收款单位名称</w:t>
            </w:r>
          </w:p>
        </w:tc>
        <w:tc>
          <w:tcPr>
            <w:tcW w:w="3695" w:type="pct"/>
            <w:gridSpan w:val="3"/>
            <w:tcBorders>
              <w:top w:val="single" w:color="auto" w:sz="4" w:space="0"/>
              <w:left w:val="nil"/>
              <w:bottom w:val="single" w:color="auto" w:sz="4" w:space="0"/>
              <w:right w:val="single" w:color="auto" w:sz="4" w:space="0"/>
            </w:tcBorders>
            <w:vAlign w:val="center"/>
          </w:tcPr>
          <w:p w14:paraId="4E2635E9">
            <w:pPr>
              <w:spacing w:line="240" w:lineRule="auto"/>
              <w:rPr>
                <w:rFonts w:ascii="仿宋" w:hAnsi="仿宋" w:eastAsia="仿宋" w:cs="仿宋"/>
                <w:sz w:val="24"/>
                <w:highlight w:val="none"/>
              </w:rPr>
            </w:pPr>
          </w:p>
        </w:tc>
      </w:tr>
      <w:tr w14:paraId="2A97F507">
        <w:tblPrEx>
          <w:tblCellMar>
            <w:top w:w="0" w:type="dxa"/>
            <w:left w:w="108" w:type="dxa"/>
            <w:bottom w:w="0" w:type="dxa"/>
            <w:right w:w="108" w:type="dxa"/>
          </w:tblCellMar>
        </w:tblPrEx>
        <w:trPr>
          <w:cantSplit/>
          <w:trHeight w:val="568" w:hRule="atLeast"/>
          <w:jc w:val="center"/>
        </w:trPr>
        <w:tc>
          <w:tcPr>
            <w:tcW w:w="303" w:type="pct"/>
            <w:vMerge w:val="continue"/>
            <w:tcBorders>
              <w:top w:val="single" w:color="auto" w:sz="4" w:space="0"/>
              <w:left w:val="single" w:color="auto" w:sz="4" w:space="0"/>
              <w:bottom w:val="single" w:color="000000" w:sz="4" w:space="0"/>
              <w:right w:val="single" w:color="auto" w:sz="4" w:space="0"/>
            </w:tcBorders>
            <w:vAlign w:val="center"/>
          </w:tcPr>
          <w:p w14:paraId="24E78CB7">
            <w:pPr>
              <w:spacing w:line="240" w:lineRule="auto"/>
              <w:rPr>
                <w:rFonts w:ascii="仿宋" w:hAnsi="仿宋" w:eastAsia="仿宋" w:cs="仿宋"/>
                <w:sz w:val="24"/>
                <w:highlight w:val="none"/>
              </w:rPr>
            </w:pPr>
          </w:p>
        </w:tc>
        <w:tc>
          <w:tcPr>
            <w:tcW w:w="1000" w:type="pct"/>
            <w:tcBorders>
              <w:top w:val="nil"/>
              <w:left w:val="nil"/>
              <w:bottom w:val="single" w:color="auto" w:sz="4" w:space="0"/>
              <w:right w:val="single" w:color="auto" w:sz="4" w:space="0"/>
            </w:tcBorders>
            <w:vAlign w:val="center"/>
          </w:tcPr>
          <w:p w14:paraId="4C3CD593">
            <w:pPr>
              <w:spacing w:line="240" w:lineRule="auto"/>
              <w:jc w:val="center"/>
              <w:rPr>
                <w:rFonts w:ascii="仿宋" w:hAnsi="仿宋" w:eastAsia="仿宋" w:cs="仿宋"/>
                <w:sz w:val="24"/>
                <w:highlight w:val="none"/>
              </w:rPr>
            </w:pPr>
            <w:r>
              <w:rPr>
                <w:rFonts w:hint="eastAsia" w:ascii="仿宋" w:hAnsi="仿宋" w:eastAsia="仿宋" w:cs="仿宋"/>
                <w:sz w:val="24"/>
                <w:highlight w:val="none"/>
              </w:rPr>
              <w:t>账号</w:t>
            </w:r>
          </w:p>
        </w:tc>
        <w:tc>
          <w:tcPr>
            <w:tcW w:w="3695" w:type="pct"/>
            <w:gridSpan w:val="3"/>
            <w:tcBorders>
              <w:top w:val="single" w:color="auto" w:sz="4" w:space="0"/>
              <w:left w:val="nil"/>
              <w:bottom w:val="single" w:color="auto" w:sz="4" w:space="0"/>
              <w:right w:val="single" w:color="auto" w:sz="4" w:space="0"/>
            </w:tcBorders>
            <w:vAlign w:val="center"/>
          </w:tcPr>
          <w:p w14:paraId="30F2A6C6">
            <w:pPr>
              <w:spacing w:line="240" w:lineRule="auto"/>
              <w:rPr>
                <w:rFonts w:ascii="仿宋" w:hAnsi="仿宋" w:eastAsia="仿宋" w:cs="仿宋"/>
                <w:sz w:val="24"/>
                <w:highlight w:val="none"/>
              </w:rPr>
            </w:pPr>
          </w:p>
        </w:tc>
      </w:tr>
      <w:tr w14:paraId="4E5B2D36">
        <w:tblPrEx>
          <w:tblCellMar>
            <w:top w:w="0" w:type="dxa"/>
            <w:left w:w="108" w:type="dxa"/>
            <w:bottom w:w="0" w:type="dxa"/>
            <w:right w:w="108" w:type="dxa"/>
          </w:tblCellMar>
        </w:tblPrEx>
        <w:trPr>
          <w:cantSplit/>
          <w:trHeight w:val="568" w:hRule="atLeast"/>
          <w:jc w:val="center"/>
        </w:trPr>
        <w:tc>
          <w:tcPr>
            <w:tcW w:w="303" w:type="pct"/>
            <w:vMerge w:val="continue"/>
            <w:tcBorders>
              <w:top w:val="single" w:color="auto" w:sz="4" w:space="0"/>
              <w:left w:val="single" w:color="auto" w:sz="4" w:space="0"/>
              <w:bottom w:val="single" w:color="000000" w:sz="4" w:space="0"/>
              <w:right w:val="single" w:color="auto" w:sz="4" w:space="0"/>
            </w:tcBorders>
            <w:vAlign w:val="center"/>
          </w:tcPr>
          <w:p w14:paraId="3770E370">
            <w:pPr>
              <w:spacing w:line="240" w:lineRule="auto"/>
              <w:rPr>
                <w:rFonts w:ascii="仿宋" w:hAnsi="仿宋" w:eastAsia="仿宋" w:cs="仿宋"/>
                <w:sz w:val="24"/>
                <w:highlight w:val="none"/>
              </w:rPr>
            </w:pPr>
          </w:p>
        </w:tc>
        <w:tc>
          <w:tcPr>
            <w:tcW w:w="1000" w:type="pct"/>
            <w:tcBorders>
              <w:top w:val="nil"/>
              <w:left w:val="nil"/>
              <w:bottom w:val="single" w:color="auto" w:sz="4" w:space="0"/>
              <w:right w:val="single" w:color="auto" w:sz="4" w:space="0"/>
            </w:tcBorders>
            <w:vAlign w:val="center"/>
          </w:tcPr>
          <w:p w14:paraId="424E242B">
            <w:pPr>
              <w:spacing w:line="240" w:lineRule="auto"/>
              <w:jc w:val="center"/>
              <w:rPr>
                <w:rFonts w:ascii="仿宋" w:hAnsi="仿宋" w:eastAsia="仿宋" w:cs="仿宋"/>
                <w:sz w:val="24"/>
                <w:highlight w:val="none"/>
              </w:rPr>
            </w:pPr>
            <w:r>
              <w:rPr>
                <w:rFonts w:hint="eastAsia" w:ascii="仿宋" w:hAnsi="仿宋" w:eastAsia="仿宋" w:cs="仿宋"/>
                <w:sz w:val="24"/>
                <w:highlight w:val="none"/>
              </w:rPr>
              <w:t>开户银行</w:t>
            </w:r>
          </w:p>
        </w:tc>
        <w:tc>
          <w:tcPr>
            <w:tcW w:w="3695" w:type="pct"/>
            <w:gridSpan w:val="3"/>
            <w:tcBorders>
              <w:top w:val="single" w:color="auto" w:sz="4" w:space="0"/>
              <w:left w:val="nil"/>
              <w:bottom w:val="single" w:color="auto" w:sz="4" w:space="0"/>
              <w:right w:val="single" w:color="auto" w:sz="4" w:space="0"/>
            </w:tcBorders>
            <w:vAlign w:val="center"/>
          </w:tcPr>
          <w:p w14:paraId="47077136">
            <w:pPr>
              <w:spacing w:line="240" w:lineRule="auto"/>
              <w:rPr>
                <w:rFonts w:ascii="仿宋" w:hAnsi="仿宋" w:eastAsia="仿宋" w:cs="仿宋"/>
                <w:sz w:val="24"/>
                <w:highlight w:val="none"/>
              </w:rPr>
            </w:pPr>
          </w:p>
        </w:tc>
      </w:tr>
      <w:tr w14:paraId="5457406B">
        <w:tblPrEx>
          <w:tblCellMar>
            <w:top w:w="0" w:type="dxa"/>
            <w:left w:w="108" w:type="dxa"/>
            <w:bottom w:w="0" w:type="dxa"/>
            <w:right w:w="108" w:type="dxa"/>
          </w:tblCellMar>
        </w:tblPrEx>
        <w:trPr>
          <w:cantSplit/>
          <w:trHeight w:val="726" w:hRule="atLeast"/>
          <w:jc w:val="center"/>
        </w:trPr>
        <w:tc>
          <w:tcPr>
            <w:tcW w:w="303" w:type="pct"/>
            <w:vMerge w:val="continue"/>
            <w:tcBorders>
              <w:top w:val="single" w:color="auto" w:sz="4" w:space="0"/>
              <w:left w:val="single" w:color="auto" w:sz="4" w:space="0"/>
              <w:bottom w:val="single" w:color="000000" w:sz="4" w:space="0"/>
              <w:right w:val="single" w:color="auto" w:sz="4" w:space="0"/>
            </w:tcBorders>
            <w:vAlign w:val="center"/>
          </w:tcPr>
          <w:p w14:paraId="37F847F6">
            <w:pPr>
              <w:spacing w:line="240" w:lineRule="auto"/>
              <w:rPr>
                <w:rFonts w:ascii="仿宋" w:hAnsi="仿宋" w:eastAsia="仿宋" w:cs="仿宋"/>
                <w:sz w:val="24"/>
                <w:highlight w:val="none"/>
              </w:rPr>
            </w:pPr>
          </w:p>
        </w:tc>
        <w:tc>
          <w:tcPr>
            <w:tcW w:w="1000" w:type="pct"/>
            <w:tcBorders>
              <w:top w:val="nil"/>
              <w:left w:val="nil"/>
              <w:bottom w:val="single" w:color="auto" w:sz="4" w:space="0"/>
              <w:right w:val="single" w:color="auto" w:sz="4" w:space="0"/>
            </w:tcBorders>
            <w:vAlign w:val="center"/>
          </w:tcPr>
          <w:p w14:paraId="01C739D7">
            <w:pPr>
              <w:spacing w:line="240" w:lineRule="auto"/>
              <w:jc w:val="center"/>
              <w:rPr>
                <w:rFonts w:ascii="仿宋" w:hAnsi="仿宋" w:eastAsia="仿宋" w:cs="仿宋"/>
                <w:sz w:val="24"/>
                <w:highlight w:val="none"/>
              </w:rPr>
            </w:pPr>
            <w:r>
              <w:rPr>
                <w:rFonts w:hint="eastAsia" w:ascii="仿宋" w:hAnsi="仿宋" w:eastAsia="仿宋" w:cs="仿宋"/>
                <w:sz w:val="24"/>
                <w:highlight w:val="none"/>
              </w:rPr>
              <w:t>开户银行行号</w:t>
            </w:r>
          </w:p>
        </w:tc>
        <w:tc>
          <w:tcPr>
            <w:tcW w:w="3695" w:type="pct"/>
            <w:gridSpan w:val="3"/>
            <w:tcBorders>
              <w:top w:val="single" w:color="auto" w:sz="4" w:space="0"/>
              <w:left w:val="nil"/>
              <w:bottom w:val="single" w:color="auto" w:sz="4" w:space="0"/>
              <w:right w:val="single" w:color="auto" w:sz="4" w:space="0"/>
            </w:tcBorders>
            <w:vAlign w:val="center"/>
          </w:tcPr>
          <w:p w14:paraId="049536E2">
            <w:pPr>
              <w:spacing w:line="240" w:lineRule="auto"/>
              <w:rPr>
                <w:rFonts w:ascii="仿宋" w:hAnsi="仿宋" w:eastAsia="仿宋" w:cs="仿宋"/>
                <w:sz w:val="24"/>
                <w:highlight w:val="none"/>
              </w:rPr>
            </w:pPr>
          </w:p>
        </w:tc>
      </w:tr>
      <w:tr w14:paraId="7CD3B378">
        <w:tblPrEx>
          <w:tblCellMar>
            <w:top w:w="0" w:type="dxa"/>
            <w:left w:w="108" w:type="dxa"/>
            <w:bottom w:w="0" w:type="dxa"/>
            <w:right w:w="108" w:type="dxa"/>
          </w:tblCellMar>
        </w:tblPrEx>
        <w:trPr>
          <w:trHeight w:val="770" w:hRule="atLeast"/>
          <w:jc w:val="center"/>
        </w:trPr>
        <w:tc>
          <w:tcPr>
            <w:tcW w:w="303" w:type="pct"/>
            <w:vMerge w:val="continue"/>
            <w:tcBorders>
              <w:top w:val="single" w:color="auto" w:sz="4" w:space="0"/>
              <w:left w:val="single" w:color="auto" w:sz="4" w:space="0"/>
              <w:bottom w:val="single" w:color="000000" w:sz="4" w:space="0"/>
              <w:right w:val="single" w:color="auto" w:sz="4" w:space="0"/>
            </w:tcBorders>
            <w:vAlign w:val="center"/>
          </w:tcPr>
          <w:p w14:paraId="02AED996">
            <w:pPr>
              <w:spacing w:line="240" w:lineRule="auto"/>
              <w:rPr>
                <w:rFonts w:ascii="仿宋" w:hAnsi="仿宋" w:eastAsia="仿宋" w:cs="仿宋"/>
                <w:sz w:val="24"/>
                <w:highlight w:val="none"/>
              </w:rPr>
            </w:pPr>
          </w:p>
        </w:tc>
        <w:tc>
          <w:tcPr>
            <w:tcW w:w="1000" w:type="pct"/>
            <w:tcBorders>
              <w:top w:val="single" w:color="auto" w:sz="4" w:space="0"/>
              <w:left w:val="nil"/>
              <w:bottom w:val="single" w:color="auto" w:sz="4" w:space="0"/>
              <w:right w:val="single" w:color="auto" w:sz="4" w:space="0"/>
            </w:tcBorders>
            <w:vAlign w:val="center"/>
          </w:tcPr>
          <w:p w14:paraId="212AFD56">
            <w:pPr>
              <w:spacing w:line="240" w:lineRule="auto"/>
              <w:jc w:val="center"/>
              <w:rPr>
                <w:rFonts w:ascii="仿宋" w:hAnsi="仿宋" w:eastAsia="仿宋" w:cs="仿宋"/>
                <w:sz w:val="24"/>
                <w:highlight w:val="none"/>
              </w:rPr>
            </w:pPr>
            <w:r>
              <w:rPr>
                <w:rFonts w:hint="eastAsia" w:ascii="仿宋" w:hAnsi="仿宋" w:eastAsia="仿宋" w:cs="仿宋"/>
                <w:sz w:val="24"/>
                <w:highlight w:val="none"/>
              </w:rPr>
              <w:t>联 系 人</w:t>
            </w:r>
          </w:p>
        </w:tc>
        <w:tc>
          <w:tcPr>
            <w:tcW w:w="1347" w:type="pct"/>
            <w:tcBorders>
              <w:top w:val="single" w:color="auto" w:sz="4" w:space="0"/>
              <w:left w:val="nil"/>
              <w:bottom w:val="single" w:color="auto" w:sz="4" w:space="0"/>
              <w:right w:val="single" w:color="auto" w:sz="4" w:space="0"/>
            </w:tcBorders>
            <w:vAlign w:val="center"/>
          </w:tcPr>
          <w:p w14:paraId="2D82E0DD">
            <w:pPr>
              <w:spacing w:line="240" w:lineRule="auto"/>
              <w:rPr>
                <w:rFonts w:ascii="仿宋" w:hAnsi="仿宋" w:eastAsia="仿宋" w:cs="仿宋"/>
                <w:sz w:val="24"/>
                <w:highlight w:val="none"/>
              </w:rPr>
            </w:pPr>
          </w:p>
        </w:tc>
        <w:tc>
          <w:tcPr>
            <w:tcW w:w="750" w:type="pct"/>
            <w:tcBorders>
              <w:top w:val="single" w:color="auto" w:sz="4" w:space="0"/>
              <w:left w:val="nil"/>
              <w:bottom w:val="single" w:color="auto" w:sz="4" w:space="0"/>
              <w:right w:val="single" w:color="auto" w:sz="4" w:space="0"/>
            </w:tcBorders>
            <w:vAlign w:val="center"/>
          </w:tcPr>
          <w:p w14:paraId="025868A6">
            <w:pPr>
              <w:spacing w:line="240" w:lineRule="auto"/>
              <w:rPr>
                <w:rFonts w:ascii="仿宋" w:hAnsi="仿宋" w:eastAsia="仿宋" w:cs="仿宋"/>
                <w:sz w:val="24"/>
                <w:highlight w:val="none"/>
              </w:rPr>
            </w:pPr>
            <w:r>
              <w:rPr>
                <w:rFonts w:hint="eastAsia" w:ascii="仿宋" w:hAnsi="仿宋" w:eastAsia="仿宋" w:cs="仿宋"/>
                <w:sz w:val="24"/>
                <w:highlight w:val="none"/>
              </w:rPr>
              <w:t>联系电话</w:t>
            </w:r>
          </w:p>
        </w:tc>
        <w:tc>
          <w:tcPr>
            <w:tcW w:w="1597" w:type="pct"/>
            <w:tcBorders>
              <w:top w:val="single" w:color="auto" w:sz="4" w:space="0"/>
              <w:left w:val="nil"/>
              <w:bottom w:val="single" w:color="auto" w:sz="4" w:space="0"/>
              <w:right w:val="single" w:color="auto" w:sz="4" w:space="0"/>
            </w:tcBorders>
            <w:vAlign w:val="center"/>
          </w:tcPr>
          <w:p w14:paraId="7F78869F">
            <w:pPr>
              <w:spacing w:line="240" w:lineRule="auto"/>
              <w:rPr>
                <w:rFonts w:ascii="仿宋" w:hAnsi="仿宋" w:eastAsia="仿宋" w:cs="仿宋"/>
                <w:sz w:val="24"/>
                <w:highlight w:val="none"/>
              </w:rPr>
            </w:pPr>
          </w:p>
        </w:tc>
      </w:tr>
    </w:tbl>
    <w:p w14:paraId="5DB722B6">
      <w:pPr>
        <w:rPr>
          <w:rFonts w:ascii="仿宋" w:hAnsi="仿宋" w:eastAsia="仿宋" w:cs="仿宋"/>
          <w:b/>
          <w:sz w:val="24"/>
          <w:highlight w:val="none"/>
        </w:rPr>
      </w:pPr>
    </w:p>
    <w:p w14:paraId="59C8572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sz w:val="24"/>
          <w:highlight w:val="none"/>
        </w:rPr>
      </w:pPr>
      <w:r>
        <w:rPr>
          <w:rFonts w:hint="eastAsia" w:ascii="仿宋" w:hAnsi="仿宋" w:eastAsia="仿宋" w:cs="仿宋"/>
          <w:b/>
          <w:sz w:val="24"/>
          <w:highlight w:val="none"/>
        </w:rPr>
        <w:t>1、保证金将退还至原转入账户，请按照转入保证金账户填写此表。如贵单位付款账户有单位结算卡，请将单位结算卡的账号信息出具情况说明并加盖公章与本表一同递交。</w:t>
      </w:r>
    </w:p>
    <w:p w14:paraId="445E0F1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sz w:val="24"/>
          <w:highlight w:val="none"/>
        </w:rPr>
      </w:pPr>
      <w:r>
        <w:rPr>
          <w:rFonts w:hint="eastAsia" w:ascii="仿宋" w:hAnsi="仿宋" w:eastAsia="仿宋" w:cs="仿宋"/>
          <w:b/>
          <w:sz w:val="24"/>
          <w:highlight w:val="none"/>
        </w:rPr>
        <w:t>2、各</w:t>
      </w: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请正确填写《证金退还信息表》，</w:t>
      </w:r>
      <w:r>
        <w:rPr>
          <w:rFonts w:hint="eastAsia" w:ascii="仿宋" w:hAnsi="仿宋" w:eastAsia="仿宋" w:cs="仿宋"/>
          <w:b/>
          <w:sz w:val="24"/>
          <w:highlight w:val="none"/>
          <w:u w:val="single"/>
        </w:rPr>
        <w:t>开标现场手持递交</w:t>
      </w:r>
      <w:r>
        <w:rPr>
          <w:rFonts w:hint="eastAsia" w:ascii="仿宋" w:hAnsi="仿宋" w:eastAsia="仿宋" w:cs="仿宋"/>
          <w:b/>
          <w:sz w:val="24"/>
          <w:highlight w:val="none"/>
        </w:rPr>
        <w:t>（无需密封），招标结束后，将根据所提供信息退还各</w:t>
      </w: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保证金。</w:t>
      </w:r>
    </w:p>
    <w:p w14:paraId="744ADDD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ascii="仿宋" w:hAnsi="仿宋" w:eastAsia="仿宋" w:cs="仿宋"/>
          <w:b/>
          <w:sz w:val="24"/>
          <w:highlight w:val="none"/>
        </w:rPr>
      </w:pPr>
      <w:r>
        <w:rPr>
          <w:rFonts w:hint="eastAsia" w:ascii="仿宋" w:hAnsi="仿宋" w:eastAsia="仿宋" w:cs="仿宋"/>
          <w:b/>
          <w:sz w:val="24"/>
          <w:highlight w:val="none"/>
        </w:rPr>
        <w:t>3、因</w:t>
      </w: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自身原因导致未及时退还的，由</w:t>
      </w: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自行负责。</w:t>
      </w:r>
    </w:p>
    <w:p w14:paraId="67679659">
      <w:pPr>
        <w:tabs>
          <w:tab w:val="left" w:pos="8640"/>
        </w:tabs>
        <w:spacing w:line="360" w:lineRule="auto"/>
        <w:ind w:firstLine="480" w:firstLineChars="200"/>
        <w:outlineLvl w:val="9"/>
        <w:rPr>
          <w:rFonts w:ascii="仿宋" w:hAnsi="仿宋" w:eastAsia="仿宋" w:cs="仿宋"/>
          <w:sz w:val="24"/>
          <w:highlight w:val="none"/>
        </w:rPr>
      </w:pPr>
    </w:p>
    <w:p w14:paraId="53BD5EEB">
      <w:pPr>
        <w:spacing w:line="460" w:lineRule="exact"/>
        <w:ind w:firstLine="3720" w:firstLineChars="1550"/>
        <w:outlineLvl w:val="9"/>
        <w:rPr>
          <w:rFonts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 xml:space="preserve">               （盖章）</w:t>
      </w:r>
    </w:p>
    <w:p w14:paraId="3A85E536">
      <w:pPr>
        <w:spacing w:line="460" w:lineRule="exact"/>
        <w:ind w:firstLine="3720" w:firstLineChars="1550"/>
        <w:outlineLvl w:val="9"/>
        <w:rPr>
          <w:rFonts w:hint="eastAsia" w:ascii="仿宋" w:hAnsi="仿宋" w:eastAsia="仿宋" w:cs="仿宋"/>
          <w:sz w:val="24"/>
          <w:highlight w:val="none"/>
          <w:u w:val="none"/>
        </w:rPr>
      </w:pPr>
      <w:r>
        <w:rPr>
          <w:rFonts w:hint="eastAsia" w:ascii="仿宋" w:hAnsi="仿宋" w:eastAsia="仿宋" w:cs="仿宋"/>
          <w:sz w:val="24"/>
          <w:highlight w:val="none"/>
          <w:u w:val="none"/>
        </w:rPr>
        <w:t>法定代表人</w:t>
      </w:r>
    </w:p>
    <w:p w14:paraId="5DE10286">
      <w:pPr>
        <w:spacing w:line="460" w:lineRule="exact"/>
        <w:ind w:firstLine="3720" w:firstLineChars="1550"/>
        <w:outlineLvl w:val="9"/>
        <w:rPr>
          <w:rFonts w:ascii="仿宋" w:hAnsi="仿宋" w:eastAsia="仿宋" w:cs="仿宋"/>
          <w:sz w:val="24"/>
          <w:highlight w:val="none"/>
        </w:rPr>
      </w:pPr>
      <w:r>
        <w:rPr>
          <w:rFonts w:hint="eastAsia" w:ascii="仿宋" w:hAnsi="仿宋" w:eastAsia="仿宋" w:cs="仿宋"/>
          <w:sz w:val="24"/>
          <w:highlight w:val="none"/>
          <w:u w:val="none"/>
        </w:rPr>
        <w:t>或被授权人：</w:t>
      </w:r>
      <w:r>
        <w:rPr>
          <w:rFonts w:hint="eastAsia" w:ascii="仿宋" w:hAnsi="仿宋" w:eastAsia="仿宋" w:cs="仿宋"/>
          <w:sz w:val="24"/>
          <w:highlight w:val="none"/>
          <w:u w:val="single"/>
        </w:rPr>
        <w:t xml:space="preserve">                (签字或盖章)</w:t>
      </w:r>
    </w:p>
    <w:p w14:paraId="7A184C41">
      <w:pPr>
        <w:ind w:firstLine="3600" w:firstLineChars="1500"/>
        <w:jc w:val="both"/>
        <w:outlineLvl w:val="9"/>
        <w:rPr>
          <w:rFonts w:ascii="仿宋" w:hAnsi="仿宋" w:eastAsia="仿宋" w:cs="仿宋"/>
          <w:b w:val="0"/>
          <w:bCs w:val="0"/>
          <w:highlight w:val="none"/>
        </w:rPr>
      </w:pP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rPr>
        <w:t>日        期：</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rPr>
        <w:t>年</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rPr>
        <w:t>月</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rPr>
        <w:t>日</w:t>
      </w:r>
    </w:p>
    <w:p w14:paraId="68090254">
      <w:pPr>
        <w:pStyle w:val="10"/>
        <w:outlineLvl w:val="9"/>
        <w:rPr>
          <w:rFonts w:ascii="仿宋" w:hAnsi="仿宋" w:eastAsia="仿宋" w:cs="仿宋"/>
          <w:highlight w:val="none"/>
        </w:rPr>
      </w:pPr>
    </w:p>
    <w:p w14:paraId="78990630">
      <w:pPr>
        <w:spacing w:line="336" w:lineRule="auto"/>
        <w:ind w:firstLine="480" w:firstLineChars="200"/>
        <w:rPr>
          <w:rFonts w:hint="default" w:ascii="仿宋" w:hAnsi="仿宋" w:eastAsia="仿宋" w:cs="仿宋"/>
          <w:sz w:val="24"/>
          <w:highlight w:val="none"/>
          <w:lang w:val="en-US" w:eastAsia="zh-CN"/>
        </w:rPr>
      </w:pPr>
    </w:p>
    <w:p w14:paraId="0F6312BB"/>
    <w:sectPr>
      <w:pgSz w:w="11906" w:h="16838"/>
      <w:pgMar w:top="1440" w:right="1417" w:bottom="1440" w:left="1587" w:header="850" w:footer="992" w:gutter="0"/>
      <w:pgNumType w:fmt="numberInDash"/>
      <w:cols w:space="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ngLiU">
    <w:altName w:val="MT Extra"/>
    <w:panose1 w:val="02020509000000000000"/>
    <w:charset w:val="00"/>
    <w:family w:val="modern"/>
    <w:pitch w:val="default"/>
    <w:sig w:usb0="00000000" w:usb1="00000000" w:usb2="00000016" w:usb3="00000000" w:csb0="00100001" w:csb1="00000000"/>
  </w:font>
  <w:font w:name="MT Extra">
    <w:panose1 w:val="05050102010205020202"/>
    <w:charset w:val="00"/>
    <w:family w:val="auto"/>
    <w:pitch w:val="default"/>
    <w:sig w:usb0="8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04DDC">
    <w:pPr>
      <w:pBdr>
        <w:top w:val="double" w:color="auto" w:sz="4" w:space="0"/>
      </w:pBdr>
      <w:tabs>
        <w:tab w:val="center" w:pos="4685"/>
      </w:tabs>
      <w:jc w:val="left"/>
      <w:rPr>
        <w:rFonts w:hint="eastAsia" w:ascii="仿宋" w:hAnsi="仿宋" w:eastAsia="仿宋" w:cs="仿宋"/>
      </w:rPr>
    </w:pPr>
    <w:r>
      <w:rPr>
        <w:rFonts w:hint="eastAsia" w:ascii="仿宋" w:hAnsi="仿宋" w:eastAsia="仿宋" w:cs="仿宋"/>
        <w:szCs w:val="21"/>
      </w:rPr>
      <w:t xml:space="preserve">陕西德仁招标有限公司 </w:t>
    </w:r>
    <w:r>
      <w:rPr>
        <w:rFonts w:hint="eastAsia" w:ascii="仿宋" w:hAnsi="仿宋" w:eastAsia="仿宋" w:cs="仿宋"/>
        <w:szCs w:val="21"/>
      </w:rPr>
      <w:tab/>
    </w:r>
    <w:r>
      <w:rPr>
        <w:rFonts w:hint="eastAsia" w:ascii="仿宋" w:hAnsi="仿宋" w:eastAsia="仿宋" w:cs="仿宋"/>
        <w:szCs w:val="21"/>
      </w:rPr>
      <w:t xml:space="preserve">     西安市高新区</w:t>
    </w:r>
    <w:r>
      <w:rPr>
        <w:rFonts w:hint="eastAsia" w:ascii="仿宋" w:hAnsi="仿宋" w:eastAsia="仿宋" w:cs="仿宋"/>
        <w:szCs w:val="21"/>
        <w:lang w:val="en-US" w:eastAsia="zh-CN"/>
      </w:rPr>
      <w:t>唐延路37号CLASS公馆B栋1103</w:t>
    </w:r>
    <w:r>
      <w:rPr>
        <w:rFonts w:hint="eastAsia" w:ascii="仿宋" w:hAnsi="仿宋" w:eastAsia="仿宋" w:cs="仿宋"/>
        <w:szCs w:val="21"/>
      </w:rPr>
      <w:t xml:space="preserve">       029-85565073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57005">
    <w:pPr>
      <w:pStyle w:val="17"/>
    </w:pPr>
    <w:r>
      <w:rPr>
        <w:rFonts w:hint="eastAsia" w:ascii="宋体" w:hAnsi="宋体" w:cs="宋体"/>
        <w:sz w:val="21"/>
        <w:szCs w:val="21"/>
      </w:rPr>
      <w:t xml:space="preserve">陕西德仁招标有限公司 </w:t>
    </w:r>
    <w:r>
      <w:rPr>
        <w:rFonts w:hint="eastAsia" w:ascii="宋体" w:hAnsi="宋体" w:cs="宋体"/>
        <w:sz w:val="21"/>
        <w:szCs w:val="21"/>
      </w:rPr>
      <w:tab/>
    </w:r>
    <w:r>
      <w:rPr>
        <w:rFonts w:hint="eastAsia" w:ascii="宋体" w:hAnsi="宋体" w:cs="宋体"/>
        <w:sz w:val="21"/>
        <w:szCs w:val="21"/>
      </w:rPr>
      <w:t xml:space="preserve">       西安市高新区沣惠南路华晶广场B座23楼        029-85565073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CA20A">
    <w:pPr>
      <w:pBdr>
        <w:top w:val="double" w:color="auto" w:sz="4" w:space="0"/>
      </w:pBdr>
      <w:tabs>
        <w:tab w:val="center" w:pos="4685"/>
      </w:tabs>
      <w:jc w:val="left"/>
      <w:rPr>
        <w:rFonts w:hint="eastAsia" w:ascii="仿宋" w:hAnsi="仿宋" w:eastAsia="仿宋" w:cs="仿宋"/>
        <w:szCs w:val="21"/>
      </w:rPr>
    </w:pPr>
    <w:r>
      <w:rPr>
        <w:rFonts w:hint="eastAsia" w:ascii="仿宋" w:hAnsi="仿宋" w:eastAsia="仿宋" w:cs="仿宋"/>
        <w:szCs w:val="21"/>
      </w:rPr>
      <w:t xml:space="preserve">陕西德仁招标有限公司 </w:t>
    </w:r>
    <w:r>
      <w:rPr>
        <w:rFonts w:hint="eastAsia" w:ascii="仿宋" w:hAnsi="仿宋" w:eastAsia="仿宋" w:cs="仿宋"/>
        <w:szCs w:val="21"/>
      </w:rPr>
      <w:tab/>
    </w:r>
    <w:r>
      <w:rPr>
        <w:rFonts w:hint="eastAsia" w:ascii="仿宋" w:hAnsi="仿宋" w:eastAsia="仿宋" w:cs="仿宋"/>
        <w:szCs w:val="21"/>
      </w:rPr>
      <w:t xml:space="preserve">     西安市高新区</w:t>
    </w:r>
    <w:r>
      <w:rPr>
        <w:rFonts w:hint="eastAsia" w:ascii="仿宋" w:hAnsi="仿宋" w:eastAsia="仿宋" w:cs="仿宋"/>
        <w:szCs w:val="21"/>
        <w:lang w:val="en-US" w:eastAsia="zh-CN"/>
      </w:rPr>
      <w:t>唐延路37号CLASS公馆B栋1103</w:t>
    </w:r>
    <w:r>
      <w:rPr>
        <w:rFonts w:hint="eastAsia" w:ascii="仿宋" w:hAnsi="仿宋" w:eastAsia="仿宋" w:cs="仿宋"/>
        <w:szCs w:val="21"/>
      </w:rPr>
      <w:t xml:space="preserve">       029-85565073</w:t>
    </w:r>
    <w:r>
      <w:rPr>
        <w:rFonts w:hint="eastAsia" w:ascii="仿宋" w:hAnsi="仿宋" w:eastAsia="仿宋" w:cs="仿宋"/>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228600</wp:posOffset>
              </wp:positionV>
              <wp:extent cx="427355" cy="32004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27355" cy="320040"/>
                      </a:xfrm>
                      <a:prstGeom prst="rect">
                        <a:avLst/>
                      </a:prstGeom>
                      <a:noFill/>
                      <a:ln>
                        <a:noFill/>
                      </a:ln>
                    </wps:spPr>
                    <wps:txbx>
                      <w:txbxContent>
                        <w:p w14:paraId="37B2C43F">
                          <w:pPr>
                            <w:pStyle w:val="17"/>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- 2 -</w:t>
                          </w:r>
                          <w:r>
                            <w:rPr>
                              <w:rFonts w:hint="eastAsia" w:ascii="宋体" w:hAnsi="宋体" w:eastAsia="宋体" w:cs="宋体"/>
                              <w:sz w:val="21"/>
                              <w:szCs w:val="21"/>
                            </w:rPr>
                            <w:fldChar w:fldCharType="end"/>
                          </w:r>
                        </w:p>
                      </w:txbxContent>
                    </wps:txbx>
                    <wps:bodyPr lIns="0" tIns="0" rIns="0" bIns="0" upright="0"/>
                  </wps:wsp>
                </a:graphicData>
              </a:graphic>
            </wp:anchor>
          </w:drawing>
        </mc:Choice>
        <mc:Fallback>
          <w:pict>
            <v:shape id="文本框 1028" o:spid="_x0000_s1026" o:spt="202" type="#_x0000_t202" style="position:absolute;left:0pt;margin-top:18pt;height:25.2pt;width:33.65pt;mso-position-horizontal:center;mso-position-horizontal-relative:margin;z-index:251659264;mso-width-relative:page;mso-height-relative:page;" filled="f" stroked="f" coordsize="21600,21600" o:gfxdata="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VkRwdYAAAAFAQAADwAAAAAAAAABACAAAAAiAAAAZHJzL2Rvd25yZXYueG1sUEsB&#10;AhQAFAAAAAgAh07iQGcKoSW+AQAAdAMAAA4AAAAAAAAAAQAgAAAAJQEAAGRycy9lMm9Eb2MueG1s&#10;UEsFBgAAAAAGAAYAWQEAAFUFAAAAAA==&#10;">
              <v:fill on="f" focussize="0,0"/>
              <v:stroke on="f"/>
              <v:imagedata o:title=""/>
              <o:lock v:ext="edit" aspectratio="f"/>
              <v:textbox inset="0mm,0mm,0mm,0mm">
                <w:txbxContent>
                  <w:p w14:paraId="37B2C43F">
                    <w:pPr>
                      <w:pStyle w:val="17"/>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- 2 -</w:t>
                    </w:r>
                    <w:r>
                      <w:rPr>
                        <w:rFonts w:hint="eastAsia" w:ascii="宋体" w:hAnsi="宋体" w:eastAsia="宋体" w:cs="宋体"/>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4A17E">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D69E2">
    <w:pPr>
      <w:pStyle w:val="18"/>
      <w:rPr>
        <w:rFonts w:hint="eastAsia" w:ascii="仿宋" w:hAnsi="仿宋" w:eastAsia="仿宋" w:cs="仿宋"/>
        <w:sz w:val="21"/>
        <w:szCs w:val="21"/>
        <w:lang w:eastAsia="zh-CN"/>
      </w:rPr>
    </w:pPr>
    <w:r>
      <w:rPr>
        <w:rFonts w:hint="eastAsia" w:ascii="仿宋" w:hAnsi="仿宋" w:eastAsia="仿宋" w:cs="仿宋"/>
        <w:sz w:val="21"/>
        <w:szCs w:val="21"/>
        <w:lang w:eastAsia="zh-CN"/>
      </w:rPr>
      <w:t>陕西省档案馆《三秦珍档·水润旱塬》纪录片项目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64D83"/>
    <w:multiLevelType w:val="singleLevel"/>
    <w:tmpl w:val="91A64D83"/>
    <w:lvl w:ilvl="0" w:tentative="0">
      <w:start w:val="1"/>
      <w:numFmt w:val="decimal"/>
      <w:suff w:val="nothing"/>
      <w:lvlText w:val="（%1）"/>
      <w:lvlJc w:val="left"/>
    </w:lvl>
  </w:abstractNum>
  <w:abstractNum w:abstractNumId="1">
    <w:nsid w:val="C111D952"/>
    <w:multiLevelType w:val="singleLevel"/>
    <w:tmpl w:val="C111D952"/>
    <w:lvl w:ilvl="0" w:tentative="0">
      <w:start w:val="1"/>
      <w:numFmt w:val="decimal"/>
      <w:lvlText w:val="%1)"/>
      <w:lvlJc w:val="left"/>
      <w:pPr>
        <w:ind w:left="425" w:hanging="425"/>
      </w:pPr>
      <w:rPr>
        <w:rFonts w:hint="default"/>
      </w:rPr>
    </w:lvl>
  </w:abstractNum>
  <w:abstractNum w:abstractNumId="2">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3">
    <w:nsid w:val="52973A80"/>
    <w:multiLevelType w:val="multilevel"/>
    <w:tmpl w:val="52973A8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268E9"/>
    <w:rsid w:val="001F1BC1"/>
    <w:rsid w:val="003D71B2"/>
    <w:rsid w:val="008C7DF0"/>
    <w:rsid w:val="00B22BA0"/>
    <w:rsid w:val="012248D9"/>
    <w:rsid w:val="01303CA8"/>
    <w:rsid w:val="01531544"/>
    <w:rsid w:val="015E54F5"/>
    <w:rsid w:val="019C7EE9"/>
    <w:rsid w:val="01CB1826"/>
    <w:rsid w:val="01E10D56"/>
    <w:rsid w:val="02644C33"/>
    <w:rsid w:val="02745D37"/>
    <w:rsid w:val="03940684"/>
    <w:rsid w:val="03BA6178"/>
    <w:rsid w:val="0409226D"/>
    <w:rsid w:val="0422003D"/>
    <w:rsid w:val="04250130"/>
    <w:rsid w:val="044D12AC"/>
    <w:rsid w:val="06635D19"/>
    <w:rsid w:val="069E6703"/>
    <w:rsid w:val="06FC2DC7"/>
    <w:rsid w:val="070F385B"/>
    <w:rsid w:val="079B5341"/>
    <w:rsid w:val="07E86EA8"/>
    <w:rsid w:val="091217DC"/>
    <w:rsid w:val="09324EB9"/>
    <w:rsid w:val="098F4E83"/>
    <w:rsid w:val="09A42DF5"/>
    <w:rsid w:val="0A2651FD"/>
    <w:rsid w:val="0A7B25BD"/>
    <w:rsid w:val="0C8317C7"/>
    <w:rsid w:val="0CC2624D"/>
    <w:rsid w:val="0D406BD1"/>
    <w:rsid w:val="0DC0318D"/>
    <w:rsid w:val="0DE916F2"/>
    <w:rsid w:val="0E000932"/>
    <w:rsid w:val="0E827035"/>
    <w:rsid w:val="0ECD5D82"/>
    <w:rsid w:val="0F0445AD"/>
    <w:rsid w:val="0FB30DEC"/>
    <w:rsid w:val="0FD416B1"/>
    <w:rsid w:val="12055423"/>
    <w:rsid w:val="121F6199"/>
    <w:rsid w:val="1374429C"/>
    <w:rsid w:val="14717641"/>
    <w:rsid w:val="15326AC8"/>
    <w:rsid w:val="15793835"/>
    <w:rsid w:val="15F43B07"/>
    <w:rsid w:val="18104644"/>
    <w:rsid w:val="18EA1DB5"/>
    <w:rsid w:val="1BAE5BE0"/>
    <w:rsid w:val="1BB83082"/>
    <w:rsid w:val="1CC70676"/>
    <w:rsid w:val="1D9D7821"/>
    <w:rsid w:val="1DC6621E"/>
    <w:rsid w:val="1DE01E10"/>
    <w:rsid w:val="1F486B10"/>
    <w:rsid w:val="1FF61489"/>
    <w:rsid w:val="203C5B8B"/>
    <w:rsid w:val="20A6400C"/>
    <w:rsid w:val="21405943"/>
    <w:rsid w:val="21A13768"/>
    <w:rsid w:val="23582CDC"/>
    <w:rsid w:val="24A563F4"/>
    <w:rsid w:val="24C72F4A"/>
    <w:rsid w:val="25D82F16"/>
    <w:rsid w:val="26527C90"/>
    <w:rsid w:val="26C24433"/>
    <w:rsid w:val="26C81D86"/>
    <w:rsid w:val="284A096B"/>
    <w:rsid w:val="29893EC1"/>
    <w:rsid w:val="2993596E"/>
    <w:rsid w:val="2A691563"/>
    <w:rsid w:val="2B421366"/>
    <w:rsid w:val="2B5C25EA"/>
    <w:rsid w:val="2BAE22B5"/>
    <w:rsid w:val="2BDB067D"/>
    <w:rsid w:val="2BF230D0"/>
    <w:rsid w:val="2C6375F7"/>
    <w:rsid w:val="2D697505"/>
    <w:rsid w:val="2DD91E4D"/>
    <w:rsid w:val="2E034F6A"/>
    <w:rsid w:val="2E321309"/>
    <w:rsid w:val="2E4B7BFA"/>
    <w:rsid w:val="2EEA072B"/>
    <w:rsid w:val="2FCF61C9"/>
    <w:rsid w:val="2FEF2B1E"/>
    <w:rsid w:val="30FB41B8"/>
    <w:rsid w:val="312A4007"/>
    <w:rsid w:val="31347D36"/>
    <w:rsid w:val="31730FC8"/>
    <w:rsid w:val="3199108F"/>
    <w:rsid w:val="31A409BD"/>
    <w:rsid w:val="324178F3"/>
    <w:rsid w:val="33935A34"/>
    <w:rsid w:val="33EA7A03"/>
    <w:rsid w:val="34966177"/>
    <w:rsid w:val="34B65389"/>
    <w:rsid w:val="350B3891"/>
    <w:rsid w:val="355C4B26"/>
    <w:rsid w:val="358D5D7B"/>
    <w:rsid w:val="35B9552F"/>
    <w:rsid w:val="362B5062"/>
    <w:rsid w:val="365E53B1"/>
    <w:rsid w:val="371A7397"/>
    <w:rsid w:val="37294C63"/>
    <w:rsid w:val="373C2F97"/>
    <w:rsid w:val="38A60B8C"/>
    <w:rsid w:val="38E248B6"/>
    <w:rsid w:val="38F50825"/>
    <w:rsid w:val="39EC667A"/>
    <w:rsid w:val="3A682BB5"/>
    <w:rsid w:val="3A8920AE"/>
    <w:rsid w:val="3ABF0A07"/>
    <w:rsid w:val="3B0759D3"/>
    <w:rsid w:val="3C875F31"/>
    <w:rsid w:val="3CE24BF7"/>
    <w:rsid w:val="3DA02100"/>
    <w:rsid w:val="3DE40D61"/>
    <w:rsid w:val="3E495BEB"/>
    <w:rsid w:val="3EA2653A"/>
    <w:rsid w:val="3F663E5C"/>
    <w:rsid w:val="3F67385A"/>
    <w:rsid w:val="40112738"/>
    <w:rsid w:val="40596A0A"/>
    <w:rsid w:val="41D7266E"/>
    <w:rsid w:val="42050003"/>
    <w:rsid w:val="42AC3CB0"/>
    <w:rsid w:val="42AD1AA0"/>
    <w:rsid w:val="43684060"/>
    <w:rsid w:val="43911867"/>
    <w:rsid w:val="43B34232"/>
    <w:rsid w:val="447D65EE"/>
    <w:rsid w:val="449C4CC6"/>
    <w:rsid w:val="44A96A8A"/>
    <w:rsid w:val="453D626A"/>
    <w:rsid w:val="45531E7A"/>
    <w:rsid w:val="455E7D92"/>
    <w:rsid w:val="45D70B99"/>
    <w:rsid w:val="46516B11"/>
    <w:rsid w:val="46827EEC"/>
    <w:rsid w:val="479B1265"/>
    <w:rsid w:val="47F901CC"/>
    <w:rsid w:val="482024E1"/>
    <w:rsid w:val="48C62290"/>
    <w:rsid w:val="49AB59AC"/>
    <w:rsid w:val="49AC124A"/>
    <w:rsid w:val="4AC100A8"/>
    <w:rsid w:val="4ADA6058"/>
    <w:rsid w:val="4BB60A10"/>
    <w:rsid w:val="4C59083B"/>
    <w:rsid w:val="4DFE3ED9"/>
    <w:rsid w:val="4E310FE9"/>
    <w:rsid w:val="4EA57992"/>
    <w:rsid w:val="4EFD677F"/>
    <w:rsid w:val="4F08615F"/>
    <w:rsid w:val="4F90441B"/>
    <w:rsid w:val="50432BDD"/>
    <w:rsid w:val="518F0789"/>
    <w:rsid w:val="521C1E8B"/>
    <w:rsid w:val="522442C6"/>
    <w:rsid w:val="523268E9"/>
    <w:rsid w:val="52900B90"/>
    <w:rsid w:val="537E1A95"/>
    <w:rsid w:val="53D1116F"/>
    <w:rsid w:val="55086FD1"/>
    <w:rsid w:val="55612BD6"/>
    <w:rsid w:val="57B0377C"/>
    <w:rsid w:val="57DE5E36"/>
    <w:rsid w:val="57F11F7D"/>
    <w:rsid w:val="58F509F1"/>
    <w:rsid w:val="5934151A"/>
    <w:rsid w:val="59643735"/>
    <w:rsid w:val="59AA17DC"/>
    <w:rsid w:val="59E55F00"/>
    <w:rsid w:val="5B18494E"/>
    <w:rsid w:val="5B774016"/>
    <w:rsid w:val="5D917782"/>
    <w:rsid w:val="5DFB3FA8"/>
    <w:rsid w:val="5EB1186A"/>
    <w:rsid w:val="5EEE3123"/>
    <w:rsid w:val="5EF94A8E"/>
    <w:rsid w:val="5FED5189"/>
    <w:rsid w:val="605254B4"/>
    <w:rsid w:val="60CA3378"/>
    <w:rsid w:val="60F156E7"/>
    <w:rsid w:val="61D5060F"/>
    <w:rsid w:val="62DA6690"/>
    <w:rsid w:val="63F57BD5"/>
    <w:rsid w:val="64324483"/>
    <w:rsid w:val="66174A0D"/>
    <w:rsid w:val="6617882A"/>
    <w:rsid w:val="684108A7"/>
    <w:rsid w:val="68C82F1A"/>
    <w:rsid w:val="69357E43"/>
    <w:rsid w:val="69FE274B"/>
    <w:rsid w:val="6A520DCA"/>
    <w:rsid w:val="6A5E0496"/>
    <w:rsid w:val="6AF6660F"/>
    <w:rsid w:val="6BB2560F"/>
    <w:rsid w:val="6C0C556A"/>
    <w:rsid w:val="6D3010AF"/>
    <w:rsid w:val="6D3A3014"/>
    <w:rsid w:val="6D9E12C3"/>
    <w:rsid w:val="6EEA46FD"/>
    <w:rsid w:val="6F240349"/>
    <w:rsid w:val="6F5BDEF0"/>
    <w:rsid w:val="6F8C066A"/>
    <w:rsid w:val="70427A3C"/>
    <w:rsid w:val="71227DD3"/>
    <w:rsid w:val="71CC23C9"/>
    <w:rsid w:val="729A01E8"/>
    <w:rsid w:val="733555E4"/>
    <w:rsid w:val="74880FAF"/>
    <w:rsid w:val="754732AE"/>
    <w:rsid w:val="756B5E6B"/>
    <w:rsid w:val="75BA33B9"/>
    <w:rsid w:val="7610431D"/>
    <w:rsid w:val="77C05FD6"/>
    <w:rsid w:val="77D00208"/>
    <w:rsid w:val="78181C7D"/>
    <w:rsid w:val="78E53630"/>
    <w:rsid w:val="79B42A4F"/>
    <w:rsid w:val="7A255033"/>
    <w:rsid w:val="7A8A376A"/>
    <w:rsid w:val="7AEE2C05"/>
    <w:rsid w:val="7D0A79E7"/>
    <w:rsid w:val="7DDC134B"/>
    <w:rsid w:val="7EA1374D"/>
    <w:rsid w:val="7F4244EF"/>
    <w:rsid w:val="7FD0349B"/>
    <w:rsid w:val="7FDF59C3"/>
    <w:rsid w:val="CBBB2CA7"/>
    <w:rsid w:val="E7FBAA29"/>
    <w:rsid w:val="F51FD94E"/>
    <w:rsid w:val="FBF7D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1"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0"/>
      <w:szCs w:val="44"/>
    </w:rPr>
  </w:style>
  <w:style w:type="paragraph" w:styleId="3">
    <w:name w:val="heading 2"/>
    <w:basedOn w:val="1"/>
    <w:next w:val="1"/>
    <w:link w:val="42"/>
    <w:unhideWhenUsed/>
    <w:qFormat/>
    <w:uiPriority w:val="0"/>
    <w:pPr>
      <w:keepNext/>
      <w:keepLines/>
      <w:spacing w:line="360" w:lineRule="auto"/>
      <w:jc w:val="center"/>
      <w:outlineLvl w:val="1"/>
    </w:pPr>
    <w:rPr>
      <w:rFonts w:ascii="Arial" w:hAnsi="Arial"/>
      <w:b/>
      <w:bCs/>
      <w:sz w:val="28"/>
      <w:szCs w:val="32"/>
    </w:rPr>
  </w:style>
  <w:style w:type="paragraph" w:styleId="4">
    <w:name w:val="heading 3"/>
    <w:basedOn w:val="1"/>
    <w:next w:val="1"/>
    <w:qFormat/>
    <w:uiPriority w:val="0"/>
    <w:pPr>
      <w:keepNext/>
      <w:keepLines/>
      <w:spacing w:line="415" w:lineRule="auto"/>
      <w:outlineLvl w:val="2"/>
    </w:pPr>
    <w:rPr>
      <w:b/>
      <w:bCs/>
      <w:sz w:val="32"/>
      <w:szCs w:val="32"/>
    </w:rPr>
  </w:style>
  <w:style w:type="paragraph" w:styleId="5">
    <w:name w:val="heading 4"/>
    <w:basedOn w:val="1"/>
    <w:next w:val="1"/>
    <w:qFormat/>
    <w:uiPriority w:val="99"/>
    <w:pPr>
      <w:keepNext/>
      <w:keepLines/>
      <w:adjustRightInd w:val="0"/>
      <w:spacing w:before="280" w:after="290" w:line="376" w:lineRule="atLeast"/>
      <w:textAlignment w:val="baseline"/>
      <w:outlineLvl w:val="3"/>
    </w:pPr>
    <w:rPr>
      <w:rFonts w:ascii="Arial"/>
      <w:b/>
      <w:spacing w:val="20"/>
      <w:kern w:val="0"/>
      <w:sz w:val="20"/>
    </w:rPr>
  </w:style>
  <w:style w:type="paragraph" w:styleId="6">
    <w:name w:val="heading 6"/>
    <w:basedOn w:val="1"/>
    <w:next w:val="1"/>
    <w:qFormat/>
    <w:uiPriority w:val="99"/>
    <w:pPr>
      <w:keepNext/>
      <w:keepLines/>
      <w:spacing w:before="240" w:after="64" w:line="320" w:lineRule="auto"/>
      <w:outlineLvl w:val="5"/>
    </w:pPr>
    <w:rPr>
      <w:rFonts w:ascii="Calibri Light" w:hAnsi="Calibri Light"/>
      <w:b/>
      <w:bCs/>
      <w:sz w:val="24"/>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spacing w:line="300" w:lineRule="auto"/>
      <w:ind w:firstLine="420" w:firstLineChars="200"/>
    </w:pPr>
  </w:style>
  <w:style w:type="paragraph" w:styleId="8">
    <w:name w:val="toc 4"/>
    <w:basedOn w:val="1"/>
    <w:next w:val="1"/>
    <w:unhideWhenUsed/>
    <w:qFormat/>
    <w:uiPriority w:val="31"/>
    <w:pPr>
      <w:ind w:left="1275"/>
      <w:jc w:val="both"/>
    </w:pPr>
    <w:rPr>
      <w:rFonts w:ascii="Calibri" w:hAnsi="Calibri" w:eastAsia="宋体" w:cs="Times New Roman"/>
      <w:sz w:val="21"/>
      <w:szCs w:val="21"/>
      <w:lang w:val="en-US" w:eastAsia="zh-CN" w:bidi="ar-SA"/>
    </w:rPr>
  </w:style>
  <w:style w:type="paragraph" w:styleId="9">
    <w:name w:val="annotation text"/>
    <w:basedOn w:val="1"/>
    <w:qFormat/>
    <w:uiPriority w:val="0"/>
    <w:pPr>
      <w:jc w:val="left"/>
    </w:pPr>
  </w:style>
  <w:style w:type="paragraph" w:styleId="10">
    <w:name w:val="Body Text"/>
    <w:basedOn w:val="1"/>
    <w:next w:val="1"/>
    <w:qFormat/>
    <w:uiPriority w:val="0"/>
    <w:rPr>
      <w:color w:val="993300"/>
      <w:sz w:val="24"/>
    </w:rPr>
  </w:style>
  <w:style w:type="paragraph" w:styleId="11">
    <w:name w:val="Body Text Indent"/>
    <w:basedOn w:val="1"/>
    <w:next w:val="1"/>
    <w:qFormat/>
    <w:uiPriority w:val="0"/>
    <w:pPr>
      <w:tabs>
        <w:tab w:val="left" w:pos="8640"/>
      </w:tabs>
      <w:ind w:firstLine="420"/>
    </w:pPr>
    <w:rPr>
      <w:rFonts w:ascii="楷体_GB2312" w:eastAsia="楷体_GB2312"/>
      <w:color w:val="000000"/>
      <w:sz w:val="28"/>
    </w:rPr>
  </w:style>
  <w:style w:type="paragraph" w:styleId="12">
    <w:name w:val="Block Text"/>
    <w:basedOn w:val="1"/>
    <w:qFormat/>
    <w:uiPriority w:val="0"/>
    <w:pPr>
      <w:adjustRightInd w:val="0"/>
      <w:ind w:left="420" w:right="33"/>
      <w:jc w:val="left"/>
      <w:textAlignment w:val="baseline"/>
    </w:pPr>
    <w:rPr>
      <w:kern w:val="0"/>
      <w:sz w:val="24"/>
    </w:rPr>
  </w:style>
  <w:style w:type="paragraph" w:styleId="13">
    <w:name w:val="toc 5"/>
    <w:basedOn w:val="1"/>
    <w:next w:val="1"/>
    <w:qFormat/>
    <w:uiPriority w:val="0"/>
    <w:pPr>
      <w:wordWrap w:val="0"/>
      <w:ind w:left="1275"/>
      <w:jc w:val="both"/>
    </w:pPr>
    <w:rPr>
      <w:rFonts w:ascii="Calibri" w:hAnsi="Calibri" w:eastAsia="宋体" w:cs="Times New Roman"/>
      <w:lang w:val="en-US" w:eastAsia="zh-CN" w:bidi="ar-SA"/>
    </w:rPr>
  </w:style>
  <w:style w:type="paragraph" w:styleId="14">
    <w:name w:val="Plain Text"/>
    <w:basedOn w:val="1"/>
    <w:next w:val="1"/>
    <w:qFormat/>
    <w:uiPriority w:val="99"/>
    <w:rPr>
      <w:rFonts w:ascii="宋体" w:hAnsi="Courier New" w:cs="Courier New"/>
      <w:szCs w:val="21"/>
    </w:rPr>
  </w:style>
  <w:style w:type="paragraph" w:styleId="15">
    <w:name w:val="toc 8"/>
    <w:basedOn w:val="1"/>
    <w:next w:val="1"/>
    <w:qFormat/>
    <w:uiPriority w:val="39"/>
    <w:pPr>
      <w:ind w:left="2940" w:leftChars="1400"/>
    </w:pPr>
  </w:style>
  <w:style w:type="paragraph" w:styleId="16">
    <w:name w:val="Date"/>
    <w:basedOn w:val="1"/>
    <w:next w:val="1"/>
    <w:unhideWhenUsed/>
    <w:qFormat/>
    <w:uiPriority w:val="99"/>
    <w:rPr>
      <w:rFonts w:hint="eastAsia"/>
      <w:sz w:val="24"/>
    </w:rPr>
  </w:style>
  <w:style w:type="paragraph" w:styleId="17">
    <w:name w:val="footer"/>
    <w:basedOn w:val="1"/>
    <w:next w:val="10"/>
    <w:qFormat/>
    <w:uiPriority w:val="0"/>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qFormat/>
    <w:uiPriority w:val="39"/>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qFormat/>
    <w:uiPriority w:val="39"/>
    <w:pPr>
      <w:ind w:left="420" w:leftChars="200"/>
    </w:pPr>
  </w:style>
  <w:style w:type="paragraph" w:styleId="22">
    <w:name w:val="toc 9"/>
    <w:basedOn w:val="1"/>
    <w:next w:val="1"/>
    <w:qFormat/>
    <w:uiPriority w:val="0"/>
    <w:pPr>
      <w:wordWrap w:val="0"/>
      <w:ind w:left="2975"/>
    </w:pPr>
    <w:rPr>
      <w:rFonts w:ascii="Times New Roman" w:hAnsi="Times New Roman"/>
    </w:rPr>
  </w:style>
  <w:style w:type="paragraph" w:styleId="23">
    <w:name w:val="Normal (Web)"/>
    <w:basedOn w:val="1"/>
    <w:qFormat/>
    <w:uiPriority w:val="0"/>
    <w:pPr>
      <w:widowControl/>
      <w:spacing w:beforeAutospacing="1" w:afterAutospacing="1" w:line="240" w:lineRule="auto"/>
      <w:jc w:val="left"/>
    </w:pPr>
    <w:rPr>
      <w:rFonts w:ascii="宋体" w:hAnsi="宋体" w:cs="宋体"/>
      <w:kern w:val="0"/>
      <w:sz w:val="24"/>
    </w:rPr>
  </w:style>
  <w:style w:type="paragraph" w:styleId="24">
    <w:name w:val="Body Text First Indent"/>
    <w:basedOn w:val="10"/>
    <w:qFormat/>
    <w:uiPriority w:val="99"/>
    <w:pPr>
      <w:ind w:firstLine="420" w:firstLineChars="100"/>
    </w:pPr>
  </w:style>
  <w:style w:type="paragraph" w:styleId="25">
    <w:name w:val="Body Text First Indent 2"/>
    <w:basedOn w:val="11"/>
    <w:next w:val="1"/>
    <w:qFormat/>
    <w:uiPriority w:val="0"/>
    <w:pPr>
      <w:ind w:firstLine="20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paragraph" w:customStyle="1" w:styleId="3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2">
    <w:name w:val="列出段落1"/>
    <w:basedOn w:val="1"/>
    <w:qFormat/>
    <w:uiPriority w:val="34"/>
    <w:pPr>
      <w:ind w:firstLine="420" w:firstLineChars="200"/>
    </w:pPr>
    <w:rPr>
      <w:rFonts w:ascii="Calibri" w:hAnsi="Calibri"/>
      <w:szCs w:val="22"/>
    </w:rPr>
  </w:style>
  <w:style w:type="paragraph" w:customStyle="1" w:styleId="33">
    <w:name w:val="Table Text"/>
    <w:basedOn w:val="1"/>
    <w:semiHidden/>
    <w:qFormat/>
    <w:uiPriority w:val="0"/>
    <w:rPr>
      <w:rFonts w:ascii="仿宋" w:hAnsi="仿宋" w:eastAsia="仿宋" w:cs="仿宋"/>
      <w:sz w:val="24"/>
      <w:szCs w:val="24"/>
      <w:lang w:val="en-US" w:eastAsia="en-US" w:bidi="ar-SA"/>
    </w:rPr>
  </w:style>
  <w:style w:type="table" w:customStyle="1" w:styleId="34">
    <w:name w:val="Table Normal"/>
    <w:unhideWhenUsed/>
    <w:qFormat/>
    <w:uiPriority w:val="0"/>
    <w:tblPr>
      <w:tblCellMar>
        <w:top w:w="0" w:type="dxa"/>
        <w:left w:w="0" w:type="dxa"/>
        <w:bottom w:w="0" w:type="dxa"/>
        <w:right w:w="0" w:type="dxa"/>
      </w:tblCellMar>
    </w:tblPr>
  </w:style>
  <w:style w:type="paragraph" w:customStyle="1" w:styleId="35">
    <w:name w:val="正文自定"/>
    <w:basedOn w:val="1"/>
    <w:qFormat/>
    <w:uiPriority w:val="0"/>
    <w:pPr>
      <w:tabs>
        <w:tab w:val="left" w:pos="7665"/>
      </w:tabs>
      <w:spacing w:line="360" w:lineRule="auto"/>
      <w:ind w:firstLine="480" w:firstLineChars="200"/>
    </w:pPr>
    <w:rPr>
      <w:rFonts w:ascii="宋体" w:hAnsi="宋体"/>
      <w:sz w:val="24"/>
    </w:rPr>
  </w:style>
  <w:style w:type="paragraph" w:customStyle="1" w:styleId="36">
    <w:name w:val="列出段落11"/>
    <w:basedOn w:val="1"/>
    <w:qFormat/>
    <w:uiPriority w:val="34"/>
    <w:pPr>
      <w:ind w:firstLine="420" w:firstLineChars="200"/>
    </w:pPr>
    <w:rPr>
      <w:rFonts w:ascii="Calibri" w:hAnsi="Calibri"/>
      <w:szCs w:val="22"/>
    </w:rPr>
  </w:style>
  <w:style w:type="paragraph" w:customStyle="1" w:styleId="37">
    <w:name w:val="其他"/>
    <w:basedOn w:val="1"/>
    <w:qFormat/>
    <w:uiPriority w:val="0"/>
    <w:pPr>
      <w:shd w:val="clear" w:color="auto" w:fill="FFFFFF"/>
      <w:spacing w:line="360" w:lineRule="auto"/>
    </w:pPr>
    <w:rPr>
      <w:rFonts w:ascii="MingLiU" w:hAnsi="MingLiU" w:eastAsia="MingLiU" w:cs="MingLiU"/>
      <w:sz w:val="26"/>
      <w:szCs w:val="26"/>
      <w:lang w:val="zh-CN" w:eastAsia="zh-CN" w:bidi="zh-CN"/>
    </w:rPr>
  </w:style>
  <w:style w:type="paragraph" w:customStyle="1" w:styleId="38">
    <w:name w:val="Body text|1"/>
    <w:basedOn w:val="1"/>
    <w:qFormat/>
    <w:uiPriority w:val="0"/>
    <w:pPr>
      <w:widowControl w:val="0"/>
      <w:shd w:val="clear" w:color="auto" w:fill="auto"/>
      <w:spacing w:line="439" w:lineRule="auto"/>
      <w:ind w:firstLine="400"/>
    </w:pPr>
    <w:rPr>
      <w:rFonts w:ascii="宋体" w:hAnsi="宋体" w:eastAsia="宋体" w:cs="宋体"/>
      <w:sz w:val="22"/>
      <w:szCs w:val="22"/>
      <w:u w:val="none"/>
      <w:shd w:val="clear" w:color="auto" w:fill="auto"/>
      <w:lang w:val="zh-TW" w:eastAsia="zh-TW" w:bidi="zh-TW"/>
    </w:rPr>
  </w:style>
  <w:style w:type="paragraph" w:customStyle="1" w:styleId="39">
    <w:name w:val="null3"/>
    <w:hidden/>
    <w:qFormat/>
    <w:uiPriority w:val="0"/>
    <w:rPr>
      <w:rFonts w:hint="eastAsia" w:asciiTheme="minorHAnsi" w:hAnsiTheme="minorHAnsi" w:eastAsiaTheme="minorEastAsia" w:cstheme="minorBidi"/>
      <w:lang w:val="en-US" w:eastAsia="zh-Hans"/>
    </w:rPr>
  </w:style>
  <w:style w:type="paragraph" w:customStyle="1" w:styleId="40">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41">
    <w:name w:val="Default"/>
    <w:qFormat/>
    <w:uiPriority w:val="99"/>
    <w:pPr>
      <w:widowControl w:val="0"/>
      <w:autoSpaceDE w:val="0"/>
      <w:autoSpaceDN w:val="0"/>
      <w:adjustRightInd w:val="0"/>
      <w:spacing w:after="200" w:line="360" w:lineRule="auto"/>
    </w:pPr>
    <w:rPr>
      <w:rFonts w:ascii="黑体" w:hAnsi="Calibri" w:eastAsia="黑体" w:cs="黑体"/>
      <w:color w:val="000000"/>
      <w:sz w:val="24"/>
      <w:szCs w:val="24"/>
      <w:lang w:val="en-US" w:eastAsia="en-US" w:bidi="ar-SA"/>
    </w:rPr>
  </w:style>
  <w:style w:type="character" w:customStyle="1" w:styleId="42">
    <w:name w:val="标题 2 Char"/>
    <w:link w:val="3"/>
    <w:qFormat/>
    <w:uiPriority w:val="0"/>
    <w:rPr>
      <w:rFonts w:ascii="Arial" w:hAnsi="Arial"/>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2882</Words>
  <Characters>3242</Characters>
  <Lines>0</Lines>
  <Paragraphs>0</Paragraphs>
  <TotalTime>38</TotalTime>
  <ScaleCrop>false</ScaleCrop>
  <LinksUpToDate>false</LinksUpToDate>
  <CharactersWithSpaces>3368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2024-12-20T09:49:00Z</dcterms:created>
  <dc:creator>To  encounter</dc:creator>
  <cp:lastModifiedBy>王珊</cp:lastModifiedBy>
  <dcterms:modified xsi:type="dcterms:W3CDTF">2025-05-29T09:13:26Z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74D40889B784494789F65E3BF304649F_13</vt:lpwstr>
  </property>
  <property fmtid="{D5CDD505-2E9C-101B-9397-08002B2CF9AE}" pid="4" name="KSOTemplateDocerSaveRecord">
    <vt:lpwstr>eyJoZGlkIjoiNzNmNDZlOGE4YzBiODhkNTY3NTdiYjNiMTljZmEwZTciLCJ1c2VySWQiOiIxMTk3NzI3MDgzIn0=</vt:lpwstr>
  </property>
</Properties>
</file>