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B6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center"/>
        <w:rPr>
          <w:rStyle w:val="7"/>
          <w:rFonts w:hint="eastAsia" w:ascii="微软雅黑" w:hAnsi="微软雅黑" w:eastAsia="微软雅黑" w:cs="微软雅黑"/>
          <w:b/>
          <w:bCs/>
          <w:i w:val="0"/>
          <w:iCs w:val="0"/>
          <w:caps w:val="0"/>
          <w:color w:val="333333"/>
          <w:spacing w:val="0"/>
          <w:sz w:val="28"/>
          <w:szCs w:val="28"/>
          <w:bdr w:val="none" w:color="auto" w:sz="0" w:space="0"/>
          <w:shd w:val="clear" w:fill="FFFFFF"/>
        </w:rPr>
      </w:pPr>
      <w:r>
        <w:rPr>
          <w:rStyle w:val="7"/>
          <w:rFonts w:hint="eastAsia" w:ascii="微软雅黑" w:hAnsi="微软雅黑" w:eastAsia="微软雅黑" w:cs="微软雅黑"/>
          <w:b/>
          <w:bCs/>
          <w:i w:val="0"/>
          <w:iCs w:val="0"/>
          <w:caps w:val="0"/>
          <w:color w:val="333333"/>
          <w:spacing w:val="0"/>
          <w:sz w:val="28"/>
          <w:szCs w:val="28"/>
          <w:bdr w:val="none" w:color="auto" w:sz="0" w:space="0"/>
          <w:shd w:val="clear" w:fill="FFFFFF"/>
        </w:rPr>
        <w:t>西安市高陵区残疾人联合会西安市高陵区2025年残疾人家庭医生服务项目竞争性磋商公告</w:t>
      </w:r>
    </w:p>
    <w:p w14:paraId="04F70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w:t>
      </w:r>
      <w:bookmarkStart w:id="0" w:name="_GoBack"/>
      <w:bookmarkEnd w:id="0"/>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、项目基本情况</w:t>
      </w:r>
    </w:p>
    <w:p w14:paraId="51A5FF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项目编号：XAMX-2025-030</w:t>
      </w:r>
    </w:p>
    <w:p w14:paraId="753C2C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项目名称：西安市高陵区2025年残疾人家庭医生服务项目</w:t>
      </w:r>
    </w:p>
    <w:p w14:paraId="4ED45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DF0BB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预算金额：340,000.00元</w:t>
      </w:r>
    </w:p>
    <w:p w14:paraId="658FA5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458DF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0A39B6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采购包1：合同签订后一年内</w:t>
      </w:r>
    </w:p>
    <w:p w14:paraId="1F77C8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0247E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715DC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61D07E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17C3A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0854A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合同包1(采购包1)落实政府采购政策需满足的资格要求如下:</w:t>
      </w:r>
    </w:p>
    <w:p w14:paraId="24CF1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3C45F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C867C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合同包1(采购包1)特定资格要求如下:</w:t>
      </w:r>
    </w:p>
    <w:p w14:paraId="19B056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0153A2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(2)法定代表人授权委托书（附法定代表人、被授权人身份证复印件并加盖公章）。（法定代表人参加投标只须提供法定代表人身份证明书及身份证复印件并加盖公章）</w:t>
      </w:r>
    </w:p>
    <w:p w14:paraId="1655C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6FEFE6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首次磋商响应文件递交截止时间前1年内已缴纳至少一个月的纳税证明或完税证明（除印花税外任意税种），纳税证明或完税证明上应有代收机构或税务机关的公章或业务专用章。依法免税的供应商应提供相关文件证明；</w:t>
      </w:r>
    </w:p>
    <w:p w14:paraId="09E87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(5)提供首次磋商响应文件递交截止时间前1年内任意时段的社会保障资金缴存单据或社保机构开具的社会保险参保缴费情况证明，依法不需要缴纳社会保障资金的单位应提供相关证明材料;</w:t>
      </w:r>
    </w:p>
    <w:p w14:paraId="1056DC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(6)供参加政府采购活动前三年内在经营活动中没有重大违法记录的书面声明；</w:t>
      </w:r>
    </w:p>
    <w:p w14:paraId="495278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(7)供应商在本项目磋商中，不存在与其它供应商负责人为同一人，有控股、管理等关联关系（提供承诺书）；</w:t>
      </w:r>
    </w:p>
    <w:p w14:paraId="25009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24263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(9)不接受联合体招标</w:t>
      </w:r>
    </w:p>
    <w:p w14:paraId="5B78E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73FA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2025年06月16日 至 2025年06月20日 ，每天上午 00:00:00 至 12:00:00 ，下午 12:00:00 至 23:59:59 （北京时间）</w:t>
      </w:r>
    </w:p>
    <w:p w14:paraId="1B7E2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486E1D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321678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A9A7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7E9426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2025年06月27日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C4519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068BA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748D50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2025年06月27日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2BEC9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2635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E5C8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1042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0E25FE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F64A0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03DA9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0F7BD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1A431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7F4E3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C525C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FD431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13E49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7BF8C7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47839D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56A6A6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（六）特别注意：</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为方便采购人备案留存工作，成交供应商需向采购代理机构提交纸质版及电子版（电子版包含word版响应文件，签章后的pdf响应文件）响应文件一正两副，成交供应商应保持响应文件纸质版内容、电子版内容与系统上传内容完全一致，否则将承担一切法律责任。</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（七）落实的政府采购政策：</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（8）《关于运用政府采购政策支持乡村产业振兴的通知》-（财库〔2021〕19号）；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（10）陕西省财政厅关于印发《陕西省中小企业政府采购信用融资办法》-（陕财办采〔2018〕23号）；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（11）《陕西省财政厅关于加快推进我省中小企业政府采购信用融资工作的通知》-（陕财办采〔2020〕15号）；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（12）《关于进一步加强政府绿色采购有关问题的通知》-（陕财办采〔2021〕29号）；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（13）《陕西省财政厅、中国人民银行西安分行关于深入推进政府采购信用融资业务的通知》-（陕财办采〔2023〕5号）；</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（14）其他需要落实的政府采购政策。若享受以上政策优惠的企业，提供相应声明函或品目范围内产品有效认证证书。</w:t>
      </w:r>
    </w:p>
    <w:p w14:paraId="1406D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417C8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4060A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西安市高陵区残疾人联合会</w:t>
      </w:r>
    </w:p>
    <w:p w14:paraId="42899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西安市高陵区奥运华府东北1门东80米</w:t>
      </w:r>
    </w:p>
    <w:p w14:paraId="1C6C36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15829019340</w:t>
      </w:r>
    </w:p>
    <w:p w14:paraId="51AF0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CA2A0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西安铭信项目管理有限公司</w:t>
      </w:r>
    </w:p>
    <w:p w14:paraId="1C3816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陕西省西安市高陵区陕西省西安市高陵区鹿苑街道龙发时代广场601室</w:t>
      </w:r>
    </w:p>
    <w:p w14:paraId="40AD1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15291696919</w:t>
      </w:r>
    </w:p>
    <w:p w14:paraId="29B9F2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EFAB0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王工</w:t>
      </w:r>
    </w:p>
    <w:p w14:paraId="55FCB0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15291696919</w:t>
      </w:r>
    </w:p>
    <w:p w14:paraId="6B76D5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5676C"/>
    <w:rsid w:val="23D5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2025-06-13T10:24:00Z</dcterms:created>
  <dc:creator>   W。追梦人</dc:creator>
  <cp:lastModifiedBy>   W。追梦人</cp:lastModifiedBy>
  <dcterms:modified xsi:type="dcterms:W3CDTF">2025-06-13T10:25:12Z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8DB69FD1889D4C3CBC286A6DDD887A89_11</vt:lpwstr>
  </property>
  <property fmtid="{D5CDD505-2E9C-101B-9397-08002B2CF9AE}" pid="4" name="KSOTemplateDocerSaveRecord">
    <vt:lpwstr>eyJoZGlkIjoiYjRhYjFlMWY3NmI1NDM2MDk5NmQ3ZDU5OTEzZjg0YTQiLCJ1c2VySWQiOiIyMzE2NTY3MjAifQ==</vt:lpwstr>
  </property>
</Properties>
</file>