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49F30">
      <w:pPr>
        <w:pStyle w:val="4"/>
        <w:tabs>
          <w:tab w:val="left" w:pos="588"/>
        </w:tabs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商务、合同条款偏离表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835"/>
        <w:gridCol w:w="1701"/>
        <w:gridCol w:w="1417"/>
        <w:gridCol w:w="2195"/>
      </w:tblGrid>
      <w:tr w14:paraId="17E59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780" w:type="dxa"/>
          </w:tcPr>
          <w:p w14:paraId="3038799F">
            <w:pPr>
              <w:pStyle w:val="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35" w:type="dxa"/>
          </w:tcPr>
          <w:p w14:paraId="339BF933">
            <w:pPr>
              <w:pStyle w:val="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文件商务、合同条款</w:t>
            </w:r>
          </w:p>
        </w:tc>
        <w:tc>
          <w:tcPr>
            <w:tcW w:w="1701" w:type="dxa"/>
          </w:tcPr>
          <w:p w14:paraId="5421B216">
            <w:pPr>
              <w:pStyle w:val="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完全响应</w:t>
            </w:r>
          </w:p>
        </w:tc>
        <w:tc>
          <w:tcPr>
            <w:tcW w:w="1417" w:type="dxa"/>
          </w:tcPr>
          <w:p w14:paraId="1164C076">
            <w:pPr>
              <w:pStyle w:val="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有偏离</w:t>
            </w:r>
          </w:p>
        </w:tc>
        <w:tc>
          <w:tcPr>
            <w:tcW w:w="2195" w:type="dxa"/>
          </w:tcPr>
          <w:p w14:paraId="719E2937">
            <w:pPr>
              <w:pStyle w:val="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偏离简述</w:t>
            </w:r>
          </w:p>
        </w:tc>
      </w:tr>
      <w:tr w14:paraId="75799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01CD6E76">
            <w:pPr>
              <w:pStyle w:val="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5DCEA19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1701" w:type="dxa"/>
          </w:tcPr>
          <w:p w14:paraId="0774CE90">
            <w:pPr>
              <w:pStyle w:val="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33A096">
            <w:pPr>
              <w:pStyle w:val="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4A23C1C3">
            <w:pPr>
              <w:pStyle w:val="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87B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6DE97C84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DB4A02E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服务地点</w:t>
            </w:r>
          </w:p>
        </w:tc>
        <w:tc>
          <w:tcPr>
            <w:tcW w:w="1701" w:type="dxa"/>
          </w:tcPr>
          <w:p w14:paraId="4E84E613">
            <w:pPr>
              <w:pStyle w:val="5"/>
              <w:ind w:left="1080" w:leftChars="257" w:hanging="54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23FC9E">
            <w:pPr>
              <w:pStyle w:val="5"/>
              <w:ind w:left="1080" w:leftChars="257" w:hanging="54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404FD80A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F153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5AC4CB7A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109D4A0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付款方式</w:t>
            </w:r>
          </w:p>
        </w:tc>
        <w:tc>
          <w:tcPr>
            <w:tcW w:w="1701" w:type="dxa"/>
          </w:tcPr>
          <w:p w14:paraId="1BAC43AF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FA0FA0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1FE92EB0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F622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214CECD9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A9411FE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响应文件有效期</w:t>
            </w:r>
          </w:p>
        </w:tc>
        <w:tc>
          <w:tcPr>
            <w:tcW w:w="1701" w:type="dxa"/>
          </w:tcPr>
          <w:p w14:paraId="72C30A02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A00098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E7D9AA5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2E8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3BE8B499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6061411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701" w:type="dxa"/>
          </w:tcPr>
          <w:p w14:paraId="33A88C61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1438E7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5898C068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3CED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7346D2CF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7E0742D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1" w:type="dxa"/>
          </w:tcPr>
          <w:p w14:paraId="2CB34B1E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D9EB06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E599B3E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1431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12F5387E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0AC290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1" w:type="dxa"/>
          </w:tcPr>
          <w:p w14:paraId="701985AF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7F1840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2E5D1D57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614C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64873F0F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7F484A2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64C77E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C2EBC0B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3245CF13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9E4E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5BA02FE9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D7B69C1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B8A129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485D03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2E934B5F">
            <w:pPr>
              <w:pStyle w:val="5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05B2CBFC">
      <w:pPr>
        <w:pStyle w:val="5"/>
        <w:ind w:left="1080" w:leftChars="257" w:hanging="540"/>
        <w:rPr>
          <w:rFonts w:hint="eastAsia" w:ascii="仿宋" w:hAnsi="仿宋" w:eastAsia="仿宋" w:cs="仿宋"/>
          <w:sz w:val="24"/>
          <w:szCs w:val="24"/>
        </w:rPr>
      </w:pPr>
    </w:p>
    <w:p w14:paraId="68F83C44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</w:p>
    <w:p w14:paraId="0B1F1B7E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</w:t>
      </w:r>
      <w:r>
        <w:rPr>
          <w:rFonts w:hint="eastAsia" w:ascii="仿宋" w:hAnsi="仿宋" w:eastAsia="仿宋" w:cs="仿宋"/>
          <w:sz w:val="24"/>
          <w:lang w:eastAsia="zh-CN"/>
        </w:rPr>
        <w:t>委托代理人</w:t>
      </w:r>
      <w:r>
        <w:rPr>
          <w:rFonts w:hint="eastAsia" w:ascii="仿宋" w:hAnsi="仿宋" w:eastAsia="仿宋" w:cs="仿宋"/>
          <w:sz w:val="24"/>
        </w:rPr>
        <w:t>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</w:p>
    <w:p w14:paraId="3E3CA6A2">
      <w:pPr>
        <w:spacing w:line="360" w:lineRule="auto"/>
        <w:ind w:firstLine="1920" w:firstLineChars="800"/>
        <w:rPr>
          <w:rFonts w:hint="eastAsia"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</w:t>
      </w:r>
    </w:p>
    <w:p w14:paraId="39B27A10">
      <w:pPr>
        <w:snapToGrid w:val="0"/>
        <w:spacing w:after="120" w:afterLines="50"/>
        <w:ind w:left="850" w:leftChars="203" w:hanging="424" w:hangingChars="20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1"/>
        </w:rPr>
        <w:t>注：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1. 对完全响应的，在下表相应列中标注“○”。对有偏离的条目在本表相应列中标注“正偏离”或“负偏离”，并在“偏离简述”栏中加以说明。</w:t>
      </w:r>
    </w:p>
    <w:p w14:paraId="21AB367F">
      <w:pPr>
        <w:snapToGrid w:val="0"/>
        <w:spacing w:after="120" w:afterLines="50"/>
        <w:ind w:left="842" w:leftChars="40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 正偏离是指应答的条件高于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文件要求，负偏离是指应答的条件低于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文件要求，正偏离项目不作扣分处理。</w:t>
      </w:r>
    </w:p>
    <w:p w14:paraId="2DA096AD">
      <w:pPr>
        <w:snapToGrid w:val="0"/>
        <w:spacing w:after="120" w:afterLines="50"/>
        <w:ind w:left="842" w:leftChars="40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 供应商须完整填写响应表。如果未完整填写本表的各项内容则视作供应商已经对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文件相关要求和内容完全理解并同意，其报价为在此基础上的完全价格。</w:t>
      </w:r>
    </w:p>
    <w:p w14:paraId="1E2AC2C1">
      <w:pPr>
        <w:snapToGrid w:val="0"/>
        <w:spacing w:after="120" w:afterLines="50"/>
        <w:ind w:left="842" w:leftChars="40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 在采购人与成交供应商签订合同时，如成交供应商未在响应文件“响应表”中列出偏离说明，无论已发生或即将发生任何情形，均视为完全符合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文件要求，并写入合同。若成交供应商在合同签订前，以上述事项为借口而不履行合同签订手续及执行合同，则视作拒绝与采购人签订合同。</w:t>
      </w:r>
    </w:p>
    <w:p w14:paraId="039FEE96">
      <w:pPr>
        <w:pStyle w:val="5"/>
        <w:ind w:left="1080" w:leftChars="257" w:hanging="540"/>
        <w:rPr>
          <w:rFonts w:hint="eastAsia" w:ascii="仿宋" w:hAnsi="仿宋" w:eastAsia="仿宋" w:cs="仿宋"/>
          <w:sz w:val="24"/>
          <w:szCs w:val="24"/>
        </w:rPr>
      </w:pPr>
    </w:p>
    <w:p w14:paraId="1AEDE546">
      <w:pPr>
        <w:rPr>
          <w:rFonts w:hint="eastAsia" w:ascii="仿宋" w:hAnsi="仿宋" w:eastAsia="仿宋" w:cs="仿宋"/>
          <w:b/>
          <w:bCs/>
          <w:sz w:val="28"/>
          <w:szCs w:val="36"/>
        </w:rPr>
      </w:pPr>
      <w:bookmarkStart w:id="0" w:name="_Toc416103825"/>
      <w:bookmarkStart w:id="1" w:name="_Toc410631184"/>
      <w:bookmarkStart w:id="2" w:name="_Toc7005136"/>
      <w:bookmarkStart w:id="3" w:name="_Toc414445775"/>
      <w:r>
        <w:rPr>
          <w:rFonts w:hint="eastAsia" w:ascii="仿宋" w:hAnsi="仿宋" w:eastAsia="仿宋" w:cs="仿宋"/>
          <w:b/>
          <w:bCs/>
          <w:sz w:val="28"/>
          <w:szCs w:val="36"/>
        </w:rPr>
        <w:br w:type="page"/>
      </w:r>
    </w:p>
    <w:p w14:paraId="33E5D227">
      <w:pPr>
        <w:pStyle w:val="4"/>
        <w:tabs>
          <w:tab w:val="left" w:pos="588"/>
        </w:tabs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技术偏离表</w:t>
      </w:r>
      <w:bookmarkEnd w:id="0"/>
      <w:bookmarkEnd w:id="1"/>
      <w:bookmarkEnd w:id="2"/>
      <w:bookmarkEnd w:id="3"/>
    </w:p>
    <w:p w14:paraId="7CCAE066">
      <w:pPr>
        <w:rPr>
          <w:rFonts w:hint="eastAsia"/>
        </w:rPr>
      </w:pPr>
    </w:p>
    <w:tbl>
      <w:tblPr>
        <w:tblStyle w:val="6"/>
        <w:tblW w:w="906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32"/>
        <w:gridCol w:w="1236"/>
        <w:gridCol w:w="1236"/>
        <w:gridCol w:w="2394"/>
      </w:tblGrid>
      <w:tr w14:paraId="382A7D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0273F12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序号</w:t>
            </w:r>
          </w:p>
        </w:tc>
        <w:tc>
          <w:tcPr>
            <w:tcW w:w="1932" w:type="dxa"/>
          </w:tcPr>
          <w:p w14:paraId="1860FA4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技术条款要求</w:t>
            </w:r>
          </w:p>
        </w:tc>
        <w:tc>
          <w:tcPr>
            <w:tcW w:w="1236" w:type="dxa"/>
          </w:tcPr>
          <w:p w14:paraId="6F6F983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完全响应</w:t>
            </w:r>
          </w:p>
        </w:tc>
        <w:tc>
          <w:tcPr>
            <w:tcW w:w="1236" w:type="dxa"/>
          </w:tcPr>
          <w:p w14:paraId="21B10D2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有偏离</w:t>
            </w:r>
          </w:p>
        </w:tc>
        <w:tc>
          <w:tcPr>
            <w:tcW w:w="2394" w:type="dxa"/>
          </w:tcPr>
          <w:p w14:paraId="29BA961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偏离简述</w:t>
            </w:r>
          </w:p>
        </w:tc>
      </w:tr>
      <w:tr w14:paraId="40E74B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2C63644B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3ED9E7BC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5C01BB2D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73A4EF43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3E5FF3B1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90358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1900770C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3B9846E7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7CA66645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0A2EF67F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23778240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A6298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139E4A76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30B1C3FD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141E3EC6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1DFA2504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1EE2E163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BBE4A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1E35A2AD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1118DB0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070B5DFD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14126F65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2FF79DA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3DD5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2A513461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28853CFB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7ADF6A5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78A3969B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177E380C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B4F48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3C29D375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0F374322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36" w:type="dxa"/>
          </w:tcPr>
          <w:p w14:paraId="19FB098B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01FEBB3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0F9038E4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15A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3A2FBBD1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52D80EED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36" w:type="dxa"/>
          </w:tcPr>
          <w:p w14:paraId="48A57607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281F73D8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3DD9E5E7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4B25C606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</w:p>
    <w:p w14:paraId="72EB5B25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</w:p>
    <w:p w14:paraId="3BB53276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</w:t>
      </w:r>
      <w:r>
        <w:rPr>
          <w:rFonts w:hint="eastAsia" w:ascii="仿宋" w:hAnsi="仿宋" w:eastAsia="仿宋" w:cs="仿宋"/>
          <w:sz w:val="24"/>
          <w:lang w:eastAsia="zh-CN"/>
        </w:rPr>
        <w:t>委托代理人</w:t>
      </w:r>
      <w:r>
        <w:rPr>
          <w:rFonts w:hint="eastAsia" w:ascii="仿宋" w:hAnsi="仿宋" w:eastAsia="仿宋" w:cs="仿宋"/>
          <w:sz w:val="24"/>
        </w:rPr>
        <w:t>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</w:p>
    <w:p w14:paraId="0D5009B2">
      <w:pPr>
        <w:spacing w:line="360" w:lineRule="auto"/>
        <w:ind w:firstLine="1920" w:firstLineChars="800"/>
        <w:rPr>
          <w:rFonts w:hint="eastAsia"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</w:t>
      </w:r>
    </w:p>
    <w:p w14:paraId="13C8AC5E">
      <w:pPr>
        <w:spacing w:line="360" w:lineRule="auto"/>
        <w:rPr>
          <w:rFonts w:hint="eastAsia" w:ascii="仿宋" w:hAnsi="仿宋" w:eastAsia="仿宋" w:cs="仿宋"/>
        </w:rPr>
      </w:pPr>
    </w:p>
    <w:p w14:paraId="74911B80">
      <w:pPr>
        <w:snapToGrid w:val="0"/>
        <w:spacing w:after="120" w:afterLines="50"/>
        <w:ind w:left="850" w:hanging="850" w:hangingChars="40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注：1.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对完全响应的条目在本表相应列中标注“○”。对有偏离的条目在本表相应列中标注“正偏离”或“负偏离”。并在“偏离简述”栏中加以说明。</w:t>
      </w:r>
    </w:p>
    <w:p w14:paraId="45E6A6BC">
      <w:pPr>
        <w:tabs>
          <w:tab w:val="left" w:pos="1200"/>
        </w:tabs>
        <w:snapToGrid w:val="0"/>
        <w:spacing w:after="120" w:afterLines="50"/>
        <w:ind w:left="850" w:leftChars="203" w:hanging="424" w:hangingChars="20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正偏离是指应答的条件高于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文件要求，负偏离是指应答的条件低于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文件要求，正偏离项目不作扣分处理。</w:t>
      </w:r>
    </w:p>
    <w:p w14:paraId="43A55C63">
      <w:pPr>
        <w:tabs>
          <w:tab w:val="left" w:pos="1200"/>
        </w:tabs>
        <w:snapToGrid w:val="0"/>
        <w:spacing w:after="120" w:afterLines="50"/>
        <w:ind w:left="850" w:leftChars="203" w:hanging="424" w:hangingChars="20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</w:t>
      </w:r>
      <w:r>
        <w:rPr>
          <w:rFonts w:hint="eastAsia" w:ascii="仿宋" w:hAnsi="仿宋" w:eastAsia="仿宋" w:cs="仿宋"/>
          <w:lang w:val="en-US" w:eastAsia="zh-CN"/>
        </w:rPr>
        <w:t>.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供应商须按照用户需求书逐条完整填写响应表。如果未完整填写响应表的各项内容则视作供应商已经对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文件相关要求和内容完全理解并同意，其报价为在此基础上的完全价格。</w:t>
      </w:r>
    </w:p>
    <w:p w14:paraId="68DC440D">
      <w:r>
        <w:rPr>
          <w:rFonts w:hint="eastAsia" w:ascii="仿宋" w:hAnsi="仿宋" w:eastAsia="仿宋" w:cs="仿宋"/>
        </w:rPr>
        <w:t>4</w:t>
      </w:r>
      <w:r>
        <w:rPr>
          <w:rFonts w:hint="eastAsia" w:ascii="仿宋" w:hAnsi="仿宋" w:eastAsia="仿宋" w:cs="仿宋"/>
          <w:lang w:val="en-US" w:eastAsia="zh-CN"/>
        </w:rPr>
        <w:t>.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在采购人与成交供应商签订合同时，如成交供应商未在响应文件“响应表”中列出偏离说明，无论即将发生或已发生任何情形，均视为完全符合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文件要求，并写入合同。若成交供应商在合同签订前，以上述事项为借口而不履行合同签订手续及执行合同，则视作拒绝与采购人签订合同。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33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line="320" w:lineRule="exact"/>
      <w:outlineLvl w:val="2"/>
    </w:pPr>
    <w:rPr>
      <w:rFonts w:ascii="楷体_GB2312" w:eastAsia="楷体_GB2312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5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2025-06-04T15:52:56Z</dcterms:created>
  <dc:creator>dell</dc:creator>
  <cp:lastModifiedBy>乐乐</cp:lastModifiedBy>
  <dcterms:modified xsi:type="dcterms:W3CDTF">2025-06-04T15:53:04Z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eyJoZGlkIjoiNjVjOGI3YWFjN2EzMDY1MTk5NTU0YjRkYzJkOWQ1YjUiLCJ1c2VySWQiOiIyODI4NjAyODQifQ==</vt:lpwstr>
  </property>
  <property fmtid="{D5CDD505-2E9C-101B-9397-08002B2CF9AE}" pid="4" name="ICV">
    <vt:lpwstr>0F7A91D3DF314952970A74D3265144EF_12</vt:lpwstr>
  </property>
</Properties>
</file>