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4F8D4">
      <w:pPr>
        <w:adjustRightInd w:val="0"/>
        <w:snapToGrid w:val="0"/>
        <w:spacing w:line="340" w:lineRule="exact"/>
        <w:jc w:val="right"/>
        <w:rPr>
          <w:rFonts w:ascii="宋体" w:hAnsi="Calibri" w:eastAsia="宋体"/>
          <w:b/>
          <w:bCs/>
          <w:color w:val="auto"/>
          <w:sz w:val="30"/>
          <w:szCs w:val="30"/>
        </w:rPr>
      </w:pPr>
      <w:r>
        <w:rPr>
          <w:rFonts w:cs="宋体" w:asciiTheme="minorEastAsia" w:hAnsiTheme="minorEastAsia" w:eastAsiaTheme="minorEastAsia"/>
          <w:bCs/>
          <w:color w:val="auto"/>
          <w:sz w:val="36"/>
          <w:szCs w:val="36"/>
        </w:rPr>
        <w:t xml:space="preserve"> </w:t>
      </w:r>
      <w:r>
        <w:rPr>
          <w:rFonts w:hint="eastAsia" w:cs="宋体" w:asciiTheme="minorEastAsia" w:hAnsiTheme="minorEastAsia" w:eastAsiaTheme="minorEastAsia"/>
          <w:bCs/>
          <w:color w:val="auto"/>
          <w:sz w:val="36"/>
          <w:szCs w:val="36"/>
        </w:rPr>
        <w:t xml:space="preserve">   </w:t>
      </w:r>
      <w:r>
        <w:rPr>
          <w:rFonts w:hint="eastAsia" w:ascii="宋体" w:hAnsi="宋体" w:eastAsia="宋体" w:cs="宋体"/>
          <w:b/>
          <w:bCs/>
          <w:color w:val="auto"/>
          <w:sz w:val="30"/>
          <w:szCs w:val="30"/>
        </w:rPr>
        <w:t>政府采购项目</w:t>
      </w:r>
    </w:p>
    <w:p w14:paraId="68555FDD">
      <w:pPr>
        <w:tabs>
          <w:tab w:val="left" w:pos="5838"/>
        </w:tabs>
        <w:spacing w:before="190" w:beforeLines="50" w:line="800" w:lineRule="exact"/>
        <w:rPr>
          <w:rFonts w:hint="eastAsia" w:asciiTheme="minorEastAsia" w:hAnsiTheme="minorEastAsia" w:eastAsiaTheme="minorEastAsia" w:cstheme="majorEastAsia"/>
          <w:b/>
          <w:color w:val="auto"/>
          <w:sz w:val="56"/>
          <w:szCs w:val="56"/>
          <w:lang w:eastAsia="zh-CN"/>
        </w:rPr>
      </w:pPr>
      <w:r>
        <w:rPr>
          <w:rFonts w:hint="eastAsia" w:cs="宋体" w:asciiTheme="minorEastAsia" w:hAnsiTheme="minorEastAsia" w:eastAsiaTheme="minorEastAsia"/>
          <w:b/>
          <w:bCs/>
          <w:color w:val="auto"/>
          <w:sz w:val="32"/>
          <w:szCs w:val="36"/>
          <w:lang w:val="en-US" w:eastAsia="zh-CN"/>
        </w:rPr>
        <w:t>项目</w:t>
      </w:r>
      <w:r>
        <w:rPr>
          <w:rFonts w:hint="eastAsia" w:cs="宋体" w:asciiTheme="minorEastAsia" w:hAnsiTheme="minorEastAsia" w:eastAsiaTheme="minorEastAsia"/>
          <w:b/>
          <w:bCs/>
          <w:color w:val="auto"/>
          <w:sz w:val="32"/>
          <w:szCs w:val="36"/>
        </w:rPr>
        <w:t>编号</w:t>
      </w:r>
      <w:r>
        <w:rPr>
          <w:rFonts w:hint="eastAsia" w:cs="宋体" w:asciiTheme="minorEastAsia" w:hAnsiTheme="minorEastAsia" w:eastAsiaTheme="minorEastAsia"/>
          <w:b/>
          <w:bCs/>
          <w:color w:val="auto"/>
          <w:sz w:val="32"/>
          <w:szCs w:val="36"/>
          <w:lang w:eastAsia="zh-CN"/>
        </w:rPr>
        <w:t>：</w:t>
      </w:r>
      <w:r>
        <w:rPr>
          <w:rFonts w:hint="eastAsia" w:cs="宋体" w:asciiTheme="minorEastAsia" w:hAnsiTheme="minorEastAsia" w:eastAsiaTheme="minorEastAsia"/>
          <w:b/>
          <w:bCs/>
          <w:color w:val="auto"/>
          <w:sz w:val="32"/>
          <w:szCs w:val="36"/>
        </w:rPr>
        <w:t xml:space="preserve"> </w:t>
      </w:r>
      <w:r>
        <w:rPr>
          <w:rFonts w:hint="eastAsia" w:cs="宋体" w:asciiTheme="minorEastAsia" w:hAnsiTheme="minorEastAsia" w:eastAsiaTheme="minorEastAsia"/>
          <w:b/>
          <w:bCs/>
          <w:color w:val="auto"/>
          <w:sz w:val="32"/>
          <w:szCs w:val="36"/>
          <w:lang w:eastAsia="zh-CN"/>
        </w:rPr>
        <w:t>AKSH2025-ZTP-050-3</w:t>
      </w:r>
      <w:r>
        <w:rPr>
          <w:rFonts w:hint="eastAsia" w:asciiTheme="minorEastAsia" w:hAnsiTheme="minorEastAsia" w:eastAsiaTheme="minorEastAsia" w:cstheme="majorEastAsia"/>
          <w:b/>
          <w:color w:val="auto"/>
          <w:sz w:val="56"/>
          <w:szCs w:val="56"/>
          <w:lang w:eastAsia="zh-CN"/>
        </w:rPr>
        <w:tab/>
      </w:r>
    </w:p>
    <w:p w14:paraId="6729FF5C">
      <w:pPr>
        <w:pStyle w:val="6"/>
        <w:rPr>
          <w:rFonts w:asciiTheme="minorEastAsia" w:hAnsiTheme="minorEastAsia" w:eastAsiaTheme="minorEastAsia" w:cstheme="majorEastAsia"/>
          <w:b/>
          <w:color w:val="auto"/>
          <w:sz w:val="56"/>
          <w:szCs w:val="56"/>
        </w:rPr>
      </w:pPr>
    </w:p>
    <w:p w14:paraId="3EB5DFD6">
      <w:pPr>
        <w:rPr>
          <w:color w:val="auto"/>
        </w:rPr>
      </w:pPr>
    </w:p>
    <w:p w14:paraId="4B329AD0">
      <w:pPr>
        <w:spacing w:before="190" w:beforeLines="50" w:line="800" w:lineRule="exact"/>
        <w:jc w:val="center"/>
        <w:rPr>
          <w:rFonts w:hint="eastAsia" w:asciiTheme="minorEastAsia" w:hAnsiTheme="minorEastAsia" w:eastAsiaTheme="minorEastAsia" w:cstheme="majorEastAsia"/>
          <w:b/>
          <w:color w:val="auto"/>
          <w:spacing w:val="20"/>
          <w:kern w:val="0"/>
          <w:sz w:val="56"/>
          <w:szCs w:val="56"/>
          <w:lang w:val="en-US" w:eastAsia="zh-CN"/>
        </w:rPr>
      </w:pPr>
      <w:r>
        <w:rPr>
          <w:rFonts w:hint="eastAsia" w:asciiTheme="minorEastAsia" w:hAnsiTheme="minorEastAsia" w:eastAsiaTheme="minorEastAsia" w:cstheme="majorEastAsia"/>
          <w:b/>
          <w:color w:val="auto"/>
          <w:spacing w:val="20"/>
          <w:kern w:val="0"/>
          <w:sz w:val="56"/>
          <w:szCs w:val="56"/>
          <w:lang w:val="en-US" w:eastAsia="zh-CN"/>
        </w:rPr>
        <w:t>挂式污泥脱水设备采购项目（三次）</w:t>
      </w:r>
    </w:p>
    <w:p w14:paraId="4829FD4B">
      <w:pPr>
        <w:rPr>
          <w:color w:val="auto"/>
        </w:rPr>
      </w:pPr>
    </w:p>
    <w:p w14:paraId="44579D70">
      <w:pPr>
        <w:spacing w:before="190" w:beforeLines="50" w:line="800" w:lineRule="exact"/>
        <w:jc w:val="center"/>
        <w:rPr>
          <w:rFonts w:asciiTheme="minorEastAsia" w:hAnsiTheme="minorEastAsia" w:eastAsiaTheme="minorEastAsia" w:cstheme="majorEastAsia"/>
          <w:b/>
          <w:color w:val="auto"/>
          <w:spacing w:val="20"/>
          <w:kern w:val="0"/>
          <w:sz w:val="56"/>
          <w:szCs w:val="56"/>
        </w:rPr>
      </w:pPr>
    </w:p>
    <w:p w14:paraId="2D13EE01">
      <w:pPr>
        <w:spacing w:before="190" w:beforeLines="50" w:line="800" w:lineRule="exact"/>
        <w:jc w:val="center"/>
        <w:rPr>
          <w:rFonts w:asciiTheme="minorEastAsia" w:hAnsiTheme="minorEastAsia" w:eastAsiaTheme="minorEastAsia" w:cstheme="majorEastAsia"/>
          <w:b/>
          <w:color w:val="auto"/>
          <w:spacing w:val="20"/>
          <w:kern w:val="0"/>
          <w:sz w:val="56"/>
          <w:szCs w:val="56"/>
        </w:rPr>
      </w:pPr>
      <w:r>
        <w:rPr>
          <w:rFonts w:hint="eastAsia"/>
          <w:color w:val="auto"/>
        </w:rPr>
        <w:drawing>
          <wp:anchor distT="0" distB="0" distL="114300" distR="114300" simplePos="0" relativeHeight="251659264" behindDoc="0" locked="0" layoutInCell="1" allowOverlap="1">
            <wp:simplePos x="0" y="0"/>
            <wp:positionH relativeFrom="column">
              <wp:posOffset>2004695</wp:posOffset>
            </wp:positionH>
            <wp:positionV relativeFrom="paragraph">
              <wp:posOffset>127635</wp:posOffset>
            </wp:positionV>
            <wp:extent cx="1876425" cy="1428750"/>
            <wp:effectExtent l="0" t="0" r="9525" b="0"/>
            <wp:wrapNone/>
            <wp:docPr id="12" name="图片 12"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_尚昊 标"/>
                    <pic:cNvPicPr>
                      <a:picLocks noChangeAspect="1"/>
                    </pic:cNvPicPr>
                  </pic:nvPicPr>
                  <pic:blipFill>
                    <a:blip r:embed="rId22"/>
                    <a:stretch>
                      <a:fillRect/>
                    </a:stretch>
                  </pic:blipFill>
                  <pic:spPr>
                    <a:xfrm>
                      <a:off x="0" y="0"/>
                      <a:ext cx="1876425" cy="1428750"/>
                    </a:xfrm>
                    <a:prstGeom prst="rect">
                      <a:avLst/>
                    </a:prstGeom>
                  </pic:spPr>
                </pic:pic>
              </a:graphicData>
            </a:graphic>
          </wp:anchor>
        </w:drawing>
      </w:r>
    </w:p>
    <w:p w14:paraId="78F326D7">
      <w:pPr>
        <w:spacing w:before="190" w:beforeLines="50" w:line="800" w:lineRule="exact"/>
        <w:jc w:val="both"/>
        <w:rPr>
          <w:rFonts w:asciiTheme="minorEastAsia" w:hAnsiTheme="minorEastAsia" w:eastAsiaTheme="minorEastAsia" w:cstheme="majorEastAsia"/>
          <w:b/>
          <w:color w:val="auto"/>
          <w:spacing w:val="20"/>
          <w:kern w:val="0"/>
          <w:sz w:val="56"/>
          <w:szCs w:val="56"/>
        </w:rPr>
      </w:pPr>
    </w:p>
    <w:p w14:paraId="31CC60AF">
      <w:pPr>
        <w:pStyle w:val="31"/>
        <w:rPr>
          <w:color w:val="auto"/>
        </w:rPr>
      </w:pPr>
    </w:p>
    <w:p w14:paraId="6063B4EB">
      <w:pPr>
        <w:pStyle w:val="31"/>
        <w:rPr>
          <w:color w:val="auto"/>
        </w:rPr>
      </w:pPr>
    </w:p>
    <w:p w14:paraId="3D2EAC6C">
      <w:pPr>
        <w:pStyle w:val="31"/>
        <w:rPr>
          <w:color w:val="auto"/>
        </w:rPr>
      </w:pPr>
    </w:p>
    <w:p w14:paraId="24E97134">
      <w:pPr>
        <w:spacing w:before="190" w:beforeLines="50" w:line="800" w:lineRule="exact"/>
        <w:jc w:val="center"/>
        <w:rPr>
          <w:rFonts w:asciiTheme="minorEastAsia" w:hAnsiTheme="minorEastAsia" w:eastAsiaTheme="minorEastAsia" w:cstheme="majorEastAsia"/>
          <w:b/>
          <w:color w:val="auto"/>
          <w:sz w:val="56"/>
          <w:szCs w:val="56"/>
        </w:rPr>
      </w:pPr>
      <w:r>
        <w:rPr>
          <w:rFonts w:hint="eastAsia" w:asciiTheme="minorEastAsia" w:hAnsiTheme="minorEastAsia" w:eastAsiaTheme="minorEastAsia" w:cstheme="majorEastAsia"/>
          <w:b/>
          <w:color w:val="auto"/>
          <w:spacing w:val="20"/>
          <w:kern w:val="0"/>
          <w:sz w:val="56"/>
          <w:szCs w:val="56"/>
        </w:rPr>
        <w:t>竞争性谈判文件</w:t>
      </w:r>
    </w:p>
    <w:p w14:paraId="3F3E5CAB">
      <w:pPr>
        <w:rPr>
          <w:rFonts w:cs="宋体" w:asciiTheme="minorEastAsia" w:hAnsiTheme="minorEastAsia" w:eastAsiaTheme="minorEastAsia"/>
          <w:bCs/>
          <w:color w:val="auto"/>
          <w:sz w:val="36"/>
          <w:szCs w:val="32"/>
        </w:rPr>
      </w:pPr>
    </w:p>
    <w:p w14:paraId="7EA97299">
      <w:pPr>
        <w:rPr>
          <w:rFonts w:cs="宋体" w:asciiTheme="minorEastAsia" w:hAnsiTheme="minorEastAsia" w:eastAsiaTheme="minorEastAsia"/>
          <w:bCs/>
          <w:color w:val="auto"/>
          <w:sz w:val="72"/>
          <w:szCs w:val="72"/>
        </w:rPr>
      </w:pPr>
    </w:p>
    <w:p w14:paraId="4151E8A8">
      <w:pPr>
        <w:rPr>
          <w:rFonts w:cs="宋体" w:asciiTheme="minorEastAsia" w:hAnsiTheme="minorEastAsia" w:eastAsiaTheme="minorEastAsia"/>
          <w:bCs/>
          <w:color w:val="auto"/>
          <w:sz w:val="18"/>
          <w:szCs w:val="18"/>
        </w:rPr>
      </w:pPr>
    </w:p>
    <w:p w14:paraId="54A94AA4">
      <w:pPr>
        <w:pStyle w:val="31"/>
        <w:rPr>
          <w:rFonts w:cs="宋体" w:asciiTheme="minorEastAsia" w:hAnsiTheme="minorEastAsia" w:eastAsiaTheme="minorEastAsia"/>
          <w:bCs/>
          <w:color w:val="auto"/>
          <w:sz w:val="18"/>
          <w:szCs w:val="18"/>
        </w:rPr>
      </w:pPr>
    </w:p>
    <w:p w14:paraId="5C7BF83A">
      <w:pPr>
        <w:pStyle w:val="31"/>
        <w:rPr>
          <w:rFonts w:cs="宋体" w:asciiTheme="minorEastAsia" w:hAnsiTheme="minorEastAsia" w:eastAsiaTheme="minorEastAsia"/>
          <w:bCs/>
          <w:color w:val="auto"/>
          <w:sz w:val="18"/>
          <w:szCs w:val="18"/>
        </w:rPr>
      </w:pPr>
    </w:p>
    <w:p w14:paraId="6893E037">
      <w:pPr>
        <w:pStyle w:val="31"/>
        <w:rPr>
          <w:rFonts w:cs="宋体" w:asciiTheme="minorEastAsia" w:hAnsiTheme="minorEastAsia" w:eastAsiaTheme="minorEastAsia"/>
          <w:bCs/>
          <w:color w:val="auto"/>
          <w:sz w:val="18"/>
          <w:szCs w:val="18"/>
        </w:rPr>
      </w:pPr>
    </w:p>
    <w:p w14:paraId="5BE4CD81">
      <w:pPr>
        <w:keepNext w:val="0"/>
        <w:keepLines w:val="0"/>
        <w:pageBreakBefore w:val="0"/>
        <w:widowControl w:val="0"/>
        <w:kinsoku/>
        <w:wordWrap/>
        <w:overflowPunct/>
        <w:topLinePunct w:val="0"/>
        <w:autoSpaceDE/>
        <w:autoSpaceDN/>
        <w:bidi w:val="0"/>
        <w:adjustRightInd w:val="0"/>
        <w:snapToGrid w:val="0"/>
        <w:spacing w:line="480" w:lineRule="auto"/>
        <w:ind w:firstLine="2108" w:firstLineChars="700"/>
        <w:textAlignment w:val="auto"/>
        <w:rPr>
          <w:rFonts w:hint="eastAsia" w:ascii="宋体" w:hAnsi="宋体" w:eastAsia="宋体" w:cs="宋体"/>
          <w:b/>
          <w:bCs/>
          <w:color w:val="auto"/>
          <w:sz w:val="30"/>
          <w:szCs w:val="30"/>
        </w:rPr>
      </w:pPr>
      <w:r>
        <w:rPr>
          <w:rFonts w:hint="eastAsia" w:ascii="宋体" w:hAnsi="宋体" w:eastAsia="宋体" w:cs="宋体"/>
          <w:b/>
          <w:bCs/>
          <w:color w:val="auto"/>
          <w:sz w:val="30"/>
          <w:szCs w:val="30"/>
        </w:rPr>
        <w:t>采</w:t>
      </w:r>
      <w:r>
        <w:rPr>
          <w:rFonts w:hint="eastAsia" w:ascii="宋体" w:hAnsi="宋体" w:eastAsia="宋体" w:cs="宋体"/>
          <w:b/>
          <w:bCs/>
          <w:color w:val="auto"/>
          <w:sz w:val="30"/>
          <w:szCs w:val="30"/>
          <w:lang w:val="en-US" w:eastAsia="zh-CN"/>
        </w:rPr>
        <w:t xml:space="preserve"> </w:t>
      </w:r>
      <w:r>
        <w:rPr>
          <w:rFonts w:hint="eastAsia" w:ascii="宋体" w:hAnsi="宋体" w:eastAsia="宋体" w:cs="宋体"/>
          <w:b/>
          <w:bCs/>
          <w:color w:val="auto"/>
          <w:sz w:val="30"/>
          <w:szCs w:val="30"/>
        </w:rPr>
        <w:t>购</w:t>
      </w:r>
      <w:r>
        <w:rPr>
          <w:rFonts w:hint="eastAsia" w:ascii="宋体" w:hAnsi="宋体" w:eastAsia="宋体" w:cs="宋体"/>
          <w:b/>
          <w:bCs/>
          <w:color w:val="auto"/>
          <w:sz w:val="30"/>
          <w:szCs w:val="30"/>
          <w:lang w:val="en-US" w:eastAsia="zh-CN"/>
        </w:rPr>
        <w:t xml:space="preserve"> </w:t>
      </w:r>
      <w:r>
        <w:rPr>
          <w:rFonts w:hint="eastAsia" w:ascii="宋体" w:hAnsi="宋体" w:eastAsia="宋体" w:cs="宋体"/>
          <w:b/>
          <w:bCs/>
          <w:color w:val="auto"/>
          <w:sz w:val="30"/>
          <w:szCs w:val="30"/>
        </w:rPr>
        <w:t>人：</w:t>
      </w:r>
      <w:r>
        <w:rPr>
          <w:rFonts w:hint="eastAsia" w:ascii="宋体" w:hAnsi="宋体" w:eastAsia="宋体" w:cs="宋体"/>
          <w:b/>
          <w:bCs/>
          <w:color w:val="auto"/>
          <w:sz w:val="30"/>
          <w:szCs w:val="30"/>
          <w:lang w:val="en-US" w:eastAsia="zh-CN"/>
        </w:rPr>
        <w:t>安康市市政园林处</w:t>
      </w:r>
    </w:p>
    <w:p w14:paraId="57740FE6">
      <w:pPr>
        <w:keepNext w:val="0"/>
        <w:keepLines w:val="0"/>
        <w:pageBreakBefore w:val="0"/>
        <w:widowControl w:val="0"/>
        <w:kinsoku/>
        <w:wordWrap/>
        <w:overflowPunct/>
        <w:topLinePunct w:val="0"/>
        <w:autoSpaceDE/>
        <w:autoSpaceDN/>
        <w:bidi w:val="0"/>
        <w:adjustRightInd w:val="0"/>
        <w:snapToGrid w:val="0"/>
        <w:spacing w:line="480" w:lineRule="auto"/>
        <w:ind w:firstLine="2108" w:firstLineChars="700"/>
        <w:textAlignment w:val="auto"/>
        <w:rPr>
          <w:rFonts w:ascii="宋体" w:hAnsi="宋体" w:eastAsia="宋体" w:cs="宋体"/>
          <w:color w:val="auto"/>
          <w:lang w:val="en-US" w:eastAsia="zh-CN" w:bidi="ar-SA"/>
        </w:rPr>
      </w:pPr>
      <w:r>
        <w:rPr>
          <w:rFonts w:hint="eastAsia" w:ascii="宋体" w:hAnsi="宋体" w:eastAsia="宋体" w:cs="宋体"/>
          <w:b/>
          <w:bCs/>
          <w:color w:val="auto"/>
          <w:sz w:val="30"/>
          <w:szCs w:val="30"/>
        </w:rPr>
        <w:t>代理机构：安康尚昊招标代理有限公司</w:t>
      </w:r>
    </w:p>
    <w:p w14:paraId="0D32C360">
      <w:pPr>
        <w:keepNext w:val="0"/>
        <w:keepLines w:val="0"/>
        <w:pageBreakBefore w:val="0"/>
        <w:widowControl w:val="0"/>
        <w:kinsoku/>
        <w:wordWrap/>
        <w:overflowPunct/>
        <w:topLinePunct w:val="0"/>
        <w:autoSpaceDE/>
        <w:autoSpaceDN/>
        <w:bidi w:val="0"/>
        <w:adjustRightInd w:val="0"/>
        <w:snapToGrid w:val="0"/>
        <w:spacing w:line="480" w:lineRule="auto"/>
        <w:ind w:firstLine="2108" w:firstLineChars="700"/>
        <w:textAlignment w:val="auto"/>
        <w:rPr>
          <w:rFonts w:hint="default" w:ascii="宋体" w:hAnsi="宋体" w:eastAsia="宋体" w:cs="宋体"/>
          <w:b/>
          <w:bCs/>
          <w:color w:val="auto"/>
          <w:sz w:val="30"/>
          <w:szCs w:val="30"/>
          <w:lang w:val="en-US" w:eastAsia="zh-CN"/>
        </w:rPr>
        <w:sectPr>
          <w:headerReference r:id="rId6" w:type="first"/>
          <w:footerReference r:id="rId8" w:type="first"/>
          <w:headerReference r:id="rId5" w:type="default"/>
          <w:footerReference r:id="rId7" w:type="default"/>
          <w:pgSz w:w="11905" w:h="16838"/>
          <w:pgMar w:top="1247" w:right="1134" w:bottom="1247" w:left="1134" w:header="964" w:footer="964" w:gutter="0"/>
          <w:pgNumType w:start="0"/>
          <w:cols w:space="0" w:num="1"/>
          <w:rtlGutter w:val="0"/>
          <w:docGrid w:type="lines" w:linePitch="398" w:charSpace="0"/>
        </w:sectPr>
      </w:pPr>
      <w:r>
        <w:rPr>
          <w:rFonts w:hint="eastAsia" w:ascii="宋体" w:hAnsi="宋体" w:eastAsia="宋体" w:cs="宋体"/>
          <w:b/>
          <w:bCs/>
          <w:color w:val="auto"/>
          <w:sz w:val="30"/>
          <w:szCs w:val="30"/>
          <w:lang w:val="en-US" w:eastAsia="zh-CN"/>
        </w:rPr>
        <w:t>日    期：二〇二五年六月</w:t>
      </w:r>
    </w:p>
    <w:p w14:paraId="7E31886D">
      <w:pPr>
        <w:pStyle w:val="6"/>
        <w:keepNext w:val="0"/>
        <w:keepLines w:val="0"/>
        <w:pageBreakBefore w:val="0"/>
        <w:widowControl/>
        <w:kinsoku/>
        <w:wordWrap/>
        <w:overflowPunct/>
        <w:topLinePunct w:val="0"/>
        <w:autoSpaceDE/>
        <w:autoSpaceDN/>
        <w:bidi w:val="0"/>
        <w:adjustRightInd/>
        <w:snapToGrid/>
        <w:spacing w:line="360" w:lineRule="auto"/>
        <w:ind w:left="726" w:firstLine="3092" w:firstLineChars="700"/>
        <w:textAlignment w:val="auto"/>
        <w:rPr>
          <w:rFonts w:hint="eastAsia" w:ascii="宋体" w:hAnsi="宋体" w:eastAsia="宋体" w:cs="宋体"/>
          <w:color w:val="auto"/>
          <w:sz w:val="44"/>
          <w:szCs w:val="32"/>
          <w:lang w:val="en-US" w:eastAsia="zh-CN" w:bidi="ar-SA"/>
        </w:rPr>
      </w:pPr>
      <w:r>
        <w:rPr>
          <w:rFonts w:hint="eastAsia" w:ascii="宋体" w:hAnsi="宋体" w:eastAsia="宋体" w:cs="宋体"/>
          <w:color w:val="auto"/>
          <w:sz w:val="44"/>
          <w:szCs w:val="32"/>
          <w:lang w:val="en-US" w:eastAsia="zh-CN" w:bidi="ar-SA"/>
        </w:rPr>
        <w:t>目   录</w:t>
      </w:r>
    </w:p>
    <w:p w14:paraId="737A2095">
      <w:pPr>
        <w:rPr>
          <w:rFonts w:hint="eastAsia"/>
          <w:lang w:val="en-US" w:eastAsia="zh-CN"/>
        </w:rPr>
      </w:pPr>
    </w:p>
    <w:p w14:paraId="1C3F87F7">
      <w:pPr>
        <w:rPr>
          <w:rFonts w:hint="eastAsia"/>
          <w:lang w:val="en-US" w:eastAsia="zh-CN"/>
        </w:rPr>
      </w:pPr>
    </w:p>
    <w:p w14:paraId="620C6C48">
      <w:pPr>
        <w:pStyle w:val="26"/>
        <w:keepNext w:val="0"/>
        <w:keepLines w:val="0"/>
        <w:pageBreakBefore w:val="0"/>
        <w:widowControl/>
        <w:tabs>
          <w:tab w:val="right" w:leader="dot" w:pos="9637"/>
        </w:tabs>
        <w:kinsoku/>
        <w:wordWrap/>
        <w:overflowPunct/>
        <w:topLinePunct w:val="0"/>
        <w:autoSpaceDE/>
        <w:autoSpaceDN/>
        <w:bidi w:val="0"/>
        <w:adjustRightInd w:val="0"/>
        <w:snapToGrid w:val="0"/>
        <w:spacing w:before="0" w:after="0" w:line="480" w:lineRule="auto"/>
        <w:ind w:firstLine="321" w:firstLineChars="100"/>
        <w:textAlignment w:val="auto"/>
        <w:rPr>
          <w:rFonts w:hint="eastAsia" w:ascii="宋体" w:hAnsi="宋体" w:eastAsia="宋体" w:cs="宋体"/>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TOC \o "1-2" \h \z \u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fldChar w:fldCharType="begin"/>
      </w:r>
      <w:r>
        <w:rPr>
          <w:rFonts w:hint="eastAsia" w:ascii="宋体" w:hAnsi="宋体" w:eastAsia="宋体" w:cs="宋体"/>
          <w:sz w:val="32"/>
          <w:szCs w:val="32"/>
        </w:rPr>
        <w:instrText xml:space="preserve"> HYPERLINK \l _Toc30595 </w:instrText>
      </w:r>
      <w:r>
        <w:rPr>
          <w:rFonts w:hint="eastAsia" w:ascii="宋体" w:hAnsi="宋体" w:eastAsia="宋体" w:cs="宋体"/>
          <w:sz w:val="32"/>
          <w:szCs w:val="32"/>
        </w:rPr>
        <w:fldChar w:fldCharType="separate"/>
      </w:r>
      <w:r>
        <w:rPr>
          <w:rFonts w:hint="eastAsia" w:ascii="宋体" w:hAnsi="宋体" w:eastAsia="宋体" w:cs="宋体"/>
          <w:sz w:val="32"/>
          <w:szCs w:val="32"/>
        </w:rPr>
        <w:t xml:space="preserve">第一章  </w:t>
      </w:r>
      <w:r>
        <w:rPr>
          <w:rFonts w:hint="eastAsia" w:ascii="宋体" w:hAnsi="宋体" w:eastAsia="宋体" w:cs="宋体"/>
          <w:sz w:val="32"/>
          <w:szCs w:val="32"/>
          <w:lang w:val="en-US" w:eastAsia="zh-CN"/>
        </w:rPr>
        <w:t>竞争性</w:t>
      </w:r>
      <w:r>
        <w:rPr>
          <w:rFonts w:hint="eastAsia" w:ascii="宋体" w:hAnsi="宋体" w:eastAsia="宋体" w:cs="宋体"/>
          <w:sz w:val="32"/>
          <w:szCs w:val="32"/>
        </w:rPr>
        <w:t>谈判</w:t>
      </w:r>
      <w:r>
        <w:rPr>
          <w:rFonts w:hint="eastAsia" w:ascii="宋体" w:hAnsi="宋体" w:eastAsia="宋体" w:cs="宋体"/>
          <w:sz w:val="32"/>
          <w:szCs w:val="32"/>
          <w:lang w:val="en-US" w:eastAsia="zh-CN"/>
        </w:rPr>
        <w:t>公告</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_Toc30595 \h </w:instrText>
      </w:r>
      <w:r>
        <w:rPr>
          <w:rFonts w:hint="eastAsia" w:ascii="宋体" w:hAnsi="宋体" w:eastAsia="宋体" w:cs="宋体"/>
          <w:sz w:val="32"/>
          <w:szCs w:val="32"/>
        </w:rPr>
        <w:fldChar w:fldCharType="separate"/>
      </w:r>
      <w:r>
        <w:rPr>
          <w:rFonts w:hint="eastAsia" w:ascii="宋体" w:hAnsi="宋体" w:eastAsia="宋体" w:cs="宋体"/>
          <w:sz w:val="32"/>
          <w:szCs w:val="32"/>
        </w:rPr>
        <w:t>2</w:t>
      </w:r>
      <w:r>
        <w:rPr>
          <w:rFonts w:hint="eastAsia" w:ascii="宋体" w:hAnsi="宋体" w:eastAsia="宋体" w:cs="宋体"/>
          <w:sz w:val="32"/>
          <w:szCs w:val="32"/>
        </w:rPr>
        <w:fldChar w:fldCharType="end"/>
      </w:r>
      <w:r>
        <w:rPr>
          <w:rFonts w:hint="eastAsia" w:ascii="宋体" w:hAnsi="宋体" w:eastAsia="宋体" w:cs="宋体"/>
          <w:color w:val="auto"/>
          <w:sz w:val="32"/>
          <w:szCs w:val="32"/>
        </w:rPr>
        <w:fldChar w:fldCharType="end"/>
      </w:r>
    </w:p>
    <w:p w14:paraId="72393D56">
      <w:pPr>
        <w:pStyle w:val="26"/>
        <w:keepNext w:val="0"/>
        <w:keepLines w:val="0"/>
        <w:pageBreakBefore w:val="0"/>
        <w:widowControl/>
        <w:tabs>
          <w:tab w:val="right" w:leader="dot" w:pos="9637"/>
        </w:tabs>
        <w:kinsoku/>
        <w:wordWrap/>
        <w:overflowPunct/>
        <w:topLinePunct w:val="0"/>
        <w:autoSpaceDE/>
        <w:autoSpaceDN/>
        <w:bidi w:val="0"/>
        <w:adjustRightInd w:val="0"/>
        <w:snapToGrid w:val="0"/>
        <w:spacing w:before="0" w:after="0" w:line="480" w:lineRule="auto"/>
        <w:ind w:firstLine="321" w:firstLineChars="100"/>
        <w:textAlignment w:val="auto"/>
        <w:rPr>
          <w:rFonts w:hint="eastAsia" w:ascii="宋体" w:hAnsi="宋体" w:eastAsia="宋体" w:cs="宋体"/>
          <w:sz w:val="32"/>
          <w:szCs w:val="32"/>
        </w:rPr>
      </w:pPr>
      <w:r>
        <w:rPr>
          <w:rFonts w:hint="eastAsia" w:ascii="宋体" w:hAnsi="宋体" w:eastAsia="宋体" w:cs="宋体"/>
          <w:color w:val="auto"/>
          <w:sz w:val="32"/>
          <w:szCs w:val="32"/>
          <w:lang w:val="en-US" w:eastAsia="zh-CN" w:bidi="ar-SA"/>
        </w:rPr>
        <w:fldChar w:fldCharType="begin"/>
      </w:r>
      <w:r>
        <w:rPr>
          <w:rFonts w:hint="eastAsia" w:ascii="宋体" w:hAnsi="宋体" w:eastAsia="宋体" w:cs="宋体"/>
          <w:sz w:val="32"/>
          <w:szCs w:val="32"/>
          <w:lang w:val="en-US" w:eastAsia="zh-CN" w:bidi="ar-SA"/>
        </w:rPr>
        <w:instrText xml:space="preserve"> HYPERLINK \l _Toc9388 </w:instrText>
      </w:r>
      <w:r>
        <w:rPr>
          <w:rFonts w:hint="eastAsia" w:ascii="宋体" w:hAnsi="宋体" w:eastAsia="宋体" w:cs="宋体"/>
          <w:sz w:val="32"/>
          <w:szCs w:val="32"/>
          <w:lang w:val="en-US" w:eastAsia="zh-CN" w:bidi="ar-SA"/>
        </w:rPr>
        <w:fldChar w:fldCharType="separate"/>
      </w:r>
      <w:r>
        <w:rPr>
          <w:rFonts w:hint="eastAsia" w:ascii="宋体" w:hAnsi="宋体" w:eastAsia="宋体" w:cs="宋体"/>
          <w:sz w:val="32"/>
          <w:szCs w:val="32"/>
        </w:rPr>
        <w:t xml:space="preserve">第二章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供应商须知前附表</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_Toc9388 \h </w:instrText>
      </w:r>
      <w:r>
        <w:rPr>
          <w:rFonts w:hint="eastAsia" w:ascii="宋体" w:hAnsi="宋体" w:eastAsia="宋体" w:cs="宋体"/>
          <w:sz w:val="32"/>
          <w:szCs w:val="32"/>
        </w:rPr>
        <w:fldChar w:fldCharType="separate"/>
      </w:r>
      <w:r>
        <w:rPr>
          <w:rFonts w:hint="eastAsia" w:ascii="宋体" w:hAnsi="宋体" w:eastAsia="宋体" w:cs="宋体"/>
          <w:sz w:val="32"/>
          <w:szCs w:val="32"/>
        </w:rPr>
        <w:t>7</w:t>
      </w:r>
      <w:r>
        <w:rPr>
          <w:rFonts w:hint="eastAsia" w:ascii="宋体" w:hAnsi="宋体" w:eastAsia="宋体" w:cs="宋体"/>
          <w:sz w:val="32"/>
          <w:szCs w:val="32"/>
        </w:rPr>
        <w:fldChar w:fldCharType="end"/>
      </w:r>
      <w:r>
        <w:rPr>
          <w:rFonts w:hint="eastAsia" w:ascii="宋体" w:hAnsi="宋体" w:eastAsia="宋体" w:cs="宋体"/>
          <w:color w:val="auto"/>
          <w:sz w:val="32"/>
          <w:szCs w:val="32"/>
          <w:lang w:val="en-US" w:eastAsia="zh-CN" w:bidi="ar-SA"/>
        </w:rPr>
        <w:fldChar w:fldCharType="end"/>
      </w:r>
    </w:p>
    <w:p w14:paraId="2BF4CC48">
      <w:pPr>
        <w:pStyle w:val="26"/>
        <w:keepNext w:val="0"/>
        <w:keepLines w:val="0"/>
        <w:pageBreakBefore w:val="0"/>
        <w:widowControl/>
        <w:tabs>
          <w:tab w:val="right" w:leader="dot" w:pos="9637"/>
        </w:tabs>
        <w:kinsoku/>
        <w:wordWrap/>
        <w:overflowPunct/>
        <w:topLinePunct w:val="0"/>
        <w:autoSpaceDE/>
        <w:autoSpaceDN/>
        <w:bidi w:val="0"/>
        <w:adjustRightInd w:val="0"/>
        <w:snapToGrid w:val="0"/>
        <w:spacing w:before="0" w:after="0" w:line="480" w:lineRule="auto"/>
        <w:ind w:firstLine="321" w:firstLineChars="100"/>
        <w:textAlignment w:val="auto"/>
        <w:rPr>
          <w:rFonts w:hint="eastAsia" w:ascii="宋体" w:hAnsi="宋体" w:eastAsia="宋体" w:cs="宋体"/>
          <w:sz w:val="32"/>
          <w:szCs w:val="32"/>
        </w:rPr>
      </w:pPr>
      <w:r>
        <w:rPr>
          <w:rFonts w:hint="eastAsia" w:ascii="宋体" w:hAnsi="宋体" w:eastAsia="宋体" w:cs="宋体"/>
          <w:color w:val="auto"/>
          <w:sz w:val="32"/>
          <w:szCs w:val="32"/>
          <w:lang w:val="en-US" w:eastAsia="zh-CN" w:bidi="ar-SA"/>
        </w:rPr>
        <w:fldChar w:fldCharType="begin"/>
      </w:r>
      <w:r>
        <w:rPr>
          <w:rFonts w:hint="eastAsia" w:ascii="宋体" w:hAnsi="宋体" w:eastAsia="宋体" w:cs="宋体"/>
          <w:sz w:val="32"/>
          <w:szCs w:val="32"/>
          <w:lang w:val="en-US" w:eastAsia="zh-CN" w:bidi="ar-SA"/>
        </w:rPr>
        <w:instrText xml:space="preserve"> HYPERLINK \l _Toc12967 </w:instrText>
      </w:r>
      <w:r>
        <w:rPr>
          <w:rFonts w:hint="eastAsia" w:ascii="宋体" w:hAnsi="宋体" w:eastAsia="宋体" w:cs="宋体"/>
          <w:sz w:val="32"/>
          <w:szCs w:val="32"/>
          <w:lang w:val="en-US" w:eastAsia="zh-CN" w:bidi="ar-SA"/>
        </w:rPr>
        <w:fldChar w:fldCharType="separate"/>
      </w:r>
      <w:r>
        <w:rPr>
          <w:rFonts w:hint="eastAsia" w:ascii="宋体" w:hAnsi="宋体" w:eastAsia="宋体" w:cs="宋体"/>
          <w:bCs/>
          <w:kern w:val="44"/>
          <w:sz w:val="32"/>
          <w:szCs w:val="32"/>
          <w:lang w:val="en-US" w:eastAsia="zh-CN" w:bidi="ar-SA"/>
        </w:rPr>
        <w:t>第三章  供应商须知</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_Toc12967 \h </w:instrText>
      </w:r>
      <w:r>
        <w:rPr>
          <w:rFonts w:hint="eastAsia" w:ascii="宋体" w:hAnsi="宋体" w:eastAsia="宋体" w:cs="宋体"/>
          <w:sz w:val="32"/>
          <w:szCs w:val="32"/>
        </w:rPr>
        <w:fldChar w:fldCharType="separate"/>
      </w:r>
      <w:r>
        <w:rPr>
          <w:rFonts w:hint="eastAsia" w:ascii="宋体" w:hAnsi="宋体" w:eastAsia="宋体" w:cs="宋体"/>
          <w:sz w:val="32"/>
          <w:szCs w:val="32"/>
        </w:rPr>
        <w:t>10</w:t>
      </w:r>
      <w:r>
        <w:rPr>
          <w:rFonts w:hint="eastAsia" w:ascii="宋体" w:hAnsi="宋体" w:eastAsia="宋体" w:cs="宋体"/>
          <w:sz w:val="32"/>
          <w:szCs w:val="32"/>
        </w:rPr>
        <w:fldChar w:fldCharType="end"/>
      </w:r>
      <w:r>
        <w:rPr>
          <w:rFonts w:hint="eastAsia" w:ascii="宋体" w:hAnsi="宋体" w:eastAsia="宋体" w:cs="宋体"/>
          <w:color w:val="auto"/>
          <w:sz w:val="32"/>
          <w:szCs w:val="32"/>
          <w:lang w:val="en-US" w:eastAsia="zh-CN" w:bidi="ar-SA"/>
        </w:rPr>
        <w:fldChar w:fldCharType="end"/>
      </w:r>
    </w:p>
    <w:p w14:paraId="6D55616D">
      <w:pPr>
        <w:pStyle w:val="26"/>
        <w:keepNext w:val="0"/>
        <w:keepLines w:val="0"/>
        <w:pageBreakBefore w:val="0"/>
        <w:widowControl/>
        <w:tabs>
          <w:tab w:val="right" w:leader="dot" w:pos="9637"/>
        </w:tabs>
        <w:kinsoku/>
        <w:wordWrap/>
        <w:overflowPunct/>
        <w:topLinePunct w:val="0"/>
        <w:autoSpaceDE/>
        <w:autoSpaceDN/>
        <w:bidi w:val="0"/>
        <w:adjustRightInd w:val="0"/>
        <w:snapToGrid w:val="0"/>
        <w:spacing w:before="0" w:after="0" w:line="480" w:lineRule="auto"/>
        <w:ind w:firstLine="321" w:firstLineChars="100"/>
        <w:textAlignment w:val="auto"/>
        <w:rPr>
          <w:rFonts w:hint="eastAsia" w:ascii="宋体" w:hAnsi="宋体" w:eastAsia="宋体" w:cs="宋体"/>
          <w:sz w:val="32"/>
          <w:szCs w:val="32"/>
        </w:rPr>
      </w:pPr>
      <w:r>
        <w:rPr>
          <w:rFonts w:hint="eastAsia" w:ascii="宋体" w:hAnsi="宋体" w:eastAsia="宋体" w:cs="宋体"/>
          <w:color w:val="auto"/>
          <w:sz w:val="32"/>
          <w:szCs w:val="32"/>
          <w:lang w:val="en-US" w:eastAsia="zh-CN" w:bidi="ar-SA"/>
        </w:rPr>
        <w:fldChar w:fldCharType="begin"/>
      </w:r>
      <w:r>
        <w:rPr>
          <w:rFonts w:hint="eastAsia" w:ascii="宋体" w:hAnsi="宋体" w:eastAsia="宋体" w:cs="宋体"/>
          <w:sz w:val="32"/>
          <w:szCs w:val="32"/>
          <w:lang w:val="en-US" w:eastAsia="zh-CN" w:bidi="ar-SA"/>
        </w:rPr>
        <w:instrText xml:space="preserve"> HYPERLINK \l _Toc2524 </w:instrText>
      </w:r>
      <w:r>
        <w:rPr>
          <w:rFonts w:hint="eastAsia" w:ascii="宋体" w:hAnsi="宋体" w:eastAsia="宋体" w:cs="宋体"/>
          <w:sz w:val="32"/>
          <w:szCs w:val="32"/>
          <w:lang w:val="en-US" w:eastAsia="zh-CN" w:bidi="ar-SA"/>
        </w:rPr>
        <w:fldChar w:fldCharType="separate"/>
      </w:r>
      <w:r>
        <w:rPr>
          <w:rFonts w:hint="eastAsia" w:ascii="宋体" w:hAnsi="宋体" w:eastAsia="宋体" w:cs="宋体"/>
          <w:sz w:val="32"/>
          <w:szCs w:val="32"/>
          <w:lang w:val="en-US" w:eastAsia="zh-CN"/>
        </w:rPr>
        <w:t>第四章</w:t>
      </w: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采购内容及技术要求</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_Toc2524 \h </w:instrText>
      </w:r>
      <w:r>
        <w:rPr>
          <w:rFonts w:hint="eastAsia" w:ascii="宋体" w:hAnsi="宋体" w:eastAsia="宋体" w:cs="宋体"/>
          <w:sz w:val="32"/>
          <w:szCs w:val="32"/>
        </w:rPr>
        <w:fldChar w:fldCharType="separate"/>
      </w:r>
      <w:r>
        <w:rPr>
          <w:rFonts w:hint="eastAsia" w:ascii="宋体" w:hAnsi="宋体" w:eastAsia="宋体" w:cs="宋体"/>
          <w:sz w:val="32"/>
          <w:szCs w:val="32"/>
        </w:rPr>
        <w:t>28</w:t>
      </w:r>
      <w:r>
        <w:rPr>
          <w:rFonts w:hint="eastAsia" w:ascii="宋体" w:hAnsi="宋体" w:eastAsia="宋体" w:cs="宋体"/>
          <w:sz w:val="32"/>
          <w:szCs w:val="32"/>
        </w:rPr>
        <w:fldChar w:fldCharType="end"/>
      </w:r>
      <w:r>
        <w:rPr>
          <w:rFonts w:hint="eastAsia" w:ascii="宋体" w:hAnsi="宋体" w:eastAsia="宋体" w:cs="宋体"/>
          <w:color w:val="auto"/>
          <w:sz w:val="32"/>
          <w:szCs w:val="32"/>
          <w:lang w:val="en-US" w:eastAsia="zh-CN" w:bidi="ar-SA"/>
        </w:rPr>
        <w:fldChar w:fldCharType="end"/>
      </w:r>
    </w:p>
    <w:p w14:paraId="6973A48C">
      <w:pPr>
        <w:pStyle w:val="26"/>
        <w:keepNext w:val="0"/>
        <w:keepLines w:val="0"/>
        <w:pageBreakBefore w:val="0"/>
        <w:widowControl/>
        <w:tabs>
          <w:tab w:val="right" w:leader="dot" w:pos="9637"/>
        </w:tabs>
        <w:kinsoku/>
        <w:wordWrap/>
        <w:overflowPunct/>
        <w:topLinePunct w:val="0"/>
        <w:autoSpaceDE/>
        <w:autoSpaceDN/>
        <w:bidi w:val="0"/>
        <w:adjustRightInd w:val="0"/>
        <w:snapToGrid w:val="0"/>
        <w:spacing w:before="0" w:after="0" w:line="480" w:lineRule="auto"/>
        <w:ind w:firstLine="321" w:firstLineChars="100"/>
        <w:textAlignment w:val="auto"/>
        <w:rPr>
          <w:rFonts w:hint="eastAsia" w:ascii="宋体" w:hAnsi="宋体" w:eastAsia="宋体" w:cs="宋体"/>
          <w:sz w:val="32"/>
          <w:szCs w:val="32"/>
        </w:rPr>
      </w:pPr>
      <w:r>
        <w:rPr>
          <w:rFonts w:hint="eastAsia" w:ascii="宋体" w:hAnsi="宋体" w:eastAsia="宋体" w:cs="宋体"/>
          <w:color w:val="auto"/>
          <w:sz w:val="32"/>
          <w:szCs w:val="32"/>
          <w:lang w:val="en-US" w:eastAsia="zh-CN" w:bidi="ar-SA"/>
        </w:rPr>
        <w:fldChar w:fldCharType="begin"/>
      </w:r>
      <w:r>
        <w:rPr>
          <w:rFonts w:hint="eastAsia" w:ascii="宋体" w:hAnsi="宋体" w:eastAsia="宋体" w:cs="宋体"/>
          <w:sz w:val="32"/>
          <w:szCs w:val="32"/>
          <w:lang w:val="en-US" w:eastAsia="zh-CN" w:bidi="ar-SA"/>
        </w:rPr>
        <w:instrText xml:space="preserve"> HYPERLINK \l _Toc20576 </w:instrText>
      </w:r>
      <w:r>
        <w:rPr>
          <w:rFonts w:hint="eastAsia" w:ascii="宋体" w:hAnsi="宋体" w:eastAsia="宋体" w:cs="宋体"/>
          <w:sz w:val="32"/>
          <w:szCs w:val="32"/>
          <w:lang w:val="en-US" w:eastAsia="zh-CN" w:bidi="ar-SA"/>
        </w:rPr>
        <w:fldChar w:fldCharType="separate"/>
      </w:r>
      <w:r>
        <w:rPr>
          <w:rFonts w:hint="eastAsia" w:ascii="宋体" w:hAnsi="宋体" w:eastAsia="宋体" w:cs="宋体"/>
          <w:sz w:val="32"/>
          <w:szCs w:val="32"/>
          <w:lang w:val="en-US" w:eastAsia="zh-CN"/>
        </w:rPr>
        <w:t>第五章  合同主要条款</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_Toc20576 \h </w:instrText>
      </w:r>
      <w:r>
        <w:rPr>
          <w:rFonts w:hint="eastAsia" w:ascii="宋体" w:hAnsi="宋体" w:eastAsia="宋体" w:cs="宋体"/>
          <w:sz w:val="32"/>
          <w:szCs w:val="32"/>
        </w:rPr>
        <w:fldChar w:fldCharType="separate"/>
      </w:r>
      <w:r>
        <w:rPr>
          <w:rFonts w:hint="eastAsia" w:ascii="宋体" w:hAnsi="宋体" w:eastAsia="宋体" w:cs="宋体"/>
          <w:sz w:val="32"/>
          <w:szCs w:val="32"/>
        </w:rPr>
        <w:t>32</w:t>
      </w:r>
      <w:r>
        <w:rPr>
          <w:rFonts w:hint="eastAsia" w:ascii="宋体" w:hAnsi="宋体" w:eastAsia="宋体" w:cs="宋体"/>
          <w:sz w:val="32"/>
          <w:szCs w:val="32"/>
        </w:rPr>
        <w:fldChar w:fldCharType="end"/>
      </w:r>
      <w:r>
        <w:rPr>
          <w:rFonts w:hint="eastAsia" w:ascii="宋体" w:hAnsi="宋体" w:eastAsia="宋体" w:cs="宋体"/>
          <w:color w:val="auto"/>
          <w:sz w:val="32"/>
          <w:szCs w:val="32"/>
          <w:lang w:val="en-US" w:eastAsia="zh-CN" w:bidi="ar-SA"/>
        </w:rPr>
        <w:fldChar w:fldCharType="end"/>
      </w:r>
    </w:p>
    <w:p w14:paraId="193ED535">
      <w:pPr>
        <w:pStyle w:val="26"/>
        <w:keepNext w:val="0"/>
        <w:keepLines w:val="0"/>
        <w:pageBreakBefore w:val="0"/>
        <w:widowControl/>
        <w:tabs>
          <w:tab w:val="right" w:leader="dot" w:pos="9637"/>
        </w:tabs>
        <w:kinsoku/>
        <w:wordWrap/>
        <w:overflowPunct/>
        <w:topLinePunct w:val="0"/>
        <w:autoSpaceDE/>
        <w:autoSpaceDN/>
        <w:bidi w:val="0"/>
        <w:adjustRightInd w:val="0"/>
        <w:snapToGrid w:val="0"/>
        <w:spacing w:before="0" w:after="0" w:line="480" w:lineRule="auto"/>
        <w:ind w:firstLine="321" w:firstLineChars="100"/>
        <w:textAlignment w:val="auto"/>
        <w:rPr>
          <w:rFonts w:hint="eastAsia" w:ascii="宋体" w:hAnsi="宋体" w:eastAsia="宋体" w:cs="宋体"/>
          <w:sz w:val="32"/>
          <w:szCs w:val="32"/>
        </w:rPr>
      </w:pPr>
      <w:r>
        <w:rPr>
          <w:rFonts w:hint="eastAsia" w:ascii="宋体" w:hAnsi="宋体" w:eastAsia="宋体" w:cs="宋体"/>
          <w:color w:val="auto"/>
          <w:sz w:val="32"/>
          <w:szCs w:val="32"/>
          <w:lang w:val="en-US" w:eastAsia="zh-CN" w:bidi="ar-SA"/>
        </w:rPr>
        <w:fldChar w:fldCharType="begin"/>
      </w:r>
      <w:r>
        <w:rPr>
          <w:rFonts w:hint="eastAsia" w:ascii="宋体" w:hAnsi="宋体" w:eastAsia="宋体" w:cs="宋体"/>
          <w:sz w:val="32"/>
          <w:szCs w:val="32"/>
          <w:lang w:val="en-US" w:eastAsia="zh-CN" w:bidi="ar-SA"/>
        </w:rPr>
        <w:instrText xml:space="preserve"> HYPERLINK \l _Toc16571 </w:instrText>
      </w:r>
      <w:r>
        <w:rPr>
          <w:rFonts w:hint="eastAsia" w:ascii="宋体" w:hAnsi="宋体" w:eastAsia="宋体" w:cs="宋体"/>
          <w:sz w:val="32"/>
          <w:szCs w:val="32"/>
          <w:lang w:val="en-US" w:eastAsia="zh-CN" w:bidi="ar-SA"/>
        </w:rPr>
        <w:fldChar w:fldCharType="separate"/>
      </w:r>
      <w:r>
        <w:rPr>
          <w:rFonts w:hint="eastAsia" w:ascii="宋体" w:hAnsi="宋体" w:eastAsia="宋体" w:cs="宋体"/>
          <w:sz w:val="32"/>
          <w:szCs w:val="32"/>
          <w:lang w:val="en-US" w:eastAsia="zh-CN"/>
        </w:rPr>
        <w:t>第六章  响应文件格式</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_Toc16571 \h </w:instrText>
      </w:r>
      <w:r>
        <w:rPr>
          <w:rFonts w:hint="eastAsia" w:ascii="宋体" w:hAnsi="宋体" w:eastAsia="宋体" w:cs="宋体"/>
          <w:sz w:val="32"/>
          <w:szCs w:val="32"/>
        </w:rPr>
        <w:fldChar w:fldCharType="separate"/>
      </w:r>
      <w:r>
        <w:rPr>
          <w:rFonts w:hint="eastAsia" w:ascii="宋体" w:hAnsi="宋体" w:eastAsia="宋体" w:cs="宋体"/>
          <w:sz w:val="32"/>
          <w:szCs w:val="32"/>
        </w:rPr>
        <w:t>35</w:t>
      </w:r>
      <w:r>
        <w:rPr>
          <w:rFonts w:hint="eastAsia" w:ascii="宋体" w:hAnsi="宋体" w:eastAsia="宋体" w:cs="宋体"/>
          <w:sz w:val="32"/>
          <w:szCs w:val="32"/>
        </w:rPr>
        <w:fldChar w:fldCharType="end"/>
      </w:r>
      <w:r>
        <w:rPr>
          <w:rFonts w:hint="eastAsia" w:ascii="宋体" w:hAnsi="宋体" w:eastAsia="宋体" w:cs="宋体"/>
          <w:color w:val="auto"/>
          <w:sz w:val="32"/>
          <w:szCs w:val="32"/>
          <w:lang w:val="en-US" w:eastAsia="zh-CN" w:bidi="ar-SA"/>
        </w:rPr>
        <w:fldChar w:fldCharType="end"/>
      </w:r>
    </w:p>
    <w:p w14:paraId="756C9648">
      <w:pPr>
        <w:pStyle w:val="6"/>
        <w:keepNext w:val="0"/>
        <w:keepLines w:val="0"/>
        <w:pageBreakBefore w:val="0"/>
        <w:widowControl/>
        <w:kinsoku/>
        <w:wordWrap/>
        <w:overflowPunct/>
        <w:topLinePunct w:val="0"/>
        <w:autoSpaceDE/>
        <w:autoSpaceDN/>
        <w:bidi w:val="0"/>
        <w:adjustRightInd w:val="0"/>
        <w:snapToGrid w:val="0"/>
        <w:spacing w:line="480" w:lineRule="auto"/>
        <w:ind w:left="0"/>
        <w:textAlignment w:val="auto"/>
        <w:rPr>
          <w:color w:val="auto"/>
          <w:sz w:val="44"/>
          <w:szCs w:val="44"/>
          <w:lang w:val="en-US" w:eastAsia="zh-CN" w:bidi="ar-SA"/>
        </w:rPr>
      </w:pPr>
      <w:r>
        <w:rPr>
          <w:rFonts w:hint="eastAsia" w:ascii="宋体" w:hAnsi="宋体" w:eastAsia="宋体" w:cs="宋体"/>
          <w:color w:val="auto"/>
          <w:sz w:val="32"/>
          <w:szCs w:val="32"/>
          <w:lang w:val="en-US" w:eastAsia="zh-CN" w:bidi="ar-SA"/>
        </w:rPr>
        <w:fldChar w:fldCharType="end"/>
      </w:r>
    </w:p>
    <w:p w14:paraId="22D8C44F">
      <w:pPr>
        <w:tabs>
          <w:tab w:val="left" w:pos="2643"/>
        </w:tabs>
        <w:rPr>
          <w:rFonts w:hint="default" w:eastAsia="华文仿宋"/>
          <w:color w:val="auto"/>
          <w:lang w:val="en-US" w:eastAsia="zh-CN"/>
        </w:rPr>
        <w:sectPr>
          <w:headerReference r:id="rId9" w:type="default"/>
          <w:footerReference r:id="rId10" w:type="default"/>
          <w:pgSz w:w="11905" w:h="16838"/>
          <w:pgMar w:top="1247" w:right="1134" w:bottom="1247" w:left="1134" w:header="964" w:footer="964" w:gutter="0"/>
          <w:pgNumType w:fmt="decimal" w:start="1"/>
          <w:cols w:space="0" w:num="1"/>
          <w:rtlGutter w:val="0"/>
          <w:docGrid w:type="lines" w:linePitch="398" w:charSpace="0"/>
        </w:sectPr>
      </w:pPr>
      <w:r>
        <w:rPr>
          <w:color w:val="auto"/>
        </w:rPr>
        <w:tab/>
      </w:r>
      <w:r>
        <w:rPr>
          <w:rFonts w:hint="eastAsia"/>
          <w:color w:val="auto"/>
          <w:lang w:val="en-US" w:eastAsia="zh-CN"/>
        </w:rPr>
        <w:t xml:space="preserve">            </w:t>
      </w:r>
    </w:p>
    <w:p w14:paraId="7A22303E">
      <w:pPr>
        <w:pStyle w:val="3"/>
        <w:keepNext/>
        <w:keepLines/>
        <w:pageBreakBefore w:val="0"/>
        <w:widowControl/>
        <w:tabs>
          <w:tab w:val="center" w:pos="4433"/>
          <w:tab w:val="left" w:pos="7415"/>
        </w:tabs>
        <w:kinsoku/>
        <w:wordWrap/>
        <w:overflowPunct/>
        <w:topLinePunct w:val="0"/>
        <w:autoSpaceDE/>
        <w:autoSpaceDN/>
        <w:bidi w:val="0"/>
        <w:adjustRightInd/>
        <w:snapToGrid/>
        <w:spacing w:before="192" w:beforeLines="50" w:after="192" w:afterLines="50" w:line="460" w:lineRule="exact"/>
        <w:textAlignment w:val="auto"/>
        <w:rPr>
          <w:rFonts w:hint="eastAsia" w:ascii="宋体" w:hAnsi="宋体" w:eastAsia="宋体" w:cs="宋体"/>
          <w:color w:val="auto"/>
          <w:lang w:eastAsia="zh-CN"/>
        </w:rPr>
      </w:pPr>
      <w:bookmarkStart w:id="0" w:name="_Toc23316577"/>
      <w:bookmarkStart w:id="1" w:name="_Toc14189263"/>
      <w:bookmarkStart w:id="2" w:name="_Toc18412192"/>
      <w:bookmarkStart w:id="3" w:name="_Toc27856"/>
      <w:bookmarkStart w:id="4" w:name="_Toc23316513"/>
      <w:bookmarkStart w:id="5" w:name="_Toc23316675"/>
      <w:bookmarkStart w:id="6" w:name="_Toc14189400"/>
      <w:bookmarkStart w:id="7" w:name="_Toc23315653"/>
      <w:bookmarkStart w:id="8" w:name="_Toc30595"/>
      <w:bookmarkStart w:id="9" w:name="OLE_LINK1"/>
      <w:r>
        <w:rPr>
          <w:rFonts w:hint="eastAsia" w:ascii="宋体" w:hAnsi="宋体" w:eastAsia="宋体" w:cs="宋体"/>
          <w:color w:val="auto"/>
        </w:rPr>
        <w:t xml:space="preserve">第一章 </w:t>
      </w:r>
      <w:bookmarkStart w:id="10" w:name="OLE_LINK7"/>
      <w:r>
        <w:rPr>
          <w:rFonts w:hint="eastAsia" w:ascii="宋体" w:hAnsi="宋体" w:eastAsia="宋体" w:cs="宋体"/>
          <w:color w:val="auto"/>
        </w:rPr>
        <w:t xml:space="preserve"> </w:t>
      </w:r>
      <w:bookmarkStart w:id="11" w:name="OLE_LINK4"/>
      <w:bookmarkStart w:id="12" w:name="OLE_LINK2"/>
      <w:bookmarkStart w:id="13" w:name="OLE_LINK6"/>
      <w:bookmarkStart w:id="14" w:name="OLE_LINK5"/>
      <w:bookmarkStart w:id="15" w:name="OLE_LINK3"/>
      <w:bookmarkStart w:id="16" w:name="OLE_LINK8"/>
      <w:r>
        <w:rPr>
          <w:rFonts w:hint="eastAsia" w:ascii="宋体" w:hAnsi="宋体" w:eastAsia="宋体" w:cs="宋体"/>
          <w:color w:val="auto"/>
          <w:lang w:val="en-US" w:eastAsia="zh-CN"/>
        </w:rPr>
        <w:t>竞争性</w:t>
      </w:r>
      <w:r>
        <w:rPr>
          <w:rFonts w:hint="eastAsia" w:ascii="宋体" w:hAnsi="宋体" w:eastAsia="宋体" w:cs="宋体"/>
          <w:color w:val="auto"/>
        </w:rPr>
        <w:t>谈判</w:t>
      </w:r>
      <w:bookmarkEnd w:id="0"/>
      <w:bookmarkEnd w:id="1"/>
      <w:bookmarkEnd w:id="2"/>
      <w:bookmarkEnd w:id="3"/>
      <w:bookmarkEnd w:id="4"/>
      <w:bookmarkEnd w:id="5"/>
      <w:bookmarkEnd w:id="6"/>
      <w:bookmarkEnd w:id="7"/>
      <w:r>
        <w:rPr>
          <w:rFonts w:hint="eastAsia" w:ascii="宋体" w:hAnsi="宋体" w:eastAsia="宋体" w:cs="宋体"/>
          <w:color w:val="auto"/>
          <w:lang w:val="en-US" w:eastAsia="zh-CN"/>
        </w:rPr>
        <w:t>公告</w:t>
      </w:r>
      <w:bookmarkEnd w:id="8"/>
    </w:p>
    <w:bookmarkEnd w:id="9"/>
    <w:bookmarkEnd w:id="10"/>
    <w:bookmarkEnd w:id="11"/>
    <w:bookmarkEnd w:id="12"/>
    <w:bookmarkEnd w:id="13"/>
    <w:bookmarkEnd w:id="14"/>
    <w:bookmarkEnd w:id="15"/>
    <w:bookmarkEnd w:id="16"/>
    <w:p w14:paraId="46C0CE02">
      <w:pPr>
        <w:pStyle w:val="95"/>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720" w:firstLineChars="300"/>
        <w:jc w:val="lef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bookmarkStart w:id="17" w:name="_Toc23315654"/>
      <w:bookmarkStart w:id="18" w:name="_Toc14189401"/>
      <w:bookmarkStart w:id="19" w:name="_Toc23316514"/>
      <w:bookmarkStart w:id="20" w:name="_Toc14189264"/>
      <w:bookmarkStart w:id="21" w:name="_Toc10418"/>
      <w:bookmarkStart w:id="22" w:name="_Toc23316578"/>
      <w:bookmarkStart w:id="23" w:name="_Toc18412193"/>
      <w:bookmarkStart w:id="24" w:name="_Toc23316676"/>
      <w:r>
        <w:rPr>
          <w:rFonts w:hint="eastAsia" w:ascii="宋体" w:hAnsi="宋体" w:eastAsia="宋体" w:cs="宋体"/>
          <w:color w:val="auto"/>
          <w:kern w:val="0"/>
          <w:sz w:val="24"/>
          <w:szCs w:val="24"/>
          <w:lang w:val="en-US" w:eastAsia="zh-CN"/>
        </w:rPr>
        <w:t>挂式污泥脱水设备采购项目（三次）的潜在</w:t>
      </w:r>
      <w:r>
        <w:rPr>
          <w:rFonts w:hint="eastAsia" w:ascii="宋体" w:hAnsi="宋体" w:eastAsia="宋体" w:cs="宋体"/>
          <w:color w:val="auto"/>
          <w:kern w:val="0"/>
          <w:sz w:val="24"/>
          <w:szCs w:val="24"/>
        </w:rPr>
        <w:t>供应商应在</w:t>
      </w:r>
      <w:r>
        <w:rPr>
          <w:rFonts w:hint="eastAsia" w:ascii="宋体" w:hAnsi="宋体" w:eastAsia="宋体" w:cs="宋体"/>
          <w:sz w:val="24"/>
          <w:szCs w:val="24"/>
          <w:lang w:val="en-US" w:eastAsia="zh-CN" w:bidi="ar"/>
        </w:rPr>
        <w:t>全国公共资源交易平台（陕西省 安康市）</w:t>
      </w:r>
      <w:r>
        <w:rPr>
          <w:rFonts w:hint="eastAsia" w:ascii="宋体" w:hAnsi="宋体" w:eastAsia="宋体" w:cs="宋体"/>
          <w:color w:val="auto"/>
          <w:kern w:val="0"/>
          <w:sz w:val="24"/>
          <w:szCs w:val="24"/>
        </w:rPr>
        <w:t>获取采购文件。</w:t>
      </w:r>
      <w:r>
        <w:rPr>
          <w:rFonts w:hint="eastAsia" w:ascii="宋体" w:hAnsi="宋体" w:eastAsia="宋体" w:cs="宋体"/>
          <w:color w:val="auto"/>
          <w:kern w:val="0"/>
          <w:sz w:val="24"/>
          <w:szCs w:val="24"/>
          <w:highlight w:val="none"/>
        </w:rPr>
        <w:t>并于</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 xml:space="preserve">09:00 </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kern w:val="0"/>
          <w:sz w:val="24"/>
          <w:szCs w:val="24"/>
          <w:highlight w:val="none"/>
          <w:lang w:eastAsia="zh-CN"/>
        </w:rPr>
        <w:t>（北京时间</w:t>
      </w:r>
      <w:r>
        <w:rPr>
          <w:rFonts w:hint="eastAsia" w:ascii="宋体" w:hAnsi="宋体" w:eastAsia="宋体" w:cs="宋体"/>
          <w:color w:val="000000" w:themeColor="text1"/>
          <w:kern w:val="0"/>
          <w:sz w:val="24"/>
          <w:szCs w:val="24"/>
          <w:lang w:eastAsia="zh-CN"/>
          <w14:textFill>
            <w14:solidFill>
              <w14:schemeClr w14:val="tx1"/>
            </w14:solidFill>
          </w14:textFill>
        </w:rPr>
        <w:t>）前提交响应文件。</w:t>
      </w:r>
    </w:p>
    <w:p w14:paraId="78A13EF6">
      <w:pPr>
        <w:pStyle w:val="95"/>
        <w:keepNext w:val="0"/>
        <w:keepLines w:val="0"/>
        <w:pageBreakBefore w:val="0"/>
        <w:widowControl/>
        <w:numPr>
          <w:ilvl w:val="0"/>
          <w:numId w:val="0"/>
        </w:numPr>
        <w:kinsoku/>
        <w:wordWrap/>
        <w:overflowPunct/>
        <w:topLinePunct w:val="0"/>
        <w:autoSpaceDE/>
        <w:autoSpaceDN/>
        <w:bidi w:val="0"/>
        <w:adjustRightInd/>
        <w:snapToGrid w:val="0"/>
        <w:spacing w:line="500" w:lineRule="exact"/>
        <w:jc w:val="left"/>
        <w:textAlignment w:val="auto"/>
        <w:rPr>
          <w:rFonts w:hint="eastAsia" w:ascii="宋体" w:hAnsi="宋体" w:eastAsia="宋体" w:cs="宋体"/>
          <w:b/>
          <w:bCs/>
          <w:color w:val="000000" w:themeColor="text1"/>
          <w:kern w:val="0"/>
          <w:sz w:val="24"/>
          <w:szCs w:val="24"/>
          <w:lang w:eastAsia="zh-CN"/>
          <w14:textFill>
            <w14:solidFill>
              <w14:schemeClr w14:val="tx1"/>
            </w14:solidFill>
          </w14:textFill>
        </w:rPr>
      </w:pPr>
      <w:r>
        <w:rPr>
          <w:rFonts w:hint="eastAsia" w:ascii="宋体" w:hAnsi="宋体" w:eastAsia="宋体" w:cs="宋体"/>
          <w:b/>
          <w:bCs/>
          <w:color w:val="000000" w:themeColor="text1"/>
          <w:kern w:val="0"/>
          <w:sz w:val="24"/>
          <w:szCs w:val="24"/>
          <w:lang w:eastAsia="zh-CN"/>
          <w14:textFill>
            <w14:solidFill>
              <w14:schemeClr w14:val="tx1"/>
            </w14:solidFill>
          </w14:textFill>
        </w:rPr>
        <w:t>一、项目基本情况</w:t>
      </w:r>
    </w:p>
    <w:p w14:paraId="3AA266F3">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color w:val="000000" w:themeColor="text1"/>
          <w:kern w:val="0"/>
          <w:sz w:val="24"/>
          <w:szCs w:val="24"/>
          <w:highlight w:val="red"/>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lang w:eastAsia="zh-CN"/>
          <w14:textFill>
            <w14:solidFill>
              <w14:schemeClr w14:val="tx1"/>
            </w14:solidFill>
          </w14:textFill>
        </w:rPr>
        <w:t>项目编号</w:t>
      </w:r>
      <w:r>
        <w:rPr>
          <w:rFonts w:hint="eastAsia" w:ascii="宋体" w:hAnsi="宋体" w:eastAsia="宋体" w:cs="宋体"/>
          <w:color w:val="000000" w:themeColor="text1"/>
          <w:kern w:val="0"/>
          <w:sz w:val="24"/>
          <w:szCs w:val="24"/>
          <w:lang w:val="en-US" w:eastAsia="zh-CN" w:bidi="ar-SA"/>
          <w14:textFill>
            <w14:solidFill>
              <w14:schemeClr w14:val="tx1"/>
            </w14:solidFill>
          </w14:textFill>
        </w:rPr>
        <w:t>：AKSH2025-ZTP-050-3</w:t>
      </w:r>
    </w:p>
    <w:p w14:paraId="2ED6F7DE">
      <w:pPr>
        <w:pStyle w:val="95"/>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2.项目名</w:t>
      </w:r>
      <w:r>
        <w:rPr>
          <w:rFonts w:hint="eastAsia" w:ascii="宋体" w:hAnsi="宋体" w:eastAsia="宋体" w:cs="宋体"/>
          <w:color w:val="000000" w:themeColor="text1"/>
          <w:kern w:val="0"/>
          <w:sz w:val="24"/>
          <w:szCs w:val="24"/>
          <w:lang w:val="en-US" w:eastAsia="zh-CN" w:bidi="ar-SA"/>
          <w14:textFill>
            <w14:solidFill>
              <w14:schemeClr w14:val="tx1"/>
            </w14:solidFill>
          </w14:textFill>
        </w:rPr>
        <w:t>称：挂式污泥脱水设备采购项目（三次）</w:t>
      </w:r>
    </w:p>
    <w:p w14:paraId="04A1B5CA">
      <w:pPr>
        <w:pStyle w:val="95"/>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lang w:eastAsia="zh-CN"/>
          <w14:textFill>
            <w14:solidFill>
              <w14:schemeClr w14:val="tx1"/>
            </w14:solidFill>
          </w14:textFill>
        </w:rPr>
        <w:t>采购方式：竞争性谈判</w:t>
      </w:r>
    </w:p>
    <w:p w14:paraId="1CB58F0F">
      <w:pPr>
        <w:pStyle w:val="95"/>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lang w:eastAsia="zh-CN"/>
          <w14:textFill>
            <w14:solidFill>
              <w14:schemeClr w14:val="tx1"/>
            </w14:solidFill>
          </w14:textFill>
        </w:rPr>
        <w:t>采购预算：</w:t>
      </w:r>
      <w:r>
        <w:rPr>
          <w:rFonts w:hint="eastAsia" w:ascii="宋体" w:hAnsi="宋体" w:eastAsia="宋体" w:cs="宋体"/>
          <w:color w:val="000000" w:themeColor="text1"/>
          <w:kern w:val="0"/>
          <w:sz w:val="24"/>
          <w:szCs w:val="24"/>
          <w:lang w:val="en-US" w:eastAsia="zh-CN"/>
          <w14:textFill>
            <w14:solidFill>
              <w14:schemeClr w14:val="tx1"/>
            </w14:solidFill>
          </w14:textFill>
        </w:rPr>
        <w:t>60</w:t>
      </w:r>
      <w:r>
        <w:rPr>
          <w:rFonts w:hint="eastAsia" w:ascii="宋体" w:hAnsi="宋体" w:eastAsia="宋体" w:cs="宋体"/>
          <w:color w:val="000000" w:themeColor="text1"/>
          <w:kern w:val="0"/>
          <w:sz w:val="24"/>
          <w:szCs w:val="24"/>
          <w:lang w:eastAsia="zh-CN"/>
          <w14:textFill>
            <w14:solidFill>
              <w14:schemeClr w14:val="tx1"/>
            </w14:solidFill>
          </w14:textFill>
        </w:rPr>
        <w:t>0000</w:t>
      </w:r>
      <w:r>
        <w:rPr>
          <w:rFonts w:hint="eastAsia" w:ascii="宋体" w:hAnsi="宋体" w:eastAsia="宋体" w:cs="宋体"/>
          <w:color w:val="000000" w:themeColor="text1"/>
          <w:kern w:val="0"/>
          <w:sz w:val="24"/>
          <w:szCs w:val="24"/>
          <w:lang w:val="en-US" w:eastAsia="zh-CN"/>
          <w14:textFill>
            <w14:solidFill>
              <w14:schemeClr w14:val="tx1"/>
            </w14:solidFill>
          </w14:textFill>
        </w:rPr>
        <w:t>.00元</w:t>
      </w:r>
    </w:p>
    <w:p w14:paraId="24D70B7F">
      <w:pPr>
        <w:pStyle w:val="95"/>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lang w:eastAsia="zh-CN"/>
          <w14:textFill>
            <w14:solidFill>
              <w14:schemeClr w14:val="tx1"/>
            </w14:solidFill>
          </w14:textFill>
        </w:rPr>
        <w:t>采购需求：</w:t>
      </w:r>
      <w:r>
        <w:rPr>
          <w:rFonts w:hint="eastAsia" w:ascii="宋体" w:hAnsi="宋体" w:eastAsia="宋体" w:cs="宋体"/>
          <w:color w:val="000000" w:themeColor="text1"/>
          <w:kern w:val="0"/>
          <w:sz w:val="24"/>
          <w:szCs w:val="24"/>
          <w:lang w:val="en-US" w:eastAsia="zh-CN"/>
          <w14:textFill>
            <w14:solidFill>
              <w14:schemeClr w14:val="tx1"/>
            </w14:solidFill>
          </w14:textFill>
        </w:rPr>
        <w:t>挂式污泥脱水设备采购项目（三次）（</w:t>
      </w:r>
      <w:r>
        <w:rPr>
          <w:rFonts w:hint="eastAsia" w:ascii="宋体" w:hAnsi="宋体" w:eastAsia="宋体" w:cs="宋体"/>
          <w:color w:val="auto"/>
          <w:kern w:val="0"/>
          <w:sz w:val="24"/>
          <w:szCs w:val="24"/>
          <w:highlight w:val="none"/>
          <w:lang w:val="en-US" w:eastAsia="zh-CN"/>
        </w:rPr>
        <w:t>采购内容详见谈判文件第四章采购内容及技术要求）</w:t>
      </w:r>
    </w:p>
    <w:p w14:paraId="54CAB636">
      <w:pPr>
        <w:pStyle w:val="95"/>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lang w:val="en-US" w:eastAsia="zh-CN"/>
        </w:rPr>
        <w:t>6.合同履行期</w:t>
      </w:r>
      <w:r>
        <w:rPr>
          <w:rFonts w:hint="eastAsia" w:ascii="宋体" w:hAnsi="宋体" w:eastAsia="宋体" w:cs="宋体"/>
          <w:color w:val="000000" w:themeColor="text1"/>
          <w:kern w:val="0"/>
          <w:sz w:val="24"/>
          <w:szCs w:val="24"/>
          <w:lang w:val="en-US" w:eastAsia="zh-CN"/>
          <w14:textFill>
            <w14:solidFill>
              <w14:schemeClr w14:val="tx1"/>
            </w14:solidFill>
          </w14:textFill>
        </w:rPr>
        <w:t>：合同签订之日起30天内完成供货。</w:t>
      </w:r>
    </w:p>
    <w:p w14:paraId="7BEA027A">
      <w:pPr>
        <w:pStyle w:val="95"/>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lang w:eastAsia="zh-CN"/>
        </w:rPr>
        <w:t>本项目不接受联合体投标</w:t>
      </w:r>
    </w:p>
    <w:p w14:paraId="794AE622">
      <w:pPr>
        <w:keepNext w:val="0"/>
        <w:keepLines w:val="0"/>
        <w:pageBreakBefore w:val="0"/>
        <w:widowControl/>
        <w:tabs>
          <w:tab w:val="left" w:pos="1620"/>
        </w:tabs>
        <w:kinsoku/>
        <w:wordWrap/>
        <w:overflowPunct/>
        <w:topLinePunct w:val="0"/>
        <w:autoSpaceDE/>
        <w:autoSpaceDN/>
        <w:bidi w:val="0"/>
        <w:adjustRightInd/>
        <w:snapToGrid w:val="0"/>
        <w:spacing w:line="500" w:lineRule="exact"/>
        <w:jc w:val="left"/>
        <w:textAlignment w:val="auto"/>
        <w:outlineLvl w:val="9"/>
        <w:rPr>
          <w:rFonts w:hint="eastAsia" w:ascii="宋体" w:hAnsi="宋体" w:eastAsia="宋体" w:cs="宋体"/>
          <w:b/>
          <w:bCs/>
          <w:color w:val="auto"/>
          <w:kern w:val="0"/>
          <w:sz w:val="24"/>
          <w:szCs w:val="24"/>
        </w:rPr>
      </w:pPr>
      <w:r>
        <w:rPr>
          <w:rFonts w:hint="eastAsia" w:ascii="宋体" w:hAnsi="宋体" w:eastAsia="宋体" w:cs="宋体"/>
          <w:color w:val="auto"/>
          <w:kern w:val="0"/>
          <w:sz w:val="24"/>
          <w:szCs w:val="24"/>
          <w:lang w:val="en-US" w:eastAsia="zh-CN"/>
        </w:rPr>
        <w:t>二</w:t>
      </w: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lang w:val="en-US" w:eastAsia="zh-CN"/>
        </w:rPr>
        <w:t>投标人的资格要求</w:t>
      </w:r>
      <w:r>
        <w:rPr>
          <w:rFonts w:hint="eastAsia" w:ascii="宋体" w:hAnsi="宋体" w:eastAsia="宋体" w:cs="宋体"/>
          <w:b/>
          <w:bCs/>
          <w:color w:val="auto"/>
          <w:kern w:val="0"/>
          <w:sz w:val="24"/>
          <w:szCs w:val="24"/>
        </w:rPr>
        <w:t>：</w:t>
      </w:r>
    </w:p>
    <w:p w14:paraId="0E1137C9">
      <w:pPr>
        <w:keepNext w:val="0"/>
        <w:keepLines w:val="0"/>
        <w:pageBreakBefore w:val="0"/>
        <w:kinsoku/>
        <w:wordWrap/>
        <w:overflowPunct/>
        <w:topLinePunct w:val="0"/>
        <w:autoSpaceDE/>
        <w:autoSpaceDN/>
        <w:bidi w:val="0"/>
        <w:adjustRightInd/>
        <w:spacing w:line="500" w:lineRule="exact"/>
        <w:ind w:firstLine="480" w:firstLineChars="200"/>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color w:val="auto"/>
          <w:sz w:val="24"/>
          <w:szCs w:val="24"/>
          <w:lang w:val="en-US" w:eastAsia="zh-CN"/>
        </w:rPr>
        <w:t>（</w:t>
      </w:r>
      <w:r>
        <w:rPr>
          <w:rFonts w:hint="eastAsia" w:ascii="宋体" w:hAnsi="宋体" w:eastAsia="宋体" w:cs="宋体"/>
          <w:b w:val="0"/>
          <w:bCs w:val="0"/>
          <w:color w:val="auto"/>
          <w:sz w:val="24"/>
          <w:szCs w:val="24"/>
          <w:lang w:val="en-US" w:eastAsia="zh-CN"/>
        </w:rPr>
        <w:t>一）满足</w:t>
      </w:r>
      <w:r>
        <w:rPr>
          <w:rFonts w:hint="eastAsia" w:ascii="宋体" w:hAnsi="宋体" w:eastAsia="宋体" w:cs="宋体"/>
          <w:b w:val="0"/>
          <w:bCs w:val="0"/>
          <w:color w:val="auto"/>
          <w:sz w:val="24"/>
          <w:szCs w:val="24"/>
        </w:rPr>
        <w:t>《中华人民共和国政府采购法》第二十二条的规定</w:t>
      </w:r>
      <w:r>
        <w:rPr>
          <w:rFonts w:hint="eastAsia" w:ascii="宋体" w:hAnsi="宋体" w:eastAsia="宋体" w:cs="宋体"/>
          <w:b w:val="0"/>
          <w:bCs w:val="0"/>
          <w:color w:val="auto"/>
          <w:sz w:val="24"/>
          <w:szCs w:val="24"/>
          <w:lang w:eastAsia="zh-CN"/>
        </w:rPr>
        <w:t>；</w:t>
      </w:r>
    </w:p>
    <w:p w14:paraId="1BDC739B">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（二）特定资格条件： </w:t>
      </w:r>
    </w:p>
    <w:p w14:paraId="0207476E">
      <w:pPr>
        <w:keepNext w:val="0"/>
        <w:keepLines w:val="0"/>
        <w:pageBreakBefore w:val="0"/>
        <w:tabs>
          <w:tab w:val="left" w:pos="567"/>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.具有独立承担民事责任能力的法人、非法人组织或自然人，提供合法有效的营业执照/事业单位法人证书/专业服务机构执业许可证/民办非企业单位登记证书等相关证明，自然人参与地提供其身份证明。</w:t>
      </w:r>
    </w:p>
    <w:p w14:paraId="7769722A">
      <w:pPr>
        <w:keepNext w:val="0"/>
        <w:keepLines w:val="0"/>
        <w:pageBreakBefore w:val="0"/>
        <w:tabs>
          <w:tab w:val="left" w:pos="567"/>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法定代表人授权书及被授权人身份证</w:t>
      </w:r>
      <w:r>
        <w:rPr>
          <w:rFonts w:hint="eastAsia" w:ascii="宋体" w:hAnsi="宋体" w:eastAsia="宋体" w:cs="宋体"/>
          <w:color w:val="auto"/>
          <w:kern w:val="0"/>
          <w:sz w:val="24"/>
          <w:szCs w:val="24"/>
          <w:lang w:val="en-US" w:eastAsia="zh-CN"/>
        </w:rPr>
        <w:t>复印件</w:t>
      </w:r>
      <w:r>
        <w:rPr>
          <w:rFonts w:hint="eastAsia" w:ascii="宋体" w:hAnsi="宋体" w:eastAsia="宋体" w:cs="宋体"/>
          <w:color w:val="auto"/>
          <w:kern w:val="0"/>
          <w:sz w:val="24"/>
          <w:szCs w:val="24"/>
          <w:lang w:eastAsia="zh-CN"/>
        </w:rPr>
        <w:t>（法定代表人直接投标只需提交其身份证明资料）。</w:t>
      </w:r>
    </w:p>
    <w:p w14:paraId="44521260">
      <w:pPr>
        <w:keepNext w:val="0"/>
        <w:keepLines w:val="0"/>
        <w:pageBreakBefore w:val="0"/>
        <w:tabs>
          <w:tab w:val="left" w:pos="567"/>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w:t>
      </w:r>
      <w:r>
        <w:rPr>
          <w:rFonts w:hint="eastAsia" w:ascii="宋体" w:hAnsi="宋体" w:eastAsia="宋体" w:cs="宋体"/>
          <w:kern w:val="2"/>
          <w:sz w:val="24"/>
          <w:szCs w:val="24"/>
          <w:lang w:val="en-US" w:eastAsia="zh-CN" w:bidi="ar"/>
        </w:rPr>
        <w:t>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查询结果为准（响应文件中提供查询结果网页截图并加盖投标人公章，查询日期为从谈判文件获取之日起至投标截止日前，评标现场通过网站对信用记录进行核实）。</w:t>
      </w:r>
    </w:p>
    <w:p w14:paraId="77722FED">
      <w:pPr>
        <w:keepNext w:val="0"/>
        <w:keepLines w:val="0"/>
        <w:pageBreakBefore w:val="0"/>
        <w:tabs>
          <w:tab w:val="left" w:pos="567"/>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 xml:space="preserve">书面声明：投标人必须提供参加政府采购活动前3年内在经营活动中没有重大违法记录的书面声明。 </w:t>
      </w:r>
    </w:p>
    <w:p w14:paraId="1E54171B">
      <w:pPr>
        <w:keepNext w:val="0"/>
        <w:keepLines w:val="0"/>
        <w:pageBreakBefore w:val="0"/>
        <w:tabs>
          <w:tab w:val="left" w:pos="567"/>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5.财务状况报告：提供2023年度或2024年度的财务审计报告或者谈判截止时间六个月内基本开户银行出具的资信证明（成立时间至提交响应文件截止时间不足一年的可提供成立后任意时段的资产负债表）。</w:t>
      </w:r>
    </w:p>
    <w:p w14:paraId="7AB13F26">
      <w:pPr>
        <w:pStyle w:val="56"/>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税收缴纳证明：</w:t>
      </w:r>
      <w:r>
        <w:rPr>
          <w:rFonts w:hint="eastAsia" w:ascii="宋体" w:hAnsi="宋体" w:cs="宋体"/>
          <w:color w:val="auto"/>
          <w:kern w:val="0"/>
          <w:sz w:val="24"/>
          <w:szCs w:val="24"/>
          <w:lang w:val="en-US" w:eastAsia="zh-CN"/>
        </w:rPr>
        <w:t>提供2024年9月至今任意一个月缴纳的纳税证明或完税证明</w:t>
      </w:r>
      <w:r>
        <w:rPr>
          <w:rFonts w:hint="eastAsia" w:ascii="宋体" w:hAnsi="宋体" w:eastAsia="宋体" w:cs="宋体"/>
          <w:color w:val="auto"/>
          <w:kern w:val="0"/>
          <w:sz w:val="24"/>
          <w:szCs w:val="24"/>
          <w:lang w:val="en-US" w:eastAsia="zh-CN"/>
        </w:rPr>
        <w:t>，依法免税或缓缴的单位应提供相关证明材料，纳税证明或完税证明上应有代收机构或税务机关的公章或业务专用章（成立时间至提交响应文件截止时间不足三个月的可不提供）。</w:t>
      </w:r>
    </w:p>
    <w:p w14:paraId="6FF44565">
      <w:pPr>
        <w:pStyle w:val="56"/>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cs="宋体"/>
          <w:color w:val="auto"/>
          <w:sz w:val="24"/>
          <w:szCs w:val="24"/>
          <w:lang w:val="en-US" w:eastAsia="zh-CN"/>
        </w:rPr>
        <w:t>.社会保障资金缴纳证明：提供2024年9月至今任意一个月社会保障资金缴存单据或社保机构开具的社会保险参保缴费情况证明，依法不需要缴纳社会保险资金的单位应提供相关证明材料，单据或证明上应有社保机构或代收机构的印章（成立时间至提交响应文件截止时间不足三个月的可不提供）。</w:t>
      </w:r>
    </w:p>
    <w:p w14:paraId="0776AC4F">
      <w:pPr>
        <w:pStyle w:val="56"/>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本项目专门面向中小企业采购，投标人须提</w:t>
      </w:r>
      <w:r>
        <w:rPr>
          <w:rFonts w:hint="eastAsia" w:ascii="宋体" w:hAnsi="宋体" w:eastAsia="宋体" w:cs="宋体"/>
          <w:color w:val="auto"/>
          <w:sz w:val="24"/>
          <w:szCs w:val="24"/>
          <w:lang w:val="en-US" w:eastAsia="zh-CN"/>
        </w:rPr>
        <w:t>供《中小企业声明函》。</w:t>
      </w:r>
    </w:p>
    <w:p w14:paraId="76BEBB02">
      <w:pPr>
        <w:pStyle w:val="56"/>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9.</w:t>
      </w:r>
      <w:r>
        <w:rPr>
          <w:rFonts w:hint="eastAsia" w:ascii="宋体" w:hAnsi="宋体" w:eastAsia="宋体" w:cs="宋体"/>
          <w:color w:val="auto"/>
          <w:kern w:val="0"/>
          <w:sz w:val="24"/>
          <w:szCs w:val="24"/>
          <w:lang w:eastAsia="zh-CN"/>
        </w:rPr>
        <w:t>本项目不接受联合体投标</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 xml:space="preserve"> </w:t>
      </w:r>
    </w:p>
    <w:p w14:paraId="43AF0D78">
      <w:pPr>
        <w:keepNext w:val="0"/>
        <w:keepLines w:val="0"/>
        <w:pageBreakBefore w:val="0"/>
        <w:numPr>
          <w:ilvl w:val="0"/>
          <w:numId w:val="0"/>
        </w:numPr>
        <w:kinsoku/>
        <w:wordWrap/>
        <w:overflowPunct/>
        <w:topLinePunct w:val="0"/>
        <w:autoSpaceDE/>
        <w:autoSpaceDN/>
        <w:bidi w:val="0"/>
        <w:adjustRightInd/>
        <w:spacing w:line="500" w:lineRule="exact"/>
        <w:ind w:firstLine="240" w:firstLineChars="1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b w:val="0"/>
          <w:bCs/>
          <w:color w:val="auto"/>
          <w:sz w:val="24"/>
          <w:szCs w:val="24"/>
          <w:lang w:val="en-US" w:eastAsia="zh-CN"/>
        </w:rPr>
        <w:t>（三）采购项目需要落实的政府采购政策</w:t>
      </w:r>
    </w:p>
    <w:p w14:paraId="2F280E5F">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依据《中华人民共和国政府采购法》和《中华人民共和国政府采购法实施条例》的有关规定，落实政府采购“优先购买节能环保产品、扶持小微企业、监狱企业、福利企业”等相关政策：</w:t>
      </w:r>
    </w:p>
    <w:p w14:paraId="0973FEF5">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1.《政府采购促进中小企业发展管理办法》（财库〔2020〕46号）；</w:t>
      </w:r>
    </w:p>
    <w:p w14:paraId="5A99D69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2.《财政部司法部关于政府采购支持监狱企业发展有关问题的通知》（财库〔2014〕68号）；</w:t>
      </w:r>
    </w:p>
    <w:p w14:paraId="1B1C8F3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3.《财政部发展改革委生态环境部市场监管总局关于调整优化节能产品、环境标志产品政府采购执行机制的通知》（财库〔2019〕9号）；</w:t>
      </w:r>
    </w:p>
    <w:p w14:paraId="6FDBF3E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4.《财政部民政部中国残疾人联合会关于促进残疾人就业政府采购政策的通知》（财库〔2017〕141号）；</w:t>
      </w:r>
    </w:p>
    <w:p w14:paraId="5BD0D06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5.《财政部农业农村部国家乡村振兴局关于运用政府采购政策支持乡村产业振兴的通知》财库〔2021〕19号；</w:t>
      </w:r>
    </w:p>
    <w:p w14:paraId="05BBA905">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6.《陕西省财政厅关于加快推进我省中小企业政府采购信用融资工作的通知》（陕财办采〔2020〕15 号）、陕西省财政厅关于印发《陕西省中小企业政府采购信用融资办法》（陕财办采〔2018〕23 号）；</w:t>
      </w:r>
    </w:p>
    <w:p w14:paraId="59F65772">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7.其他需要落实的政府采购政策。</w:t>
      </w:r>
    </w:p>
    <w:p w14:paraId="5946935C">
      <w:pPr>
        <w:keepNext w:val="0"/>
        <w:keepLines w:val="0"/>
        <w:pageBreakBefore w:val="0"/>
        <w:kinsoku/>
        <w:wordWrap/>
        <w:overflowPunct/>
        <w:topLinePunct w:val="0"/>
        <w:autoSpaceDE/>
        <w:autoSpaceDN/>
        <w:bidi w:val="0"/>
        <w:adjustRightInd/>
        <w:snapToGrid w:val="0"/>
        <w:spacing w:line="500" w:lineRule="exac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谈判文件获取</w:t>
      </w:r>
      <w:r>
        <w:rPr>
          <w:rFonts w:hint="eastAsia" w:ascii="宋体" w:hAnsi="宋体" w:eastAsia="宋体" w:cs="宋体"/>
          <w:b/>
          <w:bCs/>
          <w:color w:val="auto"/>
          <w:sz w:val="24"/>
          <w:szCs w:val="24"/>
        </w:rPr>
        <w:t xml:space="preserve"> </w:t>
      </w:r>
    </w:p>
    <w:p w14:paraId="04F3DDCD">
      <w:pPr>
        <w:keepNext w:val="0"/>
        <w:keepLines w:val="0"/>
        <w:pageBreakBefore w:val="0"/>
        <w:kinsoku/>
        <w:wordWrap/>
        <w:overflowPunct/>
        <w:topLinePunct w:val="0"/>
        <w:autoSpaceDE/>
        <w:autoSpaceDN/>
        <w:bidi w:val="0"/>
        <w:adjustRightInd/>
        <w:spacing w:line="500" w:lineRule="exact"/>
        <w:ind w:firstLine="480" w:firstLineChars="200"/>
        <w:textAlignment w:val="auto"/>
        <w:outlineLvl w:val="9"/>
        <w:rPr>
          <w:rFonts w:hint="eastAsia" w:ascii="宋体" w:hAnsi="宋体" w:eastAsia="宋体" w:cs="宋体"/>
          <w:color w:val="auto"/>
          <w:kern w:val="0"/>
          <w:sz w:val="24"/>
          <w:szCs w:val="24"/>
        </w:rPr>
      </w:pPr>
      <w:bookmarkStart w:id="25" w:name="_Toc35529352"/>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获取时间</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2"/>
          <w:sz w:val="24"/>
          <w:szCs w:val="24"/>
          <w:highlight w:val="none"/>
          <w:lang w:val="en-US" w:eastAsia="zh-CN" w:bidi="ar-SA"/>
        </w:rPr>
        <w:t>2025年6月14日至2025年6月18日上</w:t>
      </w:r>
      <w:r>
        <w:rPr>
          <w:rFonts w:hint="eastAsia" w:ascii="宋体" w:hAnsi="宋体" w:eastAsia="宋体" w:cs="宋体"/>
          <w:color w:val="auto"/>
          <w:kern w:val="0"/>
          <w:sz w:val="24"/>
          <w:szCs w:val="24"/>
        </w:rPr>
        <w:t>午9</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00-12</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00，下午14</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00-17</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00（节假日除外）。</w:t>
      </w:r>
      <w:bookmarkEnd w:id="25"/>
    </w:p>
    <w:p w14:paraId="6C129F39">
      <w:pPr>
        <w:keepNext w:val="0"/>
        <w:keepLines w:val="0"/>
        <w:pageBreakBefore w:val="0"/>
        <w:kinsoku/>
        <w:wordWrap/>
        <w:overflowPunct/>
        <w:topLinePunct w:val="0"/>
        <w:autoSpaceDE/>
        <w:autoSpaceDN/>
        <w:bidi w:val="0"/>
        <w:adjustRightInd/>
        <w:spacing w:line="500" w:lineRule="exact"/>
        <w:ind w:firstLine="480" w:firstLineChars="200"/>
        <w:textAlignment w:val="auto"/>
        <w:outlineLvl w:val="9"/>
        <w:rPr>
          <w:rFonts w:hint="eastAsia" w:ascii="宋体" w:hAnsi="宋体" w:eastAsia="宋体" w:cs="宋体"/>
          <w:color w:val="auto"/>
          <w:kern w:val="0"/>
          <w:sz w:val="24"/>
          <w:szCs w:val="24"/>
        </w:rPr>
      </w:pPr>
      <w:bookmarkStart w:id="26" w:name="_Toc35529353"/>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获取地点：</w:t>
      </w:r>
      <w:r>
        <w:rPr>
          <w:rFonts w:hint="eastAsia" w:ascii="宋体" w:hAnsi="宋体" w:eastAsia="宋体" w:cs="宋体"/>
          <w:color w:val="000000"/>
          <w:sz w:val="24"/>
          <w:szCs w:val="24"/>
          <w:lang w:val="en-US" w:eastAsia="zh-CN" w:bidi="ar"/>
        </w:rPr>
        <w:t>全国公共资源交易平台（陕西省 安康市）</w:t>
      </w:r>
      <w:r>
        <w:rPr>
          <w:rFonts w:hint="eastAsia" w:ascii="宋体" w:hAnsi="宋体" w:eastAsia="宋体" w:cs="宋体"/>
          <w:color w:val="auto"/>
          <w:kern w:val="0"/>
          <w:sz w:val="24"/>
          <w:szCs w:val="24"/>
        </w:rPr>
        <w:t>。</w:t>
      </w:r>
      <w:bookmarkEnd w:id="26"/>
    </w:p>
    <w:p w14:paraId="3A56F1E1">
      <w:pPr>
        <w:keepNext w:val="0"/>
        <w:keepLines w:val="0"/>
        <w:pageBreakBefore w:val="0"/>
        <w:tabs>
          <w:tab w:val="left" w:pos="567"/>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3.获取方式：在线获取。</w:t>
      </w:r>
    </w:p>
    <w:p w14:paraId="5FD17B2F">
      <w:pPr>
        <w:keepNext w:val="0"/>
        <w:keepLines w:val="0"/>
        <w:pageBreakBefore w:val="0"/>
        <w:tabs>
          <w:tab w:val="left" w:pos="567"/>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kern w:val="2"/>
          <w:sz w:val="24"/>
          <w:szCs w:val="24"/>
          <w:lang w:val="en-US" w:eastAsia="zh-CN" w:bidi="ar"/>
        </w:rPr>
      </w:pPr>
      <w:bookmarkStart w:id="27" w:name="_Toc35529356"/>
      <w:r>
        <w:rPr>
          <w:rFonts w:hint="eastAsia" w:ascii="宋体" w:hAnsi="宋体" w:eastAsia="宋体" w:cs="宋体"/>
          <w:kern w:val="2"/>
          <w:sz w:val="24"/>
          <w:szCs w:val="24"/>
          <w:lang w:val="en-US" w:eastAsia="zh-CN" w:bidi="ar"/>
        </w:rPr>
        <w:t>4.文件售价：免费获取</w:t>
      </w:r>
    </w:p>
    <w:bookmarkEnd w:id="27"/>
    <w:p w14:paraId="74205E02">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备注：（1）获取须知：投标供应商使用捆绑省交易平台的CA锁登录电子交易平台，选择电子交易平台中的陕西政府采购交易系统企业端进行登录，登录后选择“交易乙方”身份进入供应商界面进行网上报名。（2）采购代理公司确认：供应商须在采购文件获取时间内将报名回执单、介绍信（备注经办人联系电话及电子邮箱）、身份证复印件加盖公章递交至安康尚昊招标代理有限公司，代理公司确认报名资料无误后方可下载文件，（3）未完成网上投标成功的或未经采购代理公司确认或未在规定时间内在平台上下载文件的，导致无法完成后续流程或因供应商未提交报名资料无法接收后续相关信息的责任自负。 （4）本项目采用电子化投标及远程不见面开标方式，相关操作流程详见全国公共资源交易平台（陕西省）网站[服务指南－下载专区]中的《陕西省公共资源交易中心政府采购项目投标指南》。开标前，供应商需登录网络开标大厅。开标时，按照工作人员要求进行远程解密，如因供应商自身原因造成无法签到或解密投标文件，按无效投标对待。（5）电子投标文件技术支持：4009280095、4009980000。（6）请各供应商获取招标文件后，按照陕西省财政厅《关于政府采购供应商注册登记有关事项的通知》要求，通过陕西省政府采购网注册登记加入陕西省政府采购供应商库。</w:t>
      </w:r>
    </w:p>
    <w:p w14:paraId="2444C743">
      <w:pPr>
        <w:keepNext w:val="0"/>
        <w:keepLines w:val="0"/>
        <w:pageBreakBefore w:val="0"/>
        <w:kinsoku/>
        <w:wordWrap/>
        <w:overflowPunct/>
        <w:topLinePunct w:val="0"/>
        <w:autoSpaceDE/>
        <w:autoSpaceDN/>
        <w:bidi w:val="0"/>
        <w:adjustRightInd/>
        <w:spacing w:line="500" w:lineRule="exact"/>
        <w:textAlignment w:val="auto"/>
        <w:outlineLvl w:val="9"/>
        <w:rPr>
          <w:rFonts w:hint="eastAsia" w:ascii="宋体" w:hAnsi="宋体" w:eastAsia="宋体" w:cs="宋体"/>
          <w:b/>
          <w:bCs/>
          <w:color w:val="auto"/>
          <w:kern w:val="0"/>
          <w:sz w:val="24"/>
          <w:szCs w:val="24"/>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w:t>
      </w:r>
      <w:r>
        <w:rPr>
          <w:rFonts w:hint="eastAsia" w:ascii="宋体" w:hAnsi="宋体" w:eastAsia="宋体" w:cs="宋体"/>
          <w:b/>
          <w:bCs/>
          <w:color w:val="auto"/>
          <w:kern w:val="0"/>
          <w:sz w:val="24"/>
          <w:szCs w:val="24"/>
          <w:lang w:val="en-US" w:eastAsia="zh-CN"/>
        </w:rPr>
        <w:t>响应文件递交</w:t>
      </w:r>
      <w:r>
        <w:rPr>
          <w:rFonts w:hint="eastAsia" w:ascii="宋体" w:hAnsi="宋体" w:eastAsia="宋体" w:cs="宋体"/>
          <w:b/>
          <w:bCs/>
          <w:color w:val="auto"/>
          <w:kern w:val="0"/>
          <w:sz w:val="24"/>
          <w:szCs w:val="24"/>
        </w:rPr>
        <w:t>：</w:t>
      </w:r>
    </w:p>
    <w:p w14:paraId="30CB77C6">
      <w:pPr>
        <w:keepNext w:val="0"/>
        <w:keepLines w:val="0"/>
        <w:pageBreakBefore w:val="0"/>
        <w:widowControl/>
        <w:tabs>
          <w:tab w:val="left" w:pos="0"/>
        </w:tabs>
        <w:kinsoku/>
        <w:wordWrap/>
        <w:overflowPunct/>
        <w:topLinePunct w:val="0"/>
        <w:autoSpaceDE/>
        <w:autoSpaceDN/>
        <w:bidi w:val="0"/>
        <w:adjustRightInd/>
        <w:snapToGrid w:val="0"/>
        <w:spacing w:line="500" w:lineRule="exact"/>
        <w:ind w:firstLine="480" w:firstLineChars="200"/>
        <w:jc w:val="left"/>
        <w:textAlignment w:val="auto"/>
        <w:outlineLvl w:val="9"/>
        <w:rPr>
          <w:rFonts w:hint="eastAsia" w:ascii="宋体" w:hAnsi="宋体" w:eastAsia="宋体" w:cs="宋体"/>
          <w:color w:val="000000" w:themeColor="text1"/>
          <w:kern w:val="0"/>
          <w:sz w:val="24"/>
          <w:szCs w:val="24"/>
          <w:highlight w:val="red"/>
          <w:lang w:val="en-US" w:eastAsia="zh-CN" w:bidi="ar-SA"/>
          <w14:textFill>
            <w14:solidFill>
              <w14:schemeClr w14:val="tx1"/>
            </w14:solidFill>
          </w14:textFill>
        </w:rPr>
      </w:pPr>
      <w:r>
        <w:rPr>
          <w:rFonts w:hint="eastAsia" w:ascii="宋体" w:hAnsi="宋体" w:eastAsia="宋体" w:cs="宋体"/>
          <w:color w:val="auto"/>
          <w:kern w:val="0"/>
          <w:sz w:val="24"/>
          <w:szCs w:val="24"/>
          <w:lang w:eastAsia="zh-CN"/>
        </w:rPr>
        <w:t>1.响应</w:t>
      </w:r>
      <w:r>
        <w:rPr>
          <w:rFonts w:hint="eastAsia" w:ascii="宋体" w:hAnsi="宋体" w:eastAsia="宋体" w:cs="宋体"/>
          <w:color w:val="auto"/>
          <w:kern w:val="0"/>
          <w:sz w:val="24"/>
          <w:szCs w:val="24"/>
        </w:rPr>
        <w:t>文件递交截止时间：</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 xml:space="preserve">09:00 </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kern w:val="0"/>
          <w:sz w:val="24"/>
          <w:szCs w:val="24"/>
          <w:highlight w:val="none"/>
          <w:lang w:val="en-US" w:eastAsia="zh-CN"/>
        </w:rPr>
        <w:t xml:space="preserve"> </w:t>
      </w:r>
    </w:p>
    <w:p w14:paraId="772D2CBA">
      <w:pPr>
        <w:keepNext w:val="0"/>
        <w:keepLines w:val="0"/>
        <w:pageBreakBefore w:val="0"/>
        <w:kinsoku/>
        <w:wordWrap/>
        <w:overflowPunct/>
        <w:topLinePunct w:val="0"/>
        <w:autoSpaceDE/>
        <w:autoSpaceDN/>
        <w:bidi w:val="0"/>
        <w:adjustRightInd/>
        <w:spacing w:line="500" w:lineRule="exact"/>
        <w:ind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2.响应</w:t>
      </w:r>
      <w:r>
        <w:rPr>
          <w:rFonts w:hint="eastAsia" w:ascii="宋体" w:hAnsi="宋体" w:eastAsia="宋体" w:cs="宋体"/>
          <w:color w:val="auto"/>
          <w:kern w:val="0"/>
          <w:sz w:val="24"/>
          <w:szCs w:val="24"/>
        </w:rPr>
        <w:t>文件递交地点：全国公共资源交易平台（陕西省</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安康市）</w:t>
      </w:r>
    </w:p>
    <w:p w14:paraId="7528762A">
      <w:pPr>
        <w:keepNext w:val="0"/>
        <w:keepLines w:val="0"/>
        <w:pageBreakBefore w:val="0"/>
        <w:kinsoku/>
        <w:wordWrap/>
        <w:overflowPunct/>
        <w:topLinePunct w:val="0"/>
        <w:autoSpaceDE/>
        <w:autoSpaceDN/>
        <w:bidi w:val="0"/>
        <w:adjustRightInd/>
        <w:spacing w:line="500" w:lineRule="exact"/>
        <w:ind w:firstLine="480" w:firstLineChars="200"/>
        <w:textAlignment w:val="auto"/>
        <w:outlineLvl w:val="9"/>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3.开标地点：</w:t>
      </w:r>
      <w:bookmarkStart w:id="28" w:name="OLE_LINK74"/>
      <w:r>
        <w:rPr>
          <w:rFonts w:ascii="宋体" w:hAnsi="宋体" w:eastAsia="宋体" w:cs="宋体"/>
          <w:sz w:val="24"/>
          <w:szCs w:val="24"/>
        </w:rPr>
        <w:t>安康不见面开标大厅系统</w:t>
      </w:r>
      <w:bookmarkEnd w:id="28"/>
    </w:p>
    <w:p w14:paraId="4F043634">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500" w:lineRule="exact"/>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五、公告期限</w:t>
      </w:r>
      <w:r>
        <w:rPr>
          <w:rFonts w:hint="eastAsia" w:ascii="宋体" w:hAnsi="宋体" w:eastAsia="宋体" w:cs="宋体"/>
          <w:b/>
          <w:bCs/>
          <w:color w:val="auto"/>
          <w:kern w:val="0"/>
          <w:sz w:val="24"/>
          <w:szCs w:val="24"/>
        </w:rPr>
        <w:t>：</w:t>
      </w:r>
      <w:r>
        <w:rPr>
          <w:rFonts w:hint="eastAsia" w:ascii="宋体" w:hAnsi="宋体" w:eastAsia="宋体" w:cs="宋体"/>
          <w:color w:val="auto"/>
          <w:kern w:val="0"/>
          <w:sz w:val="24"/>
          <w:szCs w:val="24"/>
          <w:lang w:val="en-US" w:eastAsia="zh-CN"/>
        </w:rPr>
        <w:t>自本公告发布之日起3个工作日。</w:t>
      </w:r>
    </w:p>
    <w:p w14:paraId="25B5D245">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500" w:lineRule="exact"/>
        <w:jc w:val="left"/>
        <w:textAlignment w:val="auto"/>
        <w:outlineLvl w:val="9"/>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lang w:val="en-US" w:eastAsia="zh-CN"/>
        </w:rPr>
        <w:t>六、其他补充事宜</w:t>
      </w:r>
      <w:r>
        <w:rPr>
          <w:rFonts w:hint="eastAsia" w:ascii="宋体" w:hAnsi="宋体" w:eastAsia="宋体" w:cs="宋体"/>
          <w:b/>
          <w:bCs/>
          <w:color w:val="auto"/>
          <w:kern w:val="0"/>
          <w:sz w:val="24"/>
          <w:szCs w:val="24"/>
        </w:rPr>
        <w:t>：</w:t>
      </w:r>
      <w:r>
        <w:rPr>
          <w:rFonts w:hint="eastAsia" w:ascii="宋体" w:hAnsi="宋体" w:eastAsia="宋体" w:cs="宋体"/>
          <w:color w:val="auto"/>
          <w:kern w:val="0"/>
          <w:sz w:val="24"/>
          <w:szCs w:val="24"/>
          <w:lang w:eastAsia="zh-CN"/>
        </w:rPr>
        <w:t>无</w:t>
      </w:r>
    </w:p>
    <w:p w14:paraId="0B314AB4">
      <w:pPr>
        <w:pStyle w:val="56"/>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9"/>
        <w:rPr>
          <w:rFonts w:hint="eastAsia"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七</w:t>
      </w:r>
      <w:r>
        <w:rPr>
          <w:rFonts w:hint="eastAsia" w:ascii="宋体" w:hAnsi="宋体" w:eastAsia="宋体" w:cs="宋体"/>
          <w:b/>
          <w:bCs/>
          <w:color w:val="auto"/>
          <w:kern w:val="0"/>
          <w:sz w:val="24"/>
          <w:szCs w:val="24"/>
          <w:lang w:val="en-US" w:eastAsia="zh-CN"/>
        </w:rPr>
        <w:t>、对本次采购提出询问，请按以下方式联系</w:t>
      </w:r>
    </w:p>
    <w:p w14:paraId="32D2ADB6">
      <w:pPr>
        <w:pStyle w:val="56"/>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50" w:leftChars="0" w:firstLine="0" w:firstLineChars="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bidi="ar-SA"/>
        </w:rPr>
        <w:t>1</w:t>
      </w:r>
      <w:r>
        <w:rPr>
          <w:rFonts w:hint="eastAsia" w:ascii="宋体" w:hAnsi="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rPr>
        <w:t>采购人信息</w:t>
      </w:r>
    </w:p>
    <w:p w14:paraId="2BCDB7DB">
      <w:pPr>
        <w:pStyle w:val="56"/>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50" w:leftChars="0" w:firstLine="0" w:firstLineChars="0"/>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名    称：安康市市政园林处</w:t>
      </w:r>
    </w:p>
    <w:p w14:paraId="08E511A9">
      <w:pPr>
        <w:pStyle w:val="56"/>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50" w:leftChars="0" w:firstLine="0" w:firstLineChars="0"/>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地    址：安康市汉滨区滨江大道1号建设大厦      </w:t>
      </w:r>
    </w:p>
    <w:p w14:paraId="0A809D7B">
      <w:pPr>
        <w:pStyle w:val="56"/>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50" w:leftChars="0" w:firstLine="0" w:firstLineChars="0"/>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联 系 人：柯女士 </w:t>
      </w:r>
    </w:p>
    <w:p w14:paraId="5D6A4388">
      <w:pPr>
        <w:pStyle w:val="56"/>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50" w:leftChars="0" w:firstLine="0" w:firstLineChars="0"/>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联系方式：0915-3230552  </w:t>
      </w:r>
    </w:p>
    <w:p w14:paraId="2FE7877A">
      <w:pPr>
        <w:pStyle w:val="56"/>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50" w:leftChars="0" w:firstLine="0" w:firstLineChars="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bidi="ar-SA"/>
        </w:rPr>
        <w:t>2</w:t>
      </w:r>
      <w:r>
        <w:rPr>
          <w:rFonts w:hint="eastAsia" w:ascii="宋体" w:hAnsi="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rPr>
        <w:t>采购代理机构信息</w:t>
      </w:r>
    </w:p>
    <w:p w14:paraId="676B7636">
      <w:pPr>
        <w:pStyle w:val="56"/>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50" w:leftChars="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名    称：</w:t>
      </w:r>
      <w:r>
        <w:rPr>
          <w:rFonts w:hint="eastAsia" w:ascii="宋体" w:hAnsi="宋体" w:eastAsia="宋体" w:cs="宋体"/>
          <w:color w:val="auto"/>
          <w:kern w:val="0"/>
          <w:sz w:val="24"/>
          <w:szCs w:val="24"/>
        </w:rPr>
        <w:t>安康尚昊招标代理有限公司</w:t>
      </w:r>
    </w:p>
    <w:p w14:paraId="4FA3216D">
      <w:pPr>
        <w:pStyle w:val="56"/>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50" w:leftChars="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地    址：</w:t>
      </w:r>
      <w:r>
        <w:rPr>
          <w:rFonts w:hint="eastAsia" w:ascii="宋体" w:hAnsi="宋体" w:cs="宋体"/>
          <w:color w:val="auto"/>
          <w:kern w:val="0"/>
          <w:sz w:val="24"/>
          <w:szCs w:val="24"/>
          <w:lang w:eastAsia="zh-CN"/>
        </w:rPr>
        <w:t>安康市高新区高新观澜8栋</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lang w:eastAsia="zh-CN"/>
        </w:rPr>
        <w:t>单元801室</w:t>
      </w:r>
    </w:p>
    <w:p w14:paraId="19B1F10D">
      <w:pPr>
        <w:pStyle w:val="56"/>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50" w:left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联系方式：</w:t>
      </w:r>
      <w:r>
        <w:rPr>
          <w:rFonts w:hint="eastAsia" w:ascii="宋体" w:hAnsi="宋体" w:cs="宋体"/>
          <w:kern w:val="0"/>
          <w:sz w:val="24"/>
          <w:szCs w:val="24"/>
          <w:highlight w:val="none"/>
        </w:rPr>
        <w:t>15991480332</w:t>
      </w:r>
    </w:p>
    <w:p w14:paraId="361FE804">
      <w:pPr>
        <w:pStyle w:val="56"/>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50" w:leftChars="0" w:firstLine="0" w:firstLineChars="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bidi="ar-SA"/>
        </w:rPr>
        <w:t>3</w:t>
      </w:r>
      <w:r>
        <w:rPr>
          <w:rFonts w:hint="eastAsia" w:ascii="宋体" w:hAnsi="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rPr>
        <w:t>项目联系方式</w:t>
      </w:r>
    </w:p>
    <w:p w14:paraId="08C53311">
      <w:pPr>
        <w:pStyle w:val="56"/>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50" w:leftChars="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项目联系人：</w:t>
      </w:r>
      <w:r>
        <w:rPr>
          <w:rFonts w:hint="eastAsia" w:ascii="宋体" w:hAnsi="宋体" w:cs="宋体"/>
          <w:kern w:val="0"/>
          <w:sz w:val="24"/>
          <w:szCs w:val="24"/>
          <w:highlight w:val="none"/>
        </w:rPr>
        <w:t>陈工</w:t>
      </w:r>
    </w:p>
    <w:p w14:paraId="2449857D">
      <w:pPr>
        <w:pStyle w:val="56"/>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50" w:left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 xml:space="preserve">电  </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lang w:val="en-US" w:eastAsia="zh-CN"/>
        </w:rPr>
        <w:t xml:space="preserve">   话：</w:t>
      </w:r>
      <w:r>
        <w:rPr>
          <w:rFonts w:hint="eastAsia" w:ascii="宋体" w:hAnsi="宋体" w:cs="宋体"/>
          <w:kern w:val="0"/>
          <w:sz w:val="24"/>
          <w:szCs w:val="24"/>
          <w:highlight w:val="none"/>
        </w:rPr>
        <w:t>15991480332</w:t>
      </w:r>
    </w:p>
    <w:p w14:paraId="7B1842FB">
      <w:pPr>
        <w:pStyle w:val="56"/>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kern w:val="0"/>
          <w:sz w:val="24"/>
          <w:szCs w:val="24"/>
          <w:lang w:val="en-US" w:eastAsia="zh-CN" w:bidi="ar-SA"/>
        </w:rPr>
      </w:pPr>
    </w:p>
    <w:p w14:paraId="537594FD">
      <w:pPr>
        <w:pStyle w:val="56"/>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kern w:val="0"/>
          <w:sz w:val="24"/>
          <w:szCs w:val="24"/>
          <w:lang w:val="en-US" w:eastAsia="zh-CN" w:bidi="ar-SA"/>
        </w:rPr>
      </w:pPr>
    </w:p>
    <w:p w14:paraId="0F876F03">
      <w:pPr>
        <w:keepNext w:val="0"/>
        <w:keepLines w:val="0"/>
        <w:pageBreakBefore w:val="0"/>
        <w:kinsoku/>
        <w:wordWrap/>
        <w:overflowPunct/>
        <w:topLinePunct w:val="0"/>
        <w:autoSpaceDE/>
        <w:autoSpaceDN/>
        <w:bidi w:val="0"/>
        <w:adjustRightInd/>
        <w:spacing w:line="460" w:lineRule="exact"/>
        <w:ind w:firstLine="480" w:firstLineChars="200"/>
        <w:jc w:val="right"/>
        <w:textAlignment w:val="auto"/>
        <w:rPr>
          <w:rFonts w:hint="eastAsia" w:ascii="宋体" w:hAnsi="宋体" w:eastAsia="宋体" w:cs="宋体"/>
          <w:color w:val="auto"/>
          <w:kern w:val="0"/>
          <w:sz w:val="24"/>
          <w:szCs w:val="24"/>
        </w:rPr>
      </w:pPr>
    </w:p>
    <w:p w14:paraId="5FC17501">
      <w:pPr>
        <w:keepNext w:val="0"/>
        <w:keepLines w:val="0"/>
        <w:pageBreakBefore w:val="0"/>
        <w:kinsoku/>
        <w:wordWrap/>
        <w:overflowPunct/>
        <w:topLinePunct w:val="0"/>
        <w:autoSpaceDE/>
        <w:autoSpaceDN/>
        <w:bidi w:val="0"/>
        <w:adjustRightInd/>
        <w:spacing w:line="460" w:lineRule="exact"/>
        <w:ind w:firstLine="480" w:firstLineChars="200"/>
        <w:jc w:val="right"/>
        <w:textAlignment w:val="auto"/>
        <w:rPr>
          <w:rFonts w:hint="eastAsia" w:ascii="宋体" w:hAnsi="宋体" w:eastAsia="宋体" w:cs="宋体"/>
          <w:color w:val="auto"/>
          <w:kern w:val="0"/>
          <w:sz w:val="24"/>
          <w:szCs w:val="24"/>
        </w:rPr>
      </w:pPr>
    </w:p>
    <w:p w14:paraId="1D927E4D">
      <w:pPr>
        <w:keepNext w:val="0"/>
        <w:keepLines w:val="0"/>
        <w:pageBreakBefore w:val="0"/>
        <w:kinsoku/>
        <w:wordWrap/>
        <w:overflowPunct/>
        <w:topLinePunct w:val="0"/>
        <w:autoSpaceDE/>
        <w:autoSpaceDN/>
        <w:bidi w:val="0"/>
        <w:adjustRightInd/>
        <w:spacing w:line="460" w:lineRule="exact"/>
        <w:ind w:firstLine="480" w:firstLineChars="200"/>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安康尚昊招标代理有限公司</w:t>
      </w:r>
    </w:p>
    <w:p w14:paraId="63C050FA">
      <w:pPr>
        <w:keepNext w:val="0"/>
        <w:keepLines w:val="0"/>
        <w:pageBreakBefore w:val="0"/>
        <w:kinsoku/>
        <w:wordWrap/>
        <w:overflowPunct/>
        <w:topLinePunct w:val="0"/>
        <w:autoSpaceDE/>
        <w:autoSpaceDN/>
        <w:bidi w:val="0"/>
        <w:adjustRightInd/>
        <w:spacing w:line="460" w:lineRule="exact"/>
        <w:ind w:firstLine="480" w:firstLineChars="200"/>
        <w:jc w:val="center"/>
        <w:textAlignment w:val="auto"/>
        <w:rPr>
          <w:rFonts w:hint="eastAsia" w:ascii="宋体" w:hAnsi="宋体" w:eastAsia="宋体" w:cs="宋体"/>
          <w:color w:val="auto"/>
          <w:kern w:val="0"/>
          <w:sz w:val="24"/>
          <w:szCs w:val="24"/>
          <w:lang w:val="en-US" w:eastAsia="zh-CN"/>
        </w:rPr>
        <w:sectPr>
          <w:headerReference r:id="rId11" w:type="default"/>
          <w:footerReference r:id="rId12" w:type="default"/>
          <w:pgSz w:w="11905" w:h="16838"/>
          <w:pgMar w:top="1247" w:right="1134" w:bottom="1247" w:left="1134" w:header="964" w:footer="964" w:gutter="0"/>
          <w:pgNumType w:fmt="decimal"/>
          <w:cols w:space="0" w:num="1"/>
          <w:rtlGutter w:val="0"/>
          <w:docGrid w:type="lines" w:linePitch="398" w:charSpace="0"/>
        </w:sectPr>
      </w:pP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FF0000"/>
          <w:kern w:val="0"/>
          <w:sz w:val="24"/>
          <w:szCs w:val="24"/>
          <w:lang w:val="en-US" w:eastAsia="zh-CN"/>
        </w:rPr>
        <w:t xml:space="preserve">        </w:t>
      </w:r>
      <w:r>
        <w:rPr>
          <w:rFonts w:hint="eastAsia" w:ascii="宋体" w:hAnsi="宋体" w:eastAsia="宋体" w:cs="宋体"/>
          <w:color w:val="auto"/>
          <w:kern w:val="0"/>
          <w:sz w:val="24"/>
          <w:szCs w:val="24"/>
          <w:lang w:val="en-US" w:eastAsia="zh-CN"/>
        </w:rPr>
        <w:t xml:space="preserve">  2025年6月13日</w:t>
      </w:r>
    </w:p>
    <w:p w14:paraId="2299B9D6">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宋体" w:hAnsi="宋体" w:eastAsia="宋体" w:cs="宋体"/>
          <w:b/>
          <w:bCs/>
          <w:color w:val="auto"/>
          <w:kern w:val="44"/>
          <w:sz w:val="24"/>
          <w:szCs w:val="24"/>
        </w:rPr>
      </w:pPr>
    </w:p>
    <w:p w14:paraId="06BB4261">
      <w:pPr>
        <w:keepNext w:val="0"/>
        <w:keepLines w:val="0"/>
        <w:pageBreakBefore w:val="0"/>
        <w:kinsoku/>
        <w:wordWrap/>
        <w:overflowPunct/>
        <w:topLinePunct w:val="0"/>
        <w:autoSpaceDE/>
        <w:autoSpaceDN/>
        <w:bidi w:val="0"/>
        <w:adjustRightInd/>
        <w:spacing w:line="460" w:lineRule="exact"/>
        <w:jc w:val="left"/>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特别提醒：</w:t>
      </w:r>
    </w:p>
    <w:p w14:paraId="3EB13036">
      <w:pPr>
        <w:keepNext w:val="0"/>
        <w:keepLines w:val="0"/>
        <w:pageBreakBefore w:val="0"/>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w:t>
      </w:r>
      <w:r>
        <w:rPr>
          <w:rFonts w:hint="eastAsia" w:ascii="宋体" w:hAnsi="宋体" w:eastAsia="宋体" w:cs="宋体"/>
          <w:b/>
          <w:bCs/>
          <w:color w:val="000000"/>
          <w:sz w:val="24"/>
          <w:szCs w:val="24"/>
          <w:lang w:val="en-US" w:eastAsia="zh-CN"/>
        </w:rPr>
        <w:t>.</w:t>
      </w:r>
      <w:r>
        <w:rPr>
          <w:rFonts w:hint="eastAsia" w:ascii="宋体" w:hAnsi="宋体" w:eastAsia="宋体" w:cs="宋体"/>
          <w:b/>
          <w:bCs/>
          <w:color w:val="000000"/>
          <w:sz w:val="24"/>
          <w:szCs w:val="24"/>
        </w:rPr>
        <w:t>本项目采用电子化投标及远程不见面开标方式（无需提供纸质版文件，无需到开标现场），开标时请务必携带数字认证证书，如因供应商自身原因未携带数字认证证书造成无法解密投标文件，按无效投标对待。“不见面大厅”登录网址为：</w:t>
      </w:r>
    </w:p>
    <w:p w14:paraId="1E28175B">
      <w:pPr>
        <w:keepNext w:val="0"/>
        <w:keepLines w:val="0"/>
        <w:pageBreakBefore w:val="0"/>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http://219.145.206.209/BidOpeningHall/bidopeninghallaction/hall/login</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请各投标人下载最新驱动，详细操作请关注《关于陕西省公共资源交易平台多CA互认系统正式上线运行的通知》</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电子开标、评标无法进行时，按照《安康市公共资源交易平台电子化交易应急处置管理办法</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试行</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》规定执行。</w:t>
      </w:r>
    </w:p>
    <w:p w14:paraId="4584EF0C">
      <w:pPr>
        <w:keepNext w:val="0"/>
        <w:keepLines w:val="0"/>
        <w:pageBreakBefore w:val="0"/>
        <w:widowControl/>
        <w:tabs>
          <w:tab w:val="left" w:pos="1620"/>
        </w:tabs>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w:t>
      </w:r>
      <w:r>
        <w:rPr>
          <w:rFonts w:hint="eastAsia" w:ascii="宋体" w:hAnsi="宋体" w:eastAsia="宋体" w:cs="宋体"/>
          <w:b/>
          <w:bCs/>
          <w:kern w:val="0"/>
          <w:sz w:val="24"/>
          <w:szCs w:val="24"/>
        </w:rPr>
        <w:t>制作电子投标文件</w:t>
      </w:r>
    </w:p>
    <w:p w14:paraId="18CC5291">
      <w:pPr>
        <w:keepNext w:val="0"/>
        <w:keepLines w:val="0"/>
        <w:pageBreakBefore w:val="0"/>
        <w:widowControl/>
        <w:tabs>
          <w:tab w:val="left" w:pos="1620"/>
        </w:tabs>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投标供应商须在“全国公共资源交易中心平台（陕西省）（http://www.sxggzyjy.cn/）”的“服务指南”栏目“下载专区”中，免费下载“陕西省公共资源交易平台政府采购电子标书制作工具”，并升级至最新版本，使用该客户端制作电子投标文件，制作扩展名为“.SXSTF”的电子投标文件。</w:t>
      </w:r>
    </w:p>
    <w:p w14:paraId="64D3613A">
      <w:pPr>
        <w:keepNext w:val="0"/>
        <w:keepLines w:val="0"/>
        <w:pageBreakBefore w:val="0"/>
        <w:widowControl/>
        <w:tabs>
          <w:tab w:val="left" w:pos="1620"/>
        </w:tabs>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w:t>
      </w:r>
      <w:r>
        <w:rPr>
          <w:rFonts w:hint="eastAsia" w:ascii="宋体" w:hAnsi="宋体" w:eastAsia="宋体" w:cs="宋体"/>
          <w:b/>
          <w:bCs/>
          <w:kern w:val="0"/>
          <w:sz w:val="24"/>
          <w:szCs w:val="24"/>
        </w:rPr>
        <w:t>递交电子投标文件</w:t>
      </w:r>
    </w:p>
    <w:p w14:paraId="65960C70">
      <w:pPr>
        <w:keepNext w:val="0"/>
        <w:keepLines w:val="0"/>
        <w:pageBreakBefore w:val="0"/>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登录全国公共资源交易中</w:t>
      </w:r>
      <w:r>
        <w:rPr>
          <w:rFonts w:hint="eastAsia" w:ascii="宋体" w:hAnsi="宋体" w:eastAsia="宋体" w:cs="宋体"/>
          <w:b/>
          <w:bCs/>
          <w:kern w:val="0"/>
          <w:sz w:val="21"/>
          <w:szCs w:val="21"/>
        </w:rPr>
        <w:t>心</w:t>
      </w:r>
      <w:r>
        <w:rPr>
          <w:rFonts w:hint="eastAsia" w:ascii="宋体" w:hAnsi="宋体" w:eastAsia="宋体" w:cs="宋体"/>
          <w:b/>
          <w:bCs/>
          <w:kern w:val="0"/>
          <w:sz w:val="24"/>
          <w:szCs w:val="24"/>
        </w:rPr>
        <w:t>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6712AB76">
      <w:pPr>
        <w:pStyle w:val="56"/>
        <w:keepNext w:val="0"/>
        <w:keepLines w:val="0"/>
        <w:pageBreakBefore w:val="0"/>
        <w:kinsoku/>
        <w:wordWrap/>
        <w:overflowPunct/>
        <w:topLinePunct w:val="0"/>
        <w:autoSpaceDE/>
        <w:autoSpaceDN/>
        <w:bidi w:val="0"/>
        <w:adjustRightInd/>
        <w:spacing w:line="460" w:lineRule="exact"/>
        <w:ind w:firstLine="48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项目如有变更文件，则应点击“项目流程——答疑文件下载”下载更新后的电子招标文件（*.SXSCF），使用旧版电子招标文件制作的电子投标文件，系统将拒绝接收。</w:t>
      </w:r>
    </w:p>
    <w:p w14:paraId="4FF4CE98">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60" w:lineRule="exact"/>
        <w:ind w:firstLine="482"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4.电子投标文件技术支持：4009280095、4009980000</w:t>
      </w:r>
    </w:p>
    <w:p w14:paraId="5303A6A0">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00" w:lineRule="exact"/>
        <w:ind w:firstLine="482"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5.投标供应商报名成功，如自愿放弃投标，应在开标前一个工作日以电子邮件或书面形式告知采购代理机构。供应商若未按此要求告知，采购代理机构将登记供应商不诚信信用记录，在一个自然年度进行综合考评，报采购监督管理部门。由此产生的一切后果由供应商自行承担。</w:t>
      </w:r>
    </w:p>
    <w:p w14:paraId="2CAC4B4B">
      <w:pPr>
        <w:widowControl/>
        <w:jc w:val="left"/>
        <w:rPr>
          <w:rFonts w:ascii="Times New Roman" w:hAnsi="Times New Roman" w:cs="Times New Roman"/>
          <w:b/>
          <w:bCs/>
          <w:kern w:val="44"/>
          <w:sz w:val="32"/>
          <w:szCs w:val="32"/>
        </w:rPr>
      </w:pPr>
      <w:r>
        <w:br w:type="page"/>
      </w:r>
    </w:p>
    <w:p w14:paraId="27C9D638">
      <w:pPr>
        <w:pStyle w:val="3"/>
        <w:keepNext/>
        <w:keepLines/>
        <w:pageBreakBefore w:val="0"/>
        <w:widowControl/>
        <w:numPr>
          <w:ilvl w:val="0"/>
          <w:numId w:val="0"/>
        </w:numPr>
        <w:tabs>
          <w:tab w:val="center" w:pos="4433"/>
          <w:tab w:val="left" w:pos="7415"/>
        </w:tabs>
        <w:kinsoku/>
        <w:wordWrap/>
        <w:overflowPunct/>
        <w:topLinePunct w:val="0"/>
        <w:autoSpaceDE/>
        <w:autoSpaceDN/>
        <w:bidi w:val="0"/>
        <w:adjustRightInd/>
        <w:snapToGrid/>
        <w:spacing w:before="192" w:beforeLines="50" w:after="192" w:afterLines="50" w:line="460" w:lineRule="exact"/>
        <w:ind w:left="3282" w:leftChars="0" w:firstLine="0" w:firstLineChars="0"/>
        <w:jc w:val="left"/>
        <w:textAlignment w:val="auto"/>
        <w:rPr>
          <w:rFonts w:hint="eastAsia" w:ascii="宋体" w:hAnsi="宋体" w:eastAsia="宋体" w:cs="宋体"/>
          <w:color w:val="auto"/>
        </w:rPr>
      </w:pPr>
      <w:r>
        <w:rPr>
          <w:rFonts w:hint="eastAsia" w:ascii="宋体" w:hAnsi="宋体" w:eastAsia="宋体" w:cs="宋体"/>
          <w:b/>
          <w:bCs/>
          <w:color w:val="auto"/>
          <w:kern w:val="44"/>
          <w:sz w:val="36"/>
          <w:szCs w:val="44"/>
          <w:lang w:val="en-US" w:eastAsia="zh-CN" w:bidi="ar-SA"/>
        </w:rPr>
        <w:t>第二章</w:t>
      </w:r>
      <w:r>
        <w:rPr>
          <w:rFonts w:hint="eastAsia" w:ascii="宋体" w:hAnsi="宋体" w:eastAsia="宋体" w:cs="宋体"/>
          <w:color w:val="auto"/>
        </w:rPr>
        <w:t xml:space="preserve"> </w:t>
      </w:r>
      <w:bookmarkStart w:id="29" w:name="_Toc9388"/>
      <w:r>
        <w:rPr>
          <w:rFonts w:hint="eastAsia" w:ascii="宋体" w:hAnsi="宋体" w:eastAsia="宋体" w:cs="宋体"/>
          <w:color w:val="auto"/>
        </w:rPr>
        <w:t>供应商</w:t>
      </w:r>
      <w:bookmarkEnd w:id="17"/>
      <w:bookmarkEnd w:id="18"/>
      <w:bookmarkEnd w:id="19"/>
      <w:bookmarkEnd w:id="20"/>
      <w:bookmarkEnd w:id="21"/>
      <w:bookmarkEnd w:id="22"/>
      <w:bookmarkEnd w:id="23"/>
      <w:bookmarkEnd w:id="24"/>
      <w:r>
        <w:rPr>
          <w:rFonts w:hint="eastAsia" w:ascii="宋体" w:hAnsi="宋体" w:eastAsia="宋体" w:cs="宋体"/>
          <w:color w:val="auto"/>
        </w:rPr>
        <w:t>须知</w:t>
      </w:r>
      <w:bookmarkStart w:id="30" w:name="_Toc29747"/>
      <w:bookmarkStart w:id="31" w:name="_Toc9514"/>
      <w:r>
        <w:rPr>
          <w:rFonts w:hint="eastAsia" w:ascii="宋体" w:hAnsi="宋体" w:eastAsia="宋体" w:cs="宋体"/>
          <w:color w:val="auto"/>
        </w:rPr>
        <w:t>前附表</w:t>
      </w:r>
      <w:bookmarkEnd w:id="29"/>
      <w:bookmarkEnd w:id="30"/>
      <w:bookmarkEnd w:id="31"/>
    </w:p>
    <w:tbl>
      <w:tblPr>
        <w:tblStyle w:val="37"/>
        <w:tblW w:w="9598" w:type="dxa"/>
        <w:jc w:val="center"/>
        <w:tblLayout w:type="fixed"/>
        <w:tblCellMar>
          <w:top w:w="0" w:type="dxa"/>
          <w:left w:w="108" w:type="dxa"/>
          <w:bottom w:w="0" w:type="dxa"/>
          <w:right w:w="108" w:type="dxa"/>
        </w:tblCellMar>
      </w:tblPr>
      <w:tblGrid>
        <w:gridCol w:w="705"/>
        <w:gridCol w:w="1795"/>
        <w:gridCol w:w="7098"/>
      </w:tblGrid>
      <w:tr w14:paraId="28BEA0F2">
        <w:tblPrEx>
          <w:tblCellMar>
            <w:top w:w="0" w:type="dxa"/>
            <w:left w:w="108" w:type="dxa"/>
            <w:bottom w:w="0" w:type="dxa"/>
            <w:right w:w="108" w:type="dxa"/>
          </w:tblCellMar>
        </w:tblPrEx>
        <w:trPr>
          <w:trHeight w:val="238"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7EF3BE0D">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1795" w:type="dxa"/>
            <w:tcBorders>
              <w:top w:val="single" w:color="000000" w:sz="4" w:space="0"/>
              <w:left w:val="nil"/>
              <w:bottom w:val="single" w:color="000000" w:sz="4" w:space="0"/>
              <w:right w:val="single" w:color="auto" w:sz="4" w:space="0"/>
            </w:tcBorders>
            <w:vAlign w:val="center"/>
          </w:tcPr>
          <w:p w14:paraId="7EDF0576">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项目</w:t>
            </w:r>
          </w:p>
        </w:tc>
        <w:tc>
          <w:tcPr>
            <w:tcW w:w="7098" w:type="dxa"/>
            <w:tcBorders>
              <w:top w:val="single" w:color="000000" w:sz="4" w:space="0"/>
              <w:left w:val="single" w:color="auto" w:sz="4" w:space="0"/>
              <w:bottom w:val="single" w:color="000000" w:sz="4" w:space="0"/>
              <w:right w:val="single" w:color="000000" w:sz="4" w:space="0"/>
            </w:tcBorders>
            <w:vAlign w:val="center"/>
          </w:tcPr>
          <w:p w14:paraId="0EA7B89D">
            <w:pPr>
              <w:keepNext w:val="0"/>
              <w:keepLines w:val="0"/>
              <w:pageBreakBefore w:val="0"/>
              <w:widowControl w:val="0"/>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编列内容</w:t>
            </w:r>
          </w:p>
        </w:tc>
      </w:tr>
      <w:tr w14:paraId="03EBC5D9">
        <w:tblPrEx>
          <w:tblCellMar>
            <w:top w:w="0" w:type="dxa"/>
            <w:left w:w="108" w:type="dxa"/>
            <w:bottom w:w="0" w:type="dxa"/>
            <w:right w:w="108" w:type="dxa"/>
          </w:tblCellMar>
        </w:tblPrEx>
        <w:trPr>
          <w:trHeight w:val="206"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5B452BA0">
            <w:pPr>
              <w:keepNext w:val="0"/>
              <w:keepLines w:val="0"/>
              <w:pageBreakBefore w:val="0"/>
              <w:widowControl/>
              <w:numPr>
                <w:ilvl w:val="0"/>
                <w:numId w:val="1"/>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kern w:val="0"/>
                <w:sz w:val="24"/>
                <w:szCs w:val="24"/>
              </w:rPr>
            </w:pPr>
          </w:p>
        </w:tc>
        <w:tc>
          <w:tcPr>
            <w:tcW w:w="1795" w:type="dxa"/>
            <w:tcBorders>
              <w:top w:val="single" w:color="000000" w:sz="4" w:space="0"/>
              <w:left w:val="nil"/>
              <w:bottom w:val="single" w:color="000000" w:sz="4" w:space="0"/>
              <w:right w:val="single" w:color="auto" w:sz="4" w:space="0"/>
            </w:tcBorders>
            <w:vAlign w:val="center"/>
          </w:tcPr>
          <w:p w14:paraId="06C53CD4">
            <w:pPr>
              <w:keepNext w:val="0"/>
              <w:keepLines w:val="0"/>
              <w:pageBreakBefore w:val="0"/>
              <w:widowControl/>
              <w:suppressLineNumbers w:val="0"/>
              <w:kinsoku/>
              <w:wordWrap/>
              <w:topLinePunct w:val="0"/>
              <w:autoSpaceDE/>
              <w:autoSpaceDN/>
              <w:bidi w:val="0"/>
              <w:spacing w:before="0" w:beforeAutospacing="0" w:after="0" w:afterAutospacing="0" w:line="460" w:lineRule="exact"/>
              <w:ind w:left="19" w:right="0" w:hanging="19"/>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none"/>
              </w:rPr>
              <w:t>采购人</w:t>
            </w:r>
          </w:p>
        </w:tc>
        <w:tc>
          <w:tcPr>
            <w:tcW w:w="7098" w:type="dxa"/>
            <w:tcBorders>
              <w:top w:val="single" w:color="000000" w:sz="4" w:space="0"/>
              <w:left w:val="single" w:color="auto" w:sz="4" w:space="0"/>
              <w:bottom w:val="single" w:color="000000" w:sz="4" w:space="0"/>
              <w:right w:val="single" w:color="000000" w:sz="4" w:space="0"/>
            </w:tcBorders>
            <w:vAlign w:val="center"/>
          </w:tcPr>
          <w:p w14:paraId="557FB5DB">
            <w:pPr>
              <w:keepNext w:val="0"/>
              <w:keepLines w:val="0"/>
              <w:pageBreakBefore w:val="0"/>
              <w:widowControl/>
              <w:suppressLineNumbers w:val="0"/>
              <w:kinsoku/>
              <w:wordWrap/>
              <w:topLinePunct w:val="0"/>
              <w:autoSpaceDE/>
              <w:autoSpaceDN/>
              <w:bidi w:val="0"/>
              <w:spacing w:before="0" w:beforeAutospacing="0" w:after="0" w:afterAutospacing="0" w:line="460" w:lineRule="exact"/>
              <w:ind w:left="19" w:right="0" w:hanging="19"/>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安康市市政园林处</w:t>
            </w:r>
          </w:p>
        </w:tc>
      </w:tr>
      <w:tr w14:paraId="6789FC69">
        <w:tblPrEx>
          <w:tblCellMar>
            <w:top w:w="0" w:type="dxa"/>
            <w:left w:w="108" w:type="dxa"/>
            <w:bottom w:w="0" w:type="dxa"/>
            <w:right w:w="108" w:type="dxa"/>
          </w:tblCellMar>
        </w:tblPrEx>
        <w:trPr>
          <w:trHeight w:val="314"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1AC1DA40">
            <w:pPr>
              <w:keepNext w:val="0"/>
              <w:keepLines w:val="0"/>
              <w:pageBreakBefore w:val="0"/>
              <w:widowControl/>
              <w:numPr>
                <w:ilvl w:val="0"/>
                <w:numId w:val="1"/>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kern w:val="0"/>
                <w:sz w:val="24"/>
                <w:szCs w:val="24"/>
              </w:rPr>
            </w:pPr>
          </w:p>
        </w:tc>
        <w:tc>
          <w:tcPr>
            <w:tcW w:w="1795" w:type="dxa"/>
            <w:tcBorders>
              <w:top w:val="single" w:color="000000" w:sz="4" w:space="0"/>
              <w:left w:val="nil"/>
              <w:bottom w:val="single" w:color="000000" w:sz="4" w:space="0"/>
              <w:right w:val="single" w:color="auto" w:sz="4" w:space="0"/>
            </w:tcBorders>
            <w:vAlign w:val="center"/>
          </w:tcPr>
          <w:p w14:paraId="5C30106B">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采购代理机构</w:t>
            </w:r>
          </w:p>
        </w:tc>
        <w:tc>
          <w:tcPr>
            <w:tcW w:w="7098" w:type="dxa"/>
            <w:tcBorders>
              <w:top w:val="single" w:color="000000" w:sz="4" w:space="0"/>
              <w:left w:val="single" w:color="auto" w:sz="4" w:space="0"/>
              <w:bottom w:val="single" w:color="000000" w:sz="4" w:space="0"/>
              <w:right w:val="single" w:color="000000" w:sz="4" w:space="0"/>
            </w:tcBorders>
            <w:vAlign w:val="center"/>
          </w:tcPr>
          <w:p w14:paraId="0F1B22B1">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安康尚昊招标代理有限公司</w:t>
            </w:r>
          </w:p>
        </w:tc>
      </w:tr>
      <w:tr w14:paraId="5A100665">
        <w:tblPrEx>
          <w:tblCellMar>
            <w:top w:w="0" w:type="dxa"/>
            <w:left w:w="108" w:type="dxa"/>
            <w:bottom w:w="0" w:type="dxa"/>
            <w:right w:w="108" w:type="dxa"/>
          </w:tblCellMar>
        </w:tblPrEx>
        <w:trPr>
          <w:trHeight w:val="734" w:hRule="atLeast"/>
          <w:jc w:val="center"/>
        </w:trPr>
        <w:tc>
          <w:tcPr>
            <w:tcW w:w="705" w:type="dxa"/>
            <w:tcBorders>
              <w:top w:val="single" w:color="000000" w:sz="4" w:space="0"/>
              <w:left w:val="single" w:color="000000" w:sz="4" w:space="0"/>
              <w:bottom w:val="single" w:color="auto" w:sz="4" w:space="0"/>
              <w:right w:val="single" w:color="000000" w:sz="4" w:space="0"/>
            </w:tcBorders>
            <w:vAlign w:val="center"/>
          </w:tcPr>
          <w:p w14:paraId="20EA3417">
            <w:pPr>
              <w:keepNext w:val="0"/>
              <w:keepLines w:val="0"/>
              <w:pageBreakBefore w:val="0"/>
              <w:widowControl/>
              <w:numPr>
                <w:ilvl w:val="0"/>
                <w:numId w:val="1"/>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kern w:val="0"/>
                <w:sz w:val="24"/>
                <w:szCs w:val="24"/>
              </w:rPr>
            </w:pPr>
          </w:p>
        </w:tc>
        <w:tc>
          <w:tcPr>
            <w:tcW w:w="1795" w:type="dxa"/>
            <w:tcBorders>
              <w:top w:val="single" w:color="000000" w:sz="4" w:space="0"/>
              <w:left w:val="nil"/>
              <w:bottom w:val="single" w:color="auto" w:sz="4" w:space="0"/>
              <w:right w:val="single" w:color="auto" w:sz="4" w:space="0"/>
            </w:tcBorders>
            <w:vAlign w:val="center"/>
          </w:tcPr>
          <w:p w14:paraId="71E9D37C">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kern w:val="0"/>
                <w:sz w:val="24"/>
                <w:szCs w:val="24"/>
                <w:highlight w:val="red"/>
              </w:rPr>
            </w:pPr>
            <w:r>
              <w:rPr>
                <w:rFonts w:hint="eastAsia" w:ascii="宋体" w:hAnsi="宋体" w:eastAsia="宋体" w:cs="宋体"/>
                <w:color w:val="auto"/>
                <w:kern w:val="0"/>
                <w:sz w:val="24"/>
                <w:szCs w:val="24"/>
                <w:highlight w:val="none"/>
              </w:rPr>
              <w:t>项目名称</w:t>
            </w:r>
          </w:p>
        </w:tc>
        <w:tc>
          <w:tcPr>
            <w:tcW w:w="7098" w:type="dxa"/>
            <w:tcBorders>
              <w:top w:val="single" w:color="000000" w:sz="4" w:space="0"/>
              <w:left w:val="single" w:color="auto" w:sz="4" w:space="0"/>
              <w:bottom w:val="single" w:color="000000" w:sz="4" w:space="0"/>
              <w:right w:val="single" w:color="000000" w:sz="4" w:space="0"/>
            </w:tcBorders>
            <w:vAlign w:val="center"/>
          </w:tcPr>
          <w:p w14:paraId="618F2AE2">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挂式污泥脱水设备采购项目（三次）</w:t>
            </w:r>
          </w:p>
        </w:tc>
      </w:tr>
      <w:tr w14:paraId="18D8AC15">
        <w:tblPrEx>
          <w:tblCellMar>
            <w:top w:w="0" w:type="dxa"/>
            <w:left w:w="108" w:type="dxa"/>
            <w:bottom w:w="0" w:type="dxa"/>
            <w:right w:w="108" w:type="dxa"/>
          </w:tblCellMar>
        </w:tblPrEx>
        <w:trPr>
          <w:trHeight w:val="309" w:hRule="atLeast"/>
          <w:jc w:val="center"/>
        </w:trPr>
        <w:tc>
          <w:tcPr>
            <w:tcW w:w="705" w:type="dxa"/>
            <w:tcBorders>
              <w:top w:val="single" w:color="auto" w:sz="4" w:space="0"/>
              <w:left w:val="single" w:color="000000" w:sz="4" w:space="0"/>
              <w:right w:val="single" w:color="000000" w:sz="4" w:space="0"/>
            </w:tcBorders>
            <w:vAlign w:val="center"/>
          </w:tcPr>
          <w:p w14:paraId="71F0B9EB">
            <w:pPr>
              <w:keepNext w:val="0"/>
              <w:keepLines w:val="0"/>
              <w:pageBreakBefore w:val="0"/>
              <w:widowControl/>
              <w:numPr>
                <w:ilvl w:val="0"/>
                <w:numId w:val="1"/>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kern w:val="0"/>
                <w:sz w:val="24"/>
                <w:szCs w:val="24"/>
              </w:rPr>
            </w:pPr>
          </w:p>
        </w:tc>
        <w:tc>
          <w:tcPr>
            <w:tcW w:w="1795" w:type="dxa"/>
            <w:tcBorders>
              <w:top w:val="single" w:color="auto" w:sz="4" w:space="0"/>
              <w:left w:val="nil"/>
              <w:right w:val="single" w:color="auto" w:sz="4" w:space="0"/>
            </w:tcBorders>
            <w:vAlign w:val="center"/>
          </w:tcPr>
          <w:p w14:paraId="1D45244F">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kern w:val="0"/>
                <w:sz w:val="24"/>
                <w:szCs w:val="24"/>
                <w:highlight w:val="red"/>
                <w:lang w:eastAsia="zh-CN"/>
              </w:rPr>
            </w:pPr>
            <w:r>
              <w:rPr>
                <w:rFonts w:hint="eastAsia" w:ascii="宋体" w:hAnsi="宋体" w:eastAsia="宋体" w:cs="宋体"/>
                <w:color w:val="auto"/>
                <w:kern w:val="0"/>
                <w:sz w:val="24"/>
                <w:szCs w:val="24"/>
                <w:highlight w:val="none"/>
                <w:lang w:eastAsia="zh-CN"/>
              </w:rPr>
              <w:t>预算金额</w:t>
            </w:r>
          </w:p>
        </w:tc>
        <w:tc>
          <w:tcPr>
            <w:tcW w:w="7098" w:type="dxa"/>
            <w:tcBorders>
              <w:top w:val="single" w:color="000000" w:sz="4" w:space="0"/>
              <w:left w:val="single" w:color="auto" w:sz="4" w:space="0"/>
              <w:right w:val="single" w:color="000000" w:sz="4" w:space="0"/>
            </w:tcBorders>
            <w:vAlign w:val="center"/>
          </w:tcPr>
          <w:p w14:paraId="4F622CB2">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600000.00元</w:t>
            </w:r>
          </w:p>
        </w:tc>
      </w:tr>
      <w:tr w14:paraId="490B63C0">
        <w:tblPrEx>
          <w:tblCellMar>
            <w:top w:w="0" w:type="dxa"/>
            <w:left w:w="108" w:type="dxa"/>
            <w:bottom w:w="0" w:type="dxa"/>
            <w:right w:w="108" w:type="dxa"/>
          </w:tblCellMar>
        </w:tblPrEx>
        <w:trPr>
          <w:trHeight w:val="309" w:hRule="atLeast"/>
          <w:jc w:val="center"/>
        </w:trPr>
        <w:tc>
          <w:tcPr>
            <w:tcW w:w="705" w:type="dxa"/>
            <w:tcBorders>
              <w:top w:val="single" w:color="auto" w:sz="4" w:space="0"/>
              <w:left w:val="single" w:color="000000" w:sz="4" w:space="0"/>
              <w:right w:val="single" w:color="000000" w:sz="4" w:space="0"/>
            </w:tcBorders>
            <w:vAlign w:val="center"/>
          </w:tcPr>
          <w:p w14:paraId="67A9DC4A">
            <w:pPr>
              <w:keepNext w:val="0"/>
              <w:keepLines w:val="0"/>
              <w:pageBreakBefore w:val="0"/>
              <w:widowControl/>
              <w:numPr>
                <w:ilvl w:val="0"/>
                <w:numId w:val="1"/>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kern w:val="0"/>
                <w:sz w:val="24"/>
                <w:szCs w:val="24"/>
              </w:rPr>
            </w:pPr>
          </w:p>
        </w:tc>
        <w:tc>
          <w:tcPr>
            <w:tcW w:w="1795" w:type="dxa"/>
            <w:tcBorders>
              <w:top w:val="single" w:color="auto" w:sz="4" w:space="0"/>
              <w:left w:val="nil"/>
              <w:right w:val="single" w:color="auto" w:sz="4" w:space="0"/>
            </w:tcBorders>
            <w:vAlign w:val="center"/>
          </w:tcPr>
          <w:p w14:paraId="26E68E62">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最高限价</w:t>
            </w:r>
          </w:p>
        </w:tc>
        <w:tc>
          <w:tcPr>
            <w:tcW w:w="7098" w:type="dxa"/>
            <w:tcBorders>
              <w:top w:val="single" w:color="000000" w:sz="4" w:space="0"/>
              <w:left w:val="single" w:color="auto" w:sz="4" w:space="0"/>
              <w:right w:val="single" w:color="000000" w:sz="4" w:space="0"/>
            </w:tcBorders>
            <w:vAlign w:val="center"/>
          </w:tcPr>
          <w:p w14:paraId="7DD33925">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600000.00元</w:t>
            </w:r>
          </w:p>
        </w:tc>
      </w:tr>
      <w:tr w14:paraId="7EA7F4D9">
        <w:tblPrEx>
          <w:tblCellMar>
            <w:top w:w="0" w:type="dxa"/>
            <w:left w:w="108" w:type="dxa"/>
            <w:bottom w:w="0" w:type="dxa"/>
            <w:right w:w="108" w:type="dxa"/>
          </w:tblCellMar>
        </w:tblPrEx>
        <w:trPr>
          <w:trHeight w:val="504" w:hRule="atLeast"/>
          <w:jc w:val="center"/>
        </w:trPr>
        <w:tc>
          <w:tcPr>
            <w:tcW w:w="705" w:type="dxa"/>
            <w:tcBorders>
              <w:top w:val="single" w:color="000000" w:sz="4" w:space="0"/>
              <w:left w:val="single" w:color="000000" w:sz="4" w:space="0"/>
              <w:bottom w:val="single" w:color="auto" w:sz="4" w:space="0"/>
              <w:right w:val="single" w:color="000000" w:sz="4" w:space="0"/>
            </w:tcBorders>
            <w:vAlign w:val="center"/>
          </w:tcPr>
          <w:p w14:paraId="6C17F11A">
            <w:pPr>
              <w:keepNext w:val="0"/>
              <w:keepLines w:val="0"/>
              <w:pageBreakBefore w:val="0"/>
              <w:widowControl/>
              <w:numPr>
                <w:ilvl w:val="0"/>
                <w:numId w:val="1"/>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kern w:val="0"/>
                <w:sz w:val="24"/>
                <w:szCs w:val="24"/>
              </w:rPr>
            </w:pPr>
          </w:p>
        </w:tc>
        <w:tc>
          <w:tcPr>
            <w:tcW w:w="1795" w:type="dxa"/>
            <w:tcBorders>
              <w:top w:val="single" w:color="000000" w:sz="4" w:space="0"/>
              <w:left w:val="nil"/>
              <w:bottom w:val="single" w:color="000000" w:sz="4" w:space="0"/>
              <w:right w:val="single" w:color="auto" w:sz="4" w:space="0"/>
            </w:tcBorders>
            <w:vAlign w:val="center"/>
          </w:tcPr>
          <w:p w14:paraId="6D97DC78">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投标报价</w:t>
            </w:r>
          </w:p>
        </w:tc>
        <w:tc>
          <w:tcPr>
            <w:tcW w:w="7098" w:type="dxa"/>
            <w:tcBorders>
              <w:top w:val="single" w:color="000000" w:sz="4" w:space="0"/>
              <w:left w:val="single" w:color="auto" w:sz="4" w:space="0"/>
              <w:bottom w:val="single" w:color="000000" w:sz="4" w:space="0"/>
              <w:right w:val="single" w:color="000000" w:sz="4" w:space="0"/>
            </w:tcBorders>
            <w:vAlign w:val="center"/>
          </w:tcPr>
          <w:p w14:paraId="66E7A4C7">
            <w:pPr>
              <w:keepNext w:val="0"/>
              <w:keepLines w:val="0"/>
              <w:pageBreakBefore w:val="0"/>
              <w:widowControl w:val="0"/>
              <w:suppressLineNumbers w:val="0"/>
              <w:kinsoku/>
              <w:wordWrap/>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投标人所报的价格应考虑到可能发生的所有与完成本项目相关服务及履行合同义务有关的一切费用。</w:t>
            </w:r>
          </w:p>
          <w:p w14:paraId="5407F86E">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投标人必须对所投项目进行完整报价，不接受（将拒绝）只对部分</w:t>
            </w:r>
            <w:r>
              <w:rPr>
                <w:rFonts w:hint="eastAsia" w:ascii="宋体" w:hAnsi="宋体" w:eastAsia="宋体" w:cs="宋体"/>
                <w:color w:val="auto"/>
                <w:sz w:val="24"/>
                <w:szCs w:val="24"/>
                <w:lang w:eastAsia="zh-CN"/>
              </w:rPr>
              <w:t>产品</w:t>
            </w:r>
            <w:r>
              <w:rPr>
                <w:rFonts w:hint="eastAsia" w:ascii="宋体" w:hAnsi="宋体" w:eastAsia="宋体" w:cs="宋体"/>
                <w:color w:val="auto"/>
                <w:sz w:val="24"/>
                <w:szCs w:val="24"/>
              </w:rPr>
              <w:t>进行报价的投标。</w:t>
            </w:r>
          </w:p>
        </w:tc>
      </w:tr>
      <w:tr w14:paraId="009E1351">
        <w:tblPrEx>
          <w:tblCellMar>
            <w:top w:w="0" w:type="dxa"/>
            <w:left w:w="108" w:type="dxa"/>
            <w:bottom w:w="0" w:type="dxa"/>
            <w:right w:w="108" w:type="dxa"/>
          </w:tblCellMar>
        </w:tblPrEx>
        <w:trPr>
          <w:trHeight w:val="9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3712AFEA">
            <w:pPr>
              <w:keepNext w:val="0"/>
              <w:keepLines w:val="0"/>
              <w:pageBreakBefore w:val="0"/>
              <w:widowControl/>
              <w:numPr>
                <w:ilvl w:val="0"/>
                <w:numId w:val="1"/>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kern w:val="0"/>
                <w:sz w:val="24"/>
                <w:szCs w:val="24"/>
              </w:rPr>
            </w:pPr>
          </w:p>
        </w:tc>
        <w:tc>
          <w:tcPr>
            <w:tcW w:w="1795" w:type="dxa"/>
            <w:tcBorders>
              <w:top w:val="single" w:color="000000" w:sz="4" w:space="0"/>
              <w:left w:val="single" w:color="auto" w:sz="4" w:space="0"/>
              <w:bottom w:val="single" w:color="auto" w:sz="4" w:space="0"/>
              <w:right w:val="single" w:color="auto" w:sz="4" w:space="0"/>
            </w:tcBorders>
            <w:vAlign w:val="center"/>
          </w:tcPr>
          <w:p w14:paraId="0B37C837">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合同履行期</w:t>
            </w:r>
          </w:p>
        </w:tc>
        <w:tc>
          <w:tcPr>
            <w:tcW w:w="7098" w:type="dxa"/>
            <w:tcBorders>
              <w:top w:val="single" w:color="000000" w:sz="4" w:space="0"/>
              <w:left w:val="single" w:color="auto" w:sz="4" w:space="0"/>
              <w:bottom w:val="single" w:color="auto" w:sz="4" w:space="0"/>
              <w:right w:val="single" w:color="000000" w:sz="4" w:space="0"/>
            </w:tcBorders>
            <w:vAlign w:val="center"/>
          </w:tcPr>
          <w:p w14:paraId="0D6507D7">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lang w:eastAsia="zh-CN"/>
              </w:rPr>
            </w:pPr>
            <w:r>
              <w:rPr>
                <w:rFonts w:hint="eastAsia" w:ascii="宋体" w:hAnsi="宋体" w:eastAsia="宋体" w:cs="宋体"/>
                <w:color w:val="000000" w:themeColor="text1"/>
                <w:kern w:val="0"/>
                <w:sz w:val="24"/>
                <w:szCs w:val="24"/>
                <w:lang w:val="en-US" w:eastAsia="zh-CN"/>
                <w14:textFill>
                  <w14:solidFill>
                    <w14:schemeClr w14:val="tx1"/>
                  </w14:solidFill>
                </w14:textFill>
              </w:rPr>
              <w:t>合同签订之日起30天内完成供货</w:t>
            </w:r>
            <w:r>
              <w:rPr>
                <w:rFonts w:hint="eastAsia" w:ascii="宋体" w:hAnsi="宋体" w:eastAsia="宋体" w:cs="宋体"/>
                <w:color w:val="auto"/>
                <w:sz w:val="24"/>
                <w:szCs w:val="24"/>
                <w:lang w:val="en-US" w:eastAsia="zh-CN"/>
              </w:rPr>
              <w:t>。</w:t>
            </w:r>
          </w:p>
        </w:tc>
      </w:tr>
      <w:tr w14:paraId="3D059980">
        <w:tblPrEx>
          <w:tblCellMar>
            <w:top w:w="0" w:type="dxa"/>
            <w:left w:w="108" w:type="dxa"/>
            <w:bottom w:w="0" w:type="dxa"/>
            <w:right w:w="108" w:type="dxa"/>
          </w:tblCellMar>
        </w:tblPrEx>
        <w:trPr>
          <w:trHeight w:val="358" w:hRule="atLeast"/>
          <w:jc w:val="center"/>
        </w:trPr>
        <w:tc>
          <w:tcPr>
            <w:tcW w:w="705" w:type="dxa"/>
            <w:tcBorders>
              <w:top w:val="single" w:color="auto" w:sz="4" w:space="0"/>
              <w:left w:val="single" w:color="000000" w:sz="4" w:space="0"/>
              <w:bottom w:val="single" w:color="000000" w:sz="4" w:space="0"/>
              <w:right w:val="single" w:color="000000" w:sz="4" w:space="0"/>
            </w:tcBorders>
            <w:vAlign w:val="center"/>
          </w:tcPr>
          <w:p w14:paraId="507BA723">
            <w:pPr>
              <w:keepNext w:val="0"/>
              <w:keepLines w:val="0"/>
              <w:pageBreakBefore w:val="0"/>
              <w:widowControl/>
              <w:numPr>
                <w:ilvl w:val="0"/>
                <w:numId w:val="1"/>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kern w:val="0"/>
                <w:sz w:val="24"/>
                <w:szCs w:val="24"/>
                <w:lang w:val="en-US" w:eastAsia="zh-CN"/>
              </w:rPr>
            </w:pPr>
          </w:p>
        </w:tc>
        <w:tc>
          <w:tcPr>
            <w:tcW w:w="1795" w:type="dxa"/>
            <w:tcBorders>
              <w:top w:val="single" w:color="000000" w:sz="4" w:space="0"/>
              <w:left w:val="nil"/>
              <w:bottom w:val="single" w:color="000000" w:sz="4" w:space="0"/>
              <w:right w:val="single" w:color="auto" w:sz="4" w:space="0"/>
            </w:tcBorders>
            <w:vAlign w:val="center"/>
          </w:tcPr>
          <w:p w14:paraId="5FBEA995">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付款方式</w:t>
            </w:r>
          </w:p>
        </w:tc>
        <w:tc>
          <w:tcPr>
            <w:tcW w:w="7098" w:type="dxa"/>
            <w:tcBorders>
              <w:top w:val="single" w:color="000000" w:sz="4" w:space="0"/>
              <w:left w:val="single" w:color="auto" w:sz="4" w:space="0"/>
              <w:bottom w:val="single" w:color="000000" w:sz="4" w:space="0"/>
              <w:right w:val="single" w:color="000000" w:sz="4" w:space="0"/>
            </w:tcBorders>
            <w:vAlign w:val="center"/>
          </w:tcPr>
          <w:p w14:paraId="2344FD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甲方以转账形式付款，货物到场交付后支付总价款的40%，验收合格后一年内付清剩余价款。</w:t>
            </w:r>
          </w:p>
        </w:tc>
      </w:tr>
      <w:tr w14:paraId="51B75C22">
        <w:tblPrEx>
          <w:tblCellMar>
            <w:top w:w="0" w:type="dxa"/>
            <w:left w:w="108" w:type="dxa"/>
            <w:bottom w:w="0" w:type="dxa"/>
            <w:right w:w="108" w:type="dxa"/>
          </w:tblCellMar>
        </w:tblPrEx>
        <w:trPr>
          <w:trHeight w:val="378"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5648FD54">
            <w:pPr>
              <w:keepNext w:val="0"/>
              <w:keepLines w:val="0"/>
              <w:pageBreakBefore w:val="0"/>
              <w:widowControl/>
              <w:numPr>
                <w:ilvl w:val="0"/>
                <w:numId w:val="1"/>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kern w:val="0"/>
                <w:sz w:val="24"/>
                <w:szCs w:val="24"/>
                <w:lang w:eastAsia="zh-CN"/>
              </w:rPr>
            </w:pPr>
          </w:p>
        </w:tc>
        <w:tc>
          <w:tcPr>
            <w:tcW w:w="1795" w:type="dxa"/>
            <w:tcBorders>
              <w:top w:val="single" w:color="000000" w:sz="4" w:space="0"/>
              <w:left w:val="nil"/>
              <w:bottom w:val="single" w:color="000000" w:sz="4" w:space="0"/>
              <w:right w:val="single" w:color="auto" w:sz="4" w:space="0"/>
            </w:tcBorders>
            <w:vAlign w:val="center"/>
          </w:tcPr>
          <w:p w14:paraId="613562F6">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投标有效期</w:t>
            </w:r>
          </w:p>
        </w:tc>
        <w:tc>
          <w:tcPr>
            <w:tcW w:w="7098" w:type="dxa"/>
            <w:tcBorders>
              <w:top w:val="single" w:color="000000" w:sz="4" w:space="0"/>
              <w:left w:val="single" w:color="auto" w:sz="4" w:space="0"/>
              <w:bottom w:val="single" w:color="000000" w:sz="4" w:space="0"/>
              <w:right w:val="single" w:color="000000" w:sz="4" w:space="0"/>
            </w:tcBorders>
            <w:vAlign w:val="center"/>
          </w:tcPr>
          <w:p w14:paraId="05D653B5">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投标文件递交截止时间起算，投标有效期为90日历天。</w:t>
            </w:r>
          </w:p>
        </w:tc>
      </w:tr>
      <w:tr w14:paraId="5A16743A">
        <w:tblPrEx>
          <w:tblCellMar>
            <w:top w:w="0" w:type="dxa"/>
            <w:left w:w="108" w:type="dxa"/>
            <w:bottom w:w="0" w:type="dxa"/>
            <w:right w:w="108" w:type="dxa"/>
          </w:tblCellMar>
        </w:tblPrEx>
        <w:trPr>
          <w:trHeight w:val="539" w:hRule="atLeast"/>
          <w:jc w:val="center"/>
        </w:trPr>
        <w:tc>
          <w:tcPr>
            <w:tcW w:w="705" w:type="dxa"/>
            <w:tcBorders>
              <w:top w:val="single" w:color="000000" w:sz="4" w:space="0"/>
              <w:left w:val="single" w:color="000000" w:sz="4" w:space="0"/>
              <w:right w:val="single" w:color="000000" w:sz="4" w:space="0"/>
            </w:tcBorders>
            <w:vAlign w:val="center"/>
          </w:tcPr>
          <w:p w14:paraId="76287489">
            <w:pPr>
              <w:keepNext w:val="0"/>
              <w:keepLines w:val="0"/>
              <w:pageBreakBefore w:val="0"/>
              <w:widowControl/>
              <w:numPr>
                <w:ilvl w:val="0"/>
                <w:numId w:val="1"/>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kern w:val="0"/>
                <w:sz w:val="24"/>
                <w:szCs w:val="24"/>
                <w:lang w:val="en-US" w:eastAsia="zh-CN"/>
              </w:rPr>
            </w:pPr>
          </w:p>
        </w:tc>
        <w:tc>
          <w:tcPr>
            <w:tcW w:w="1795" w:type="dxa"/>
            <w:tcBorders>
              <w:top w:val="single" w:color="000000" w:sz="4" w:space="0"/>
              <w:left w:val="nil"/>
              <w:right w:val="single" w:color="auto" w:sz="4" w:space="0"/>
            </w:tcBorders>
            <w:vAlign w:val="center"/>
          </w:tcPr>
          <w:p w14:paraId="3099EF1B">
            <w:pPr>
              <w:keepNext w:val="0"/>
              <w:keepLines w:val="0"/>
              <w:pageBreakBefore w:val="0"/>
              <w:widowControl w:val="0"/>
              <w:suppressLineNumbers w:val="0"/>
              <w:tabs>
                <w:tab w:val="center" w:pos="4153"/>
                <w:tab w:val="right" w:pos="8306"/>
              </w:tabs>
              <w:kinsoku/>
              <w:wordWrap/>
              <w:topLinePunct w:val="0"/>
              <w:autoSpaceDE/>
              <w:autoSpaceDN/>
              <w:bidi w:val="0"/>
              <w:snapToGrid w:val="0"/>
              <w:spacing w:before="0" w:beforeAutospacing="0" w:after="0" w:afterAutospacing="0" w:line="4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资格证明文件</w:t>
            </w:r>
          </w:p>
        </w:tc>
        <w:tc>
          <w:tcPr>
            <w:tcW w:w="7098" w:type="dxa"/>
            <w:tcBorders>
              <w:top w:val="single" w:color="000000" w:sz="4" w:space="0"/>
              <w:left w:val="single" w:color="auto" w:sz="4" w:space="0"/>
              <w:right w:val="single" w:color="000000" w:sz="4" w:space="0"/>
            </w:tcBorders>
            <w:vAlign w:val="center"/>
          </w:tcPr>
          <w:p w14:paraId="4F10714F">
            <w:pPr>
              <w:keepNext w:val="0"/>
              <w:keepLines w:val="0"/>
              <w:pageBreakBefore w:val="0"/>
              <w:widowControl/>
              <w:suppressLineNumbers w:val="0"/>
              <w:tabs>
                <w:tab w:val="left" w:pos="567"/>
              </w:tabs>
              <w:kinsoku/>
              <w:wordWrap/>
              <w:overflowPunct/>
              <w:topLinePunct w:val="0"/>
              <w:autoSpaceDE/>
              <w:autoSpaceDN/>
              <w:bidi w:val="0"/>
              <w:adjustRightInd/>
              <w:spacing w:before="0" w:beforeAutospacing="0" w:after="0" w:afterAutospacing="0" w:line="50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.具有独立承担民事责任能力的法人、非法人组织或自然人，提供合法有效的营业执照/事业单位法人证书/专业服务机构执业许可证/民办非企业单位登记证书等相关证明，自然人参与地提供其身份证明。</w:t>
            </w:r>
          </w:p>
          <w:p w14:paraId="020F73B3">
            <w:pPr>
              <w:keepNext w:val="0"/>
              <w:keepLines w:val="0"/>
              <w:pageBreakBefore w:val="0"/>
              <w:widowControl/>
              <w:suppressLineNumbers w:val="0"/>
              <w:tabs>
                <w:tab w:val="left" w:pos="567"/>
              </w:tabs>
              <w:kinsoku/>
              <w:wordWrap/>
              <w:overflowPunct/>
              <w:topLinePunct w:val="0"/>
              <w:autoSpaceDE/>
              <w:autoSpaceDN/>
              <w:bidi w:val="0"/>
              <w:adjustRightInd/>
              <w:spacing w:before="0" w:beforeAutospacing="0" w:after="0" w:afterAutospacing="0" w:line="500" w:lineRule="exact"/>
              <w:ind w:left="0" w:right="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法定代表人授权书及被授权人身份证</w:t>
            </w:r>
            <w:r>
              <w:rPr>
                <w:rFonts w:hint="eastAsia" w:ascii="宋体" w:hAnsi="宋体" w:eastAsia="宋体" w:cs="宋体"/>
                <w:color w:val="auto"/>
                <w:kern w:val="0"/>
                <w:sz w:val="24"/>
                <w:szCs w:val="24"/>
                <w:lang w:val="en-US" w:eastAsia="zh-CN"/>
              </w:rPr>
              <w:t>复印件</w:t>
            </w:r>
            <w:r>
              <w:rPr>
                <w:rFonts w:hint="eastAsia" w:ascii="宋体" w:hAnsi="宋体" w:eastAsia="宋体" w:cs="宋体"/>
                <w:color w:val="auto"/>
                <w:kern w:val="0"/>
                <w:sz w:val="24"/>
                <w:szCs w:val="24"/>
                <w:lang w:eastAsia="zh-CN"/>
              </w:rPr>
              <w:t>（法定代表人直接投标只需提交其身份证明资料）。</w:t>
            </w:r>
          </w:p>
          <w:p w14:paraId="5D947F34">
            <w:pPr>
              <w:keepNext w:val="0"/>
              <w:keepLines w:val="0"/>
              <w:pageBreakBefore w:val="0"/>
              <w:widowControl/>
              <w:suppressLineNumbers w:val="0"/>
              <w:tabs>
                <w:tab w:val="left" w:pos="567"/>
              </w:tabs>
              <w:kinsoku/>
              <w:wordWrap/>
              <w:overflowPunct/>
              <w:topLinePunct w:val="0"/>
              <w:autoSpaceDE/>
              <w:autoSpaceDN/>
              <w:bidi w:val="0"/>
              <w:adjustRightInd/>
              <w:spacing w:before="0" w:beforeAutospacing="0" w:after="0" w:afterAutospacing="0" w:line="500" w:lineRule="exact"/>
              <w:ind w:left="0" w:right="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w:t>
            </w:r>
            <w:r>
              <w:rPr>
                <w:rFonts w:hint="eastAsia" w:ascii="宋体" w:hAnsi="宋体" w:eastAsia="宋体" w:cs="宋体"/>
                <w:kern w:val="2"/>
                <w:sz w:val="24"/>
                <w:szCs w:val="24"/>
                <w:lang w:val="en-US" w:eastAsia="zh-CN" w:bidi="ar"/>
              </w:rPr>
              <w:t>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查询结果为准（响应文件中提供查询结果网页截图并加盖投标人公章，查询日期为从谈判文件获取之日起至投标截止日前，评标现场通过网站对信用记录进行核实）。</w:t>
            </w:r>
          </w:p>
          <w:p w14:paraId="16A149A4">
            <w:pPr>
              <w:keepNext w:val="0"/>
              <w:keepLines w:val="0"/>
              <w:pageBreakBefore w:val="0"/>
              <w:widowControl/>
              <w:suppressLineNumbers w:val="0"/>
              <w:tabs>
                <w:tab w:val="left" w:pos="567"/>
              </w:tabs>
              <w:kinsoku/>
              <w:wordWrap/>
              <w:overflowPunct/>
              <w:topLinePunct w:val="0"/>
              <w:autoSpaceDE/>
              <w:autoSpaceDN/>
              <w:bidi w:val="0"/>
              <w:adjustRightInd/>
              <w:spacing w:before="0" w:beforeAutospacing="0" w:after="0" w:afterAutospacing="0" w:line="500" w:lineRule="exact"/>
              <w:ind w:left="0" w:right="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 xml:space="preserve">书面声明：投标人必须提供参加政府采购活动前3年内在经营活动中没有重大违法记录的书面声明。 </w:t>
            </w:r>
          </w:p>
          <w:p w14:paraId="2C3C04F7">
            <w:pPr>
              <w:keepNext w:val="0"/>
              <w:keepLines w:val="0"/>
              <w:pageBreakBefore w:val="0"/>
              <w:widowControl/>
              <w:suppressLineNumbers w:val="0"/>
              <w:tabs>
                <w:tab w:val="left" w:pos="567"/>
              </w:tabs>
              <w:kinsoku/>
              <w:wordWrap/>
              <w:overflowPunct/>
              <w:topLinePunct w:val="0"/>
              <w:autoSpaceDE/>
              <w:autoSpaceDN/>
              <w:bidi w:val="0"/>
              <w:adjustRightInd/>
              <w:spacing w:before="0" w:beforeAutospacing="0" w:after="0" w:afterAutospacing="0" w:line="500" w:lineRule="exact"/>
              <w:ind w:left="0" w:right="0"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5.财务状况报告：提供2023年度或2024年度的财务审计报告或者谈判截止时间六个月内基本开户银行出具的资信证明（成立时间至提交响应文件截止时间不足一年的可提供成立后任意时段的资产负债表）。</w:t>
            </w:r>
          </w:p>
          <w:p w14:paraId="303BE678">
            <w:pPr>
              <w:pStyle w:val="56"/>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leftChars="0" w:right="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税收缴纳证明：</w:t>
            </w:r>
            <w:r>
              <w:rPr>
                <w:rFonts w:hint="eastAsia" w:ascii="宋体" w:hAnsi="宋体" w:cs="宋体"/>
                <w:color w:val="auto"/>
                <w:kern w:val="0"/>
                <w:sz w:val="24"/>
                <w:szCs w:val="24"/>
                <w:lang w:val="en-US" w:eastAsia="zh-CN"/>
              </w:rPr>
              <w:t>提供2024年9月至今任意一个月缴纳的纳税证明或完税证明</w:t>
            </w:r>
            <w:r>
              <w:rPr>
                <w:rFonts w:hint="eastAsia" w:ascii="宋体" w:hAnsi="宋体" w:eastAsia="宋体" w:cs="宋体"/>
                <w:color w:val="auto"/>
                <w:kern w:val="0"/>
                <w:sz w:val="24"/>
                <w:szCs w:val="24"/>
                <w:lang w:val="en-US" w:eastAsia="zh-CN"/>
              </w:rPr>
              <w:t>，依法免税或缓缴的单位应提供相关证明材料，纳税证明或完税证明上应有代收机构或税务机关的公章或业务专用章（成立时间至提交响应文件截止时间不足三个月的可不提供）。</w:t>
            </w:r>
          </w:p>
          <w:p w14:paraId="4C09DEB1">
            <w:pPr>
              <w:pStyle w:val="56"/>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leftChars="0" w:right="0" w:firstLine="48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cs="宋体"/>
                <w:color w:val="auto"/>
                <w:sz w:val="24"/>
                <w:szCs w:val="24"/>
                <w:lang w:val="en-US" w:eastAsia="zh-CN"/>
              </w:rPr>
              <w:t>.社会保障资金缴纳证明：提供2024年9月至今任意一个月社会保障资金缴存单据或社保机构开具的社会保险参保缴费情况证明，依法不需要缴纳社会保险资金的单位应提供相关证明材料，单据或证明上应有社保机构或代收机构的印章（成立时间至提交响应文件截止时间不足三个月的可不提供）。</w:t>
            </w:r>
          </w:p>
          <w:p w14:paraId="5C8930C8">
            <w:pPr>
              <w:pStyle w:val="56"/>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leftChars="0" w:right="0" w:firstLine="48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本项目专门面向中小企业采购，投标人须提</w:t>
            </w:r>
            <w:r>
              <w:rPr>
                <w:rFonts w:hint="eastAsia" w:ascii="宋体" w:hAnsi="宋体" w:eastAsia="宋体" w:cs="宋体"/>
                <w:color w:val="auto"/>
                <w:sz w:val="24"/>
                <w:szCs w:val="24"/>
                <w:lang w:val="en-US" w:eastAsia="zh-CN"/>
              </w:rPr>
              <w:t xml:space="preserve">供《中小企业声明函》。 </w:t>
            </w:r>
          </w:p>
          <w:p w14:paraId="65927DBC">
            <w:pPr>
              <w:pStyle w:val="56"/>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leftChars="0" w:right="0" w:firstLine="480"/>
              <w:textAlignment w:val="auto"/>
              <w:rPr>
                <w:rFonts w:hint="eastAsia" w:ascii="宋体" w:hAnsi="宋体" w:eastAsia="宋体" w:cs="宋体"/>
                <w:color w:val="auto"/>
                <w:kern w:val="0"/>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kern w:val="0"/>
                <w:sz w:val="24"/>
                <w:szCs w:val="24"/>
                <w:lang w:eastAsia="zh-CN"/>
              </w:rPr>
              <w:t>本项目不接受联合体投标</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auto"/>
                <w:sz w:val="24"/>
                <w:szCs w:val="24"/>
                <w:lang w:val="en-US" w:eastAsia="zh-CN"/>
              </w:rPr>
              <w:t xml:space="preserve">  </w:t>
            </w:r>
          </w:p>
        </w:tc>
      </w:tr>
      <w:tr w14:paraId="5723A85B">
        <w:tblPrEx>
          <w:tblCellMar>
            <w:top w:w="0" w:type="dxa"/>
            <w:left w:w="108" w:type="dxa"/>
            <w:bottom w:w="0" w:type="dxa"/>
            <w:right w:w="108" w:type="dxa"/>
          </w:tblCellMar>
        </w:tblPrEx>
        <w:trPr>
          <w:trHeight w:val="415"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14:paraId="7EDE0D33">
            <w:pPr>
              <w:keepNext w:val="0"/>
              <w:keepLines w:val="0"/>
              <w:pageBreakBefore w:val="0"/>
              <w:widowControl/>
              <w:numPr>
                <w:ilvl w:val="0"/>
                <w:numId w:val="1"/>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kern w:val="0"/>
                <w:sz w:val="24"/>
                <w:szCs w:val="24"/>
                <w:lang w:val="en-US" w:eastAsia="zh-CN"/>
              </w:rPr>
            </w:pPr>
          </w:p>
        </w:tc>
        <w:tc>
          <w:tcPr>
            <w:tcW w:w="1795" w:type="dxa"/>
            <w:tcBorders>
              <w:top w:val="single" w:color="auto" w:sz="4" w:space="0"/>
              <w:left w:val="nil"/>
              <w:bottom w:val="single" w:color="auto" w:sz="4" w:space="0"/>
              <w:right w:val="single" w:color="auto" w:sz="4" w:space="0"/>
            </w:tcBorders>
            <w:vAlign w:val="top"/>
          </w:tcPr>
          <w:p w14:paraId="5BEC8C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是否接受联合体投标</w:t>
            </w:r>
          </w:p>
        </w:tc>
        <w:tc>
          <w:tcPr>
            <w:tcW w:w="7098" w:type="dxa"/>
            <w:tcBorders>
              <w:top w:val="single" w:color="auto" w:sz="4" w:space="0"/>
              <w:left w:val="single" w:color="auto" w:sz="4" w:space="0"/>
              <w:bottom w:val="single" w:color="auto" w:sz="4" w:space="0"/>
              <w:right w:val="single" w:color="000000" w:sz="4" w:space="0"/>
            </w:tcBorders>
            <w:vAlign w:val="center"/>
          </w:tcPr>
          <w:p w14:paraId="05B23F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不接受联合体</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rPr>
              <w:t>。</w:t>
            </w:r>
          </w:p>
        </w:tc>
      </w:tr>
      <w:tr w14:paraId="7B1A3B75">
        <w:tblPrEx>
          <w:tblCellMar>
            <w:top w:w="0" w:type="dxa"/>
            <w:left w:w="108" w:type="dxa"/>
            <w:bottom w:w="0" w:type="dxa"/>
            <w:right w:w="108" w:type="dxa"/>
          </w:tblCellMar>
        </w:tblPrEx>
        <w:trPr>
          <w:trHeight w:val="415"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14:paraId="3C767C3E">
            <w:pPr>
              <w:keepNext w:val="0"/>
              <w:keepLines w:val="0"/>
              <w:pageBreakBefore w:val="0"/>
              <w:widowControl/>
              <w:numPr>
                <w:ilvl w:val="0"/>
                <w:numId w:val="1"/>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kern w:val="0"/>
                <w:sz w:val="24"/>
                <w:szCs w:val="24"/>
                <w:lang w:val="en-US" w:eastAsia="zh-CN"/>
              </w:rPr>
            </w:pPr>
          </w:p>
        </w:tc>
        <w:tc>
          <w:tcPr>
            <w:tcW w:w="1795" w:type="dxa"/>
            <w:tcBorders>
              <w:top w:val="single" w:color="auto" w:sz="4" w:space="0"/>
              <w:left w:val="nil"/>
              <w:bottom w:val="single" w:color="auto" w:sz="4" w:space="0"/>
              <w:right w:val="single" w:color="auto" w:sz="4" w:space="0"/>
            </w:tcBorders>
            <w:vAlign w:val="center"/>
          </w:tcPr>
          <w:p w14:paraId="6C96E5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现场踏勘</w:t>
            </w:r>
          </w:p>
        </w:tc>
        <w:tc>
          <w:tcPr>
            <w:tcW w:w="7098" w:type="dxa"/>
            <w:tcBorders>
              <w:top w:val="single" w:color="auto" w:sz="4" w:space="0"/>
              <w:left w:val="single" w:color="auto" w:sz="4" w:space="0"/>
              <w:bottom w:val="single" w:color="auto" w:sz="4" w:space="0"/>
              <w:right w:val="single" w:color="000000" w:sz="4" w:space="0"/>
            </w:tcBorders>
            <w:vAlign w:val="center"/>
          </w:tcPr>
          <w:p w14:paraId="1BCA48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不组织现场踏勘</w:t>
            </w:r>
          </w:p>
        </w:tc>
      </w:tr>
      <w:tr w14:paraId="11856F78">
        <w:tblPrEx>
          <w:tblCellMar>
            <w:top w:w="0" w:type="dxa"/>
            <w:left w:w="108" w:type="dxa"/>
            <w:bottom w:w="0" w:type="dxa"/>
            <w:right w:w="108" w:type="dxa"/>
          </w:tblCellMar>
        </w:tblPrEx>
        <w:trPr>
          <w:trHeight w:val="387"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4E875146">
            <w:pPr>
              <w:keepNext w:val="0"/>
              <w:keepLines w:val="0"/>
              <w:pageBreakBefore w:val="0"/>
              <w:widowControl/>
              <w:numPr>
                <w:ilvl w:val="0"/>
                <w:numId w:val="1"/>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kern w:val="0"/>
                <w:sz w:val="24"/>
                <w:szCs w:val="24"/>
                <w:lang w:val="en-US" w:eastAsia="zh-CN"/>
              </w:rPr>
            </w:pPr>
          </w:p>
        </w:tc>
        <w:tc>
          <w:tcPr>
            <w:tcW w:w="1795" w:type="dxa"/>
            <w:tcBorders>
              <w:top w:val="single" w:color="000000" w:sz="4" w:space="0"/>
              <w:left w:val="nil"/>
              <w:bottom w:val="single" w:color="000000" w:sz="4" w:space="0"/>
              <w:right w:val="single" w:color="auto" w:sz="4" w:space="0"/>
            </w:tcBorders>
            <w:vAlign w:val="center"/>
          </w:tcPr>
          <w:p w14:paraId="492C3F19">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采购方式</w:t>
            </w:r>
          </w:p>
        </w:tc>
        <w:tc>
          <w:tcPr>
            <w:tcW w:w="7098" w:type="dxa"/>
            <w:tcBorders>
              <w:top w:val="single" w:color="000000" w:sz="4" w:space="0"/>
              <w:left w:val="single" w:color="auto" w:sz="4" w:space="0"/>
              <w:bottom w:val="single" w:color="000000" w:sz="4" w:space="0"/>
              <w:right w:val="single" w:color="000000" w:sz="4" w:space="0"/>
            </w:tcBorders>
            <w:vAlign w:val="center"/>
          </w:tcPr>
          <w:p w14:paraId="19DB2D9C">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竞争性谈判</w:t>
            </w:r>
          </w:p>
        </w:tc>
      </w:tr>
      <w:tr w14:paraId="2ACB9059">
        <w:tblPrEx>
          <w:tblCellMar>
            <w:top w:w="0" w:type="dxa"/>
            <w:left w:w="108" w:type="dxa"/>
            <w:bottom w:w="0" w:type="dxa"/>
            <w:right w:w="108" w:type="dxa"/>
          </w:tblCellMar>
        </w:tblPrEx>
        <w:trPr>
          <w:trHeight w:val="344"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6BE28CC2">
            <w:pPr>
              <w:keepNext w:val="0"/>
              <w:keepLines w:val="0"/>
              <w:pageBreakBefore w:val="0"/>
              <w:widowControl/>
              <w:numPr>
                <w:ilvl w:val="0"/>
                <w:numId w:val="1"/>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sz w:val="24"/>
                <w:szCs w:val="24"/>
              </w:rPr>
            </w:pPr>
          </w:p>
        </w:tc>
        <w:tc>
          <w:tcPr>
            <w:tcW w:w="1795" w:type="dxa"/>
            <w:tcBorders>
              <w:top w:val="single" w:color="000000" w:sz="4" w:space="0"/>
              <w:left w:val="nil"/>
              <w:bottom w:val="single" w:color="000000" w:sz="4" w:space="0"/>
              <w:right w:val="single" w:color="auto" w:sz="4" w:space="0"/>
            </w:tcBorders>
            <w:vAlign w:val="center"/>
          </w:tcPr>
          <w:p w14:paraId="52A6FE8E">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评标办法</w:t>
            </w:r>
          </w:p>
        </w:tc>
        <w:tc>
          <w:tcPr>
            <w:tcW w:w="7098" w:type="dxa"/>
            <w:tcBorders>
              <w:top w:val="single" w:color="000000" w:sz="4" w:space="0"/>
              <w:left w:val="single" w:color="auto" w:sz="4" w:space="0"/>
              <w:bottom w:val="single" w:color="000000" w:sz="4" w:space="0"/>
              <w:right w:val="single" w:color="000000" w:sz="4" w:space="0"/>
            </w:tcBorders>
            <w:vAlign w:val="center"/>
          </w:tcPr>
          <w:p w14:paraId="4130B8A3">
            <w:pPr>
              <w:keepNext w:val="0"/>
              <w:keepLines w:val="0"/>
              <w:pageBreakBefore w:val="0"/>
              <w:widowControl w:val="0"/>
              <w:suppressLineNumbers w:val="0"/>
              <w:kinsoku/>
              <w:wordWrap/>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比照最低评标价法</w:t>
            </w:r>
          </w:p>
        </w:tc>
      </w:tr>
      <w:tr w14:paraId="30161383">
        <w:tblPrEx>
          <w:tblCellMar>
            <w:top w:w="0" w:type="dxa"/>
            <w:left w:w="108" w:type="dxa"/>
            <w:bottom w:w="0" w:type="dxa"/>
            <w:right w:w="108" w:type="dxa"/>
          </w:tblCellMar>
        </w:tblPrEx>
        <w:trPr>
          <w:trHeight w:val="375"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51AD2FE6">
            <w:pPr>
              <w:keepNext w:val="0"/>
              <w:keepLines w:val="0"/>
              <w:pageBreakBefore w:val="0"/>
              <w:widowControl/>
              <w:numPr>
                <w:ilvl w:val="0"/>
                <w:numId w:val="1"/>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kern w:val="0"/>
                <w:sz w:val="24"/>
                <w:szCs w:val="24"/>
              </w:rPr>
            </w:pPr>
          </w:p>
        </w:tc>
        <w:tc>
          <w:tcPr>
            <w:tcW w:w="1795" w:type="dxa"/>
            <w:tcBorders>
              <w:top w:val="single" w:color="000000" w:sz="4" w:space="0"/>
              <w:left w:val="nil"/>
              <w:bottom w:val="single" w:color="000000" w:sz="4" w:space="0"/>
              <w:right w:val="single" w:color="auto" w:sz="4" w:space="0"/>
            </w:tcBorders>
            <w:vAlign w:val="center"/>
          </w:tcPr>
          <w:p w14:paraId="4276B687">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特殊情况处理</w:t>
            </w:r>
          </w:p>
        </w:tc>
        <w:tc>
          <w:tcPr>
            <w:tcW w:w="7098" w:type="dxa"/>
            <w:tcBorders>
              <w:top w:val="single" w:color="000000" w:sz="4" w:space="0"/>
              <w:left w:val="single" w:color="auto" w:sz="4" w:space="0"/>
              <w:bottom w:val="single" w:color="000000" w:sz="4" w:space="0"/>
              <w:right w:val="single" w:color="000000" w:sz="4" w:space="0"/>
            </w:tcBorders>
            <w:vAlign w:val="center"/>
          </w:tcPr>
          <w:p w14:paraId="5DBF5F3F">
            <w:pPr>
              <w:keepNext w:val="0"/>
              <w:keepLines w:val="0"/>
              <w:pageBreakBefore w:val="0"/>
              <w:widowControl w:val="0"/>
              <w:suppressLineNumbers w:val="0"/>
              <w:kinsoku/>
              <w:wordWrap/>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谈判失败后，除采购任务取消外，将重新组织采购。</w:t>
            </w:r>
          </w:p>
        </w:tc>
      </w:tr>
      <w:tr w14:paraId="788C123B">
        <w:tblPrEx>
          <w:tblCellMar>
            <w:top w:w="0" w:type="dxa"/>
            <w:left w:w="108" w:type="dxa"/>
            <w:bottom w:w="0" w:type="dxa"/>
            <w:right w:w="108" w:type="dxa"/>
          </w:tblCellMar>
        </w:tblPrEx>
        <w:trPr>
          <w:trHeight w:val="512"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30C00464">
            <w:pPr>
              <w:keepNext w:val="0"/>
              <w:keepLines w:val="0"/>
              <w:pageBreakBefore w:val="0"/>
              <w:widowControl/>
              <w:numPr>
                <w:ilvl w:val="0"/>
                <w:numId w:val="1"/>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sz w:val="24"/>
                <w:szCs w:val="24"/>
              </w:rPr>
            </w:pPr>
          </w:p>
        </w:tc>
        <w:tc>
          <w:tcPr>
            <w:tcW w:w="1795" w:type="dxa"/>
            <w:tcBorders>
              <w:top w:val="single" w:color="000000" w:sz="4" w:space="0"/>
              <w:left w:val="single" w:color="000000" w:sz="4" w:space="0"/>
              <w:bottom w:val="single" w:color="000000" w:sz="4" w:space="0"/>
              <w:right w:val="single" w:color="000000" w:sz="4" w:space="0"/>
            </w:tcBorders>
            <w:vAlign w:val="center"/>
          </w:tcPr>
          <w:p w14:paraId="11A91CB4">
            <w:pPr>
              <w:keepNext w:val="0"/>
              <w:keepLines w:val="0"/>
              <w:pageBreakBefore w:val="0"/>
              <w:widowControl w:val="0"/>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开标时间、地点</w:t>
            </w:r>
          </w:p>
        </w:tc>
        <w:tc>
          <w:tcPr>
            <w:tcW w:w="7098" w:type="dxa"/>
            <w:tcBorders>
              <w:top w:val="single" w:color="000000" w:sz="4" w:space="0"/>
              <w:left w:val="single" w:color="auto" w:sz="4" w:space="0"/>
              <w:bottom w:val="single" w:color="000000" w:sz="4" w:space="0"/>
              <w:right w:val="single" w:color="000000" w:sz="4" w:space="0"/>
            </w:tcBorders>
            <w:vAlign w:val="center"/>
          </w:tcPr>
          <w:p w14:paraId="0B309DF2">
            <w:pPr>
              <w:keepNext w:val="0"/>
              <w:keepLines w:val="0"/>
              <w:pageBreakBefore w:val="0"/>
              <w:widowControl w:val="0"/>
              <w:suppressLineNumbers w:val="0"/>
              <w:kinsoku/>
              <w:wordWrap/>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000000" w:themeColor="text1"/>
                <w:sz w:val="24"/>
                <w:szCs w:val="24"/>
                <w:highlight w:val="red"/>
                <w14:textFill>
                  <w14:solidFill>
                    <w14:schemeClr w14:val="tx1"/>
                  </w14:solidFill>
                </w14:textFill>
              </w:rPr>
            </w:pPr>
            <w:r>
              <w:rPr>
                <w:rFonts w:hint="eastAsia" w:ascii="宋体" w:hAnsi="宋体" w:eastAsia="宋体" w:cs="宋体"/>
                <w:color w:val="auto"/>
                <w:sz w:val="24"/>
                <w:szCs w:val="24"/>
              </w:rPr>
              <w:t>开标时间：</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 xml:space="preserve">09:00 </w:t>
            </w:r>
            <w:r>
              <w:rPr>
                <w:rFonts w:hint="eastAsia" w:ascii="宋体" w:hAnsi="宋体" w:eastAsia="宋体" w:cs="宋体"/>
                <w:color w:val="auto"/>
                <w:sz w:val="24"/>
                <w:szCs w:val="24"/>
                <w:highlight w:val="none"/>
                <w:lang w:eastAsia="zh-CN"/>
              </w:rPr>
              <w:t>时</w:t>
            </w:r>
          </w:p>
          <w:p w14:paraId="1361D6B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60" w:lineRule="exact"/>
              <w:ind w:left="0" w:right="0"/>
              <w:textAlignment w:val="auto"/>
              <w:outlineLvl w:val="9"/>
              <w:rPr>
                <w:rFonts w:hint="eastAsia" w:ascii="宋体" w:hAnsi="宋体" w:eastAsia="宋体" w:cs="宋体"/>
                <w:color w:val="000000" w:themeColor="text1"/>
                <w:sz w:val="24"/>
                <w:szCs w:val="24"/>
                <w:highlight w:val="red"/>
                <w:lang w:val="en-US" w:eastAsia="zh-CN"/>
                <w14:textFill>
                  <w14:solidFill>
                    <w14:schemeClr w14:val="tx1"/>
                  </w14:solidFill>
                </w14:textFill>
              </w:rPr>
            </w:pPr>
            <w:r>
              <w:rPr>
                <w:rFonts w:hint="eastAsia" w:ascii="宋体" w:hAnsi="宋体" w:eastAsia="宋体" w:cs="宋体"/>
                <w:color w:val="auto"/>
                <w:sz w:val="24"/>
                <w:szCs w:val="24"/>
              </w:rPr>
              <w:t>开标地点：</w:t>
            </w:r>
            <w:r>
              <w:rPr>
                <w:rFonts w:hint="eastAsia" w:ascii="宋体" w:hAnsi="宋体" w:eastAsia="宋体" w:cs="宋体"/>
                <w:color w:val="auto"/>
                <w:sz w:val="24"/>
                <w:szCs w:val="24"/>
                <w:lang w:val="en-US" w:eastAsia="zh-CN"/>
              </w:rPr>
              <w:t>安康不见面开标大厅系统</w:t>
            </w:r>
            <w:r>
              <w:rPr>
                <w:rFonts w:hint="eastAsia" w:ascii="宋体" w:hAnsi="宋体" w:eastAsia="宋体" w:cs="宋体"/>
                <w:color w:val="auto"/>
                <w:sz w:val="24"/>
                <w:szCs w:val="24"/>
              </w:rPr>
              <w:t>（采用电子化投标及远程不见面开标方式）</w:t>
            </w:r>
          </w:p>
          <w:p w14:paraId="312E6BAC">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460" w:lineRule="exact"/>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rPr>
              <w:t>（如有变动，另行通知）。</w:t>
            </w:r>
            <w:r>
              <w:rPr>
                <w:rFonts w:hint="eastAsia" w:ascii="宋体" w:hAnsi="宋体" w:eastAsia="宋体" w:cs="宋体"/>
                <w:color w:val="auto"/>
                <w:sz w:val="24"/>
                <w:szCs w:val="24"/>
                <w:lang w:val="en-US" w:eastAsia="zh-CN"/>
              </w:rPr>
              <w:t xml:space="preserve"> </w:t>
            </w:r>
          </w:p>
        </w:tc>
      </w:tr>
      <w:tr w14:paraId="53FB6CEF">
        <w:tblPrEx>
          <w:tblCellMar>
            <w:top w:w="0" w:type="dxa"/>
            <w:left w:w="108" w:type="dxa"/>
            <w:bottom w:w="0" w:type="dxa"/>
            <w:right w:w="108" w:type="dxa"/>
          </w:tblCellMar>
        </w:tblPrEx>
        <w:trPr>
          <w:trHeight w:val="434"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13E29F2E">
            <w:pPr>
              <w:keepNext w:val="0"/>
              <w:keepLines w:val="0"/>
              <w:pageBreakBefore w:val="0"/>
              <w:widowControl/>
              <w:numPr>
                <w:ilvl w:val="0"/>
                <w:numId w:val="1"/>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sz w:val="24"/>
                <w:szCs w:val="24"/>
              </w:rPr>
            </w:pPr>
          </w:p>
        </w:tc>
        <w:tc>
          <w:tcPr>
            <w:tcW w:w="1795" w:type="dxa"/>
            <w:tcBorders>
              <w:top w:val="single" w:color="000000" w:sz="4" w:space="0"/>
              <w:left w:val="single" w:color="000000" w:sz="4" w:space="0"/>
              <w:bottom w:val="single" w:color="000000" w:sz="4" w:space="0"/>
              <w:right w:val="single" w:color="000000" w:sz="4" w:space="0"/>
            </w:tcBorders>
          </w:tcPr>
          <w:p w14:paraId="0F486260">
            <w:pPr>
              <w:keepNext w:val="0"/>
              <w:keepLines w:val="0"/>
              <w:pageBreakBefore w:val="0"/>
              <w:widowControl w:val="0"/>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w:t>
            </w:r>
          </w:p>
          <w:p w14:paraId="711CA022">
            <w:pPr>
              <w:keepNext w:val="0"/>
              <w:keepLines w:val="0"/>
              <w:pageBreakBefore w:val="0"/>
              <w:widowControl w:val="0"/>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递交截止时间</w:t>
            </w:r>
          </w:p>
        </w:tc>
        <w:tc>
          <w:tcPr>
            <w:tcW w:w="7098" w:type="dxa"/>
            <w:tcBorders>
              <w:top w:val="single" w:color="000000" w:sz="4" w:space="0"/>
              <w:left w:val="single" w:color="auto" w:sz="4" w:space="0"/>
              <w:bottom w:val="single" w:color="000000" w:sz="4" w:space="0"/>
              <w:right w:val="single" w:color="000000" w:sz="4" w:space="0"/>
            </w:tcBorders>
            <w:vAlign w:val="center"/>
          </w:tcPr>
          <w:p w14:paraId="2DAF9E24">
            <w:pPr>
              <w:keepNext w:val="0"/>
              <w:keepLines w:val="0"/>
              <w:pageBreakBefore w:val="0"/>
              <w:widowControl w:val="0"/>
              <w:suppressLineNumbers w:val="0"/>
              <w:kinsoku/>
              <w:wordWrap/>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 xml:space="preserve">09:00 </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rPr>
              <w:t>止</w:t>
            </w:r>
          </w:p>
        </w:tc>
      </w:tr>
      <w:tr w14:paraId="237FD219">
        <w:tblPrEx>
          <w:tblCellMar>
            <w:top w:w="0" w:type="dxa"/>
            <w:left w:w="108" w:type="dxa"/>
            <w:bottom w:w="0" w:type="dxa"/>
            <w:right w:w="108" w:type="dxa"/>
          </w:tblCellMar>
        </w:tblPrEx>
        <w:trPr>
          <w:trHeight w:val="473"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4988B559">
            <w:pPr>
              <w:keepNext w:val="0"/>
              <w:keepLines w:val="0"/>
              <w:pageBreakBefore w:val="0"/>
              <w:widowControl/>
              <w:numPr>
                <w:ilvl w:val="0"/>
                <w:numId w:val="1"/>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sz w:val="24"/>
                <w:szCs w:val="24"/>
              </w:rPr>
            </w:pPr>
          </w:p>
        </w:tc>
        <w:tc>
          <w:tcPr>
            <w:tcW w:w="1795" w:type="dxa"/>
            <w:tcBorders>
              <w:top w:val="single" w:color="000000" w:sz="4" w:space="0"/>
              <w:left w:val="nil"/>
              <w:bottom w:val="single" w:color="000000" w:sz="4" w:space="0"/>
              <w:right w:val="single" w:color="auto" w:sz="4" w:space="0"/>
            </w:tcBorders>
            <w:vAlign w:val="center"/>
          </w:tcPr>
          <w:p w14:paraId="5A9A2F52">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评标小组构成</w:t>
            </w:r>
          </w:p>
        </w:tc>
        <w:tc>
          <w:tcPr>
            <w:tcW w:w="7098" w:type="dxa"/>
            <w:tcBorders>
              <w:top w:val="single" w:color="000000" w:sz="4" w:space="0"/>
              <w:left w:val="single" w:color="auto" w:sz="4" w:space="0"/>
              <w:bottom w:val="single" w:color="000000" w:sz="4" w:space="0"/>
              <w:right w:val="single" w:color="000000" w:sz="4" w:space="0"/>
            </w:tcBorders>
            <w:vAlign w:val="center"/>
          </w:tcPr>
          <w:p w14:paraId="11D1A192">
            <w:pPr>
              <w:keepNext w:val="0"/>
              <w:keepLines w:val="0"/>
              <w:pageBreakBefore w:val="0"/>
              <w:widowControl w:val="0"/>
              <w:suppressLineNumbers w:val="0"/>
              <w:kinsoku/>
              <w:wordWrap/>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根据《中华人民共和国政府采购法》《中华人民共和国</w:t>
            </w:r>
            <w:r>
              <w:rPr>
                <w:rFonts w:hint="eastAsia" w:ascii="宋体" w:hAnsi="宋体" w:eastAsia="宋体" w:cs="宋体"/>
                <w:color w:val="auto"/>
                <w:sz w:val="24"/>
                <w:szCs w:val="24"/>
                <w:lang w:val="en-US" w:eastAsia="zh-CN"/>
              </w:rPr>
              <w:t>政府采购法实施条例</w:t>
            </w:r>
            <w:r>
              <w:rPr>
                <w:rFonts w:hint="eastAsia" w:ascii="宋体" w:hAnsi="宋体" w:eastAsia="宋体" w:cs="宋体"/>
                <w:color w:val="auto"/>
                <w:sz w:val="24"/>
                <w:szCs w:val="24"/>
              </w:rPr>
              <w:t>》等有关法律规定组建评标小组。</w:t>
            </w:r>
          </w:p>
        </w:tc>
      </w:tr>
      <w:tr w14:paraId="7375924D">
        <w:tblPrEx>
          <w:tblCellMar>
            <w:top w:w="0" w:type="dxa"/>
            <w:left w:w="108" w:type="dxa"/>
            <w:bottom w:w="0" w:type="dxa"/>
            <w:right w:w="108" w:type="dxa"/>
          </w:tblCellMar>
        </w:tblPrEx>
        <w:trPr>
          <w:trHeight w:val="156"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6B778569">
            <w:pPr>
              <w:keepNext w:val="0"/>
              <w:keepLines w:val="0"/>
              <w:pageBreakBefore w:val="0"/>
              <w:widowControl/>
              <w:numPr>
                <w:ilvl w:val="0"/>
                <w:numId w:val="1"/>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sz w:val="24"/>
                <w:szCs w:val="24"/>
              </w:rPr>
            </w:pPr>
          </w:p>
        </w:tc>
        <w:tc>
          <w:tcPr>
            <w:tcW w:w="1795" w:type="dxa"/>
            <w:tcBorders>
              <w:top w:val="single" w:color="000000" w:sz="4" w:space="0"/>
              <w:left w:val="single" w:color="000000" w:sz="4" w:space="0"/>
              <w:bottom w:val="single" w:color="000000" w:sz="4" w:space="0"/>
              <w:right w:val="single" w:color="000000" w:sz="4" w:space="0"/>
            </w:tcBorders>
            <w:vAlign w:val="center"/>
          </w:tcPr>
          <w:p w14:paraId="6CDC4978">
            <w:pPr>
              <w:keepNext w:val="0"/>
              <w:keepLines w:val="0"/>
              <w:widowControl/>
              <w:suppressLineNumbers w:val="0"/>
              <w:spacing w:before="0" w:beforeAutospacing="0" w:after="0" w:afterAutospacing="0" w:line="259" w:lineRule="auto"/>
              <w:ind w:left="0" w:right="0"/>
              <w:rPr>
                <w:rFonts w:hint="eastAsia" w:ascii="宋体" w:hAnsi="宋体" w:eastAsia="宋体" w:cs="宋体"/>
                <w:color w:val="auto"/>
                <w:sz w:val="24"/>
                <w:szCs w:val="24"/>
              </w:rPr>
            </w:pPr>
            <w:r>
              <w:rPr>
                <w:rFonts w:hint="eastAsia" w:asciiTheme="minorEastAsia" w:hAnsiTheme="minorEastAsia" w:eastAsiaTheme="minorEastAsia"/>
                <w:color w:val="auto"/>
                <w:sz w:val="24"/>
                <w:szCs w:val="24"/>
                <w:lang w:val="en-US" w:eastAsia="zh-CN"/>
              </w:rPr>
              <w:t>其他说明事项</w:t>
            </w:r>
          </w:p>
        </w:tc>
        <w:tc>
          <w:tcPr>
            <w:tcW w:w="7098" w:type="dxa"/>
            <w:tcBorders>
              <w:top w:val="single" w:color="000000" w:sz="4" w:space="0"/>
              <w:left w:val="single" w:color="000000" w:sz="4" w:space="0"/>
              <w:bottom w:val="single" w:color="000000" w:sz="4" w:space="0"/>
              <w:right w:val="single" w:color="000000" w:sz="4" w:space="0"/>
            </w:tcBorders>
            <w:vAlign w:val="center"/>
          </w:tcPr>
          <w:p w14:paraId="68B130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采购标的对应的中小企业划分标准所属行业为工业。</w:t>
            </w:r>
            <w:r>
              <w:rPr>
                <w:rFonts w:hint="eastAsia" w:ascii="宋体" w:hAnsi="宋体" w:eastAsia="宋体" w:cs="宋体"/>
                <w:color w:val="auto"/>
                <w:sz w:val="24"/>
                <w:szCs w:val="24"/>
              </w:rPr>
              <w:t>工业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3FE28BCB">
        <w:tblPrEx>
          <w:tblCellMar>
            <w:top w:w="0" w:type="dxa"/>
            <w:left w:w="108" w:type="dxa"/>
            <w:bottom w:w="0" w:type="dxa"/>
            <w:right w:w="108" w:type="dxa"/>
          </w:tblCellMar>
        </w:tblPrEx>
        <w:trPr>
          <w:trHeight w:val="618"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1534810D">
            <w:pPr>
              <w:keepNext w:val="0"/>
              <w:keepLines w:val="0"/>
              <w:pageBreakBefore w:val="0"/>
              <w:widowControl/>
              <w:numPr>
                <w:ilvl w:val="0"/>
                <w:numId w:val="1"/>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sz w:val="24"/>
                <w:szCs w:val="24"/>
              </w:rPr>
            </w:pPr>
          </w:p>
        </w:tc>
        <w:tc>
          <w:tcPr>
            <w:tcW w:w="1795" w:type="dxa"/>
            <w:tcBorders>
              <w:top w:val="single" w:color="000000" w:sz="4" w:space="0"/>
              <w:left w:val="single" w:color="000000" w:sz="4" w:space="0"/>
              <w:bottom w:val="single" w:color="000000" w:sz="4" w:space="0"/>
              <w:right w:val="single" w:color="000000" w:sz="4" w:space="0"/>
            </w:tcBorders>
            <w:vAlign w:val="top"/>
          </w:tcPr>
          <w:p w14:paraId="42192D19">
            <w:pPr>
              <w:keepNext w:val="0"/>
              <w:keepLines w:val="0"/>
              <w:pageBreakBefore w:val="0"/>
              <w:widowControl w:val="0"/>
              <w:suppressLineNumbers w:val="0"/>
              <w:kinsoku/>
              <w:wordWrap/>
              <w:topLinePunct w:val="0"/>
              <w:autoSpaceDE/>
              <w:autoSpaceDN/>
              <w:bidi w:val="0"/>
              <w:spacing w:before="0" w:beforeAutospacing="0" w:after="0" w:afterAutospacing="0" w:line="460" w:lineRule="exact"/>
              <w:ind w:left="0" w:leftChars="0" w:right="109"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答疑</w:t>
            </w:r>
          </w:p>
        </w:tc>
        <w:tc>
          <w:tcPr>
            <w:tcW w:w="7098" w:type="dxa"/>
            <w:tcBorders>
              <w:top w:val="single" w:color="000000" w:sz="4" w:space="0"/>
              <w:left w:val="single" w:color="000000" w:sz="4" w:space="0"/>
              <w:bottom w:val="single" w:color="000000" w:sz="4" w:space="0"/>
              <w:right w:val="single" w:color="000000" w:sz="4" w:space="0"/>
            </w:tcBorders>
            <w:vAlign w:val="top"/>
          </w:tcPr>
          <w:p w14:paraId="3DE2AA0D">
            <w:pPr>
              <w:keepNext w:val="0"/>
              <w:keepLines w:val="0"/>
              <w:pageBreakBefore w:val="0"/>
              <w:widowControl w:val="0"/>
              <w:suppressLineNumbers w:val="0"/>
              <w:kinsoku/>
              <w:wordWrap/>
              <w:topLinePunct w:val="0"/>
              <w:autoSpaceDE/>
              <w:autoSpaceDN/>
              <w:bidi w:val="0"/>
              <w:spacing w:before="0" w:beforeAutospacing="0" w:after="0" w:afterAutospacing="0" w:line="460" w:lineRule="exact"/>
              <w:ind w:left="0" w:leftChars="0" w:right="-11"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 xml:space="preserve">如有疑问，投标人需书面提出，经采购人收集问题后，统一答疑。 </w:t>
            </w:r>
          </w:p>
        </w:tc>
      </w:tr>
      <w:tr w14:paraId="37A873EF">
        <w:tblPrEx>
          <w:tblCellMar>
            <w:top w:w="0" w:type="dxa"/>
            <w:left w:w="108" w:type="dxa"/>
            <w:bottom w:w="0" w:type="dxa"/>
            <w:right w:w="108" w:type="dxa"/>
          </w:tblCellMar>
        </w:tblPrEx>
        <w:trPr>
          <w:trHeight w:val="618"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4288DB11">
            <w:pPr>
              <w:keepNext w:val="0"/>
              <w:keepLines w:val="0"/>
              <w:pageBreakBefore w:val="0"/>
              <w:widowControl/>
              <w:numPr>
                <w:ilvl w:val="0"/>
                <w:numId w:val="1"/>
              </w:numPr>
              <w:suppressLineNumbers w:val="0"/>
              <w:kinsoku/>
              <w:wordWrap/>
              <w:topLinePunct w:val="0"/>
              <w:autoSpaceDE/>
              <w:autoSpaceDN/>
              <w:bidi w:val="0"/>
              <w:spacing w:before="0" w:beforeAutospacing="0" w:after="0" w:afterAutospacing="0" w:line="460" w:lineRule="exact"/>
              <w:ind w:left="425" w:leftChars="0" w:right="0" w:hanging="425" w:firstLineChars="0"/>
              <w:jc w:val="center"/>
              <w:textAlignment w:val="auto"/>
              <w:rPr>
                <w:rFonts w:hint="eastAsia" w:ascii="宋体" w:hAnsi="宋体" w:eastAsia="宋体" w:cs="宋体"/>
                <w:color w:val="auto"/>
                <w:sz w:val="24"/>
                <w:szCs w:val="24"/>
              </w:rPr>
            </w:pPr>
          </w:p>
        </w:tc>
        <w:tc>
          <w:tcPr>
            <w:tcW w:w="1795" w:type="dxa"/>
            <w:tcBorders>
              <w:top w:val="single" w:color="000000" w:sz="4" w:space="0"/>
              <w:left w:val="single" w:color="000000" w:sz="4" w:space="0"/>
              <w:bottom w:val="single" w:color="000000" w:sz="4" w:space="0"/>
              <w:right w:val="single" w:color="000000" w:sz="4" w:space="0"/>
            </w:tcBorders>
            <w:vAlign w:val="center"/>
          </w:tcPr>
          <w:p w14:paraId="7376DC85">
            <w:pPr>
              <w:keepNext w:val="0"/>
              <w:keepLines w:val="0"/>
              <w:pageBreakBefore w:val="0"/>
              <w:widowControl w:val="0"/>
              <w:suppressLineNumbers w:val="0"/>
              <w:kinsoku/>
              <w:wordWrap/>
              <w:topLinePunct w:val="0"/>
              <w:autoSpaceDE/>
              <w:autoSpaceDN/>
              <w:bidi w:val="0"/>
              <w:spacing w:before="0" w:beforeAutospacing="0" w:after="0" w:afterAutospacing="0" w:line="460" w:lineRule="exact"/>
              <w:ind w:left="0" w:leftChars="0" w:right="109" w:rightChars="0"/>
              <w:jc w:val="center"/>
              <w:textAlignment w:val="auto"/>
              <w:rPr>
                <w:rFonts w:hint="eastAsia" w:ascii="宋体" w:hAnsi="宋体" w:eastAsia="宋体" w:cs="宋体"/>
                <w:color w:val="auto"/>
                <w:sz w:val="24"/>
                <w:szCs w:val="24"/>
              </w:rPr>
            </w:pPr>
            <w:r>
              <w:rPr>
                <w:rFonts w:hint="default" w:ascii="宋体" w:hAnsi="宋体" w:eastAsia="宋体" w:cs="宋体"/>
                <w:color w:val="auto"/>
                <w:sz w:val="24"/>
                <w:szCs w:val="24"/>
                <w:lang w:val="en-US" w:eastAsia="zh-CN"/>
              </w:rPr>
              <w:t>纸质投标</w:t>
            </w:r>
            <w:r>
              <w:rPr>
                <w:rFonts w:hint="eastAsia" w:ascii="宋体" w:hAnsi="宋体" w:eastAsia="宋体" w:cs="宋体"/>
                <w:color w:val="auto"/>
                <w:sz w:val="24"/>
                <w:szCs w:val="24"/>
                <w:lang w:val="en-US" w:eastAsia="zh-CN"/>
              </w:rPr>
              <w:t>文件</w:t>
            </w:r>
            <w:r>
              <w:rPr>
                <w:rFonts w:hint="default" w:ascii="宋体" w:hAnsi="宋体" w:eastAsia="宋体" w:cs="宋体"/>
                <w:color w:val="auto"/>
                <w:sz w:val="24"/>
                <w:szCs w:val="24"/>
                <w:lang w:val="en-US" w:eastAsia="zh-CN"/>
              </w:rPr>
              <w:t>递交</w:t>
            </w:r>
            <w:r>
              <w:rPr>
                <w:rFonts w:hint="eastAsia" w:ascii="宋体" w:hAnsi="宋体" w:eastAsia="宋体" w:cs="宋体"/>
                <w:color w:val="auto"/>
                <w:sz w:val="24"/>
                <w:szCs w:val="24"/>
                <w:lang w:val="en-US" w:eastAsia="zh-CN"/>
              </w:rPr>
              <w:t>说明</w:t>
            </w:r>
          </w:p>
        </w:tc>
        <w:tc>
          <w:tcPr>
            <w:tcW w:w="7098" w:type="dxa"/>
            <w:tcBorders>
              <w:top w:val="single" w:color="000000" w:sz="4" w:space="0"/>
              <w:left w:val="single" w:color="000000" w:sz="4" w:space="0"/>
              <w:bottom w:val="single" w:color="000000" w:sz="4" w:space="0"/>
              <w:right w:val="single" w:color="000000" w:sz="4" w:space="0"/>
            </w:tcBorders>
            <w:vAlign w:val="top"/>
          </w:tcPr>
          <w:p w14:paraId="35529CD2">
            <w:pPr>
              <w:keepNext w:val="0"/>
              <w:keepLines w:val="0"/>
              <w:pageBreakBefore w:val="0"/>
              <w:widowControl w:val="0"/>
              <w:suppressLineNumbers w:val="0"/>
              <w:kinsoku/>
              <w:wordWrap/>
              <w:topLinePunct w:val="0"/>
              <w:autoSpaceDE/>
              <w:autoSpaceDN/>
              <w:bidi w:val="0"/>
              <w:spacing w:before="0" w:beforeAutospacing="0" w:after="0" w:afterAutospacing="0" w:line="460" w:lineRule="exact"/>
              <w:ind w:left="0" w:leftChars="0" w:right="-11" w:righ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投标供应商在开标时无需提交纸质投标文件，待开标结束后，中标单位在领取中标通知书时需补交两套纸质投标文件，纸质投标文件需与全国公共资源交易中心平台（陕西省）平台上传的投标文件一致。</w:t>
            </w:r>
          </w:p>
        </w:tc>
      </w:tr>
    </w:tbl>
    <w:p w14:paraId="1C2841E5">
      <w:pPr>
        <w:pageBreakBefore w:val="0"/>
        <w:kinsoku/>
        <w:wordWrap/>
        <w:topLinePunct w:val="0"/>
        <w:autoSpaceDE/>
        <w:autoSpaceDN/>
        <w:bidi w:val="0"/>
        <w:spacing w:line="460" w:lineRule="exact"/>
        <w:jc w:val="center"/>
        <w:textAlignment w:val="auto"/>
        <w:rPr>
          <w:rFonts w:hint="eastAsia" w:ascii="宋体" w:hAnsi="宋体" w:eastAsia="宋体" w:cs="宋体"/>
          <w:b/>
          <w:bCs/>
          <w:color w:val="auto"/>
          <w:kern w:val="44"/>
          <w:sz w:val="24"/>
          <w:szCs w:val="24"/>
        </w:rPr>
      </w:pPr>
    </w:p>
    <w:p w14:paraId="7CB56350">
      <w:pPr>
        <w:pStyle w:val="6"/>
        <w:pageBreakBefore w:val="0"/>
        <w:kinsoku/>
        <w:wordWrap/>
        <w:topLinePunct w:val="0"/>
        <w:autoSpaceDE/>
        <w:autoSpaceDN/>
        <w:bidi w:val="0"/>
        <w:spacing w:line="4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2BB230C6">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eastAsia" w:ascii="宋体" w:hAnsi="宋体" w:eastAsia="宋体" w:cs="宋体"/>
          <w:b/>
          <w:bCs/>
          <w:color w:val="auto"/>
          <w:kern w:val="44"/>
          <w:sz w:val="36"/>
          <w:szCs w:val="44"/>
          <w:lang w:val="en-US" w:eastAsia="zh-CN" w:bidi="ar-SA"/>
        </w:rPr>
      </w:pPr>
      <w:bookmarkStart w:id="32" w:name="_Toc12967"/>
      <w:r>
        <w:rPr>
          <w:rFonts w:hint="eastAsia" w:ascii="宋体" w:hAnsi="宋体" w:eastAsia="宋体" w:cs="宋体"/>
          <w:b/>
          <w:bCs/>
          <w:color w:val="auto"/>
          <w:kern w:val="44"/>
          <w:sz w:val="36"/>
          <w:szCs w:val="44"/>
          <w:lang w:val="en-US" w:eastAsia="zh-CN" w:bidi="ar-SA"/>
        </w:rPr>
        <w:t>第三章  供应商须知</w:t>
      </w:r>
      <w:bookmarkEnd w:id="32"/>
    </w:p>
    <w:p w14:paraId="3384D716">
      <w:pPr>
        <w:pageBreakBefore w:val="0"/>
        <w:kinsoku/>
        <w:wordWrap/>
        <w:topLinePunct w:val="0"/>
        <w:autoSpaceDE/>
        <w:autoSpaceDN/>
        <w:bidi w:val="0"/>
        <w:adjustRightInd w:val="0"/>
        <w:snapToGrid w:val="0"/>
        <w:spacing w:line="460" w:lineRule="exact"/>
        <w:ind w:firstLine="480" w:firstLineChars="200"/>
        <w:jc w:val="center"/>
        <w:textAlignment w:val="auto"/>
        <w:rPr>
          <w:rFonts w:hint="eastAsia" w:ascii="宋体" w:hAnsi="宋体" w:eastAsia="宋体" w:cs="宋体"/>
          <w:color w:val="auto"/>
          <w:kern w:val="0"/>
          <w:sz w:val="24"/>
          <w:szCs w:val="24"/>
        </w:rPr>
      </w:pPr>
      <w:bookmarkStart w:id="33" w:name="_Toc14189403"/>
      <w:bookmarkStart w:id="34" w:name="_Toc12880"/>
      <w:bookmarkStart w:id="35" w:name="_Toc18412195"/>
      <w:bookmarkStart w:id="36" w:name="_Toc23316580"/>
      <w:bookmarkStart w:id="37" w:name="_Toc23316678"/>
      <w:bookmarkStart w:id="38" w:name="_Toc35335252"/>
      <w:bookmarkStart w:id="39" w:name="_Toc26416"/>
      <w:bookmarkStart w:id="40" w:name="_Toc23316516"/>
      <w:bookmarkStart w:id="41" w:name="_Toc23315656"/>
      <w:bookmarkStart w:id="42" w:name="_Toc14189266"/>
      <w:r>
        <w:rPr>
          <w:rFonts w:hint="eastAsia" w:ascii="宋体" w:hAnsi="宋体" w:eastAsia="宋体" w:cs="宋体"/>
          <w:color w:val="auto"/>
          <w:kern w:val="0"/>
          <w:sz w:val="24"/>
          <w:szCs w:val="24"/>
        </w:rPr>
        <w:t>一、</w:t>
      </w:r>
      <w:r>
        <w:rPr>
          <w:rFonts w:hint="eastAsia" w:ascii="宋体" w:hAnsi="宋体" w:eastAsia="宋体" w:cs="宋体"/>
          <w:b/>
          <w:bCs/>
          <w:color w:val="auto"/>
          <w:kern w:val="44"/>
          <w:sz w:val="24"/>
          <w:szCs w:val="24"/>
        </w:rPr>
        <w:t>总则</w:t>
      </w:r>
    </w:p>
    <w:p w14:paraId="40F5E10A">
      <w:pPr>
        <w:pageBreakBefore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1.</w:t>
      </w:r>
      <w:r>
        <w:rPr>
          <w:rFonts w:hint="eastAsia" w:ascii="宋体" w:hAnsi="宋体" w:eastAsia="宋体" w:cs="宋体"/>
          <w:b/>
          <w:color w:val="auto"/>
          <w:kern w:val="0"/>
          <w:sz w:val="24"/>
          <w:szCs w:val="24"/>
        </w:rPr>
        <w:t>采购依据</w:t>
      </w:r>
    </w:p>
    <w:p w14:paraId="67407921">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本次采购依据《中华人民共和国政府采购法》《中华人民共和国政府采购法实施条例</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政府采购非招标采购方式管理办法》</w:t>
      </w:r>
      <w:r>
        <w:rPr>
          <w:rFonts w:hint="eastAsia" w:ascii="宋体" w:hAnsi="宋体" w:eastAsia="宋体" w:cs="宋体"/>
          <w:color w:val="auto"/>
          <w:sz w:val="24"/>
          <w:szCs w:val="24"/>
        </w:rPr>
        <w:t>（财政部令第74号）</w:t>
      </w:r>
      <w:r>
        <w:rPr>
          <w:rFonts w:hint="eastAsia" w:ascii="宋体" w:hAnsi="宋体" w:eastAsia="宋体" w:cs="宋体"/>
          <w:color w:val="auto"/>
          <w:kern w:val="0"/>
          <w:sz w:val="24"/>
          <w:szCs w:val="24"/>
        </w:rPr>
        <w:t>及国家现行有关法律法规执行。</w:t>
      </w:r>
    </w:p>
    <w:p w14:paraId="60A96CE2">
      <w:pPr>
        <w:pageBreakBefore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2.</w:t>
      </w:r>
      <w:r>
        <w:rPr>
          <w:rFonts w:hint="eastAsia" w:ascii="宋体" w:hAnsi="宋体" w:eastAsia="宋体" w:cs="宋体"/>
          <w:b/>
          <w:color w:val="auto"/>
          <w:kern w:val="0"/>
          <w:sz w:val="24"/>
          <w:szCs w:val="24"/>
        </w:rPr>
        <w:t>适用范围</w:t>
      </w:r>
    </w:p>
    <w:p w14:paraId="30DD0557">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本竞争性谈判文件适用于本次谈判活动的全过程。</w:t>
      </w:r>
    </w:p>
    <w:p w14:paraId="75A1DE88">
      <w:pPr>
        <w:pageBreakBefore w:val="0"/>
        <w:widowControl/>
        <w:kinsoku/>
        <w:wordWrap/>
        <w:overflowPunct/>
        <w:topLinePunct w:val="0"/>
        <w:autoSpaceDE/>
        <w:autoSpaceDN/>
        <w:bidi w:val="0"/>
        <w:snapToGrid w:val="0"/>
        <w:spacing w:line="460" w:lineRule="exact"/>
        <w:ind w:right="-120" w:rightChars="-43"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3.</w:t>
      </w:r>
      <w:r>
        <w:rPr>
          <w:rFonts w:hint="eastAsia" w:ascii="宋体" w:hAnsi="宋体" w:eastAsia="宋体" w:cs="宋体"/>
          <w:b/>
          <w:bCs/>
          <w:color w:val="auto"/>
          <w:sz w:val="24"/>
          <w:szCs w:val="24"/>
        </w:rPr>
        <w:t>合格的供应商</w:t>
      </w:r>
    </w:p>
    <w:p w14:paraId="3039D0CF">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3.1具有本项目生产、制造、加工、供应或实施能力，符合、承认并承诺履行本</w:t>
      </w:r>
      <w:r>
        <w:rPr>
          <w:rFonts w:hint="eastAsia" w:ascii="宋体" w:hAnsi="宋体" w:eastAsia="宋体" w:cs="宋体"/>
          <w:bCs/>
          <w:color w:val="auto"/>
          <w:sz w:val="24"/>
          <w:szCs w:val="24"/>
          <w:lang w:eastAsia="zh-CN"/>
        </w:rPr>
        <w:t>谈判</w:t>
      </w:r>
      <w:r>
        <w:rPr>
          <w:rFonts w:hint="eastAsia" w:ascii="宋体" w:hAnsi="宋体" w:eastAsia="宋体" w:cs="宋体"/>
          <w:bCs/>
          <w:color w:val="auto"/>
          <w:sz w:val="24"/>
          <w:szCs w:val="24"/>
        </w:rPr>
        <w:t>文件各项规定的国内供应商。</w:t>
      </w:r>
    </w:p>
    <w:p w14:paraId="2471599B">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3.2供应商应遵守有关的国家</w:t>
      </w:r>
      <w:r>
        <w:rPr>
          <w:rFonts w:hint="eastAsia" w:ascii="宋体" w:hAnsi="宋体" w:eastAsia="宋体" w:cs="宋体"/>
          <w:bCs/>
          <w:color w:val="auto"/>
          <w:sz w:val="24"/>
          <w:szCs w:val="24"/>
          <w:lang w:eastAsia="zh-CN"/>
        </w:rPr>
        <w:t>法律法规</w:t>
      </w:r>
      <w:r>
        <w:rPr>
          <w:rFonts w:hint="eastAsia" w:ascii="宋体" w:hAnsi="宋体" w:eastAsia="宋体" w:cs="宋体"/>
          <w:bCs/>
          <w:color w:val="auto"/>
          <w:sz w:val="24"/>
          <w:szCs w:val="24"/>
        </w:rPr>
        <w:t>和条例，具备《中华人民共和国政府采购法》和本文件中规定的条件：</w:t>
      </w:r>
    </w:p>
    <w:p w14:paraId="1ED59FBD">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rPr>
        <w:tab/>
      </w:r>
      <w:r>
        <w:rPr>
          <w:rFonts w:hint="eastAsia" w:ascii="宋体" w:hAnsi="宋体" w:eastAsia="宋体" w:cs="宋体"/>
          <w:bCs/>
          <w:color w:val="auto"/>
          <w:sz w:val="24"/>
          <w:szCs w:val="24"/>
        </w:rPr>
        <w:t>具有独立承担民事责任的能力；</w:t>
      </w:r>
    </w:p>
    <w:p w14:paraId="379EE9AC">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rPr>
        <w:tab/>
      </w:r>
      <w:r>
        <w:rPr>
          <w:rFonts w:hint="eastAsia" w:ascii="宋体" w:hAnsi="宋体" w:eastAsia="宋体" w:cs="宋体"/>
          <w:bCs/>
          <w:color w:val="auto"/>
          <w:sz w:val="24"/>
          <w:szCs w:val="24"/>
        </w:rPr>
        <w:t>具有良好的商业信誉和健全的财务会计制度；</w:t>
      </w:r>
    </w:p>
    <w:p w14:paraId="61D5F36B">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w:t>
      </w:r>
      <w:r>
        <w:rPr>
          <w:rFonts w:hint="eastAsia" w:ascii="宋体" w:hAnsi="宋体" w:eastAsia="宋体" w:cs="宋体"/>
          <w:bCs/>
          <w:color w:val="auto"/>
          <w:sz w:val="24"/>
          <w:szCs w:val="24"/>
        </w:rPr>
        <w:tab/>
      </w:r>
      <w:r>
        <w:rPr>
          <w:rFonts w:hint="eastAsia" w:ascii="宋体" w:hAnsi="宋体" w:eastAsia="宋体" w:cs="宋体"/>
          <w:bCs/>
          <w:color w:val="auto"/>
          <w:sz w:val="24"/>
          <w:szCs w:val="24"/>
        </w:rPr>
        <w:t>具有履行合同所必需的产品和专业技术能力；</w:t>
      </w:r>
    </w:p>
    <w:p w14:paraId="1024AF62">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w:t>
      </w:r>
      <w:r>
        <w:rPr>
          <w:rFonts w:hint="eastAsia" w:ascii="宋体" w:hAnsi="宋体" w:eastAsia="宋体" w:cs="宋体"/>
          <w:bCs/>
          <w:color w:val="auto"/>
          <w:sz w:val="24"/>
          <w:szCs w:val="24"/>
        </w:rPr>
        <w:tab/>
      </w:r>
      <w:r>
        <w:rPr>
          <w:rFonts w:hint="eastAsia" w:ascii="宋体" w:hAnsi="宋体" w:eastAsia="宋体" w:cs="宋体"/>
          <w:bCs/>
          <w:color w:val="auto"/>
          <w:sz w:val="24"/>
          <w:szCs w:val="24"/>
        </w:rPr>
        <w:t>具有依法缴纳税收和社会保障资金的良好记录；</w:t>
      </w:r>
    </w:p>
    <w:p w14:paraId="1248498A">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（5）</w:t>
      </w:r>
      <w:r>
        <w:rPr>
          <w:rFonts w:hint="eastAsia" w:ascii="宋体" w:hAnsi="宋体" w:eastAsia="宋体" w:cs="宋体"/>
          <w:bCs/>
          <w:color w:val="auto"/>
          <w:sz w:val="24"/>
          <w:szCs w:val="24"/>
        </w:rPr>
        <w:tab/>
      </w:r>
      <w:r>
        <w:rPr>
          <w:rFonts w:hint="eastAsia" w:ascii="宋体" w:hAnsi="宋体" w:eastAsia="宋体" w:cs="宋体"/>
          <w:bCs/>
          <w:color w:val="auto"/>
          <w:sz w:val="24"/>
          <w:szCs w:val="24"/>
        </w:rPr>
        <w:t>参加此项采购活动前三年内，在经营活动中没有重大违法记录；</w:t>
      </w:r>
    </w:p>
    <w:p w14:paraId="1E157989">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（6）</w:t>
      </w:r>
      <w:r>
        <w:rPr>
          <w:rFonts w:hint="eastAsia" w:ascii="宋体" w:hAnsi="宋体" w:eastAsia="宋体" w:cs="宋体"/>
          <w:bCs/>
          <w:color w:val="auto"/>
          <w:sz w:val="24"/>
          <w:szCs w:val="24"/>
        </w:rPr>
        <w:tab/>
      </w:r>
      <w:r>
        <w:rPr>
          <w:rFonts w:hint="eastAsia" w:ascii="宋体" w:hAnsi="宋体" w:eastAsia="宋体" w:cs="宋体"/>
          <w:bCs/>
          <w:color w:val="auto"/>
          <w:sz w:val="24"/>
          <w:szCs w:val="24"/>
        </w:rPr>
        <w:t>法律、行政法规规定的其他条件。</w:t>
      </w:r>
    </w:p>
    <w:p w14:paraId="285B2969">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3.3供应商</w:t>
      </w:r>
      <w:r>
        <w:rPr>
          <w:rFonts w:hint="eastAsia" w:ascii="宋体" w:hAnsi="宋体" w:eastAsia="宋体" w:cs="宋体"/>
          <w:bCs/>
          <w:color w:val="auto"/>
          <w:sz w:val="24"/>
          <w:szCs w:val="24"/>
          <w:lang w:val="en-US" w:eastAsia="zh-CN"/>
        </w:rPr>
        <w:t>获取</w:t>
      </w:r>
      <w:r>
        <w:rPr>
          <w:rFonts w:hint="eastAsia" w:ascii="宋体" w:hAnsi="宋体" w:eastAsia="宋体" w:cs="宋体"/>
          <w:bCs/>
          <w:color w:val="auto"/>
          <w:sz w:val="24"/>
          <w:szCs w:val="24"/>
          <w:lang w:eastAsia="zh-CN"/>
        </w:rPr>
        <w:t>谈判</w:t>
      </w:r>
      <w:r>
        <w:rPr>
          <w:rFonts w:hint="eastAsia" w:ascii="宋体" w:hAnsi="宋体" w:eastAsia="宋体" w:cs="宋体"/>
          <w:bCs/>
          <w:color w:val="auto"/>
          <w:sz w:val="24"/>
          <w:szCs w:val="24"/>
        </w:rPr>
        <w:t>文件时应登记备案，并提供有效联系方式。</w:t>
      </w:r>
    </w:p>
    <w:p w14:paraId="58B0B0A7">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3.4如供应商代表不是法定代表人，须持有《法定代表人授权委托书》 (按</w:t>
      </w:r>
      <w:r>
        <w:rPr>
          <w:rFonts w:hint="eastAsia" w:ascii="宋体" w:hAnsi="宋体" w:eastAsia="宋体" w:cs="宋体"/>
          <w:bCs/>
          <w:color w:val="auto"/>
          <w:sz w:val="24"/>
          <w:szCs w:val="24"/>
          <w:lang w:eastAsia="zh-CN"/>
        </w:rPr>
        <w:t>谈判</w:t>
      </w:r>
      <w:r>
        <w:rPr>
          <w:rFonts w:hint="eastAsia" w:ascii="宋体" w:hAnsi="宋体" w:eastAsia="宋体" w:cs="宋体"/>
          <w:bCs/>
          <w:color w:val="auto"/>
          <w:sz w:val="24"/>
          <w:szCs w:val="24"/>
        </w:rPr>
        <w:t>文件提供的格式填写</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w:t>
      </w:r>
    </w:p>
    <w:p w14:paraId="560415A5">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3.5供应商应独立于采购人，不得直接或间接地与采购人为采购本次招标的货物或服务进行设计、编制技术规格和其它文件所委托的咨询公司或其附属机构有任何关联。</w:t>
      </w:r>
    </w:p>
    <w:p w14:paraId="34EE6F92">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3.6供应商不得存在下列情形之一：</w:t>
      </w:r>
    </w:p>
    <w:p w14:paraId="70314DE0">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（1）与采购人或采购代理机构存在隶属关系或者其他利害关系；</w:t>
      </w:r>
    </w:p>
    <w:p w14:paraId="39BFCDB4">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（2）与其他供应商的法定代表人（或者负责人）为同一人，或者与其他供应商存在直接控股、管理关系；</w:t>
      </w:r>
    </w:p>
    <w:p w14:paraId="283C1EE9">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（3）受到刑事处罚，或者受到</w:t>
      </w:r>
      <w:r>
        <w:rPr>
          <w:rFonts w:hint="eastAsia" w:ascii="宋体" w:hAnsi="宋体" w:eastAsia="宋体" w:cs="宋体"/>
          <w:bCs/>
          <w:color w:val="auto"/>
          <w:sz w:val="24"/>
          <w:szCs w:val="24"/>
          <w:lang w:val="en-US" w:eastAsia="zh-CN"/>
        </w:rPr>
        <w:t>200</w:t>
      </w:r>
      <w:r>
        <w:rPr>
          <w:rFonts w:hint="eastAsia" w:ascii="宋体" w:hAnsi="宋体" w:eastAsia="宋体" w:cs="宋体"/>
          <w:bCs/>
          <w:color w:val="auto"/>
          <w:sz w:val="24"/>
          <w:szCs w:val="24"/>
        </w:rPr>
        <w:t>万元以上罚款，责令停产停业、在一年至三年内禁止参加政府采购活动、吊销许可证、吊销执照等情形之一的行政处罚，或者存在财政部门认定的其他重大违法记录。</w:t>
      </w:r>
    </w:p>
    <w:p w14:paraId="1ED1C1D3">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供应商在投标截止日前在信用中国网（www.creditchina.gov.cn）被列入失信被执行人、重大税收违法案件当事人名单或在中国政府采购网（www.ccgp.gov.cn）被列入政府采购严重违法失信行为记录名单（处罚期限届满的除外，如相关失信记录已失效，供应商需提供相关证明资料），须提供信用中国网及中国政府采购网相应查询结果的网站截图（加盖企业公章）</w:t>
      </w:r>
    </w:p>
    <w:p w14:paraId="2D882C50">
      <w:pPr>
        <w:pageBreakBefore w:val="0"/>
        <w:kinsoku/>
        <w:wordWrap/>
        <w:overflowPunct/>
        <w:topLinePunct w:val="0"/>
        <w:bidi w:val="0"/>
        <w:spacing w:line="46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lang w:val="en-US" w:eastAsia="zh-CN"/>
        </w:rPr>
        <w:t>4.</w:t>
      </w:r>
      <w:r>
        <w:rPr>
          <w:rFonts w:hint="eastAsia" w:ascii="宋体" w:hAnsi="宋体" w:eastAsia="宋体" w:cs="宋体"/>
          <w:b/>
          <w:color w:val="auto"/>
          <w:sz w:val="24"/>
        </w:rPr>
        <w:t>合格的货物与服务</w:t>
      </w:r>
    </w:p>
    <w:p w14:paraId="0BDBE720">
      <w:pPr>
        <w:pageBreakBefore w:val="0"/>
        <w:kinsoku/>
        <w:wordWrap/>
        <w:overflowPunct/>
        <w:topLinePunct w:val="0"/>
        <w:bidi w:val="0"/>
        <w:spacing w:line="460" w:lineRule="exact"/>
        <w:ind w:firstLine="470" w:firstLineChars="196"/>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4.1</w:t>
      </w:r>
      <w:r>
        <w:rPr>
          <w:rFonts w:hint="eastAsia" w:ascii="宋体" w:hAnsi="宋体" w:eastAsia="宋体" w:cs="宋体"/>
          <w:color w:val="auto"/>
          <w:sz w:val="24"/>
        </w:rPr>
        <w:t>本次谈判所用货物及其有关服务，均应来自上述</w:t>
      </w:r>
      <w:r>
        <w:rPr>
          <w:rFonts w:hint="eastAsia" w:ascii="宋体" w:hAnsi="宋体" w:eastAsia="宋体" w:cs="宋体"/>
          <w:color w:val="auto"/>
          <w:sz w:val="24"/>
          <w:lang w:val="en-US" w:eastAsia="zh-CN"/>
        </w:rPr>
        <w:t>3</w:t>
      </w:r>
      <w:r>
        <w:rPr>
          <w:rFonts w:hint="eastAsia" w:ascii="宋体" w:hAnsi="宋体" w:eastAsia="宋体" w:cs="宋体"/>
          <w:color w:val="auto"/>
          <w:sz w:val="24"/>
        </w:rPr>
        <w:t>条款所规定的合格供应商。</w:t>
      </w:r>
    </w:p>
    <w:p w14:paraId="046F9A96">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4.2</w:t>
      </w:r>
      <w:r>
        <w:rPr>
          <w:rFonts w:hint="eastAsia" w:ascii="宋体" w:hAnsi="宋体" w:eastAsia="宋体" w:cs="宋体"/>
          <w:color w:val="auto"/>
          <w:sz w:val="24"/>
        </w:rPr>
        <w:t>货物系指供应商按谈判文件规定，向采购人提供的符合谈判文件要求的相关的货物。</w:t>
      </w:r>
    </w:p>
    <w:p w14:paraId="16F6E0F5">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4.3</w:t>
      </w:r>
      <w:r>
        <w:rPr>
          <w:rFonts w:hint="eastAsia" w:ascii="宋体" w:hAnsi="宋体" w:eastAsia="宋体" w:cs="宋体"/>
          <w:color w:val="auto"/>
          <w:sz w:val="24"/>
        </w:rPr>
        <w:t xml:space="preserve"> 服务系指谈判文件规定的，供应商须承担的与谈判货物有关的辅助服务</w:t>
      </w:r>
      <w:r>
        <w:rPr>
          <w:rFonts w:hint="eastAsia" w:ascii="宋体" w:hAnsi="宋体" w:eastAsia="宋体" w:cs="宋体"/>
          <w:color w:val="auto"/>
          <w:sz w:val="24"/>
          <w:lang w:eastAsia="zh-CN"/>
        </w:rPr>
        <w:t>，</w:t>
      </w:r>
      <w:r>
        <w:rPr>
          <w:rFonts w:hint="eastAsia" w:ascii="宋体" w:hAnsi="宋体" w:eastAsia="宋体" w:cs="宋体"/>
          <w:color w:val="auto"/>
          <w:sz w:val="24"/>
        </w:rPr>
        <w:t>如包装、运输、保险、安装、调试、技术培训、售后服务以及其他类似的义务。</w:t>
      </w:r>
    </w:p>
    <w:p w14:paraId="1C32D109">
      <w:pPr>
        <w:pageBreakBefore w:val="0"/>
        <w:widowControl/>
        <w:kinsoku/>
        <w:wordWrap/>
        <w:overflowPunct/>
        <w:topLinePunct w:val="0"/>
        <w:autoSpaceDE/>
        <w:autoSpaceDN/>
        <w:bidi w:val="0"/>
        <w:snapToGrid w:val="0"/>
        <w:spacing w:line="460" w:lineRule="exact"/>
        <w:ind w:right="-12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费用承担</w:t>
      </w:r>
    </w:p>
    <w:p w14:paraId="2317F9BC">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供应商准备和参加</w:t>
      </w:r>
      <w:r>
        <w:rPr>
          <w:rFonts w:hint="eastAsia" w:ascii="宋体" w:hAnsi="宋体" w:eastAsia="宋体" w:cs="宋体"/>
          <w:bCs/>
          <w:color w:val="auto"/>
          <w:sz w:val="24"/>
          <w:szCs w:val="24"/>
          <w:lang w:eastAsia="zh-CN"/>
        </w:rPr>
        <w:t>谈判</w:t>
      </w:r>
      <w:r>
        <w:rPr>
          <w:rFonts w:hint="eastAsia" w:ascii="宋体" w:hAnsi="宋体" w:eastAsia="宋体" w:cs="宋体"/>
          <w:bCs/>
          <w:color w:val="auto"/>
          <w:sz w:val="24"/>
          <w:szCs w:val="24"/>
        </w:rPr>
        <w:t>活动发生的费用自理。</w:t>
      </w:r>
    </w:p>
    <w:p w14:paraId="4910A2BD">
      <w:pPr>
        <w:pageBreakBefore w:val="0"/>
        <w:widowControl/>
        <w:kinsoku/>
        <w:wordWrap/>
        <w:overflowPunct/>
        <w:topLinePunct w:val="0"/>
        <w:autoSpaceDE/>
        <w:autoSpaceDN/>
        <w:bidi w:val="0"/>
        <w:snapToGrid w:val="0"/>
        <w:spacing w:line="460" w:lineRule="exact"/>
        <w:ind w:right="-12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保密</w:t>
      </w:r>
    </w:p>
    <w:p w14:paraId="0BD22F1F">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参与</w:t>
      </w:r>
      <w:r>
        <w:rPr>
          <w:rFonts w:hint="eastAsia" w:ascii="宋体" w:hAnsi="宋体" w:eastAsia="宋体" w:cs="宋体"/>
          <w:bCs/>
          <w:color w:val="auto"/>
          <w:sz w:val="24"/>
          <w:szCs w:val="24"/>
          <w:lang w:eastAsia="zh-CN"/>
        </w:rPr>
        <w:t>谈判</w:t>
      </w:r>
      <w:r>
        <w:rPr>
          <w:rFonts w:hint="eastAsia" w:ascii="宋体" w:hAnsi="宋体" w:eastAsia="宋体" w:cs="宋体"/>
          <w:bCs/>
          <w:color w:val="auto"/>
          <w:sz w:val="24"/>
          <w:szCs w:val="24"/>
        </w:rPr>
        <w:t>活动的各方应对</w:t>
      </w:r>
      <w:r>
        <w:rPr>
          <w:rFonts w:hint="eastAsia" w:ascii="宋体" w:hAnsi="宋体" w:eastAsia="宋体" w:cs="宋体"/>
          <w:bCs/>
          <w:color w:val="auto"/>
          <w:sz w:val="24"/>
          <w:szCs w:val="24"/>
          <w:lang w:eastAsia="zh-CN"/>
        </w:rPr>
        <w:t>谈判</w:t>
      </w:r>
      <w:r>
        <w:rPr>
          <w:rFonts w:hint="eastAsia" w:ascii="宋体" w:hAnsi="宋体" w:eastAsia="宋体" w:cs="宋体"/>
          <w:bCs/>
          <w:color w:val="auto"/>
          <w:sz w:val="24"/>
          <w:szCs w:val="24"/>
        </w:rPr>
        <w:t>文件和响应文件的商业和技术等秘密保密，违者应对由此造成的后果承担法律责任。</w:t>
      </w:r>
    </w:p>
    <w:p w14:paraId="0F19D97F">
      <w:pPr>
        <w:pageBreakBefore w:val="0"/>
        <w:widowControl/>
        <w:kinsoku/>
        <w:wordWrap/>
        <w:overflowPunct/>
        <w:topLinePunct w:val="0"/>
        <w:autoSpaceDE/>
        <w:autoSpaceDN/>
        <w:bidi w:val="0"/>
        <w:snapToGrid w:val="0"/>
        <w:spacing w:line="460" w:lineRule="exact"/>
        <w:ind w:right="-12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语言文字</w:t>
      </w:r>
    </w:p>
    <w:p w14:paraId="50755123">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除专用术语外，与</w:t>
      </w:r>
      <w:r>
        <w:rPr>
          <w:rFonts w:hint="eastAsia" w:ascii="宋体" w:hAnsi="宋体" w:eastAsia="宋体" w:cs="宋体"/>
          <w:bCs/>
          <w:color w:val="auto"/>
          <w:sz w:val="24"/>
          <w:szCs w:val="24"/>
          <w:lang w:eastAsia="zh-CN"/>
        </w:rPr>
        <w:t>谈判</w:t>
      </w:r>
      <w:r>
        <w:rPr>
          <w:rFonts w:hint="eastAsia" w:ascii="宋体" w:hAnsi="宋体" w:eastAsia="宋体" w:cs="宋体"/>
          <w:bCs/>
          <w:color w:val="auto"/>
          <w:sz w:val="24"/>
          <w:szCs w:val="24"/>
        </w:rPr>
        <w:t>文件有关的语言均使用中文；必要时专用术语应附有中文注释。</w:t>
      </w:r>
    </w:p>
    <w:p w14:paraId="70EE38E0">
      <w:pPr>
        <w:pageBreakBefore w:val="0"/>
        <w:widowControl/>
        <w:kinsoku/>
        <w:wordWrap/>
        <w:overflowPunct/>
        <w:topLinePunct w:val="0"/>
        <w:autoSpaceDE/>
        <w:autoSpaceDN/>
        <w:bidi w:val="0"/>
        <w:snapToGrid w:val="0"/>
        <w:spacing w:line="460" w:lineRule="exact"/>
        <w:ind w:right="-12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rPr>
        <w:t>计量单位</w:t>
      </w:r>
    </w:p>
    <w:p w14:paraId="038B6027">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所有计量均采用中华人民共和国法定计量单位。</w:t>
      </w:r>
    </w:p>
    <w:p w14:paraId="2C47AE6B">
      <w:pPr>
        <w:pageBreakBefore w:val="0"/>
        <w:widowControl/>
        <w:kinsoku/>
        <w:wordWrap/>
        <w:overflowPunct/>
        <w:topLinePunct w:val="0"/>
        <w:autoSpaceDE/>
        <w:autoSpaceDN/>
        <w:bidi w:val="0"/>
        <w:snapToGrid w:val="0"/>
        <w:spacing w:line="460" w:lineRule="exact"/>
        <w:ind w:right="-12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rPr>
        <w:t>踏勘现场</w:t>
      </w:r>
    </w:p>
    <w:p w14:paraId="4518CD9C">
      <w:pPr>
        <w:pStyle w:val="13"/>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自行勘察，未勘察现场造成的一切后果由投标人自行承担。（一切费用自理）。</w:t>
      </w:r>
    </w:p>
    <w:p w14:paraId="2B121F83">
      <w:pPr>
        <w:pageBreakBefore w:val="0"/>
        <w:widowControl/>
        <w:kinsoku/>
        <w:wordWrap/>
        <w:overflowPunct/>
        <w:topLinePunct w:val="0"/>
        <w:autoSpaceDE/>
        <w:autoSpaceDN/>
        <w:bidi w:val="0"/>
        <w:snapToGrid w:val="0"/>
        <w:spacing w:line="460" w:lineRule="exact"/>
        <w:ind w:right="-12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10.</w:t>
      </w:r>
      <w:r>
        <w:rPr>
          <w:rFonts w:hint="eastAsia" w:ascii="宋体" w:hAnsi="宋体" w:eastAsia="宋体" w:cs="宋体"/>
          <w:b/>
          <w:bCs/>
          <w:color w:val="auto"/>
          <w:sz w:val="24"/>
          <w:szCs w:val="24"/>
        </w:rPr>
        <w:t>偏离</w:t>
      </w:r>
    </w:p>
    <w:p w14:paraId="30A29BF5">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除供应商须知前附表另有规定外，供应商递交的响应文件不允许严重负偏离。</w:t>
      </w:r>
    </w:p>
    <w:p w14:paraId="59BE5A96">
      <w:pPr>
        <w:pStyle w:val="4"/>
        <w:pageBreakBefore w:val="0"/>
        <w:kinsoku/>
        <w:wordWrap/>
        <w:overflowPunct/>
        <w:topLinePunct w:val="0"/>
        <w:bidi w:val="0"/>
        <w:spacing w:line="460" w:lineRule="exact"/>
        <w:jc w:val="center"/>
        <w:textAlignment w:val="auto"/>
        <w:rPr>
          <w:rFonts w:hint="eastAsia" w:ascii="宋体" w:hAnsi="宋体" w:eastAsia="宋体" w:cs="宋体"/>
          <w:color w:val="auto"/>
          <w:sz w:val="24"/>
          <w:szCs w:val="24"/>
        </w:rPr>
      </w:pPr>
      <w:bookmarkStart w:id="43" w:name="_Toc19731"/>
      <w:bookmarkStart w:id="44" w:name="_Toc8823"/>
      <w:bookmarkStart w:id="45" w:name="_Toc19624"/>
      <w:bookmarkStart w:id="46" w:name="_Toc7122"/>
      <w:bookmarkStart w:id="47" w:name="_Toc9605"/>
      <w:bookmarkStart w:id="48" w:name="_Toc21699"/>
      <w:bookmarkStart w:id="49" w:name="_Toc2109"/>
      <w:bookmarkStart w:id="50" w:name="_Toc2198"/>
      <w:r>
        <w:rPr>
          <w:rFonts w:hint="eastAsia" w:ascii="宋体" w:hAnsi="宋体" w:eastAsia="宋体" w:cs="宋体"/>
          <w:color w:val="auto"/>
          <w:sz w:val="24"/>
          <w:szCs w:val="24"/>
        </w:rPr>
        <w:t>二、谈判文件</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6385D6CA">
      <w:pPr>
        <w:pStyle w:val="5"/>
        <w:pageBreakBefore w:val="0"/>
        <w:numPr>
          <w:ilvl w:val="0"/>
          <w:numId w:val="0"/>
        </w:numPr>
        <w:kinsoku/>
        <w:wordWrap/>
        <w:overflowPunct/>
        <w:topLinePunct w:val="0"/>
        <w:autoSpaceDE/>
        <w:autoSpaceDN/>
        <w:bidi w:val="0"/>
        <w:spacing w:line="460" w:lineRule="exact"/>
        <w:ind w:firstLine="482" w:firstLineChars="200"/>
        <w:jc w:val="left"/>
        <w:textAlignment w:val="auto"/>
        <w:rPr>
          <w:rFonts w:hint="eastAsia" w:ascii="宋体" w:hAnsi="宋体" w:eastAsia="宋体" w:cs="宋体"/>
          <w:color w:val="auto"/>
          <w:sz w:val="24"/>
          <w:szCs w:val="24"/>
          <w:u w:val="none"/>
        </w:rPr>
      </w:pPr>
      <w:bookmarkStart w:id="51" w:name="_Toc5801"/>
      <w:bookmarkStart w:id="52" w:name="_Toc536202289"/>
      <w:bookmarkStart w:id="53" w:name="_Toc23315660"/>
      <w:bookmarkStart w:id="54" w:name="_Toc14189270"/>
      <w:bookmarkStart w:id="55" w:name="_Toc35335256"/>
      <w:bookmarkStart w:id="56" w:name="_Toc18709"/>
      <w:bookmarkStart w:id="57" w:name="_Toc14189407"/>
      <w:bookmarkStart w:id="58" w:name="_Toc32118"/>
      <w:bookmarkStart w:id="59" w:name="_Toc23316682"/>
      <w:bookmarkStart w:id="60" w:name="_Toc18412199"/>
      <w:bookmarkStart w:id="61" w:name="_Toc23316520"/>
      <w:bookmarkStart w:id="62" w:name="_Toc23316584"/>
      <w:r>
        <w:rPr>
          <w:rFonts w:hint="eastAsia" w:ascii="宋体" w:hAnsi="宋体" w:eastAsia="宋体" w:cs="宋体"/>
          <w:color w:val="auto"/>
          <w:sz w:val="24"/>
          <w:szCs w:val="24"/>
          <w:u w:val="none"/>
          <w:lang w:val="en-US" w:eastAsia="zh-CN"/>
        </w:rPr>
        <w:t>1.</w:t>
      </w:r>
      <w:r>
        <w:rPr>
          <w:rFonts w:hint="eastAsia" w:ascii="宋体" w:hAnsi="宋体" w:eastAsia="宋体" w:cs="宋体"/>
          <w:color w:val="auto"/>
          <w:sz w:val="24"/>
          <w:szCs w:val="24"/>
          <w:u w:val="none"/>
        </w:rPr>
        <w:t>竞争性</w:t>
      </w:r>
      <w:r>
        <w:rPr>
          <w:rFonts w:hint="eastAsia" w:ascii="宋体" w:hAnsi="宋体" w:eastAsia="宋体" w:cs="宋体"/>
          <w:color w:val="auto"/>
          <w:sz w:val="24"/>
          <w:szCs w:val="24"/>
          <w:u w:val="none"/>
          <w:lang w:eastAsia="zh-CN"/>
        </w:rPr>
        <w:t>谈判</w:t>
      </w:r>
      <w:r>
        <w:rPr>
          <w:rFonts w:hint="eastAsia" w:ascii="宋体" w:hAnsi="宋体" w:eastAsia="宋体" w:cs="宋体"/>
          <w:color w:val="auto"/>
          <w:sz w:val="24"/>
          <w:szCs w:val="24"/>
          <w:u w:val="none"/>
        </w:rPr>
        <w:t>文件的构成</w:t>
      </w:r>
      <w:bookmarkEnd w:id="51"/>
      <w:bookmarkEnd w:id="52"/>
    </w:p>
    <w:p w14:paraId="32B5E898">
      <w:pPr>
        <w:pageBreakBefore w:val="0"/>
        <w:tabs>
          <w:tab w:val="left" w:pos="0"/>
        </w:tabs>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文件是供应商准备响应文件和参加</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的依据，同时也是评审的重要依据，具有</w:t>
      </w:r>
      <w:r>
        <w:rPr>
          <w:rFonts w:hint="eastAsia" w:ascii="宋体" w:hAnsi="宋体" w:eastAsia="宋体" w:cs="宋体"/>
          <w:color w:val="auto"/>
          <w:sz w:val="24"/>
          <w:szCs w:val="24"/>
          <w:lang w:eastAsia="zh-CN"/>
        </w:rPr>
        <w:t>标</w:t>
      </w:r>
      <w:r>
        <w:rPr>
          <w:rFonts w:hint="eastAsia" w:ascii="宋体" w:hAnsi="宋体" w:eastAsia="宋体" w:cs="宋体"/>
          <w:color w:val="auto"/>
          <w:sz w:val="24"/>
          <w:szCs w:val="24"/>
        </w:rPr>
        <w:t>准法律文件性质。竞争性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文件用以阐明采购项目所需的资质、技术、服务</w:t>
      </w:r>
      <w:r>
        <w:rPr>
          <w:rFonts w:hint="eastAsia" w:ascii="宋体" w:hAnsi="宋体" w:eastAsia="宋体" w:cs="宋体"/>
          <w:color w:val="auto"/>
          <w:sz w:val="24"/>
          <w:szCs w:val="24"/>
          <w:lang w:eastAsia="zh-CN"/>
        </w:rPr>
        <w:t>、货物</w:t>
      </w:r>
      <w:r>
        <w:rPr>
          <w:rFonts w:hint="eastAsia" w:ascii="宋体" w:hAnsi="宋体" w:eastAsia="宋体" w:cs="宋体"/>
          <w:color w:val="auto"/>
          <w:sz w:val="24"/>
          <w:szCs w:val="24"/>
        </w:rPr>
        <w:t>及报价等要求、</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程序、有关规定和注意事项以及合同主要条款等。本竞争性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 xml:space="preserve">文件包括以下内容： </w:t>
      </w:r>
    </w:p>
    <w:p w14:paraId="55F9F4C2">
      <w:pPr>
        <w:pageBreakBefore w:val="0"/>
        <w:numPr>
          <w:ilvl w:val="0"/>
          <w:numId w:val="2"/>
        </w:numPr>
        <w:tabs>
          <w:tab w:val="left" w:pos="0"/>
        </w:tabs>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lang w:val="en-US" w:eastAsia="zh-CN"/>
        </w:rPr>
        <w:t>公告</w:t>
      </w:r>
      <w:r>
        <w:rPr>
          <w:rFonts w:hint="eastAsia" w:ascii="宋体" w:hAnsi="宋体" w:eastAsia="宋体" w:cs="宋体"/>
          <w:color w:val="auto"/>
          <w:sz w:val="24"/>
          <w:szCs w:val="24"/>
          <w:highlight w:val="none"/>
        </w:rPr>
        <w:t>；</w:t>
      </w:r>
    </w:p>
    <w:p w14:paraId="1690A09D">
      <w:pPr>
        <w:pageBreakBefore w:val="0"/>
        <w:numPr>
          <w:ilvl w:val="0"/>
          <w:numId w:val="2"/>
        </w:numPr>
        <w:tabs>
          <w:tab w:val="left" w:pos="0"/>
        </w:tabs>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供应商须知</w:t>
      </w:r>
      <w:r>
        <w:rPr>
          <w:rFonts w:hint="eastAsia" w:ascii="宋体" w:hAnsi="宋体" w:eastAsia="宋体" w:cs="宋体"/>
          <w:color w:val="auto"/>
          <w:sz w:val="24"/>
          <w:szCs w:val="24"/>
          <w:highlight w:val="none"/>
          <w:lang w:val="en-US" w:eastAsia="zh-CN"/>
        </w:rPr>
        <w:t>前附表</w:t>
      </w:r>
      <w:r>
        <w:rPr>
          <w:rFonts w:hint="eastAsia" w:ascii="宋体" w:hAnsi="宋体" w:eastAsia="宋体" w:cs="宋体"/>
          <w:color w:val="auto"/>
          <w:sz w:val="24"/>
          <w:szCs w:val="24"/>
          <w:highlight w:val="none"/>
        </w:rPr>
        <w:t>；</w:t>
      </w:r>
    </w:p>
    <w:p w14:paraId="6A755598">
      <w:pPr>
        <w:pageBreakBefore w:val="0"/>
        <w:numPr>
          <w:ilvl w:val="0"/>
          <w:numId w:val="2"/>
        </w:numPr>
        <w:tabs>
          <w:tab w:val="left" w:pos="0"/>
        </w:tabs>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供应商须知；</w:t>
      </w:r>
    </w:p>
    <w:p w14:paraId="67E57E2A">
      <w:pPr>
        <w:pageBreakBefore w:val="0"/>
        <w:numPr>
          <w:ilvl w:val="0"/>
          <w:numId w:val="2"/>
        </w:numPr>
        <w:tabs>
          <w:tab w:val="left" w:pos="0"/>
        </w:tabs>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谈判内容及技术要求</w:t>
      </w:r>
      <w:r>
        <w:rPr>
          <w:rFonts w:hint="eastAsia" w:ascii="宋体" w:hAnsi="宋体" w:eastAsia="宋体" w:cs="宋体"/>
          <w:color w:val="auto"/>
          <w:sz w:val="24"/>
          <w:szCs w:val="24"/>
          <w:highlight w:val="none"/>
        </w:rPr>
        <w:t>；</w:t>
      </w:r>
    </w:p>
    <w:p w14:paraId="565529F6">
      <w:pPr>
        <w:pageBreakBefore w:val="0"/>
        <w:numPr>
          <w:ilvl w:val="0"/>
          <w:numId w:val="2"/>
        </w:numPr>
        <w:tabs>
          <w:tab w:val="left" w:pos="0"/>
        </w:tabs>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合同主要条款</w:t>
      </w:r>
      <w:r>
        <w:rPr>
          <w:rFonts w:hint="eastAsia" w:ascii="宋体" w:hAnsi="宋体" w:eastAsia="宋体" w:cs="宋体"/>
          <w:color w:val="auto"/>
          <w:sz w:val="24"/>
          <w:szCs w:val="24"/>
          <w:highlight w:val="none"/>
          <w:lang w:eastAsia="zh-CN"/>
        </w:rPr>
        <w:t>；</w:t>
      </w:r>
    </w:p>
    <w:p w14:paraId="7B9E6B54">
      <w:pPr>
        <w:pStyle w:val="31"/>
        <w:ind w:firstLine="480" w:firstLineChars="200"/>
        <w:rPr>
          <w:rFonts w:hint="eastAsia" w:eastAsia="宋体"/>
          <w:lang w:eastAsia="zh-CN"/>
        </w:rPr>
      </w:pPr>
      <w:r>
        <w:rPr>
          <w:rFonts w:hint="eastAsia" w:eastAsia="宋体" w:cs="宋体"/>
          <w:color w:val="auto"/>
          <w:sz w:val="24"/>
          <w:szCs w:val="24"/>
          <w:highlight w:val="none"/>
          <w:lang w:eastAsia="zh-CN"/>
        </w:rPr>
        <w:t>（</w:t>
      </w:r>
      <w:r>
        <w:rPr>
          <w:rFonts w:hint="eastAsia" w:eastAsia="宋体" w:cs="宋体"/>
          <w:color w:val="auto"/>
          <w:sz w:val="24"/>
          <w:szCs w:val="24"/>
          <w:highlight w:val="none"/>
          <w:lang w:val="en-US" w:eastAsia="zh-CN"/>
        </w:rPr>
        <w:t>6</w:t>
      </w:r>
      <w:r>
        <w:rPr>
          <w:rFonts w:hint="eastAsia" w:eastAsia="宋体" w:cs="宋体"/>
          <w:color w:val="auto"/>
          <w:sz w:val="24"/>
          <w:szCs w:val="24"/>
          <w:highlight w:val="none"/>
          <w:lang w:eastAsia="zh-CN"/>
        </w:rPr>
        <w:t>）</w:t>
      </w:r>
      <w:r>
        <w:rPr>
          <w:rFonts w:hint="eastAsia" w:ascii="宋体" w:hAnsi="宋体" w:eastAsia="宋体" w:cs="宋体"/>
          <w:color w:val="auto"/>
          <w:sz w:val="24"/>
          <w:szCs w:val="24"/>
          <w:highlight w:val="none"/>
        </w:rPr>
        <w:t>响应文件格式。</w:t>
      </w:r>
    </w:p>
    <w:p w14:paraId="6248FA42">
      <w:pPr>
        <w:pStyle w:val="5"/>
        <w:pageBreakBefore w:val="0"/>
        <w:numPr>
          <w:ilvl w:val="0"/>
          <w:numId w:val="0"/>
        </w:numPr>
        <w:kinsoku/>
        <w:wordWrap/>
        <w:overflowPunct/>
        <w:topLinePunct w:val="0"/>
        <w:autoSpaceDE/>
        <w:autoSpaceDN/>
        <w:bidi w:val="0"/>
        <w:spacing w:line="460" w:lineRule="exact"/>
        <w:ind w:firstLine="482" w:firstLineChars="200"/>
        <w:jc w:val="left"/>
        <w:textAlignment w:val="auto"/>
        <w:rPr>
          <w:rFonts w:hint="eastAsia" w:ascii="宋体" w:hAnsi="宋体" w:eastAsia="宋体" w:cs="宋体"/>
          <w:color w:val="auto"/>
          <w:sz w:val="24"/>
          <w:szCs w:val="24"/>
          <w:u w:val="none"/>
        </w:rPr>
      </w:pPr>
      <w:bookmarkStart w:id="63" w:name="_Toc536202290"/>
      <w:r>
        <w:rPr>
          <w:rFonts w:hint="eastAsia" w:ascii="宋体" w:hAnsi="宋体" w:eastAsia="宋体" w:cs="宋体"/>
          <w:color w:val="auto"/>
          <w:sz w:val="24"/>
          <w:szCs w:val="24"/>
          <w:u w:val="none"/>
          <w:lang w:val="en-US" w:eastAsia="zh-CN"/>
        </w:rPr>
        <w:t>2.</w:t>
      </w:r>
      <w:r>
        <w:rPr>
          <w:rFonts w:hint="eastAsia" w:ascii="宋体" w:hAnsi="宋体" w:eastAsia="宋体" w:cs="宋体"/>
          <w:color w:val="auto"/>
          <w:sz w:val="24"/>
          <w:szCs w:val="24"/>
          <w:u w:val="none"/>
          <w:lang w:eastAsia="zh-CN"/>
        </w:rPr>
        <w:t>谈判</w:t>
      </w:r>
      <w:r>
        <w:rPr>
          <w:rFonts w:hint="eastAsia" w:ascii="宋体" w:hAnsi="宋体" w:eastAsia="宋体" w:cs="宋体"/>
          <w:color w:val="auto"/>
          <w:sz w:val="24"/>
          <w:szCs w:val="24"/>
          <w:u w:val="none"/>
        </w:rPr>
        <w:t>文件的检查及阅读</w:t>
      </w:r>
      <w:bookmarkEnd w:id="63"/>
    </w:p>
    <w:p w14:paraId="2D5D41DC">
      <w:pPr>
        <w:pageBreakBefore w:val="0"/>
        <w:tabs>
          <w:tab w:val="left" w:pos="0"/>
        </w:tabs>
        <w:kinsoku/>
        <w:wordWrap/>
        <w:overflowPunct/>
        <w:topLinePunct w:val="0"/>
        <w:autoSpaceDE/>
        <w:autoSpaceDN/>
        <w:bidi w:val="0"/>
        <w:adjustRightInd w:val="0"/>
        <w:snapToGrid w:val="0"/>
        <w:spacing w:line="460" w:lineRule="exact"/>
        <w:ind w:firstLine="600" w:firstLineChars="2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供应商应认真阅读和充分理解竞争性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文件中所有的事项、格式条款和规范要求。供应商没有对竞争性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文件全面做出实质性响应是供应商的风险。没有按照竞争性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文件要求作出实质性响应的响应文件应作</w:t>
      </w:r>
      <w:r>
        <w:rPr>
          <w:rFonts w:hint="eastAsia" w:ascii="宋体" w:hAnsi="宋体" w:eastAsia="宋体" w:cs="宋体"/>
          <w:color w:val="auto"/>
          <w:sz w:val="24"/>
          <w:szCs w:val="24"/>
          <w:lang w:val="en-US" w:eastAsia="zh-CN"/>
        </w:rPr>
        <w:t>无效文件</w:t>
      </w:r>
      <w:r>
        <w:rPr>
          <w:rFonts w:hint="eastAsia" w:ascii="宋体" w:hAnsi="宋体" w:eastAsia="宋体" w:cs="宋体"/>
          <w:color w:val="auto"/>
          <w:sz w:val="24"/>
          <w:szCs w:val="24"/>
        </w:rPr>
        <w:t>处理。</w:t>
      </w:r>
    </w:p>
    <w:p w14:paraId="0CA6D43B">
      <w:pPr>
        <w:pStyle w:val="5"/>
        <w:pageBreakBefore w:val="0"/>
        <w:numPr>
          <w:ilvl w:val="0"/>
          <w:numId w:val="0"/>
        </w:numPr>
        <w:kinsoku/>
        <w:wordWrap/>
        <w:overflowPunct/>
        <w:topLinePunct w:val="0"/>
        <w:autoSpaceDE/>
        <w:autoSpaceDN/>
        <w:bidi w:val="0"/>
        <w:spacing w:line="460" w:lineRule="exact"/>
        <w:ind w:firstLine="482" w:firstLineChars="200"/>
        <w:jc w:val="left"/>
        <w:textAlignment w:val="auto"/>
        <w:rPr>
          <w:rFonts w:hint="eastAsia" w:ascii="宋体" w:hAnsi="宋体" w:eastAsia="宋体" w:cs="宋体"/>
          <w:color w:val="auto"/>
          <w:sz w:val="24"/>
          <w:szCs w:val="24"/>
          <w:u w:val="none"/>
        </w:rPr>
      </w:pPr>
      <w:bookmarkStart w:id="64" w:name="_Toc536202292"/>
      <w:r>
        <w:rPr>
          <w:rFonts w:hint="eastAsia" w:ascii="宋体" w:hAnsi="宋体" w:eastAsia="宋体" w:cs="宋体"/>
          <w:color w:val="auto"/>
          <w:sz w:val="24"/>
          <w:szCs w:val="24"/>
          <w:u w:val="none"/>
          <w:lang w:val="en-US" w:eastAsia="zh-CN"/>
        </w:rPr>
        <w:t>3.</w:t>
      </w:r>
      <w:r>
        <w:rPr>
          <w:rFonts w:hint="eastAsia" w:ascii="宋体" w:hAnsi="宋体" w:eastAsia="宋体" w:cs="宋体"/>
          <w:color w:val="auto"/>
          <w:sz w:val="24"/>
          <w:szCs w:val="24"/>
          <w:u w:val="none"/>
        </w:rPr>
        <w:t>现场踏勘及</w:t>
      </w:r>
      <w:r>
        <w:rPr>
          <w:rFonts w:hint="eastAsia" w:ascii="宋体" w:hAnsi="宋体" w:eastAsia="宋体" w:cs="宋体"/>
          <w:color w:val="auto"/>
          <w:sz w:val="24"/>
          <w:szCs w:val="24"/>
          <w:u w:val="none"/>
          <w:lang w:eastAsia="zh-CN"/>
        </w:rPr>
        <w:t>谈判</w:t>
      </w:r>
      <w:r>
        <w:rPr>
          <w:rFonts w:hint="eastAsia" w:ascii="宋体" w:hAnsi="宋体" w:eastAsia="宋体" w:cs="宋体"/>
          <w:color w:val="auto"/>
          <w:sz w:val="24"/>
          <w:szCs w:val="24"/>
          <w:u w:val="none"/>
        </w:rPr>
        <w:t>文件答疑</w:t>
      </w:r>
      <w:bookmarkEnd w:id="64"/>
    </w:p>
    <w:p w14:paraId="366DEFD7">
      <w:pPr>
        <w:pageBreakBefore w:val="0"/>
        <w:tabs>
          <w:tab w:val="left" w:pos="0"/>
        </w:tabs>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招标代理机构将视情况确定是否有必要召开标前答疑会。如果召开标前答疑会，招标代理机构将通知所有已登记备案并报名领取了</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的潜在供应商。在规定的时间，各供应商派技术、预算等相关人员进行现场踏勘和答疑，答疑的问题各供应商以书面形式提交。招标代理机构、采购人共同对各供应商提出的问题进行答复，形成答疑会议纪要。答疑会议纪要与</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文件中不一致的内容，以答疑会议纪要为准。凡未参加答疑和现场踏勘的供应商，由此造成的偏差由各供应商自行负责。</w:t>
      </w:r>
    </w:p>
    <w:p w14:paraId="0698BD07">
      <w:pPr>
        <w:pStyle w:val="5"/>
        <w:pageBreakBefore w:val="0"/>
        <w:numPr>
          <w:ilvl w:val="0"/>
          <w:numId w:val="0"/>
        </w:numPr>
        <w:kinsoku/>
        <w:wordWrap/>
        <w:overflowPunct/>
        <w:topLinePunct w:val="0"/>
        <w:autoSpaceDE/>
        <w:autoSpaceDN/>
        <w:bidi w:val="0"/>
        <w:spacing w:line="460" w:lineRule="exact"/>
        <w:ind w:firstLine="482" w:firstLineChars="200"/>
        <w:jc w:val="left"/>
        <w:textAlignment w:val="auto"/>
        <w:rPr>
          <w:rFonts w:hint="eastAsia" w:ascii="宋体" w:hAnsi="宋体" w:eastAsia="宋体" w:cs="宋体"/>
          <w:color w:val="auto"/>
          <w:sz w:val="24"/>
          <w:szCs w:val="24"/>
          <w:u w:val="none"/>
        </w:rPr>
      </w:pPr>
      <w:bookmarkStart w:id="65" w:name="_Toc19797"/>
      <w:bookmarkStart w:id="66" w:name="_Toc536202293"/>
      <w:r>
        <w:rPr>
          <w:rFonts w:hint="eastAsia" w:ascii="宋体" w:hAnsi="宋体" w:eastAsia="宋体" w:cs="宋体"/>
          <w:color w:val="auto"/>
          <w:sz w:val="24"/>
          <w:szCs w:val="24"/>
          <w:u w:val="none"/>
          <w:lang w:val="en-US" w:eastAsia="zh-CN"/>
        </w:rPr>
        <w:t>4.</w:t>
      </w:r>
      <w:r>
        <w:rPr>
          <w:rFonts w:hint="eastAsia" w:ascii="宋体" w:hAnsi="宋体" w:eastAsia="宋体" w:cs="宋体"/>
          <w:color w:val="auto"/>
          <w:sz w:val="24"/>
          <w:szCs w:val="24"/>
          <w:u w:val="none"/>
        </w:rPr>
        <w:t>竞争性</w:t>
      </w:r>
      <w:r>
        <w:rPr>
          <w:rFonts w:hint="eastAsia" w:ascii="宋体" w:hAnsi="宋体" w:eastAsia="宋体" w:cs="宋体"/>
          <w:color w:val="auto"/>
          <w:sz w:val="24"/>
          <w:szCs w:val="24"/>
          <w:u w:val="none"/>
          <w:lang w:eastAsia="zh-CN"/>
        </w:rPr>
        <w:t>谈判</w:t>
      </w:r>
      <w:r>
        <w:rPr>
          <w:rFonts w:hint="eastAsia" w:ascii="宋体" w:hAnsi="宋体" w:eastAsia="宋体" w:cs="宋体"/>
          <w:color w:val="auto"/>
          <w:sz w:val="24"/>
          <w:szCs w:val="24"/>
          <w:u w:val="none"/>
        </w:rPr>
        <w:t>文件的澄清</w:t>
      </w:r>
      <w:bookmarkEnd w:id="65"/>
      <w:bookmarkEnd w:id="66"/>
      <w:r>
        <w:rPr>
          <w:rFonts w:hint="eastAsia" w:ascii="宋体" w:hAnsi="宋体" w:eastAsia="宋体" w:cs="宋体"/>
          <w:color w:val="auto"/>
          <w:sz w:val="24"/>
          <w:szCs w:val="24"/>
          <w:u w:val="none"/>
          <w:lang w:eastAsia="zh-CN"/>
        </w:rPr>
        <w:t>和修改</w:t>
      </w:r>
    </w:p>
    <w:p w14:paraId="5C9773E3">
      <w:pPr>
        <w:pageBreakBefore w:val="0"/>
        <w:kinsoku/>
        <w:wordWrap/>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rPr>
      </w:pPr>
      <w:bookmarkStart w:id="67" w:name="_Toc536202295"/>
      <w:bookmarkStart w:id="68" w:name="_Toc31188"/>
      <w:r>
        <w:rPr>
          <w:rFonts w:hint="eastAsia" w:ascii="宋体" w:hAnsi="宋体" w:eastAsia="宋体" w:cs="宋体"/>
          <w:color w:val="auto"/>
          <w:sz w:val="24"/>
          <w:szCs w:val="24"/>
          <w:lang w:val="en-US" w:eastAsia="zh-CN"/>
        </w:rPr>
        <w:t>4.1</w:t>
      </w:r>
      <w:r>
        <w:rPr>
          <w:rFonts w:hint="eastAsia" w:ascii="宋体" w:hAnsi="宋体" w:eastAsia="宋体" w:cs="宋体"/>
          <w:color w:val="auto"/>
          <w:sz w:val="24"/>
          <w:szCs w:val="24"/>
        </w:rPr>
        <w:t>采购人在谈判截止时间3个工作日前，可以以书面形式对竞争性谈判文件进行必要的澄清或修改，其内容均为竞争性谈判文件的组成部分，并对采购人及投标人起约束作用。</w:t>
      </w:r>
    </w:p>
    <w:p w14:paraId="746E5DAF">
      <w:pPr>
        <w:pageBreakBefore w:val="0"/>
        <w:kinsoku/>
        <w:wordWrap/>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4.2</w:t>
      </w:r>
      <w:r>
        <w:rPr>
          <w:rFonts w:hint="eastAsia" w:ascii="宋体" w:hAnsi="宋体" w:eastAsia="宋体" w:cs="宋体"/>
          <w:color w:val="auto"/>
          <w:sz w:val="24"/>
          <w:szCs w:val="24"/>
        </w:rPr>
        <w:t>投标人对竞争性谈判文件如有疑问要求澄清，或认为有必要与采购人进行技术交流，应于谈判截止时3个工作日前，以书面形式通知采购代理机构，采购代理机构以书面形式予以答复。</w:t>
      </w:r>
    </w:p>
    <w:p w14:paraId="2F93DE2A">
      <w:pPr>
        <w:pageBreakBefore w:val="0"/>
        <w:kinsoku/>
        <w:wordWrap/>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4.3</w:t>
      </w:r>
      <w:r>
        <w:rPr>
          <w:rFonts w:hint="eastAsia" w:ascii="宋体" w:hAnsi="宋体" w:eastAsia="宋体" w:cs="宋体"/>
          <w:color w:val="auto"/>
          <w:sz w:val="24"/>
          <w:szCs w:val="24"/>
        </w:rPr>
        <w:t>无论是采购代理机构主动对竞争性谈判文件进行必要的修改，或根据投标人的要求对竞争性谈判文件做出的澄清，都将于谈判截止3个工作日前以书面形式发送给所有合格的投标人。</w:t>
      </w:r>
    </w:p>
    <w:p w14:paraId="282A79A2">
      <w:pPr>
        <w:pageBreakBefore w:val="0"/>
        <w:kinsoku/>
        <w:wordWrap/>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4.4</w:t>
      </w:r>
      <w:r>
        <w:rPr>
          <w:rFonts w:hint="eastAsia" w:ascii="宋体" w:hAnsi="宋体" w:eastAsia="宋体" w:cs="宋体"/>
          <w:color w:val="auto"/>
          <w:sz w:val="24"/>
          <w:szCs w:val="24"/>
        </w:rPr>
        <w:t>竞争性谈判文件的澄清或修改内容均以书面形式明确的内容为准。当竞争性谈判文件的澄清、修改、补充等在同一内容的表述上不一致时，以最后发出的书面文件为准。所有补充文件将作为竞争性谈判文件的组成部分，对所有投标人具有约束力。</w:t>
      </w:r>
    </w:p>
    <w:p w14:paraId="34A8AFD2">
      <w:pPr>
        <w:pageBreakBefore w:val="0"/>
        <w:kinsoku/>
        <w:wordWrap/>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根据采购工作进展实际情况，采购人可酌情延长递交竞争性谈判响应文件的截止时间，若延长将另行以书面形式通知各投标人。</w:t>
      </w:r>
    </w:p>
    <w:p w14:paraId="05755E11">
      <w:pPr>
        <w:pStyle w:val="5"/>
        <w:pageBreakBefore w:val="0"/>
        <w:numPr>
          <w:ilvl w:val="0"/>
          <w:numId w:val="0"/>
        </w:numPr>
        <w:kinsoku/>
        <w:wordWrap/>
        <w:overflowPunct/>
        <w:topLinePunct w:val="0"/>
        <w:autoSpaceDE/>
        <w:autoSpaceDN/>
        <w:bidi w:val="0"/>
        <w:spacing w:line="460" w:lineRule="exact"/>
        <w:ind w:firstLine="482" w:firstLineChars="200"/>
        <w:jc w:val="lef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val="en-US" w:eastAsia="zh-CN"/>
        </w:rPr>
        <w:t>5.</w:t>
      </w:r>
      <w:r>
        <w:rPr>
          <w:rFonts w:hint="eastAsia" w:ascii="宋体" w:hAnsi="宋体" w:eastAsia="宋体" w:cs="宋体"/>
          <w:color w:val="auto"/>
          <w:sz w:val="24"/>
          <w:szCs w:val="24"/>
          <w:u w:val="none"/>
        </w:rPr>
        <w:t>质疑</w:t>
      </w:r>
    </w:p>
    <w:p w14:paraId="0DE9FF57">
      <w:pPr>
        <w:pStyle w:val="5"/>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b w:val="0"/>
          <w:color w:val="auto"/>
          <w:sz w:val="24"/>
          <w:szCs w:val="24"/>
          <w:u w:val="none"/>
        </w:rPr>
      </w:pPr>
      <w:r>
        <w:rPr>
          <w:rFonts w:hint="eastAsia" w:ascii="宋体" w:hAnsi="宋体" w:eastAsia="宋体" w:cs="宋体"/>
          <w:b w:val="0"/>
          <w:color w:val="auto"/>
          <w:sz w:val="24"/>
          <w:szCs w:val="24"/>
          <w:u w:val="none"/>
        </w:rPr>
        <w:t>供应商认为</w:t>
      </w:r>
      <w:r>
        <w:rPr>
          <w:rFonts w:hint="eastAsia" w:ascii="宋体" w:hAnsi="宋体" w:eastAsia="宋体" w:cs="宋体"/>
          <w:b w:val="0"/>
          <w:color w:val="auto"/>
          <w:sz w:val="24"/>
          <w:szCs w:val="24"/>
          <w:u w:val="none"/>
          <w:lang w:eastAsia="zh-CN"/>
        </w:rPr>
        <w:t>谈判</w:t>
      </w:r>
      <w:r>
        <w:rPr>
          <w:rFonts w:hint="eastAsia" w:ascii="宋体" w:hAnsi="宋体" w:eastAsia="宋体" w:cs="宋体"/>
          <w:b w:val="0"/>
          <w:color w:val="auto"/>
          <w:sz w:val="24"/>
          <w:szCs w:val="24"/>
          <w:u w:val="none"/>
        </w:rPr>
        <w:t>文件、</w:t>
      </w:r>
      <w:r>
        <w:rPr>
          <w:rFonts w:hint="eastAsia" w:ascii="宋体" w:hAnsi="宋体" w:eastAsia="宋体" w:cs="宋体"/>
          <w:b w:val="0"/>
          <w:color w:val="auto"/>
          <w:sz w:val="24"/>
          <w:szCs w:val="24"/>
          <w:u w:val="none"/>
          <w:lang w:val="en-US" w:eastAsia="zh-CN"/>
        </w:rPr>
        <w:t>谈判</w:t>
      </w:r>
      <w:r>
        <w:rPr>
          <w:rFonts w:hint="eastAsia" w:ascii="宋体" w:hAnsi="宋体" w:eastAsia="宋体" w:cs="宋体"/>
          <w:b w:val="0"/>
          <w:color w:val="auto"/>
          <w:sz w:val="24"/>
          <w:szCs w:val="24"/>
          <w:u w:val="none"/>
        </w:rPr>
        <w:t>过程和中标结果使自己的权益受到损害的，可以</w:t>
      </w:r>
      <w:r>
        <w:rPr>
          <w:rFonts w:hint="eastAsia" w:ascii="宋体" w:hAnsi="宋体" w:eastAsia="宋体" w:cs="宋体"/>
          <w:b w:val="0"/>
          <w:color w:val="auto"/>
          <w:sz w:val="24"/>
          <w:szCs w:val="24"/>
          <w:u w:val="none"/>
          <w:lang w:eastAsia="zh-CN"/>
        </w:rPr>
        <w:t>按照</w:t>
      </w:r>
      <w:r>
        <w:rPr>
          <w:rFonts w:hint="eastAsia" w:ascii="宋体" w:hAnsi="宋体" w:eastAsia="宋体" w:cs="宋体"/>
          <w:b w:val="0"/>
          <w:color w:val="auto"/>
          <w:sz w:val="24"/>
          <w:szCs w:val="24"/>
          <w:u w:val="none"/>
        </w:rPr>
        <w:t>《</w:t>
      </w:r>
      <w:r>
        <w:rPr>
          <w:rFonts w:hint="eastAsia" w:ascii="宋体" w:hAnsi="宋体" w:eastAsia="宋体" w:cs="宋体"/>
          <w:b w:val="0"/>
          <w:color w:val="auto"/>
          <w:sz w:val="24"/>
          <w:szCs w:val="24"/>
          <w:u w:val="none"/>
          <w:lang w:eastAsia="zh-CN"/>
        </w:rPr>
        <w:t>中华人民共和国政府采购法》第五十二条</w:t>
      </w:r>
      <w:r>
        <w:rPr>
          <w:rFonts w:hint="eastAsia" w:ascii="宋体" w:hAnsi="宋体" w:eastAsia="宋体" w:cs="宋体"/>
          <w:b w:val="0"/>
          <w:color w:val="auto"/>
          <w:sz w:val="24"/>
          <w:szCs w:val="24"/>
          <w:u w:val="none"/>
        </w:rPr>
        <w:t>执行。</w:t>
      </w:r>
    </w:p>
    <w:p w14:paraId="5833CDC3">
      <w:pPr>
        <w:pStyle w:val="5"/>
        <w:pageBreakBefore w:val="0"/>
        <w:kinsoku/>
        <w:wordWrap/>
        <w:overflowPunct/>
        <w:topLinePunct w:val="0"/>
        <w:autoSpaceDE/>
        <w:autoSpaceDN/>
        <w:bidi w:val="0"/>
        <w:spacing w:line="460" w:lineRule="exact"/>
        <w:ind w:firstLine="482" w:firstLineChars="200"/>
        <w:jc w:val="lef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val="en-US" w:eastAsia="zh-CN"/>
        </w:rPr>
        <w:t>6.</w:t>
      </w:r>
      <w:r>
        <w:rPr>
          <w:rFonts w:hint="eastAsia" w:ascii="宋体" w:hAnsi="宋体" w:eastAsia="宋体" w:cs="宋体"/>
          <w:color w:val="auto"/>
          <w:sz w:val="24"/>
          <w:szCs w:val="24"/>
          <w:u w:val="none"/>
          <w:lang w:eastAsia="zh-CN"/>
        </w:rPr>
        <w:t>竞争性谈判</w:t>
      </w:r>
      <w:r>
        <w:rPr>
          <w:rFonts w:hint="eastAsia" w:ascii="宋体" w:hAnsi="宋体" w:eastAsia="宋体" w:cs="宋体"/>
          <w:color w:val="auto"/>
          <w:sz w:val="24"/>
          <w:szCs w:val="24"/>
          <w:u w:val="none"/>
        </w:rPr>
        <w:t>文件的获取</w:t>
      </w:r>
      <w:bookmarkEnd w:id="67"/>
      <w:bookmarkEnd w:id="68"/>
    </w:p>
    <w:p w14:paraId="2299AB5C">
      <w:pPr>
        <w:pageBreakBefore w:val="0"/>
        <w:widowControl/>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供应商必须从代理机构</w:t>
      </w:r>
      <w:r>
        <w:rPr>
          <w:rFonts w:hint="eastAsia" w:ascii="宋体" w:hAnsi="宋体" w:eastAsia="宋体" w:cs="宋体"/>
          <w:color w:val="auto"/>
          <w:sz w:val="24"/>
          <w:szCs w:val="24"/>
          <w:lang w:val="en-US" w:eastAsia="zh-CN"/>
        </w:rPr>
        <w:t>获取</w:t>
      </w:r>
      <w:r>
        <w:rPr>
          <w:rFonts w:hint="eastAsia" w:ascii="宋体" w:hAnsi="宋体" w:eastAsia="宋体" w:cs="宋体"/>
          <w:color w:val="auto"/>
          <w:sz w:val="24"/>
          <w:szCs w:val="24"/>
        </w:rPr>
        <w:t>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文件，供应商自行转让或复制竞争性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文件视为无效。</w:t>
      </w:r>
      <w:r>
        <w:rPr>
          <w:rFonts w:hint="eastAsia" w:ascii="宋体" w:hAnsi="宋体" w:eastAsia="宋体" w:cs="宋体"/>
          <w:color w:val="auto"/>
          <w:sz w:val="24"/>
          <w:szCs w:val="24"/>
          <w:lang w:val="en-US" w:eastAsia="zh-CN"/>
        </w:rPr>
        <w:t>本次竞争性谈判文件仅作为</w:t>
      </w:r>
      <w:r>
        <w:rPr>
          <w:rFonts w:hint="eastAsia" w:ascii="宋体" w:hAnsi="宋体" w:eastAsia="宋体" w:cs="宋体"/>
          <w:color w:val="auto"/>
          <w:sz w:val="24"/>
          <w:szCs w:val="24"/>
        </w:rPr>
        <w:t>本次竞争性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使用。</w:t>
      </w:r>
    </w:p>
    <w:p w14:paraId="538F4D8C">
      <w:pPr>
        <w:pStyle w:val="9"/>
        <w:pageBreakBefore w:val="0"/>
        <w:kinsoku/>
        <w:wordWrap/>
        <w:overflowPunct/>
        <w:topLinePunct w:val="0"/>
        <w:autoSpaceDE/>
        <w:autoSpaceDN/>
        <w:bidi w:val="0"/>
        <w:spacing w:line="460" w:lineRule="exact"/>
        <w:ind w:left="0" w:leftChars="0" w:firstLine="482" w:firstLineChars="200"/>
        <w:jc w:val="left"/>
        <w:textAlignment w:val="auto"/>
        <w:rPr>
          <w:rFonts w:hint="eastAsia" w:ascii="宋体" w:hAnsi="宋体" w:eastAsia="宋体" w:cs="宋体"/>
          <w:color w:val="auto"/>
          <w:sz w:val="24"/>
          <w:szCs w:val="24"/>
        </w:rPr>
      </w:pPr>
      <w:bookmarkStart w:id="69" w:name="_Toc536202296"/>
      <w:bookmarkStart w:id="70" w:name="_Toc5095"/>
      <w:r>
        <w:rPr>
          <w:rFonts w:hint="eastAsia" w:ascii="宋体" w:hAnsi="宋体" w:cs="宋体"/>
          <w:b/>
          <w:bCs/>
          <w:color w:val="auto"/>
          <w:kern w:val="2"/>
          <w:sz w:val="24"/>
          <w:szCs w:val="24"/>
          <w:u w:val="none"/>
          <w:lang w:val="en-US" w:eastAsia="zh-CN" w:bidi="ar-SA"/>
        </w:rPr>
        <w:t>7.</w:t>
      </w:r>
      <w:r>
        <w:rPr>
          <w:rFonts w:hint="eastAsia" w:ascii="宋体" w:hAnsi="宋体" w:eastAsia="宋体" w:cs="宋体"/>
          <w:b/>
          <w:bCs/>
          <w:color w:val="auto"/>
          <w:kern w:val="2"/>
          <w:sz w:val="24"/>
          <w:szCs w:val="24"/>
          <w:u w:val="none"/>
          <w:lang w:val="en-US" w:eastAsia="zh-CN" w:bidi="ar-SA"/>
        </w:rPr>
        <w:t>竞争性谈判文件的解释权归代理机构</w:t>
      </w:r>
      <w:bookmarkEnd w:id="69"/>
      <w:bookmarkEnd w:id="70"/>
      <w:r>
        <w:rPr>
          <w:rFonts w:hint="eastAsia" w:ascii="宋体" w:hAnsi="宋体" w:eastAsia="宋体" w:cs="宋体"/>
          <w:color w:val="auto"/>
          <w:sz w:val="24"/>
          <w:szCs w:val="24"/>
        </w:rPr>
        <w:t>（ 如发现</w:t>
      </w:r>
      <w:r>
        <w:rPr>
          <w:rFonts w:hint="eastAsia" w:ascii="宋体" w:hAnsi="宋体" w:cs="宋体"/>
          <w:color w:val="auto"/>
          <w:sz w:val="24"/>
          <w:szCs w:val="24"/>
          <w:lang w:eastAsia="zh-CN"/>
        </w:rPr>
        <w:t>谈判文件</w:t>
      </w:r>
      <w:r>
        <w:rPr>
          <w:rFonts w:hint="eastAsia" w:ascii="宋体" w:hAnsi="宋体" w:eastAsia="宋体" w:cs="宋体"/>
          <w:color w:val="auto"/>
          <w:sz w:val="24"/>
          <w:szCs w:val="24"/>
        </w:rPr>
        <w:t>内容与现行法律法规不相符的情况，以现行法律法规为准</w:t>
      </w:r>
      <w:r>
        <w:rPr>
          <w:rFonts w:hint="eastAsia" w:ascii="宋体" w:hAnsi="宋体" w:cs="宋体"/>
          <w:color w:val="auto"/>
          <w:sz w:val="24"/>
          <w:szCs w:val="24"/>
          <w:lang w:eastAsia="zh-CN"/>
        </w:rPr>
        <w:t>）</w:t>
      </w:r>
    </w:p>
    <w:bookmarkEnd w:id="53"/>
    <w:bookmarkEnd w:id="54"/>
    <w:bookmarkEnd w:id="55"/>
    <w:bookmarkEnd w:id="56"/>
    <w:bookmarkEnd w:id="57"/>
    <w:bookmarkEnd w:id="58"/>
    <w:bookmarkEnd w:id="59"/>
    <w:bookmarkEnd w:id="60"/>
    <w:bookmarkEnd w:id="61"/>
    <w:bookmarkEnd w:id="62"/>
    <w:p w14:paraId="012869A9">
      <w:pPr>
        <w:pageBreakBefore w:val="0"/>
        <w:widowControl/>
        <w:numPr>
          <w:ilvl w:val="0"/>
          <w:numId w:val="0"/>
        </w:numPr>
        <w:kinsoku/>
        <w:wordWrap/>
        <w:overflowPunct/>
        <w:topLinePunct w:val="0"/>
        <w:autoSpaceDE/>
        <w:autoSpaceDN/>
        <w:bidi w:val="0"/>
        <w:spacing w:line="460" w:lineRule="exact"/>
        <w:jc w:val="center"/>
        <w:textAlignment w:val="auto"/>
        <w:outlineLvl w:val="1"/>
        <w:rPr>
          <w:rFonts w:hint="eastAsia" w:ascii="宋体" w:hAnsi="宋体" w:eastAsia="宋体" w:cs="宋体"/>
          <w:b/>
          <w:bCs/>
          <w:color w:val="auto"/>
          <w:kern w:val="0"/>
          <w:sz w:val="24"/>
          <w:szCs w:val="24"/>
          <w:highlight w:val="none"/>
          <w:lang w:eastAsia="zh-CN"/>
        </w:rPr>
      </w:pPr>
      <w:bookmarkStart w:id="71" w:name="_Toc19543338"/>
      <w:bookmarkStart w:id="72" w:name="_Toc536429321"/>
      <w:bookmarkStart w:id="73" w:name="_Toc536202381"/>
      <w:bookmarkStart w:id="74" w:name="_Toc536429374"/>
      <w:bookmarkStart w:id="75" w:name="_Toc622"/>
      <w:bookmarkStart w:id="76" w:name="_Toc536202297"/>
      <w:bookmarkStart w:id="77" w:name="_Toc18884"/>
      <w:bookmarkStart w:id="78" w:name="_Toc1220"/>
      <w:bookmarkStart w:id="79" w:name="_Toc29536"/>
      <w:bookmarkStart w:id="80" w:name="_Toc6805"/>
      <w:bookmarkStart w:id="81" w:name="_Toc6730"/>
      <w:bookmarkStart w:id="82" w:name="_Toc18867"/>
      <w:bookmarkStart w:id="83" w:name="_Toc7915"/>
      <w:bookmarkStart w:id="84" w:name="_Toc30771"/>
      <w:bookmarkStart w:id="85" w:name="_Toc214"/>
      <w:bookmarkStart w:id="86" w:name="_Toc14189274"/>
      <w:bookmarkStart w:id="87" w:name="_Toc11198"/>
      <w:bookmarkStart w:id="88" w:name="_Toc23316588"/>
      <w:bookmarkStart w:id="89" w:name="_Toc23316524"/>
      <w:bookmarkStart w:id="90" w:name="_Toc23316686"/>
      <w:bookmarkStart w:id="91" w:name="_Toc23315664"/>
      <w:bookmarkStart w:id="92" w:name="_Toc14189411"/>
      <w:bookmarkStart w:id="93" w:name="_Toc18412203"/>
      <w:bookmarkStart w:id="94" w:name="_Toc35335260"/>
      <w:r>
        <w:rPr>
          <w:rFonts w:hint="eastAsia" w:ascii="宋体" w:hAnsi="宋体" w:eastAsia="宋体" w:cs="宋体"/>
          <w:b/>
          <w:bCs/>
          <w:color w:val="auto"/>
          <w:kern w:val="0"/>
          <w:sz w:val="24"/>
          <w:szCs w:val="24"/>
          <w:highlight w:val="none"/>
          <w:lang w:eastAsia="zh-CN"/>
        </w:rPr>
        <w:t>三、</w:t>
      </w:r>
      <w:bookmarkEnd w:id="71"/>
      <w:bookmarkEnd w:id="72"/>
      <w:bookmarkEnd w:id="73"/>
      <w:bookmarkEnd w:id="74"/>
      <w:bookmarkEnd w:id="75"/>
      <w:bookmarkEnd w:id="76"/>
      <w:r>
        <w:rPr>
          <w:rFonts w:hint="eastAsia" w:ascii="宋体" w:hAnsi="宋体" w:eastAsia="宋体" w:cs="宋体"/>
          <w:b/>
          <w:bCs/>
          <w:color w:val="auto"/>
          <w:kern w:val="0"/>
          <w:sz w:val="24"/>
          <w:szCs w:val="24"/>
          <w:highlight w:val="none"/>
          <w:lang w:eastAsia="zh-CN"/>
        </w:rPr>
        <w:t>竞争性谈判响应文件及编制要求</w:t>
      </w:r>
      <w:bookmarkEnd w:id="77"/>
      <w:bookmarkEnd w:id="78"/>
      <w:bookmarkEnd w:id="79"/>
      <w:bookmarkEnd w:id="80"/>
      <w:bookmarkEnd w:id="81"/>
      <w:bookmarkEnd w:id="82"/>
      <w:bookmarkEnd w:id="83"/>
      <w:bookmarkEnd w:id="84"/>
      <w:bookmarkStart w:id="95" w:name="_Toc311415581"/>
      <w:bookmarkStart w:id="96" w:name="_Toc536202299"/>
    </w:p>
    <w:p w14:paraId="2DFE53F2">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2" w:firstLineChars="200"/>
        <w:jc w:val="left"/>
        <w:textAlignment w:val="auto"/>
        <w:outlineLvl w:val="1"/>
        <w:rPr>
          <w:rFonts w:hint="eastAsia" w:ascii="宋体" w:hAnsi="宋体" w:eastAsia="宋体" w:cs="宋体"/>
          <w:color w:val="auto"/>
          <w:sz w:val="24"/>
          <w:szCs w:val="24"/>
          <w:u w:val="none"/>
          <w:lang w:val="en-US" w:eastAsia="zh-CN"/>
        </w:rPr>
      </w:pPr>
      <w:bookmarkStart w:id="97" w:name="_Toc869"/>
      <w:bookmarkStart w:id="98" w:name="_Toc16459"/>
      <w:r>
        <w:rPr>
          <w:rFonts w:hint="eastAsia" w:ascii="宋体" w:hAnsi="宋体" w:eastAsia="宋体" w:cs="宋体"/>
          <w:b/>
          <w:bCs/>
          <w:color w:val="auto"/>
          <w:sz w:val="24"/>
          <w:szCs w:val="24"/>
          <w:u w:val="none"/>
          <w:lang w:val="en-US" w:eastAsia="zh-CN"/>
        </w:rPr>
        <w:t>1.响应文件编制的原则</w:t>
      </w:r>
      <w:bookmarkEnd w:id="95"/>
      <w:bookmarkEnd w:id="97"/>
      <w:bookmarkEnd w:id="98"/>
    </w:p>
    <w:p w14:paraId="3AFB5E63">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0" w:firstLineChars="200"/>
        <w:jc w:val="left"/>
        <w:textAlignment w:val="auto"/>
        <w:outlineLvl w:val="1"/>
        <w:rPr>
          <w:rFonts w:hint="eastAsia" w:ascii="宋体" w:hAnsi="宋体" w:eastAsia="宋体" w:cs="宋体"/>
          <w:color w:val="auto"/>
          <w:sz w:val="24"/>
          <w:szCs w:val="24"/>
          <w:u w:val="none"/>
          <w:lang w:val="en-US" w:eastAsia="zh-CN"/>
        </w:rPr>
      </w:pPr>
      <w:bookmarkStart w:id="99" w:name="_Toc20455"/>
      <w:bookmarkStart w:id="100" w:name="_Toc25943"/>
      <w:r>
        <w:rPr>
          <w:rFonts w:hint="eastAsia" w:ascii="宋体" w:hAnsi="宋体" w:eastAsia="宋体" w:cs="宋体"/>
          <w:color w:val="auto"/>
          <w:sz w:val="24"/>
          <w:szCs w:val="24"/>
          <w:u w:val="none"/>
          <w:lang w:val="en-US" w:eastAsia="zh-CN"/>
        </w:rPr>
        <w:t>1.1投标人应在认真阅读谈判文件所有内容的基础上，按照谈判文件的要求编制完整的响应文件。谈判文件中对响应文件格式有要求的，应按格式编制并逐项填写内容，不准有空项；无相应内容可填的项应填写“无”“没有相应指标”等明确的回答文字。响应文件中留有空项的或没有按格式制作的，将被视为不完整响应的投标文件，其投标将有可能被拒绝。</w:t>
      </w:r>
      <w:bookmarkEnd w:id="99"/>
      <w:bookmarkEnd w:id="100"/>
      <w:r>
        <w:rPr>
          <w:rFonts w:hint="eastAsia" w:ascii="宋体" w:hAnsi="宋体" w:eastAsia="宋体" w:cs="宋体"/>
          <w:color w:val="auto"/>
          <w:sz w:val="24"/>
          <w:szCs w:val="24"/>
          <w:u w:val="none"/>
          <w:lang w:val="en-US" w:eastAsia="zh-CN"/>
        </w:rPr>
        <w:t xml:space="preserve"> </w:t>
      </w:r>
    </w:p>
    <w:p w14:paraId="7566E818">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1.2投标人必须保证响应文件所提供的全部资料真实可靠，并接受对其中任何资料进一步审查的要求。</w:t>
      </w:r>
    </w:p>
    <w:p w14:paraId="1B4462AF">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1.3响应文件须对谈判文件中的内容做出实质性和完整性的响应，否则其投标将被视为无效投标。</w:t>
      </w:r>
    </w:p>
    <w:p w14:paraId="5D9AFF0F">
      <w:pPr>
        <w:pStyle w:val="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2.响应文件构成和格式</w:t>
      </w:r>
    </w:p>
    <w:p w14:paraId="2BB01605">
      <w:pPr>
        <w:pStyle w:val="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2.1文件的制作和签名</w:t>
      </w:r>
    </w:p>
    <w:p w14:paraId="042DCE27">
      <w:pPr>
        <w:pStyle w:val="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2.1.1为确保采购项目顺利开展，本项目采用电子</w:t>
      </w:r>
      <w:bookmarkStart w:id="101" w:name="_Hlk34128658"/>
      <w:r>
        <w:rPr>
          <w:rFonts w:hint="eastAsia" w:ascii="宋体" w:hAnsi="宋体" w:eastAsia="宋体" w:cs="宋体"/>
          <w:b w:val="0"/>
          <w:bCs w:val="0"/>
          <w:color w:val="auto"/>
          <w:sz w:val="24"/>
          <w:szCs w:val="24"/>
          <w:u w:val="none"/>
          <w:lang w:val="en-US" w:eastAsia="zh-CN"/>
        </w:rPr>
        <w:t>投标文件</w:t>
      </w:r>
      <w:bookmarkEnd w:id="101"/>
      <w:r>
        <w:rPr>
          <w:rFonts w:hint="eastAsia" w:ascii="宋体" w:hAnsi="宋体" w:eastAsia="宋体" w:cs="宋体"/>
          <w:b w:val="0"/>
          <w:bCs w:val="0"/>
          <w:color w:val="auto"/>
          <w:sz w:val="24"/>
          <w:szCs w:val="24"/>
          <w:u w:val="none"/>
          <w:lang w:val="en-US" w:eastAsia="zh-CN"/>
        </w:rPr>
        <w:t>。投标人在投标前须提供电子投标文件。</w:t>
      </w:r>
    </w:p>
    <w:p w14:paraId="3D118844">
      <w:pPr>
        <w:pStyle w:val="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2.1.2编制电子投标文件时，应使用最新发布的电子采购文件及专用制作工具进行编制。并使用数字认证证书（CA）对电子投标文件进行签署、加密、递交及开标时解密等相关操作。投标文件中需要加盖法定代表人私章的地方，请使用“法人CA”进行签章；需要加盖供应商公章的地方，请使用“企业 CA”进行盖章。加密和解密应当使用同一 CA，否则将会导致解密失败。因供应商自身原因未使用最新发布的电子招标文件及专用制作工具进行编制，导致电子文件上传失败，由供应商自行承担全部责任。</w:t>
      </w:r>
    </w:p>
    <w:p w14:paraId="2CC6A8B9">
      <w:pPr>
        <w:pStyle w:val="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2.2投标人应</w:t>
      </w:r>
      <w:r>
        <w:rPr>
          <w:rFonts w:hint="eastAsia" w:ascii="宋体" w:hAnsi="宋体" w:eastAsia="宋体" w:cs="宋体"/>
          <w:b w:val="0"/>
          <w:bCs w:val="0"/>
          <w:color w:val="auto"/>
          <w:sz w:val="24"/>
          <w:szCs w:val="24"/>
          <w:highlight w:val="none"/>
          <w:u w:val="none"/>
          <w:lang w:val="en-US" w:eastAsia="zh-CN"/>
        </w:rPr>
        <w:t>按照本须知第2.1条的内容及第六部分提供的</w:t>
      </w:r>
      <w:r>
        <w:rPr>
          <w:rFonts w:hint="eastAsia" w:ascii="宋体" w:hAnsi="宋体" w:eastAsia="宋体" w:cs="宋体"/>
          <w:b w:val="0"/>
          <w:bCs w:val="0"/>
          <w:color w:val="auto"/>
          <w:sz w:val="24"/>
          <w:szCs w:val="24"/>
          <w:u w:val="none"/>
          <w:lang w:val="en-US" w:eastAsia="zh-CN"/>
        </w:rPr>
        <w:t>格式编写投标文件，不得缺少谈判文件要求填写的表格或提交的资料。</w:t>
      </w:r>
    </w:p>
    <w:p w14:paraId="64E93250">
      <w:pPr>
        <w:pStyle w:val="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val="en-US" w:eastAsia="zh-CN"/>
        </w:rPr>
        <w:t>3.</w:t>
      </w:r>
      <w:r>
        <w:rPr>
          <w:rFonts w:hint="eastAsia" w:ascii="宋体" w:hAnsi="宋体" w:eastAsia="宋体" w:cs="宋体"/>
          <w:color w:val="auto"/>
          <w:sz w:val="24"/>
          <w:szCs w:val="24"/>
          <w:u w:val="none"/>
          <w:lang w:eastAsia="zh-CN"/>
        </w:rPr>
        <w:t>谈判</w:t>
      </w:r>
      <w:r>
        <w:rPr>
          <w:rFonts w:hint="eastAsia" w:ascii="宋体" w:hAnsi="宋体" w:eastAsia="宋体" w:cs="宋体"/>
          <w:color w:val="auto"/>
          <w:sz w:val="24"/>
          <w:szCs w:val="24"/>
          <w:u w:val="none"/>
        </w:rPr>
        <w:t>报价</w:t>
      </w:r>
      <w:bookmarkEnd w:id="96"/>
    </w:p>
    <w:p w14:paraId="1D66AE15">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rPr>
      </w:pPr>
      <w:bookmarkStart w:id="102" w:name="_Toc29200"/>
      <w:bookmarkStart w:id="103" w:name="_Toc536202300"/>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报价为供应商充分考虑</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文件的各项条款和所掌握的市场情况及本项目的实际情况，根据自身情况自主报价；</w:t>
      </w:r>
    </w:p>
    <w:p w14:paraId="2963AB3C">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（2）供应商应在响应报价表中标明本次招标所要求的货物、服务且验收合格的所有费用</w:t>
      </w:r>
      <w:r>
        <w:rPr>
          <w:rFonts w:hint="eastAsia" w:ascii="宋体" w:hAnsi="宋体" w:eastAsia="宋体" w:cs="宋体"/>
          <w:color w:val="auto"/>
          <w:sz w:val="24"/>
          <w:szCs w:val="24"/>
          <w:lang w:eastAsia="zh-CN"/>
        </w:rPr>
        <w:t>；</w:t>
      </w:r>
    </w:p>
    <w:p w14:paraId="287E46BF">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）凡本</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文件要求（或允许）及供应商认为需要进行报价的各项费用项目，（不论是否要求进入报价）若</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时未报或未在响应文件中予以说明，采购人将按这些费用已包含在</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报价中对待；</w:t>
      </w:r>
      <w:r>
        <w:rPr>
          <w:rFonts w:hint="eastAsia" w:ascii="宋体" w:hAnsi="宋体" w:eastAsia="宋体" w:cs="宋体"/>
          <w:color w:val="auto"/>
          <w:spacing w:val="4"/>
          <w:sz w:val="24"/>
          <w:szCs w:val="24"/>
        </w:rPr>
        <w:t>供应商应考虑全部材料的风险，供应商一旦成交，采购人将不再对此部分进行调整；供应商的报价应将此差异考虑在综合单价内，结算时不予调整。</w:t>
      </w:r>
    </w:p>
    <w:p w14:paraId="72F94A63">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）响应报价表应有法定代表人或被授权人的签字。</w:t>
      </w:r>
    </w:p>
    <w:p w14:paraId="3ABFCEB6">
      <w:pPr>
        <w:pStyle w:val="5"/>
        <w:keepNext w:val="0"/>
        <w:keepLines w:val="0"/>
        <w:pageBreakBefore w:val="0"/>
        <w:widowControl w:val="0"/>
        <w:numPr>
          <w:ilvl w:val="0"/>
          <w:numId w:val="0"/>
        </w:numPr>
        <w:kinsoku/>
        <w:wordWrap/>
        <w:overflowPunct/>
        <w:topLinePunct w:val="0"/>
        <w:autoSpaceDE/>
        <w:autoSpaceDN/>
        <w:bidi w:val="0"/>
        <w:spacing w:line="460" w:lineRule="exact"/>
        <w:ind w:firstLine="482" w:firstLineChars="200"/>
        <w:jc w:val="lef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val="en-US" w:eastAsia="zh-CN"/>
        </w:rPr>
        <w:t>4.</w:t>
      </w:r>
      <w:r>
        <w:rPr>
          <w:rFonts w:hint="eastAsia" w:ascii="宋体" w:hAnsi="宋体" w:eastAsia="宋体" w:cs="宋体"/>
          <w:color w:val="auto"/>
          <w:sz w:val="24"/>
          <w:szCs w:val="24"/>
          <w:u w:val="none"/>
          <w:lang w:eastAsia="zh-CN"/>
        </w:rPr>
        <w:t>谈判</w:t>
      </w:r>
      <w:r>
        <w:rPr>
          <w:rFonts w:hint="eastAsia" w:ascii="宋体" w:hAnsi="宋体" w:eastAsia="宋体" w:cs="宋体"/>
          <w:color w:val="auto"/>
          <w:sz w:val="24"/>
          <w:szCs w:val="24"/>
          <w:u w:val="none"/>
        </w:rPr>
        <w:t>货币</w:t>
      </w:r>
      <w:bookmarkEnd w:id="102"/>
      <w:bookmarkEnd w:id="103"/>
    </w:p>
    <w:p w14:paraId="327DC764">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采购人只接受人民币作为唯一</w:t>
      </w:r>
      <w:r>
        <w:rPr>
          <w:rFonts w:hint="eastAsia" w:ascii="宋体" w:hAnsi="宋体" w:eastAsia="宋体" w:cs="宋体"/>
          <w:color w:val="auto"/>
          <w:kern w:val="0"/>
          <w:sz w:val="24"/>
          <w:szCs w:val="24"/>
          <w:lang w:eastAsia="zh-CN"/>
        </w:rPr>
        <w:t>谈判</w:t>
      </w:r>
      <w:r>
        <w:rPr>
          <w:rFonts w:hint="eastAsia" w:ascii="宋体" w:hAnsi="宋体" w:eastAsia="宋体" w:cs="宋体"/>
          <w:color w:val="auto"/>
          <w:kern w:val="0"/>
          <w:sz w:val="24"/>
          <w:szCs w:val="24"/>
        </w:rPr>
        <w:t>货币。以人民币为投标货币。以元为报价单位，保留小数点后两位。</w:t>
      </w:r>
    </w:p>
    <w:p w14:paraId="56F2B2EE">
      <w:pPr>
        <w:pStyle w:val="5"/>
        <w:keepNext w:val="0"/>
        <w:keepLines w:val="0"/>
        <w:pageBreakBefore w:val="0"/>
        <w:widowControl w:val="0"/>
        <w:numPr>
          <w:ilvl w:val="0"/>
          <w:numId w:val="0"/>
        </w:numPr>
        <w:kinsoku/>
        <w:wordWrap/>
        <w:overflowPunct/>
        <w:topLinePunct w:val="0"/>
        <w:autoSpaceDE/>
        <w:autoSpaceDN/>
        <w:bidi w:val="0"/>
        <w:spacing w:line="460" w:lineRule="exact"/>
        <w:ind w:firstLine="482" w:firstLineChars="200"/>
        <w:jc w:val="left"/>
        <w:textAlignment w:val="auto"/>
        <w:rPr>
          <w:rFonts w:hint="eastAsia" w:ascii="宋体" w:hAnsi="宋体" w:eastAsia="宋体" w:cs="宋体"/>
          <w:color w:val="auto"/>
          <w:sz w:val="24"/>
          <w:szCs w:val="24"/>
          <w:u w:val="none"/>
        </w:rPr>
      </w:pPr>
      <w:bookmarkStart w:id="104" w:name="_Toc536202302"/>
      <w:r>
        <w:rPr>
          <w:rFonts w:hint="eastAsia" w:ascii="宋体" w:hAnsi="宋体" w:eastAsia="宋体" w:cs="宋体"/>
          <w:color w:val="auto"/>
          <w:sz w:val="24"/>
          <w:szCs w:val="24"/>
          <w:u w:val="none"/>
          <w:lang w:val="en-US" w:eastAsia="zh-CN"/>
        </w:rPr>
        <w:t xml:space="preserve"> 5.</w:t>
      </w:r>
      <w:r>
        <w:rPr>
          <w:rFonts w:hint="eastAsia" w:ascii="宋体" w:hAnsi="宋体" w:eastAsia="宋体" w:cs="宋体"/>
          <w:color w:val="auto"/>
          <w:sz w:val="24"/>
          <w:szCs w:val="24"/>
          <w:u w:val="none"/>
        </w:rPr>
        <w:t>响应有效期</w:t>
      </w:r>
      <w:bookmarkEnd w:id="104"/>
    </w:p>
    <w:p w14:paraId="50704357">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响应文件有效期及法定代表人授权书有效期为递交响应文件截止时间起90个日历日，响应有效期短于此规定期限的响应文件，视为无效文件，其</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将被拒绝。成交单位的响应文件有效期延长至合同执行完毕。</w:t>
      </w:r>
    </w:p>
    <w:p w14:paraId="2F84F190">
      <w:pPr>
        <w:pStyle w:val="5"/>
        <w:keepNext w:val="0"/>
        <w:keepLines w:val="0"/>
        <w:pageBreakBefore w:val="0"/>
        <w:widowControl w:val="0"/>
        <w:numPr>
          <w:ilvl w:val="0"/>
          <w:numId w:val="0"/>
        </w:numPr>
        <w:kinsoku/>
        <w:wordWrap/>
        <w:overflowPunct/>
        <w:topLinePunct w:val="0"/>
        <w:autoSpaceDE/>
        <w:autoSpaceDN/>
        <w:bidi w:val="0"/>
        <w:spacing w:line="460" w:lineRule="exact"/>
        <w:ind w:firstLine="482" w:firstLineChars="200"/>
        <w:jc w:val="left"/>
        <w:textAlignment w:val="auto"/>
        <w:rPr>
          <w:rFonts w:hint="eastAsia" w:ascii="宋体" w:hAnsi="宋体" w:eastAsia="宋体" w:cs="宋体"/>
          <w:color w:val="auto"/>
          <w:sz w:val="24"/>
          <w:szCs w:val="24"/>
          <w:u w:val="none"/>
        </w:rPr>
      </w:pPr>
      <w:bookmarkStart w:id="105" w:name="_Toc24827"/>
      <w:bookmarkStart w:id="106" w:name="_Toc536202303"/>
      <w:r>
        <w:rPr>
          <w:rFonts w:hint="eastAsia" w:ascii="宋体" w:hAnsi="宋体" w:eastAsia="宋体" w:cs="宋体"/>
          <w:color w:val="auto"/>
          <w:sz w:val="24"/>
          <w:szCs w:val="24"/>
          <w:u w:val="none"/>
          <w:lang w:val="en-US" w:eastAsia="zh-CN"/>
        </w:rPr>
        <w:t>6.</w:t>
      </w:r>
      <w:bookmarkEnd w:id="105"/>
      <w:bookmarkEnd w:id="106"/>
      <w:r>
        <w:rPr>
          <w:rFonts w:hint="eastAsia" w:ascii="宋体" w:hAnsi="宋体" w:eastAsia="宋体" w:cs="宋体"/>
          <w:color w:val="auto"/>
          <w:sz w:val="24"/>
          <w:szCs w:val="24"/>
          <w:u w:val="none"/>
          <w:lang w:val="en-US" w:eastAsia="zh-CN"/>
        </w:rPr>
        <w:t>响应文件的格式及签署</w:t>
      </w:r>
    </w:p>
    <w:p w14:paraId="5DBCDD2F">
      <w:pPr>
        <w:spacing w:line="360" w:lineRule="auto"/>
        <w:ind w:firstLine="480" w:firstLineChars="200"/>
        <w:rPr>
          <w:rFonts w:hint="eastAsia" w:ascii="宋体" w:hAnsi="宋体" w:eastAsia="宋体" w:cs="宋体"/>
          <w:sz w:val="24"/>
          <w:szCs w:val="24"/>
        </w:rPr>
      </w:pPr>
      <w:bookmarkStart w:id="107" w:name="_Toc536202304"/>
      <w:bookmarkStart w:id="108" w:name="_Toc22752"/>
      <w:r>
        <w:rPr>
          <w:rFonts w:hint="eastAsia" w:ascii="宋体" w:hAnsi="宋体" w:eastAsia="宋体" w:cs="宋体"/>
          <w:sz w:val="24"/>
          <w:szCs w:val="24"/>
          <w:lang w:val="en-US" w:eastAsia="zh-CN"/>
        </w:rPr>
        <w:t>7.1</w:t>
      </w:r>
      <w:r>
        <w:rPr>
          <w:rFonts w:hint="eastAsia" w:ascii="宋体" w:hAnsi="宋体" w:eastAsia="宋体" w:cs="宋体"/>
          <w:sz w:val="24"/>
          <w:szCs w:val="24"/>
        </w:rPr>
        <w:t>供应商须依据竞争性</w:t>
      </w:r>
      <w:r>
        <w:rPr>
          <w:rFonts w:hint="eastAsia" w:ascii="宋体" w:hAnsi="宋体" w:eastAsia="宋体" w:cs="宋体"/>
          <w:sz w:val="24"/>
          <w:szCs w:val="24"/>
          <w:lang w:val="en-US" w:eastAsia="zh-CN"/>
        </w:rPr>
        <w:t>谈判</w:t>
      </w:r>
      <w:r>
        <w:rPr>
          <w:rFonts w:hint="eastAsia" w:ascii="宋体" w:hAnsi="宋体" w:eastAsia="宋体" w:cs="宋体"/>
          <w:sz w:val="24"/>
          <w:szCs w:val="24"/>
        </w:rPr>
        <w:t>文件内容和响应文件格式的要求编制响应文件；并编制目录和对应的页码。</w:t>
      </w:r>
    </w:p>
    <w:p w14:paraId="29062FD9">
      <w:pPr>
        <w:widowControl/>
        <w:spacing w:line="336" w:lineRule="auto"/>
        <w:ind w:firstLine="480" w:firstLineChars="200"/>
        <w:outlineLvl w:val="1"/>
        <w:rPr>
          <w:rFonts w:hint="eastAsia" w:ascii="宋体" w:hAnsi="宋体" w:eastAsia="宋体" w:cs="宋体"/>
          <w:bCs/>
          <w:kern w:val="0"/>
          <w:sz w:val="24"/>
          <w:szCs w:val="24"/>
          <w:highlight w:val="none"/>
        </w:rPr>
      </w:pPr>
      <w:bookmarkStart w:id="109" w:name="_Toc30909"/>
      <w:r>
        <w:rPr>
          <w:rFonts w:hint="eastAsia" w:ascii="宋体" w:hAnsi="宋体" w:eastAsia="宋体" w:cs="宋体"/>
          <w:bCs/>
          <w:kern w:val="0"/>
          <w:sz w:val="24"/>
          <w:szCs w:val="24"/>
          <w:highlight w:val="none"/>
          <w:lang w:val="en-US" w:eastAsia="zh-CN"/>
        </w:rPr>
        <w:t>6.1.1</w:t>
      </w:r>
      <w:r>
        <w:rPr>
          <w:rFonts w:hint="eastAsia" w:ascii="宋体" w:hAnsi="宋体" w:eastAsia="宋体" w:cs="宋体"/>
          <w:bCs/>
          <w:kern w:val="0"/>
          <w:sz w:val="24"/>
          <w:szCs w:val="24"/>
          <w:highlight w:val="none"/>
        </w:rPr>
        <w:t>为确保采购项目顺利开展，本项目采用电子响应文件。投标人在投标前须提供电子响应文件。</w:t>
      </w:r>
      <w:bookmarkEnd w:id="109"/>
    </w:p>
    <w:p w14:paraId="793FC18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6.2.2</w:t>
      </w:r>
      <w:r>
        <w:rPr>
          <w:rFonts w:hint="eastAsia" w:ascii="宋体" w:hAnsi="宋体" w:eastAsia="宋体" w:cs="宋体"/>
          <w:color w:val="000000" w:themeColor="text1"/>
          <w:sz w:val="24"/>
          <w:highlight w:val="none"/>
          <w14:textFill>
            <w14:solidFill>
              <w14:schemeClr w14:val="tx1"/>
            </w14:solidFill>
          </w14:textFill>
        </w:rPr>
        <w:t>编制电子响应文件时，应使用最新发布的电子</w:t>
      </w:r>
      <w:r>
        <w:rPr>
          <w:rFonts w:hint="eastAsia" w:ascii="宋体" w:hAnsi="宋体" w:eastAsia="宋体" w:cs="宋体"/>
          <w:color w:val="000000" w:themeColor="text1"/>
          <w:sz w:val="24"/>
          <w:highlight w:val="none"/>
          <w:lang w:val="en-US"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文件及专用制作工具进行编制。并使用数字认证证书（CA）对电子响应文件进行签署、加密、递交及开标时解密等相关操作。响应文件中需要加盖法定代表人私章的地方，请使用“法人CA”进行签章；需要加盖供应商公章的地方，请使用“企业 CA”进行盖章。加密和解密应当使用同一 CA，否则将会导致解密失败。因供应商自身原因未使用最新发布的电子</w:t>
      </w:r>
      <w:r>
        <w:rPr>
          <w:rFonts w:hint="eastAsia" w:ascii="宋体" w:hAnsi="宋体" w:eastAsia="宋体" w:cs="宋体"/>
          <w:color w:val="000000" w:themeColor="text1"/>
          <w:sz w:val="24"/>
          <w:highlight w:val="none"/>
          <w:lang w:val="en-US" w:eastAsia="zh-CN"/>
          <w14:textFill>
            <w14:solidFill>
              <w14:schemeClr w14:val="tx1"/>
            </w14:solidFill>
          </w14:textFill>
        </w:rPr>
        <w:t>谈判</w:t>
      </w:r>
      <w:r>
        <w:rPr>
          <w:rFonts w:hint="eastAsia" w:ascii="宋体" w:hAnsi="宋体" w:eastAsia="宋体" w:cs="宋体"/>
          <w:color w:val="000000" w:themeColor="text1"/>
          <w:sz w:val="24"/>
          <w:highlight w:val="none"/>
          <w14:textFill>
            <w14:solidFill>
              <w14:schemeClr w14:val="tx1"/>
            </w14:solidFill>
          </w14:textFill>
        </w:rPr>
        <w:t>文件及专用制作工具进行编制，导致电子文件上传失败，由供应商自行承担全部责任。</w:t>
      </w:r>
    </w:p>
    <w:p w14:paraId="79A9ADE0">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响应文件的签署</w:t>
      </w:r>
    </w:p>
    <w:p w14:paraId="4747745E">
      <w:pPr>
        <w:pageBreakBefore w:val="0"/>
        <w:numPr>
          <w:ilvl w:val="0"/>
          <w:numId w:val="3"/>
        </w:numPr>
        <w:wordWrap/>
        <w:topLinePunct w:val="0"/>
        <w:autoSpaceDE/>
        <w:autoSpaceDN/>
        <w:bidi w:val="0"/>
        <w:spacing w:line="336" w:lineRule="auto"/>
        <w:jc w:val="left"/>
        <w:textAlignment w:val="auto"/>
        <w:rPr>
          <w:rFonts w:hint="eastAsia" w:ascii="宋体" w:hAnsi="宋体" w:eastAsia="宋体" w:cs="宋体"/>
          <w:sz w:val="24"/>
          <w:szCs w:val="24"/>
        </w:rPr>
      </w:pPr>
      <w:r>
        <w:rPr>
          <w:rFonts w:hint="eastAsia" w:ascii="宋体" w:hAnsi="宋体" w:eastAsia="宋体" w:cs="宋体"/>
          <w:sz w:val="24"/>
          <w:szCs w:val="24"/>
        </w:rPr>
        <w:t>供应商应在响应文件中指定的页面落款处填写供应商全称，并按要求加盖公章</w:t>
      </w:r>
      <w:r>
        <w:rPr>
          <w:rFonts w:hint="eastAsia" w:ascii="宋体" w:hAnsi="宋体" w:eastAsia="宋体" w:cs="宋体"/>
          <w:sz w:val="24"/>
          <w:szCs w:val="24"/>
          <w:lang w:eastAsia="zh-CN"/>
        </w:rPr>
        <w:t>（</w:t>
      </w:r>
      <w:r>
        <w:rPr>
          <w:rFonts w:hint="eastAsia" w:ascii="宋体" w:hAnsi="宋体" w:eastAsia="宋体" w:cs="宋体"/>
          <w:sz w:val="24"/>
          <w:szCs w:val="24"/>
        </w:rPr>
        <w:t>包括响应文件的封面）。</w:t>
      </w:r>
    </w:p>
    <w:p w14:paraId="5258C95B">
      <w:pPr>
        <w:pageBreakBefore w:val="0"/>
        <w:numPr>
          <w:ilvl w:val="0"/>
          <w:numId w:val="3"/>
        </w:numPr>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响应文件应字迹清楚、内容齐全、不得涂改或增删。如有修改和增删，必须有供应商公章及法定代表人或其授权代表签字。</w:t>
      </w:r>
    </w:p>
    <w:p w14:paraId="35E905BE">
      <w:pPr>
        <w:pageBreakBefore w:val="0"/>
        <w:numPr>
          <w:ilvl w:val="0"/>
          <w:numId w:val="3"/>
        </w:numPr>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因响应文件字迹潦草或表达不清所引起的不利后果由供应商承担。</w:t>
      </w:r>
    </w:p>
    <w:p w14:paraId="1F49BFF9">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本次磋商只接受简体中文文字的响应文件；如响应文件中出现外文资料，必须配以中文译文。否则，由此引发的一切责任由供应商自负。</w:t>
      </w:r>
    </w:p>
    <w:p w14:paraId="746B542E">
      <w:pPr>
        <w:pageBreakBefore w:val="0"/>
        <w:widowControl/>
        <w:wordWrap/>
        <w:topLinePunct w:val="0"/>
        <w:autoSpaceDE/>
        <w:autoSpaceDN/>
        <w:bidi w:val="0"/>
        <w:spacing w:line="336"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拒绝接受以电话、传真、电子邮件形式的磋商。</w:t>
      </w:r>
    </w:p>
    <w:p w14:paraId="3C5E0441">
      <w:pPr>
        <w:pStyle w:val="5"/>
        <w:keepNext w:val="0"/>
        <w:keepLines w:val="0"/>
        <w:pageBreakBefore w:val="0"/>
        <w:widowControl w:val="0"/>
        <w:numPr>
          <w:ilvl w:val="0"/>
          <w:numId w:val="0"/>
        </w:numPr>
        <w:kinsoku/>
        <w:wordWrap/>
        <w:overflowPunct/>
        <w:topLinePunct w:val="0"/>
        <w:autoSpaceDE/>
        <w:autoSpaceDN/>
        <w:bidi w:val="0"/>
        <w:spacing w:line="460" w:lineRule="exact"/>
        <w:ind w:firstLine="482" w:firstLineChars="200"/>
        <w:jc w:val="lef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val="en-US" w:eastAsia="zh-CN"/>
        </w:rPr>
        <w:t>7.</w:t>
      </w:r>
      <w:r>
        <w:rPr>
          <w:rFonts w:hint="eastAsia" w:ascii="宋体" w:hAnsi="宋体" w:eastAsia="宋体" w:cs="宋体"/>
          <w:color w:val="auto"/>
          <w:sz w:val="24"/>
          <w:szCs w:val="24"/>
          <w:u w:val="none"/>
        </w:rPr>
        <w:t>知识产权</w:t>
      </w:r>
      <w:bookmarkEnd w:id="107"/>
      <w:bookmarkEnd w:id="108"/>
    </w:p>
    <w:p w14:paraId="2A6C4A27">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.1供应商应保证在本项目使用的任何产品和服务（包括部分使用）时，不会产生因第三方提出侵犯其专利权、商标权或其它知识产权而引起的法律和经济纠纷，如因专利权、商标权或其它知识产权而引</w:t>
      </w:r>
      <w:r>
        <w:rPr>
          <w:rFonts w:hint="eastAsia" w:ascii="宋体" w:hAnsi="宋体" w:eastAsia="宋体" w:cs="宋体"/>
          <w:color w:val="auto"/>
          <w:sz w:val="24"/>
          <w:szCs w:val="24"/>
          <w:lang w:eastAsia="zh-CN"/>
        </w:rPr>
        <w:t>起的</w:t>
      </w:r>
      <w:r>
        <w:rPr>
          <w:rFonts w:hint="eastAsia" w:ascii="宋体" w:hAnsi="宋体" w:eastAsia="宋体" w:cs="宋体"/>
          <w:color w:val="auto"/>
          <w:sz w:val="24"/>
          <w:szCs w:val="24"/>
        </w:rPr>
        <w:t>法律纠纷和经济纠纷，由供应商承担所有相关责任。</w:t>
      </w:r>
    </w:p>
    <w:p w14:paraId="3192A051">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.2采购人享有本项目在实施过程中产生的知识成果及知识产权。</w:t>
      </w:r>
    </w:p>
    <w:p w14:paraId="506A4B2C">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3供应商如欲在项目实施过程中采用自有知识成果，需在响应文件中声明，并提供相关知识产权证明文件。使用该知识成果后，供应商须提供开发接口和开发手册等技术文档，并承诺提供无限期技术支持，采购人享有永久使用权。</w:t>
      </w:r>
    </w:p>
    <w:p w14:paraId="31D27076">
      <w:pPr>
        <w:keepNext w:val="0"/>
        <w:keepLines w:val="0"/>
        <w:pageBreakBefore w:val="0"/>
        <w:widowControl w:val="0"/>
        <w:numPr>
          <w:ilvl w:val="0"/>
          <w:numId w:val="0"/>
        </w:numPr>
        <w:kinsoku/>
        <w:wordWrap/>
        <w:overflowPunct/>
        <w:topLinePunct w:val="0"/>
        <w:autoSpaceDE/>
        <w:autoSpaceDN/>
        <w:bidi w:val="0"/>
        <w:spacing w:line="460" w:lineRule="exact"/>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bookmarkStart w:id="110" w:name="_Toc7833"/>
      <w:bookmarkStart w:id="111" w:name="_Toc4733"/>
      <w:bookmarkStart w:id="112" w:name="_Toc32473"/>
      <w:bookmarkStart w:id="113" w:name="_Toc24267"/>
      <w:bookmarkStart w:id="114" w:name="_Toc6037"/>
      <w:bookmarkStart w:id="115" w:name="_Toc22616"/>
      <w:bookmarkStart w:id="116" w:name="_Toc4724"/>
      <w:bookmarkStart w:id="117" w:name="_Toc153"/>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.4如供应商所不拥有的知识产权，则在响应报价中必须包括合法获取该知识产权的相关费用。</w:t>
      </w:r>
      <w:bookmarkEnd w:id="110"/>
      <w:bookmarkEnd w:id="111"/>
      <w:bookmarkEnd w:id="112"/>
      <w:bookmarkEnd w:id="113"/>
      <w:bookmarkEnd w:id="114"/>
      <w:bookmarkEnd w:id="115"/>
      <w:bookmarkEnd w:id="116"/>
      <w:bookmarkEnd w:id="117"/>
      <w:bookmarkStart w:id="118" w:name="_Toc536202305"/>
      <w:bookmarkStart w:id="119" w:name="_Toc536429375"/>
      <w:bookmarkStart w:id="120" w:name="_Toc536429322"/>
      <w:bookmarkStart w:id="121" w:name="_Toc3565"/>
      <w:bookmarkStart w:id="122" w:name="_Toc4747"/>
      <w:bookmarkStart w:id="123" w:name="_Toc536202382"/>
      <w:bookmarkStart w:id="124" w:name="_Toc19543339"/>
      <w:bookmarkStart w:id="125" w:name="_Toc3736"/>
    </w:p>
    <w:p w14:paraId="452339CA">
      <w:pPr>
        <w:pageBreakBefore w:val="0"/>
        <w:widowControl/>
        <w:numPr>
          <w:ilvl w:val="0"/>
          <w:numId w:val="0"/>
        </w:numPr>
        <w:kinsoku/>
        <w:wordWrap/>
        <w:overflowPunct/>
        <w:topLinePunct w:val="0"/>
        <w:autoSpaceDE/>
        <w:autoSpaceDN/>
        <w:bidi w:val="0"/>
        <w:spacing w:line="460" w:lineRule="exact"/>
        <w:jc w:val="center"/>
        <w:textAlignment w:val="auto"/>
        <w:outlineLvl w:val="1"/>
        <w:rPr>
          <w:rFonts w:hint="eastAsia" w:ascii="宋体" w:hAnsi="宋体" w:eastAsia="宋体" w:cs="宋体"/>
          <w:b/>
          <w:bCs/>
          <w:color w:val="auto"/>
          <w:kern w:val="0"/>
          <w:sz w:val="24"/>
          <w:szCs w:val="24"/>
        </w:rPr>
      </w:pPr>
      <w:bookmarkStart w:id="126" w:name="_Toc15236"/>
      <w:bookmarkStart w:id="127" w:name="_Toc10657"/>
      <w:bookmarkStart w:id="128" w:name="_Toc26836"/>
      <w:bookmarkStart w:id="129" w:name="_Toc24983"/>
      <w:bookmarkStart w:id="130" w:name="_Toc23849"/>
      <w:bookmarkStart w:id="131" w:name="_Toc15856"/>
      <w:bookmarkStart w:id="132" w:name="_Toc23452"/>
      <w:bookmarkStart w:id="133" w:name="_Toc7257"/>
      <w:r>
        <w:rPr>
          <w:rFonts w:hint="eastAsia" w:ascii="宋体" w:hAnsi="宋体" w:eastAsia="宋体" w:cs="宋体"/>
          <w:b/>
          <w:bCs/>
          <w:color w:val="auto"/>
          <w:kern w:val="0"/>
          <w:sz w:val="24"/>
          <w:szCs w:val="24"/>
          <w:lang w:eastAsia="zh-CN"/>
        </w:rPr>
        <w:t>四、</w:t>
      </w:r>
      <w:r>
        <w:rPr>
          <w:rFonts w:hint="eastAsia" w:ascii="宋体" w:hAnsi="宋体" w:eastAsia="宋体" w:cs="宋体"/>
          <w:b/>
          <w:bCs/>
          <w:color w:val="auto"/>
          <w:kern w:val="0"/>
          <w:sz w:val="24"/>
          <w:szCs w:val="24"/>
        </w:rPr>
        <w:t>响应文件的递交</w:t>
      </w:r>
      <w:bookmarkEnd w:id="118"/>
      <w:bookmarkEnd w:id="119"/>
      <w:bookmarkEnd w:id="120"/>
      <w:bookmarkEnd w:id="121"/>
      <w:bookmarkEnd w:id="122"/>
      <w:bookmarkEnd w:id="123"/>
      <w:bookmarkEnd w:id="124"/>
      <w:bookmarkEnd w:id="126"/>
      <w:bookmarkEnd w:id="127"/>
      <w:bookmarkEnd w:id="128"/>
      <w:bookmarkEnd w:id="129"/>
      <w:bookmarkEnd w:id="130"/>
      <w:bookmarkEnd w:id="131"/>
      <w:bookmarkEnd w:id="132"/>
      <w:bookmarkEnd w:id="133"/>
    </w:p>
    <w:bookmarkEnd w:id="85"/>
    <w:bookmarkEnd w:id="86"/>
    <w:bookmarkEnd w:id="87"/>
    <w:bookmarkEnd w:id="88"/>
    <w:bookmarkEnd w:id="89"/>
    <w:bookmarkEnd w:id="90"/>
    <w:bookmarkEnd w:id="91"/>
    <w:bookmarkEnd w:id="92"/>
    <w:bookmarkEnd w:id="93"/>
    <w:bookmarkEnd w:id="94"/>
    <w:bookmarkEnd w:id="125"/>
    <w:p w14:paraId="0D240333">
      <w:pPr>
        <w:pStyle w:val="5"/>
        <w:pageBreakBefore w:val="0"/>
        <w:numPr>
          <w:ilvl w:val="0"/>
          <w:numId w:val="0"/>
        </w:numPr>
        <w:kinsoku/>
        <w:wordWrap/>
        <w:overflowPunct/>
        <w:topLinePunct w:val="0"/>
        <w:autoSpaceDE/>
        <w:autoSpaceDN/>
        <w:bidi w:val="0"/>
        <w:spacing w:line="460" w:lineRule="exact"/>
        <w:ind w:firstLine="482" w:firstLineChars="200"/>
        <w:jc w:val="left"/>
        <w:textAlignment w:val="auto"/>
        <w:rPr>
          <w:rFonts w:hint="eastAsia" w:ascii="宋体" w:hAnsi="宋体" w:eastAsia="宋体" w:cs="宋体"/>
          <w:color w:val="auto"/>
          <w:sz w:val="24"/>
          <w:szCs w:val="24"/>
          <w:u w:val="none"/>
          <w:lang w:val="en-US" w:eastAsia="zh-CN"/>
        </w:rPr>
      </w:pPr>
      <w:bookmarkStart w:id="134" w:name="_Toc3685"/>
      <w:bookmarkStart w:id="135" w:name="_Toc536202306"/>
      <w:bookmarkStart w:id="136" w:name="_Toc35335264"/>
      <w:bookmarkStart w:id="137" w:name="_Toc23315668"/>
      <w:bookmarkStart w:id="138" w:name="_Toc8901"/>
      <w:bookmarkStart w:id="139" w:name="_Toc18412207"/>
      <w:bookmarkStart w:id="140" w:name="_Toc23900"/>
      <w:bookmarkStart w:id="141" w:name="_Toc14189282"/>
      <w:bookmarkStart w:id="142" w:name="_Toc23316528"/>
      <w:bookmarkStart w:id="143" w:name="_Toc23316592"/>
      <w:bookmarkStart w:id="144" w:name="_Toc14189415"/>
      <w:bookmarkStart w:id="145" w:name="_Toc23316690"/>
      <w:bookmarkStart w:id="146" w:name="_Toc23316693"/>
      <w:bookmarkStart w:id="147" w:name="_Toc18412210"/>
      <w:bookmarkStart w:id="148" w:name="_Toc14189285"/>
      <w:bookmarkStart w:id="149" w:name="_Toc23315671"/>
      <w:bookmarkStart w:id="150" w:name="_Toc424636365"/>
      <w:bookmarkStart w:id="151" w:name="_Toc23316595"/>
      <w:bookmarkStart w:id="152" w:name="_Toc14189418"/>
      <w:bookmarkStart w:id="153" w:name="_Toc25719"/>
      <w:bookmarkStart w:id="154" w:name="_Toc23316531"/>
      <w:r>
        <w:rPr>
          <w:rFonts w:hint="eastAsia" w:ascii="宋体" w:hAnsi="宋体" w:eastAsia="宋体" w:cs="宋体"/>
          <w:color w:val="auto"/>
          <w:sz w:val="24"/>
          <w:szCs w:val="24"/>
          <w:u w:val="none"/>
          <w:lang w:val="en-US" w:eastAsia="zh-CN"/>
        </w:rPr>
        <w:t>1.响应文件递交</w:t>
      </w:r>
      <w:bookmarkEnd w:id="134"/>
      <w:bookmarkEnd w:id="135"/>
    </w:p>
    <w:p w14:paraId="47B1403E">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.1电子</w:t>
      </w:r>
      <w:r>
        <w:rPr>
          <w:rFonts w:hint="eastAsia" w:ascii="宋体" w:hAnsi="宋体" w:eastAsia="宋体" w:cs="宋体"/>
          <w:color w:val="auto"/>
          <w:kern w:val="0"/>
          <w:sz w:val="24"/>
          <w:szCs w:val="24"/>
          <w:lang w:val="en-US" w:eastAsia="zh-CN"/>
        </w:rPr>
        <w:t>响应</w:t>
      </w:r>
      <w:r>
        <w:rPr>
          <w:rFonts w:hint="eastAsia" w:ascii="宋体" w:hAnsi="宋体" w:eastAsia="宋体" w:cs="宋体"/>
          <w:color w:val="auto"/>
          <w:kern w:val="0"/>
          <w:sz w:val="24"/>
          <w:szCs w:val="24"/>
        </w:rPr>
        <w:t>文件递交与解密</w:t>
      </w:r>
    </w:p>
    <w:p w14:paraId="390A514F">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电子</w:t>
      </w:r>
      <w:r>
        <w:rPr>
          <w:rFonts w:hint="eastAsia" w:ascii="宋体" w:hAnsi="宋体" w:eastAsia="宋体" w:cs="宋体"/>
          <w:color w:val="auto"/>
          <w:kern w:val="0"/>
          <w:sz w:val="24"/>
          <w:szCs w:val="24"/>
          <w:lang w:val="en-US" w:eastAsia="zh-CN"/>
        </w:rPr>
        <w:t>响应</w:t>
      </w:r>
      <w:r>
        <w:rPr>
          <w:rFonts w:hint="eastAsia" w:ascii="宋体" w:hAnsi="宋体" w:eastAsia="宋体" w:cs="宋体"/>
          <w:color w:val="auto"/>
          <w:kern w:val="0"/>
          <w:sz w:val="24"/>
          <w:szCs w:val="24"/>
        </w:rPr>
        <w:t>文件可于提交</w:t>
      </w:r>
      <w:r>
        <w:rPr>
          <w:rFonts w:hint="eastAsia" w:ascii="宋体" w:hAnsi="宋体" w:eastAsia="宋体" w:cs="宋体"/>
          <w:color w:val="auto"/>
          <w:kern w:val="0"/>
          <w:sz w:val="24"/>
          <w:szCs w:val="24"/>
          <w:lang w:val="en-US" w:eastAsia="zh-CN"/>
        </w:rPr>
        <w:t>响应</w:t>
      </w:r>
      <w:r>
        <w:rPr>
          <w:rFonts w:hint="eastAsia" w:ascii="宋体" w:hAnsi="宋体" w:eastAsia="宋体" w:cs="宋体"/>
          <w:color w:val="auto"/>
          <w:kern w:val="0"/>
          <w:sz w:val="24"/>
          <w:szCs w:val="24"/>
        </w:rPr>
        <w:t>文件截止时间前任意时段登录全国公共资源交易平台（陕西省）网站[电子交易平台</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企业端]进行提交，逾期系统将拒绝接收。提交时，供应商应登录全国公共资源交易中心平台（陕西省），选择“首页</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电子交易平台</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企业端</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我的项目”，点击[项目流程]，在打开的[项目管理]对话框中选择[上传响应文件]，上传加密的电子投标文件（*  .SXSTF），上传成功后，电子化平台将予以记录。</w:t>
      </w:r>
    </w:p>
    <w:p w14:paraId="595C78E6">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.2代理机构不接受邮寄的投标文件；</w:t>
      </w:r>
    </w:p>
    <w:p w14:paraId="75770D76">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.3无论供应商成交与否，其投标文件恕不退还。</w:t>
      </w:r>
    </w:p>
    <w:p w14:paraId="0425FFFB">
      <w:pPr>
        <w:pageBreakBefore w:val="0"/>
        <w:kinsoku/>
        <w:wordWrap/>
        <w:overflowPunct/>
        <w:topLinePunct w:val="0"/>
        <w:bidi w:val="0"/>
        <w:adjustRightInd w:val="0"/>
        <w:snapToGrid w:val="0"/>
        <w:spacing w:line="460" w:lineRule="exact"/>
        <w:ind w:firstLine="482" w:firstLineChars="200"/>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2</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lang w:val="en-US" w:eastAsia="zh-CN"/>
        </w:rPr>
        <w:t>响应</w:t>
      </w:r>
      <w:r>
        <w:rPr>
          <w:rFonts w:hint="eastAsia" w:ascii="宋体" w:hAnsi="宋体" w:eastAsia="宋体" w:cs="宋体"/>
          <w:b/>
          <w:bCs/>
          <w:color w:val="auto"/>
          <w:kern w:val="0"/>
          <w:sz w:val="24"/>
          <w:szCs w:val="24"/>
        </w:rPr>
        <w:t>文件的修改和撤回</w:t>
      </w:r>
    </w:p>
    <w:p w14:paraId="649343EA">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.1供应商在上传</w:t>
      </w:r>
      <w:r>
        <w:rPr>
          <w:rFonts w:hint="eastAsia" w:ascii="宋体" w:hAnsi="宋体" w:eastAsia="宋体" w:cs="宋体"/>
          <w:color w:val="auto"/>
          <w:kern w:val="0"/>
          <w:sz w:val="24"/>
          <w:szCs w:val="24"/>
          <w:lang w:val="en-US" w:eastAsia="zh-CN"/>
        </w:rPr>
        <w:t>响应</w:t>
      </w:r>
      <w:r>
        <w:rPr>
          <w:rFonts w:hint="eastAsia" w:ascii="宋体" w:hAnsi="宋体" w:eastAsia="宋体" w:cs="宋体"/>
          <w:color w:val="auto"/>
          <w:kern w:val="0"/>
          <w:sz w:val="24"/>
          <w:szCs w:val="24"/>
        </w:rPr>
        <w:t>文件以后，在规定的</w:t>
      </w:r>
      <w:r>
        <w:rPr>
          <w:rFonts w:hint="eastAsia" w:ascii="宋体" w:hAnsi="宋体" w:eastAsia="宋体" w:cs="宋体"/>
          <w:color w:val="auto"/>
          <w:kern w:val="0"/>
          <w:sz w:val="24"/>
          <w:szCs w:val="24"/>
          <w:lang w:val="en-US" w:eastAsia="zh-CN"/>
        </w:rPr>
        <w:t>投标</w:t>
      </w:r>
      <w:r>
        <w:rPr>
          <w:rFonts w:hint="eastAsia" w:ascii="宋体" w:hAnsi="宋体" w:eastAsia="宋体" w:cs="宋体"/>
          <w:color w:val="auto"/>
          <w:kern w:val="0"/>
          <w:sz w:val="24"/>
          <w:szCs w:val="24"/>
        </w:rPr>
        <w:t>截止时间之前</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可以对已递交的</w:t>
      </w:r>
      <w:r>
        <w:rPr>
          <w:rFonts w:hint="eastAsia" w:ascii="宋体" w:hAnsi="宋体" w:eastAsia="宋体" w:cs="宋体"/>
          <w:color w:val="auto"/>
          <w:kern w:val="0"/>
          <w:sz w:val="24"/>
          <w:szCs w:val="24"/>
          <w:lang w:val="en-US" w:eastAsia="zh-CN"/>
        </w:rPr>
        <w:t>响应</w:t>
      </w:r>
      <w:r>
        <w:rPr>
          <w:rFonts w:hint="eastAsia" w:ascii="宋体" w:hAnsi="宋体" w:eastAsia="宋体" w:cs="宋体"/>
          <w:color w:val="auto"/>
          <w:kern w:val="0"/>
          <w:sz w:val="24"/>
          <w:szCs w:val="24"/>
        </w:rPr>
        <w:t>文件进行修改、撤回。补充、修改的内容应当按</w:t>
      </w:r>
      <w:r>
        <w:rPr>
          <w:rFonts w:hint="eastAsia" w:ascii="宋体" w:hAnsi="宋体" w:eastAsia="宋体" w:cs="宋体"/>
          <w:color w:val="auto"/>
          <w:kern w:val="0"/>
          <w:sz w:val="24"/>
          <w:szCs w:val="24"/>
          <w:lang w:val="en-US" w:eastAsia="zh-CN"/>
        </w:rPr>
        <w:t>谈判</w:t>
      </w:r>
      <w:r>
        <w:rPr>
          <w:rFonts w:hint="eastAsia" w:ascii="宋体" w:hAnsi="宋体" w:eastAsia="宋体" w:cs="宋体"/>
          <w:color w:val="auto"/>
          <w:kern w:val="0"/>
          <w:sz w:val="24"/>
          <w:szCs w:val="24"/>
        </w:rPr>
        <w:t>文件要求签章、加密上传。</w:t>
      </w:r>
    </w:p>
    <w:p w14:paraId="3E05068E">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投标截止时间之后，供应商不得补充、修改投标文件。</w:t>
      </w:r>
    </w:p>
    <w:p w14:paraId="388FC3F5">
      <w:pPr>
        <w:pageBreakBefore w:val="0"/>
        <w:kinsoku/>
        <w:wordWrap/>
        <w:overflowPunct/>
        <w:topLinePunct w:val="0"/>
        <w:bidi w:val="0"/>
        <w:adjustRightInd w:val="0"/>
        <w:snapToGrid w:val="0"/>
        <w:spacing w:line="46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kern w:val="0"/>
          <w:sz w:val="24"/>
          <w:szCs w:val="24"/>
          <w:lang w:val="en-US" w:eastAsia="zh-CN"/>
        </w:rPr>
        <w:t>3.</w:t>
      </w:r>
      <w:r>
        <w:rPr>
          <w:rFonts w:hint="eastAsia" w:ascii="宋体" w:hAnsi="宋体" w:eastAsia="宋体" w:cs="宋体"/>
          <w:b/>
          <w:color w:val="auto"/>
          <w:kern w:val="0"/>
          <w:sz w:val="24"/>
          <w:szCs w:val="24"/>
        </w:rPr>
        <w:t>竞争性谈判响应文件的有效性</w:t>
      </w:r>
    </w:p>
    <w:p w14:paraId="15AA8B56">
      <w:pPr>
        <w:pageBreakBefore w:val="0"/>
        <w:kinsoku/>
        <w:wordWrap/>
        <w:overflowPunct/>
        <w:topLinePunct w:val="0"/>
        <w:bidi w:val="0"/>
        <w:adjustRightInd w:val="0"/>
        <w:snapToGrid w:val="0"/>
        <w:spacing w:line="460" w:lineRule="exact"/>
        <w:ind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3</w:t>
      </w:r>
      <w:r>
        <w:rPr>
          <w:rFonts w:hint="eastAsia" w:ascii="宋体" w:hAnsi="宋体" w:eastAsia="宋体" w:cs="宋体"/>
          <w:b/>
          <w:color w:val="auto"/>
          <w:kern w:val="0"/>
          <w:sz w:val="24"/>
          <w:szCs w:val="24"/>
        </w:rPr>
        <w:t>.1竞争性谈判响应文件有下列情况之一者将视为无效</w:t>
      </w:r>
      <w:r>
        <w:rPr>
          <w:rFonts w:hint="eastAsia" w:ascii="宋体" w:hAnsi="宋体" w:eastAsia="宋体" w:cs="宋体"/>
          <w:b/>
          <w:color w:val="auto"/>
          <w:kern w:val="0"/>
          <w:sz w:val="24"/>
          <w:szCs w:val="24"/>
          <w:lang w:val="en-US" w:eastAsia="zh-CN"/>
        </w:rPr>
        <w:t>文件</w:t>
      </w:r>
      <w:r>
        <w:rPr>
          <w:rFonts w:hint="eastAsia" w:ascii="宋体" w:hAnsi="宋体" w:eastAsia="宋体" w:cs="宋体"/>
          <w:b/>
          <w:color w:val="auto"/>
          <w:kern w:val="0"/>
          <w:sz w:val="24"/>
          <w:szCs w:val="24"/>
        </w:rPr>
        <w:t>：</w:t>
      </w:r>
    </w:p>
    <w:p w14:paraId="052A8653">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）未按竞争性谈判文件要求提交资格证明文件或未通过竞争性谈判响应文件有效性审查的；</w:t>
      </w:r>
    </w:p>
    <w:p w14:paraId="35CD0DC7">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）提交的竞争性谈判响应文件有效期短于竞争性谈判文件规定有效期的；</w:t>
      </w:r>
    </w:p>
    <w:p w14:paraId="6D53E6F4">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）未按谈判小组要求对竞争性谈判响应文件进行澄清（说明或者更正）的；</w:t>
      </w:r>
    </w:p>
    <w:p w14:paraId="00A29589">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）谈判小组对竞争性谈判响应文件评审后，认为在有效性、完整性和响应程度方面没有实质性响应竞争性谈判文件的</w:t>
      </w:r>
      <w:r>
        <w:rPr>
          <w:rFonts w:hint="eastAsia" w:ascii="宋体" w:hAnsi="宋体" w:eastAsia="宋体" w:cs="宋体"/>
          <w:color w:val="auto"/>
          <w:sz w:val="24"/>
        </w:rPr>
        <w:t>或有重大缺项漏项</w:t>
      </w:r>
      <w:r>
        <w:rPr>
          <w:rFonts w:hint="eastAsia" w:ascii="宋体" w:hAnsi="宋体" w:eastAsia="宋体" w:cs="宋体"/>
          <w:color w:val="auto"/>
          <w:sz w:val="24"/>
          <w:lang w:eastAsia="zh-CN"/>
        </w:rPr>
        <w:t>，</w:t>
      </w:r>
      <w:r>
        <w:rPr>
          <w:rFonts w:hint="eastAsia" w:ascii="宋体" w:hAnsi="宋体" w:eastAsia="宋体" w:cs="宋体"/>
          <w:color w:val="auto"/>
          <w:sz w:val="24"/>
        </w:rPr>
        <w:t>明显不符合技术规格、技术标准的要求的；</w:t>
      </w:r>
    </w:p>
    <w:p w14:paraId="752FE4D4">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）重新提交的竞争性谈判响应文件没有实质性响应竞争性谈判文件的。</w:t>
      </w:r>
    </w:p>
    <w:p w14:paraId="2E4F214F">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6</w:t>
      </w:r>
      <w:r>
        <w:rPr>
          <w:rFonts w:hint="eastAsia" w:ascii="宋体" w:hAnsi="宋体" w:eastAsia="宋体" w:cs="宋体"/>
          <w:color w:val="auto"/>
          <w:sz w:val="24"/>
        </w:rPr>
        <w:t>）投标单位针对同一项目递交两份或多份内容不同的竞争性谈判响应文件，未书面声明哪一份是有效的或出现选择性报价的；</w:t>
      </w:r>
    </w:p>
    <w:p w14:paraId="2A9FE8D1">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7</w:t>
      </w:r>
      <w:r>
        <w:rPr>
          <w:rFonts w:hint="eastAsia" w:ascii="宋体" w:hAnsi="宋体" w:eastAsia="宋体" w:cs="宋体"/>
          <w:color w:val="auto"/>
          <w:sz w:val="24"/>
        </w:rPr>
        <w:t>）谈判报价与市场价偏离较大，或者谈判报价大于项目预算，低于成本，形成不正当竞争的；</w:t>
      </w:r>
    </w:p>
    <w:p w14:paraId="34DFA55B">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8</w:t>
      </w:r>
      <w:r>
        <w:rPr>
          <w:rFonts w:hint="eastAsia" w:ascii="宋体" w:hAnsi="宋体" w:eastAsia="宋体" w:cs="宋体"/>
          <w:color w:val="auto"/>
          <w:sz w:val="24"/>
        </w:rPr>
        <w:t>）</w:t>
      </w:r>
      <w:r>
        <w:rPr>
          <w:rFonts w:hint="eastAsia" w:ascii="宋体" w:hAnsi="宋体" w:eastAsia="宋体" w:cs="宋体"/>
          <w:color w:val="auto"/>
          <w:kern w:val="0"/>
          <w:sz w:val="24"/>
          <w:szCs w:val="24"/>
        </w:rPr>
        <w:t>在</w:t>
      </w:r>
      <w:r>
        <w:rPr>
          <w:rFonts w:hint="eastAsia" w:ascii="宋体" w:hAnsi="宋体" w:eastAsia="宋体" w:cs="宋体"/>
          <w:color w:val="auto"/>
          <w:sz w:val="24"/>
          <w:szCs w:val="24"/>
        </w:rPr>
        <w:t>“信用中国”网站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www.creditchina.gov.cn</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、中国政府采购网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www.ccgp.gov.cn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查询到相关主体失信记录的（截止时间点为谈判文件发出至谈判截止时间止，对列入失信被执行人、重大税收违法案件当事人名单、政府采购严重违法失信行为记录名单及其他不符合《中华人民共和国政府采购法》第二十二条规定条件的投标人，采购代理机构将拒绝其参与政府采购活动）；</w:t>
      </w:r>
    </w:p>
    <w:p w14:paraId="2C3A0824">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9</w:t>
      </w:r>
      <w:r>
        <w:rPr>
          <w:rFonts w:hint="eastAsia" w:ascii="宋体" w:hAnsi="宋体" w:eastAsia="宋体" w:cs="宋体"/>
          <w:color w:val="auto"/>
          <w:sz w:val="24"/>
        </w:rPr>
        <w:t>）不符合现行法律法规和竞争性谈判文件规定的其他实质性要求的。</w:t>
      </w:r>
    </w:p>
    <w:p w14:paraId="3E8D7534">
      <w:pPr>
        <w:pageBreakBefore w:val="0"/>
        <w:kinsoku/>
        <w:wordWrap/>
        <w:overflowPunct/>
        <w:topLinePunct w:val="0"/>
        <w:bidi w:val="0"/>
        <w:adjustRightInd w:val="0"/>
        <w:snapToGrid w:val="0"/>
        <w:spacing w:line="460" w:lineRule="exact"/>
        <w:ind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3</w:t>
      </w:r>
      <w:r>
        <w:rPr>
          <w:rFonts w:hint="eastAsia" w:ascii="宋体" w:hAnsi="宋体" w:eastAsia="宋体" w:cs="宋体"/>
          <w:b/>
          <w:color w:val="auto"/>
          <w:kern w:val="0"/>
          <w:sz w:val="24"/>
          <w:szCs w:val="24"/>
        </w:rPr>
        <w:t>.2有下列情形之一的，视为投标人串通投标，其投标无效：</w:t>
      </w:r>
    </w:p>
    <w:p w14:paraId="08BACC77">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（1）不同投标人的竞争性谈判响应文件由同一单位或者个人编制；</w:t>
      </w:r>
    </w:p>
    <w:p w14:paraId="3C6438B9">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（2）不同投标人委托同一单位或个人办理谈判事宜；</w:t>
      </w:r>
    </w:p>
    <w:p w14:paraId="4471D3F4">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（3）不同投标人的竞争性谈判响应文件载明的项目管理成员或者联系人员为同一人；</w:t>
      </w:r>
    </w:p>
    <w:p w14:paraId="472E4230">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（4）不同投标人的竞争性谈判响应文件异常一致或者谈判报价呈规律性差异；</w:t>
      </w:r>
    </w:p>
    <w:p w14:paraId="0F2DA71F">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（5）不同投标人的竞争性谈判响应文件互相混装；</w:t>
      </w:r>
    </w:p>
    <w:p w14:paraId="4228353C">
      <w:pPr>
        <w:pageBreakBefore w:val="0"/>
        <w:widowControl/>
        <w:numPr>
          <w:ilvl w:val="0"/>
          <w:numId w:val="0"/>
        </w:numPr>
        <w:kinsoku/>
        <w:wordWrap/>
        <w:overflowPunct/>
        <w:topLinePunct w:val="0"/>
        <w:autoSpaceDE/>
        <w:autoSpaceDN/>
        <w:bidi w:val="0"/>
        <w:spacing w:line="460" w:lineRule="exact"/>
        <w:jc w:val="center"/>
        <w:textAlignment w:val="auto"/>
        <w:outlineLvl w:val="1"/>
        <w:rPr>
          <w:rFonts w:hint="eastAsia" w:ascii="宋体" w:hAnsi="宋体" w:eastAsia="宋体" w:cs="宋体"/>
          <w:b/>
          <w:bCs/>
          <w:color w:val="auto"/>
          <w:kern w:val="0"/>
          <w:sz w:val="24"/>
          <w:szCs w:val="24"/>
          <w:lang w:eastAsia="zh-CN"/>
        </w:rPr>
      </w:pPr>
      <w:bookmarkStart w:id="155" w:name="_Toc27067"/>
      <w:bookmarkStart w:id="156" w:name="_Toc14753"/>
      <w:bookmarkStart w:id="157" w:name="_Toc28770"/>
      <w:bookmarkStart w:id="158" w:name="_Toc2995"/>
      <w:bookmarkStart w:id="159" w:name="_Toc8902"/>
      <w:bookmarkStart w:id="160" w:name="_Toc31227"/>
      <w:bookmarkStart w:id="161" w:name="_Toc13965"/>
      <w:r>
        <w:rPr>
          <w:rFonts w:hint="eastAsia" w:ascii="宋体" w:hAnsi="宋体" w:eastAsia="宋体" w:cs="宋体"/>
          <w:b/>
          <w:bCs/>
          <w:color w:val="auto"/>
          <w:kern w:val="0"/>
          <w:sz w:val="24"/>
          <w:szCs w:val="24"/>
          <w:lang w:eastAsia="zh-CN"/>
        </w:rPr>
        <w:t>五</w:t>
      </w:r>
      <w:r>
        <w:rPr>
          <w:rFonts w:hint="eastAsia" w:ascii="宋体" w:hAnsi="宋体" w:eastAsia="宋体" w:cs="宋体"/>
          <w:b/>
          <w:bCs/>
          <w:color w:val="auto"/>
          <w:kern w:val="0"/>
          <w:sz w:val="24"/>
          <w:szCs w:val="24"/>
        </w:rPr>
        <w:t>、谈判</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rPr>
        <w:t>评审</w:t>
      </w:r>
      <w:r>
        <w:rPr>
          <w:rFonts w:hint="eastAsia" w:ascii="宋体" w:hAnsi="宋体" w:eastAsia="宋体" w:cs="宋体"/>
          <w:b/>
          <w:bCs/>
          <w:color w:val="auto"/>
          <w:kern w:val="0"/>
          <w:sz w:val="24"/>
          <w:szCs w:val="24"/>
          <w:lang w:eastAsia="zh-CN"/>
        </w:rPr>
        <w:t>、定标</w:t>
      </w:r>
      <w:bookmarkEnd w:id="155"/>
      <w:bookmarkEnd w:id="156"/>
      <w:bookmarkEnd w:id="157"/>
      <w:bookmarkEnd w:id="158"/>
      <w:bookmarkEnd w:id="159"/>
      <w:bookmarkEnd w:id="160"/>
      <w:bookmarkEnd w:id="161"/>
    </w:p>
    <w:p w14:paraId="55489A10">
      <w:pPr>
        <w:pageBreakBefore w:val="0"/>
        <w:kinsoku/>
        <w:wordWrap/>
        <w:overflowPunct/>
        <w:topLinePunct w:val="0"/>
        <w:bidi w:val="0"/>
        <w:spacing w:line="460" w:lineRule="exact"/>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lang w:eastAsia="zh-CN"/>
        </w:rPr>
        <w:t>.</w:t>
      </w:r>
      <w:r>
        <w:rPr>
          <w:rFonts w:hint="eastAsia" w:ascii="宋体" w:hAnsi="宋体" w:eastAsia="宋体" w:cs="宋体"/>
          <w:b/>
          <w:bCs/>
          <w:color w:val="auto"/>
          <w:sz w:val="24"/>
        </w:rPr>
        <w:t>谈判</w:t>
      </w:r>
    </w:p>
    <w:p w14:paraId="148430B3">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.1采购代理机构在</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rPr>
        <w:t>文件规定的时间和地点组织</w:t>
      </w:r>
      <w:r>
        <w:rPr>
          <w:rFonts w:hint="eastAsia" w:ascii="宋体" w:hAnsi="宋体" w:eastAsia="宋体" w:cs="宋体"/>
          <w:color w:val="auto"/>
          <w:sz w:val="24"/>
          <w:szCs w:val="24"/>
          <w:lang w:val="en-US" w:eastAsia="zh-CN"/>
        </w:rPr>
        <w:t>谈判会议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整个过程受政府采购监管机构的监督、管理。</w:t>
      </w:r>
    </w:p>
    <w:p w14:paraId="3FFFAE2B">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lang w:val="en-US" w:eastAsia="zh-CN"/>
        </w:rPr>
        <w:t>1</w:t>
      </w:r>
      <w:r>
        <w:rPr>
          <w:rFonts w:hint="eastAsia" w:ascii="宋体" w:hAnsi="宋体" w:eastAsia="宋体" w:cs="宋体"/>
          <w:b w:val="0"/>
          <w:bCs/>
          <w:color w:val="auto"/>
          <w:kern w:val="0"/>
          <w:sz w:val="24"/>
          <w:szCs w:val="24"/>
        </w:rPr>
        <w:t>.2开标仪式由采购代理机构主持，采购人代表及有关人员参加。</w:t>
      </w:r>
    </w:p>
    <w:p w14:paraId="47046E50">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b w:val="0"/>
          <w:bCs/>
          <w:color w:val="auto"/>
          <w:kern w:val="0"/>
          <w:sz w:val="24"/>
          <w:szCs w:val="24"/>
          <w:lang w:eastAsia="zh-CN"/>
        </w:rPr>
      </w:pPr>
      <w:r>
        <w:rPr>
          <w:rFonts w:hint="eastAsia" w:ascii="宋体" w:hAnsi="宋体" w:eastAsia="宋体" w:cs="宋体"/>
          <w:b w:val="0"/>
          <w:bCs/>
          <w:color w:val="auto"/>
          <w:kern w:val="0"/>
          <w:sz w:val="24"/>
          <w:szCs w:val="24"/>
          <w:lang w:val="en-US" w:eastAsia="zh-CN"/>
        </w:rPr>
        <w:t>1</w:t>
      </w:r>
      <w:r>
        <w:rPr>
          <w:rFonts w:hint="eastAsia" w:ascii="宋体" w:hAnsi="宋体" w:eastAsia="宋体" w:cs="宋体"/>
          <w:b w:val="0"/>
          <w:bCs/>
          <w:color w:val="auto"/>
          <w:kern w:val="0"/>
          <w:sz w:val="24"/>
          <w:szCs w:val="24"/>
        </w:rPr>
        <w:t>.</w:t>
      </w:r>
      <w:r>
        <w:rPr>
          <w:rFonts w:hint="eastAsia" w:ascii="宋体" w:hAnsi="宋体" w:eastAsia="宋体" w:cs="宋体"/>
          <w:b w:val="0"/>
          <w:bCs/>
          <w:color w:val="auto"/>
          <w:kern w:val="0"/>
          <w:sz w:val="24"/>
          <w:szCs w:val="24"/>
          <w:lang w:val="en-US" w:eastAsia="zh-CN"/>
        </w:rPr>
        <w:t>3</w:t>
      </w:r>
      <w:r>
        <w:rPr>
          <w:rFonts w:hint="eastAsia" w:ascii="宋体" w:hAnsi="宋体" w:eastAsia="宋体" w:cs="宋体"/>
          <w:b w:val="0"/>
          <w:bCs/>
          <w:color w:val="auto"/>
          <w:kern w:val="0"/>
          <w:sz w:val="24"/>
          <w:szCs w:val="24"/>
        </w:rPr>
        <w:t>本项目采用远程不见面开标方式进行开标、采购代理机构在规定的时间和地点组织开标，投标单位授权代表不到现场参加开标，须自行在各自办公场所，自备电脑在投标截止时间前登录不见面开标大厅，进行远程开标</w:t>
      </w:r>
      <w:r>
        <w:rPr>
          <w:rFonts w:hint="eastAsia" w:ascii="宋体" w:hAnsi="宋体" w:eastAsia="宋体" w:cs="宋体"/>
          <w:b w:val="0"/>
          <w:bCs/>
          <w:color w:val="auto"/>
          <w:kern w:val="0"/>
          <w:sz w:val="24"/>
          <w:szCs w:val="24"/>
          <w:lang w:eastAsia="zh-CN"/>
        </w:rPr>
        <w:t>。</w:t>
      </w:r>
    </w:p>
    <w:p w14:paraId="0A6436E4">
      <w:pPr>
        <w:pageBreakBefore w:val="0"/>
        <w:widowControl/>
        <w:tabs>
          <w:tab w:val="left" w:pos="0"/>
        </w:tabs>
        <w:kinsoku/>
        <w:wordWrap/>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（1）投标供应商在获取磋商文件后应在全国公共资源交易平台（陕西省.安康市）网站[新闻资讯→通知公告]中下载并详细阅读安康公共资源交易中心不见面开标系统（投标人）操作 http://www.sxggzyjy.cn/xwzx/002002/subPage.html，下载并详细阅读《关于陕西省公共资源交易平台多CA互认系统正式上线运行的通知》并下载最新版本驱动。不见面开标系统：打开页面网址（http://219.145.206.209/BidOpeningHall/bidopeninghallaction/hall/login）选择点击右上角  “登录 ”，在左侧选择“投标人”身份，插入 CA 锁登录，输入密码后，点击“登录 ”，投标人登录之后可以看到当前投标人今日开标项目：选择要开标的项目，点击进入，页面首先阅读开标流程，点击“我已阅读 ” 进入开标大厅，点击“取消 ”返回项目列表页面。</w:t>
      </w:r>
    </w:p>
    <w:p w14:paraId="4D8784E3">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（2）为顺利实现不见面开标系统的远程交互，建议投标人配置的软硬件设施有：高配置电脑、高速稳定的网络、电源（不间断）、CA 锁、音视频设备（话筒、耳麦、高清摄像头、音响），浏览器要求使用 IE11 浏览器，且电脑已经正确安装了陕西省公共资源 CA 驱动。投标供应商需安装新点播放器，以便观看远程不见面开标直播画面（播放器下载链接为：https://download.bqpoint.com/download/downloaddetail.html?SourceFrom=Down&amp;SoftGuid=55aa4 e06-c384-4005-bcb9-48932d410fd4）。</w:t>
      </w:r>
    </w:p>
    <w:p w14:paraId="167F6E5D">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（3）投标人需注意 CA 锁一定要提前准备好，并确保 CA 锁为制作投标文件的 CA 锁。</w:t>
      </w:r>
    </w:p>
    <w:p w14:paraId="17D37CE2">
      <w:pPr>
        <w:pageBreakBefore w:val="0"/>
        <w:kinsoku/>
        <w:wordWrap/>
        <w:overflowPunct/>
        <w:topLinePunct w:val="0"/>
        <w:bidi w:val="0"/>
        <w:spacing w:line="4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不见面开标方式因投标人不来开标现场，资格审查如需提供复印件，请按文件中要求，在响应文件中上传电子版。</w:t>
      </w:r>
    </w:p>
    <w:p w14:paraId="6E75AE70">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（4）开标时间到了之后就不能签到，建议投标人在开标前半小时登录不见面开标大厅， 并及时签到（开标前 60 分钟即可签到），遇到问题及时联系客服 029-88661292、88661267、88661241。</w:t>
      </w:r>
    </w:p>
    <w:p w14:paraId="314DBDE0">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（5）开标时，供应商须使用电子投标文件加密时所用的数字认证证书CA 锁在自备电脑上自行远程解密电子投标文件，</w:t>
      </w:r>
    </w:p>
    <w:p w14:paraId="15536CC8">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系统默认解密时长为 60分钟，投标单位需在解密时间规定内完成投标文件解密，如因投标单位自身原因未在规定时间内完成解密的，采购代理机构将在系统中退回未解密的投标文件，被退回的投标文件将不再参与后续的开标活动。所有投标单位解密完成后由开标人员将响应文件导入开评标系统。</w:t>
      </w:r>
    </w:p>
    <w:p w14:paraId="72926DC4">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1.4特殊情形下的应急处置</w:t>
      </w:r>
    </w:p>
    <w:p w14:paraId="706C6D5D">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en-US" w:eastAsia="zh-CN"/>
        </w:rPr>
      </w:pPr>
      <w:bookmarkStart w:id="162" w:name="_Toc23768"/>
      <w:r>
        <w:rPr>
          <w:rFonts w:hint="eastAsia" w:ascii="宋体" w:hAnsi="宋体" w:eastAsia="宋体" w:cs="宋体"/>
          <w:color w:val="auto"/>
          <w:sz w:val="24"/>
          <w:szCs w:val="24"/>
          <w:lang w:val="en-US" w:eastAsia="zh-CN"/>
        </w:rPr>
        <w:t>在开标、评审过程中，如因停电、断网、电子化系统故障等原因导致电子化开、评标无法正常进行时，将按照采购监管机构及公共资源交易中心统一安排部署开展后续采购活动。</w:t>
      </w:r>
      <w:bookmarkEnd w:id="162"/>
    </w:p>
    <w:p w14:paraId="7BBA1F46">
      <w:pPr>
        <w:pageBreakBefore w:val="0"/>
        <w:kinsoku/>
        <w:wordWrap/>
        <w:overflowPunct/>
        <w:topLinePunct w:val="0"/>
        <w:bidi w:val="0"/>
        <w:spacing w:line="46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谈判小组</w:t>
      </w:r>
    </w:p>
    <w:p w14:paraId="4C0139B3">
      <w:pPr>
        <w:pageBreakBefore w:val="0"/>
        <w:kinsoku/>
        <w:wordWrap/>
        <w:topLinePunct w:val="0"/>
        <w:autoSpaceDE/>
        <w:autoSpaceDN/>
        <w:bidi w:val="0"/>
        <w:spacing w:line="460" w:lineRule="exact"/>
        <w:ind w:firstLine="480" w:firstLineChars="200"/>
        <w:textAlignment w:val="auto"/>
        <w:rPr>
          <w:rFonts w:hint="eastAsia" w:ascii="宋体" w:hAnsi="宋体" w:eastAsia="宋体" w:cs="宋体"/>
          <w:color w:val="auto"/>
          <w:sz w:val="24"/>
          <w:szCs w:val="24"/>
        </w:rPr>
      </w:pPr>
      <w:bookmarkStart w:id="163" w:name="_Toc386129876"/>
      <w:bookmarkStart w:id="164" w:name="_Toc536202311"/>
      <w:bookmarkStart w:id="165" w:name="_Toc27940"/>
      <w:bookmarkStart w:id="166" w:name="_Toc28085"/>
      <w:bookmarkStart w:id="167" w:name="_Toc385958808"/>
      <w:bookmarkStart w:id="168" w:name="_Toc18412204"/>
      <w:bookmarkStart w:id="169" w:name="_Toc6298"/>
      <w:bookmarkStart w:id="170" w:name="_Toc23315665"/>
      <w:bookmarkStart w:id="171" w:name="_Toc23316525"/>
      <w:bookmarkStart w:id="172" w:name="_Toc23316687"/>
      <w:bookmarkStart w:id="173" w:name="_Toc32697"/>
      <w:bookmarkStart w:id="174" w:name="_Toc23316589"/>
      <w:bookmarkStart w:id="175" w:name="_Toc35335261"/>
      <w:bookmarkStart w:id="176" w:name="_Toc14189275"/>
      <w:bookmarkStart w:id="177" w:name="_Toc14189412"/>
      <w:r>
        <w:rPr>
          <w:rFonts w:hint="eastAsia" w:ascii="宋体" w:hAnsi="宋体" w:eastAsia="宋体" w:cs="宋体"/>
          <w:color w:val="auto"/>
          <w:sz w:val="24"/>
          <w:szCs w:val="24"/>
        </w:rPr>
        <w:t>为确保</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工作公开、公平、公正，依法成立</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小组。</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小组由采购人及有关专家组成，其中技术方面的专家不少于</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小组成员总数的三分之二，专家名单由有关人员在财政部门设立的政府采购评审专家库中随机抽取，</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小组成员应当遵守并履行下列责任和义务：</w:t>
      </w:r>
    </w:p>
    <w:p w14:paraId="1FCC3AE1">
      <w:pPr>
        <w:pageBreakBefore w:val="0"/>
        <w:kinsoku/>
        <w:wordWrap/>
        <w:topLinePunct w:val="0"/>
        <w:autoSpaceDE/>
        <w:autoSpaceDN/>
        <w:bidi w:val="0"/>
        <w:spacing w:line="460" w:lineRule="exact"/>
        <w:ind w:firstLine="458" w:firstLineChars="19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（1）要严格遵守政府采购相关法律制度，依法履行各自职责，公正、客观、审慎地组织和参与评审工作；</w:t>
      </w:r>
    </w:p>
    <w:p w14:paraId="452EDF40">
      <w:pPr>
        <w:pageBreakBefore w:val="0"/>
        <w:tabs>
          <w:tab w:val="left" w:pos="1200"/>
        </w:tabs>
        <w:kinsoku/>
        <w:wordWrap/>
        <w:topLinePunct w:val="0"/>
        <w:autoSpaceDE/>
        <w:autoSpaceDN/>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（2）对所有响应文件逐一进行资格性、符合性审查，并做出评价；</w:t>
      </w:r>
    </w:p>
    <w:p w14:paraId="6E42973F">
      <w:pPr>
        <w:pageBreakBefore w:val="0"/>
        <w:tabs>
          <w:tab w:val="left" w:pos="1200"/>
        </w:tabs>
        <w:kinsoku/>
        <w:wordWrap/>
        <w:topLinePunct w:val="0"/>
        <w:autoSpaceDE/>
        <w:autoSpaceDN/>
        <w:bidi w:val="0"/>
        <w:spacing w:line="460" w:lineRule="exact"/>
        <w:ind w:left="22" w:leftChars="8" w:firstLine="458" w:firstLineChars="19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（3）按</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文件规定的评审方法和标准，进行比较和评价；对供应商的价格分等客观评分项的评分应当一致；</w:t>
      </w:r>
    </w:p>
    <w:p w14:paraId="7226E1B4">
      <w:pPr>
        <w:pageBreakBefore w:val="0"/>
        <w:tabs>
          <w:tab w:val="left" w:pos="1200"/>
        </w:tabs>
        <w:kinsoku/>
        <w:wordWrap/>
        <w:topLinePunct w:val="0"/>
        <w:autoSpaceDE/>
        <w:autoSpaceDN/>
        <w:bidi w:val="0"/>
        <w:spacing w:line="460" w:lineRule="exact"/>
        <w:ind w:left="22" w:leftChars="8" w:firstLine="458" w:firstLineChars="19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（4）要求供应商对响应文件有关事项作出解释或澄清；</w:t>
      </w:r>
    </w:p>
    <w:p w14:paraId="55A13609">
      <w:pPr>
        <w:pageBreakBefore w:val="0"/>
        <w:kinsoku/>
        <w:wordWrap/>
        <w:topLinePunct w:val="0"/>
        <w:autoSpaceDE/>
        <w:autoSpaceDN/>
        <w:bidi w:val="0"/>
        <w:spacing w:line="460" w:lineRule="exact"/>
        <w:ind w:left="22" w:leftChars="8" w:firstLine="458" w:firstLineChars="19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（5）要依法独立评审，按照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文件的要求和评标标准进行评标，推荐成交候选供应商名单，对评审意见承担个人责任；</w:t>
      </w:r>
    </w:p>
    <w:p w14:paraId="16C61A39">
      <w:pPr>
        <w:pageBreakBefore w:val="0"/>
        <w:kinsoku/>
        <w:wordWrap/>
        <w:topLinePunct w:val="0"/>
        <w:autoSpaceDE/>
        <w:autoSpaceDN/>
        <w:bidi w:val="0"/>
        <w:spacing w:line="460" w:lineRule="exact"/>
        <w:ind w:left="-119" w:leftChars="-171" w:hanging="360" w:hanging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（6）对需要共同认定的事项存在争议的，按照少数服从多数的原则做出结论。持不同意见的</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 xml:space="preserve">小组成员应当在评审报告上签署不同意见并说明理由，否则视为同意； </w:t>
      </w:r>
    </w:p>
    <w:p w14:paraId="58FB77F5">
      <w:pPr>
        <w:pageBreakBefore w:val="0"/>
        <w:kinsoku/>
        <w:wordWrap/>
        <w:topLinePunct w:val="0"/>
        <w:autoSpaceDE/>
        <w:autoSpaceDN/>
        <w:bidi w:val="0"/>
        <w:spacing w:line="460" w:lineRule="exact"/>
        <w:ind w:left="120" w:leftChars="0"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（7）对评审情况以及在评审过程中获悉的国家秘密、商业秘密负有保密责任；</w:t>
      </w:r>
    </w:p>
    <w:p w14:paraId="682610D7">
      <w:pPr>
        <w:pageBreakBefore w:val="0"/>
        <w:kinsoku/>
        <w:wordWrap/>
        <w:topLinePunct w:val="0"/>
        <w:autoSpaceDE/>
        <w:autoSpaceDN/>
        <w:bidi w:val="0"/>
        <w:spacing w:line="460" w:lineRule="exact"/>
        <w:ind w:left="120" w:leftChars="0"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配合财政部门的投诉处理工作；</w:t>
      </w:r>
    </w:p>
    <w:p w14:paraId="746FDFD4">
      <w:pPr>
        <w:pageBreakBefore w:val="0"/>
        <w:kinsoku/>
        <w:wordWrap/>
        <w:topLinePunct w:val="0"/>
        <w:autoSpaceDE/>
        <w:autoSpaceDN/>
        <w:bidi w:val="0"/>
        <w:spacing w:line="460" w:lineRule="exact"/>
        <w:ind w:left="120" w:leftChars="0"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配合采购人、采购代理机构答复供应商提出的质疑。</w:t>
      </w:r>
    </w:p>
    <w:bookmarkEnd w:id="163"/>
    <w:bookmarkEnd w:id="164"/>
    <w:bookmarkEnd w:id="165"/>
    <w:bookmarkEnd w:id="166"/>
    <w:bookmarkEnd w:id="167"/>
    <w:p w14:paraId="64E41845">
      <w:pPr>
        <w:pStyle w:val="4"/>
        <w:pageBreakBefore w:val="0"/>
        <w:kinsoku/>
        <w:wordWrap/>
        <w:overflowPunct/>
        <w:topLinePunct w:val="0"/>
        <w:bidi w:val="0"/>
        <w:spacing w:line="460" w:lineRule="exact"/>
        <w:ind w:firstLine="482" w:firstLineChars="200"/>
        <w:textAlignment w:val="auto"/>
        <w:rPr>
          <w:rFonts w:hint="eastAsia" w:ascii="宋体" w:hAnsi="宋体" w:eastAsia="宋体" w:cs="宋体"/>
          <w:color w:val="auto"/>
          <w:sz w:val="24"/>
          <w:szCs w:val="24"/>
        </w:rPr>
      </w:pPr>
      <w:bookmarkStart w:id="178" w:name="_Toc7843"/>
      <w:bookmarkStart w:id="179" w:name="_Toc4997"/>
      <w:bookmarkStart w:id="180" w:name="_Toc18569"/>
      <w:bookmarkStart w:id="181" w:name="_Toc27760"/>
      <w:bookmarkStart w:id="182" w:name="_Toc16775"/>
      <w:bookmarkStart w:id="183" w:name="_Toc22393"/>
      <w:bookmarkStart w:id="184" w:name="_Toc30103"/>
      <w:bookmarkStart w:id="185" w:name="_Toc12990"/>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谈判方法及程序</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32AC281A">
      <w:pPr>
        <w:pageBreakBefore w:val="0"/>
        <w:kinsoku/>
        <w:wordWrap/>
        <w:overflowPunct/>
        <w:topLinePunct w:val="0"/>
        <w:bidi w:val="0"/>
        <w:spacing w:line="460" w:lineRule="exact"/>
        <w:ind w:firstLine="472" w:firstLineChars="197"/>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按照《政府采购非招标采购方式管理办法》（财政部第74号令）有关规定，对响应文件中的供应商进行审查。出现下列情形的，响应文件将被视为无效：</w:t>
      </w:r>
    </w:p>
    <w:p w14:paraId="09396991">
      <w:pPr>
        <w:pageBreakBefore w:val="0"/>
        <w:kinsoku/>
        <w:wordWrap/>
        <w:overflowPunct/>
        <w:topLinePunct w:val="0"/>
        <w:bidi w:val="0"/>
        <w:spacing w:line="46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（1）未按照谈判文件规定要求格式制作响应文件、签署、盖章的；</w:t>
      </w:r>
    </w:p>
    <w:p w14:paraId="1432BD23">
      <w:pPr>
        <w:pageBreakBefore w:val="0"/>
        <w:kinsoku/>
        <w:wordWrap/>
        <w:overflowPunct/>
        <w:topLinePunct w:val="0"/>
        <w:bidi w:val="0"/>
        <w:spacing w:line="46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（2）如果谈判小组认为供应商的响应文件存在疑点，可以要求其现场提供原件进行核查，两者出现不同或在规定的时间内未能及时提供原件的，响应文件视为无效；</w:t>
      </w:r>
    </w:p>
    <w:p w14:paraId="0DD1B902">
      <w:pPr>
        <w:pageBreakBefore w:val="0"/>
        <w:kinsoku/>
        <w:wordWrap/>
        <w:overflowPunct/>
        <w:topLinePunct w:val="0"/>
        <w:bidi w:val="0"/>
        <w:spacing w:line="46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（3）响应文件中无投标有效期或有效期达不到谈判文件要求的；</w:t>
      </w:r>
    </w:p>
    <w:p w14:paraId="0253DF26">
      <w:pPr>
        <w:pageBreakBefore w:val="0"/>
        <w:kinsoku/>
        <w:wordWrap/>
        <w:overflowPunct/>
        <w:topLinePunct w:val="0"/>
        <w:bidi w:val="0"/>
        <w:spacing w:line="46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（4）响应文件的构成缺少其中一项或某项达不到谈判文件要求的；</w:t>
      </w:r>
    </w:p>
    <w:p w14:paraId="7FB729B8">
      <w:pPr>
        <w:pStyle w:val="95"/>
        <w:pageBreakBefore w:val="0"/>
        <w:kinsoku/>
        <w:wordWrap/>
        <w:overflowPunct/>
        <w:topLinePunct w:val="0"/>
        <w:bidi w:val="0"/>
        <w:spacing w:line="460" w:lineRule="exact"/>
        <w:ind w:left="0" w:leftChars="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（5）供应商单位负责人为同一人或者存在直接控股、管理关系的不同供应商，参加同一合同项下的政府采购活动的；</w:t>
      </w:r>
    </w:p>
    <w:p w14:paraId="7ABCEC8E">
      <w:pPr>
        <w:pStyle w:val="95"/>
        <w:pageBreakBefore w:val="0"/>
        <w:kinsoku/>
        <w:wordWrap/>
        <w:overflowPunct/>
        <w:topLinePunct w:val="0"/>
        <w:bidi w:val="0"/>
        <w:spacing w:line="460" w:lineRule="exact"/>
        <w:ind w:left="0" w:leftChars="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（6）投标报价子目出现漏项或数量与谈判文件要求不符的；</w:t>
      </w:r>
    </w:p>
    <w:p w14:paraId="14274437">
      <w:pPr>
        <w:pStyle w:val="95"/>
        <w:pageBreakBefore w:val="0"/>
        <w:kinsoku/>
        <w:wordWrap/>
        <w:overflowPunct/>
        <w:topLinePunct w:val="0"/>
        <w:bidi w:val="0"/>
        <w:spacing w:line="460" w:lineRule="exact"/>
        <w:ind w:left="0" w:leftChars="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（7）投标报价与市场价偏离较大，低于成本，形成不正当竞争的；</w:t>
      </w:r>
    </w:p>
    <w:p w14:paraId="41B8B6D9">
      <w:pPr>
        <w:pStyle w:val="95"/>
        <w:pageBreakBefore w:val="0"/>
        <w:kinsoku/>
        <w:wordWrap/>
        <w:overflowPunct/>
        <w:topLinePunct w:val="0"/>
        <w:bidi w:val="0"/>
        <w:spacing w:line="460" w:lineRule="exact"/>
        <w:ind w:left="0" w:leftChars="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（8）投标内容与谈判文件要求的采购标的、规格型号、采购数量、技术和服务要求等实质性内容出现重大负偏差的；</w:t>
      </w:r>
    </w:p>
    <w:p w14:paraId="16A97988">
      <w:pPr>
        <w:pStyle w:val="95"/>
        <w:pageBreakBefore w:val="0"/>
        <w:kinsoku/>
        <w:wordWrap/>
        <w:overflowPunct/>
        <w:topLinePunct w:val="0"/>
        <w:bidi w:val="0"/>
        <w:spacing w:line="460" w:lineRule="exact"/>
        <w:ind w:left="0" w:leftChars="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（9）提供虚假技术性能指标的（出现技术指标前后矛盾的，以国家职能部门认定的指标为准）；</w:t>
      </w:r>
    </w:p>
    <w:p w14:paraId="27DEBB17">
      <w:pPr>
        <w:pStyle w:val="95"/>
        <w:pageBreakBefore w:val="0"/>
        <w:kinsoku/>
        <w:wordWrap/>
        <w:overflowPunct/>
        <w:topLinePunct w:val="0"/>
        <w:bidi w:val="0"/>
        <w:spacing w:line="460" w:lineRule="exact"/>
        <w:ind w:left="0" w:leftChars="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（10）响应文件在款项结算、质量保证、验收条件等方面的响应与谈判文件要求不一致或附加了采购人和</w:t>
      </w:r>
      <w:r>
        <w:rPr>
          <w:rFonts w:hint="eastAsia" w:ascii="宋体" w:hAnsi="宋体" w:eastAsia="宋体" w:cs="宋体"/>
          <w:color w:val="auto"/>
          <w:sz w:val="24"/>
          <w:szCs w:val="24"/>
          <w:lang w:val="en-US" w:eastAsia="zh-CN"/>
        </w:rPr>
        <w:t>谈判小组</w:t>
      </w:r>
      <w:r>
        <w:rPr>
          <w:rFonts w:hint="eastAsia" w:ascii="宋体" w:hAnsi="宋体" w:eastAsia="宋体" w:cs="宋体"/>
          <w:color w:val="auto"/>
          <w:sz w:val="24"/>
          <w:szCs w:val="24"/>
        </w:rPr>
        <w:t>难以接受的条件的；</w:t>
      </w:r>
    </w:p>
    <w:p w14:paraId="2EE57C95">
      <w:pPr>
        <w:pStyle w:val="95"/>
        <w:pageBreakBefore w:val="0"/>
        <w:kinsoku/>
        <w:wordWrap/>
        <w:overflowPunct/>
        <w:topLinePunct w:val="0"/>
        <w:bidi w:val="0"/>
        <w:spacing w:line="460" w:lineRule="exact"/>
        <w:ind w:left="0" w:leftChars="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（11）未响应谈判文件合同主要条款的；</w:t>
      </w:r>
    </w:p>
    <w:p w14:paraId="70826ED0">
      <w:pPr>
        <w:pStyle w:val="95"/>
        <w:pageBreakBefore w:val="0"/>
        <w:kinsoku/>
        <w:wordWrap/>
        <w:overflowPunct/>
        <w:topLinePunct w:val="0"/>
        <w:bidi w:val="0"/>
        <w:spacing w:line="460" w:lineRule="exact"/>
        <w:ind w:left="0" w:leftChars="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（12）政府采购法律法规规定的其他情形。</w:t>
      </w:r>
    </w:p>
    <w:p w14:paraId="7A20C022">
      <w:pPr>
        <w:pStyle w:val="4"/>
        <w:pageBreakBefore w:val="0"/>
        <w:kinsoku/>
        <w:wordWrap/>
        <w:overflowPunct/>
        <w:topLinePunct w:val="0"/>
        <w:bidi w:val="0"/>
        <w:spacing w:line="460" w:lineRule="exact"/>
        <w:ind w:firstLine="482" w:firstLineChars="200"/>
        <w:textAlignment w:val="auto"/>
        <w:rPr>
          <w:rFonts w:hint="eastAsia" w:ascii="宋体" w:hAnsi="宋体" w:eastAsia="宋体" w:cs="宋体"/>
          <w:color w:val="auto"/>
          <w:sz w:val="24"/>
          <w:szCs w:val="24"/>
        </w:rPr>
      </w:pPr>
      <w:bookmarkStart w:id="186" w:name="_Toc14189413"/>
      <w:bookmarkStart w:id="187" w:name="_Toc27985"/>
      <w:bookmarkStart w:id="188" w:name="_Toc26827"/>
      <w:bookmarkStart w:id="189" w:name="_Toc23316526"/>
      <w:bookmarkStart w:id="190" w:name="_Toc18412205"/>
      <w:bookmarkStart w:id="191" w:name="_Toc2180"/>
      <w:bookmarkStart w:id="192" w:name="_Toc23316590"/>
      <w:bookmarkStart w:id="193" w:name="_Toc5741"/>
      <w:bookmarkStart w:id="194" w:name="_Toc14189276"/>
      <w:bookmarkStart w:id="195" w:name="_Toc10833"/>
      <w:bookmarkStart w:id="196" w:name="_Toc23315666"/>
      <w:bookmarkStart w:id="197" w:name="_Toc11005"/>
      <w:bookmarkStart w:id="198" w:name="_Toc411064159"/>
      <w:bookmarkStart w:id="199" w:name="_Toc35335262"/>
      <w:bookmarkStart w:id="200" w:name="_Toc24726"/>
      <w:bookmarkStart w:id="201" w:name="_Toc14426"/>
      <w:bookmarkStart w:id="202" w:name="_Toc28230"/>
      <w:bookmarkStart w:id="203" w:name="_Toc20263"/>
      <w:bookmarkStart w:id="204" w:name="_Toc23316688"/>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评审办法（比照最低评标价法）</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4EF8B8D0">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zh-CN"/>
        </w:rPr>
      </w:pPr>
      <w:bookmarkStart w:id="205" w:name="_Toc14189277"/>
      <w:bookmarkStart w:id="206" w:name="_Toc411064160"/>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lang w:val="zh-CN"/>
        </w:rPr>
        <w:t>初步评审</w:t>
      </w:r>
      <w:bookmarkEnd w:id="205"/>
      <w:bookmarkEnd w:id="206"/>
    </w:p>
    <w:p w14:paraId="1D190BA3">
      <w:pPr>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第一阶段：资格性审查</w:t>
      </w:r>
    </w:p>
    <w:p w14:paraId="7E76A379">
      <w:pPr>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谈判小组依据法律法规和谈判文件</w:t>
      </w:r>
      <w:r>
        <w:rPr>
          <w:rFonts w:hint="eastAsia" w:ascii="宋体" w:hAnsi="宋体" w:eastAsia="宋体" w:cs="宋体"/>
          <w:color w:val="auto"/>
          <w:sz w:val="24"/>
          <w:szCs w:val="24"/>
          <w:lang w:val="en-US" w:eastAsia="zh-CN"/>
        </w:rPr>
        <w:t>须知前附表</w:t>
      </w:r>
      <w:r>
        <w:rPr>
          <w:rFonts w:hint="eastAsia" w:ascii="宋体" w:hAnsi="宋体" w:eastAsia="宋体" w:cs="宋体"/>
          <w:color w:val="auto"/>
          <w:sz w:val="24"/>
          <w:szCs w:val="24"/>
        </w:rPr>
        <w:t>资格证明文件</w:t>
      </w:r>
      <w:r>
        <w:rPr>
          <w:rFonts w:hint="eastAsia" w:ascii="宋体" w:hAnsi="宋体" w:eastAsia="宋体" w:cs="宋体"/>
          <w:color w:val="auto"/>
          <w:sz w:val="24"/>
          <w:szCs w:val="24"/>
          <w:lang w:val="zh-CN"/>
        </w:rPr>
        <w:t>的规定，对所有供应商的商务部分中的资格证明（包括信用情况）</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val="zh-CN"/>
        </w:rPr>
        <w:t>进行审查，并确定供应商是否具备谈判资格，填写资格审查表并签字确认。</w:t>
      </w:r>
    </w:p>
    <w:p w14:paraId="5D97141E">
      <w:pPr>
        <w:pageBreakBefore w:val="0"/>
        <w:tabs>
          <w:tab w:val="left" w:pos="3962"/>
        </w:tabs>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第二阶段：符合性审查</w:t>
      </w:r>
      <w:r>
        <w:rPr>
          <w:rFonts w:hint="eastAsia" w:ascii="宋体" w:hAnsi="宋体" w:eastAsia="宋体" w:cs="宋体"/>
          <w:color w:val="auto"/>
          <w:sz w:val="24"/>
          <w:szCs w:val="24"/>
          <w:lang w:val="zh-CN"/>
        </w:rPr>
        <w:tab/>
      </w:r>
    </w:p>
    <w:p w14:paraId="23539B9D">
      <w:pPr>
        <w:pageBreakBefore w:val="0"/>
        <w:kinsoku/>
        <w:wordWrap/>
        <w:overflowPunct w:val="0"/>
        <w:topLinePunct w:val="0"/>
        <w:bidi w:val="0"/>
        <w:adjustRightInd w:val="0"/>
        <w:snapToGrid w:val="0"/>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谈判小组依据谈判文件的规定，对供应商的响应文件的有效性、完整性以及对谈判文件的响应程度进行审查，以确定是否对谈判文件的实质性要求作出响应。应包含以下内容：</w:t>
      </w:r>
    </w:p>
    <w:tbl>
      <w:tblPr>
        <w:tblStyle w:val="37"/>
        <w:tblW w:w="50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793"/>
        <w:gridCol w:w="4173"/>
        <w:gridCol w:w="598"/>
        <w:gridCol w:w="1601"/>
      </w:tblGrid>
      <w:tr w14:paraId="7D24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353"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top"/>
          </w:tcPr>
          <w:p w14:paraId="051866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416"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4A0732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符合性审查项</w:t>
            </w:r>
          </w:p>
        </w:tc>
        <w:tc>
          <w:tcPr>
            <w:tcW w:w="2116"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17C2C8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通过条件</w:t>
            </w:r>
          </w:p>
        </w:tc>
        <w:tc>
          <w:tcPr>
            <w:tcW w:w="303"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52F981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结论</w:t>
            </w:r>
          </w:p>
        </w:tc>
        <w:tc>
          <w:tcPr>
            <w:tcW w:w="809"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7B9C22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未通过原因</w:t>
            </w:r>
          </w:p>
        </w:tc>
      </w:tr>
      <w:tr w14:paraId="70094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353" w:type="pct"/>
            <w:tcBorders>
              <w:top w:val="single" w:color="auto" w:sz="4" w:space="0"/>
              <w:left w:val="single" w:color="auto" w:sz="4" w:space="0"/>
              <w:bottom w:val="single" w:color="auto" w:sz="4" w:space="0"/>
              <w:right w:val="single" w:color="auto" w:sz="4" w:space="0"/>
            </w:tcBorders>
            <w:vAlign w:val="top"/>
          </w:tcPr>
          <w:p w14:paraId="7CB2CD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1</w:t>
            </w:r>
          </w:p>
        </w:tc>
        <w:tc>
          <w:tcPr>
            <w:tcW w:w="1416" w:type="pct"/>
            <w:tcBorders>
              <w:top w:val="single" w:color="auto" w:sz="4" w:space="0"/>
              <w:left w:val="single" w:color="auto" w:sz="4" w:space="0"/>
              <w:bottom w:val="single" w:color="auto" w:sz="4" w:space="0"/>
              <w:right w:val="single" w:color="auto" w:sz="4" w:space="0"/>
            </w:tcBorders>
            <w:vAlign w:val="top"/>
          </w:tcPr>
          <w:p w14:paraId="5F91AC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文件封面、投标函、法定代表人委托授权书三处的项目名称、项目编号</w:t>
            </w:r>
          </w:p>
        </w:tc>
        <w:tc>
          <w:tcPr>
            <w:tcW w:w="2116" w:type="pct"/>
            <w:tcBorders>
              <w:top w:val="single" w:color="auto" w:sz="4" w:space="0"/>
              <w:left w:val="single" w:color="auto" w:sz="4" w:space="0"/>
              <w:bottom w:val="single" w:color="auto" w:sz="4" w:space="0"/>
              <w:right w:val="single" w:color="auto" w:sz="4" w:space="0"/>
            </w:tcBorders>
            <w:vAlign w:val="center"/>
          </w:tcPr>
          <w:p w14:paraId="58CA0A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三处均无遗漏，且与所投项目名称、项目编号、标段</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如有</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完全一致。</w:t>
            </w:r>
          </w:p>
        </w:tc>
        <w:tc>
          <w:tcPr>
            <w:tcW w:w="303" w:type="pct"/>
            <w:tcBorders>
              <w:top w:val="single" w:color="auto" w:sz="4" w:space="0"/>
              <w:left w:val="single" w:color="auto" w:sz="4" w:space="0"/>
              <w:bottom w:val="single" w:color="auto" w:sz="4" w:space="0"/>
              <w:right w:val="single" w:color="auto" w:sz="4" w:space="0"/>
            </w:tcBorders>
            <w:vAlign w:val="top"/>
          </w:tcPr>
          <w:p w14:paraId="7EF00C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9" w:type="pct"/>
            <w:tcBorders>
              <w:top w:val="single" w:color="auto" w:sz="4" w:space="0"/>
              <w:left w:val="single" w:color="auto" w:sz="4" w:space="0"/>
              <w:bottom w:val="single" w:color="auto" w:sz="4" w:space="0"/>
              <w:right w:val="single" w:color="auto" w:sz="4" w:space="0"/>
            </w:tcBorders>
            <w:vAlign w:val="top"/>
          </w:tcPr>
          <w:p w14:paraId="299F6A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5C49E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53" w:type="pct"/>
            <w:tcBorders>
              <w:top w:val="single" w:color="auto" w:sz="4" w:space="0"/>
              <w:left w:val="single" w:color="auto" w:sz="4" w:space="0"/>
              <w:bottom w:val="single" w:color="auto" w:sz="4" w:space="0"/>
              <w:right w:val="single" w:color="auto" w:sz="4" w:space="0"/>
            </w:tcBorders>
            <w:vAlign w:val="top"/>
          </w:tcPr>
          <w:p w14:paraId="1FFB22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2</w:t>
            </w:r>
          </w:p>
        </w:tc>
        <w:tc>
          <w:tcPr>
            <w:tcW w:w="1416" w:type="pct"/>
            <w:tcBorders>
              <w:top w:val="single" w:color="auto" w:sz="4" w:space="0"/>
              <w:left w:val="single" w:color="auto" w:sz="4" w:space="0"/>
              <w:bottom w:val="single" w:color="auto" w:sz="4" w:space="0"/>
              <w:right w:val="single" w:color="auto" w:sz="4" w:space="0"/>
            </w:tcBorders>
            <w:vAlign w:val="center"/>
          </w:tcPr>
          <w:p w14:paraId="6B73B7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文件签署、盖章</w:t>
            </w:r>
          </w:p>
        </w:tc>
        <w:tc>
          <w:tcPr>
            <w:tcW w:w="2116" w:type="pct"/>
            <w:tcBorders>
              <w:top w:val="single" w:color="auto" w:sz="4" w:space="0"/>
              <w:left w:val="single" w:color="auto" w:sz="4" w:space="0"/>
              <w:bottom w:val="single" w:color="auto" w:sz="4" w:space="0"/>
              <w:right w:val="single" w:color="auto" w:sz="4" w:space="0"/>
            </w:tcBorders>
            <w:vAlign w:val="top"/>
          </w:tcPr>
          <w:p w14:paraId="6EF515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均按</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要求签字、盖章。</w:t>
            </w:r>
          </w:p>
        </w:tc>
        <w:tc>
          <w:tcPr>
            <w:tcW w:w="303" w:type="pct"/>
            <w:tcBorders>
              <w:top w:val="single" w:color="auto" w:sz="4" w:space="0"/>
              <w:left w:val="single" w:color="auto" w:sz="4" w:space="0"/>
              <w:bottom w:val="single" w:color="auto" w:sz="4" w:space="0"/>
              <w:right w:val="single" w:color="auto" w:sz="4" w:space="0"/>
            </w:tcBorders>
            <w:vAlign w:val="top"/>
          </w:tcPr>
          <w:p w14:paraId="599940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9" w:type="pct"/>
            <w:tcBorders>
              <w:top w:val="single" w:color="auto" w:sz="4" w:space="0"/>
              <w:left w:val="single" w:color="auto" w:sz="4" w:space="0"/>
              <w:bottom w:val="single" w:color="auto" w:sz="4" w:space="0"/>
              <w:right w:val="single" w:color="auto" w:sz="4" w:space="0"/>
            </w:tcBorders>
            <w:vAlign w:val="top"/>
          </w:tcPr>
          <w:p w14:paraId="330FB5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142D8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8" w:hRule="atLeast"/>
        </w:trPr>
        <w:tc>
          <w:tcPr>
            <w:tcW w:w="353" w:type="pct"/>
            <w:tcBorders>
              <w:top w:val="single" w:color="auto" w:sz="4" w:space="0"/>
              <w:left w:val="single" w:color="auto" w:sz="4" w:space="0"/>
              <w:bottom w:val="single" w:color="auto" w:sz="4" w:space="0"/>
              <w:right w:val="single" w:color="auto" w:sz="4" w:space="0"/>
            </w:tcBorders>
            <w:vAlign w:val="top"/>
          </w:tcPr>
          <w:p w14:paraId="70704E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3</w:t>
            </w:r>
          </w:p>
        </w:tc>
        <w:tc>
          <w:tcPr>
            <w:tcW w:w="1416" w:type="pct"/>
            <w:tcBorders>
              <w:top w:val="single" w:color="auto" w:sz="4" w:space="0"/>
              <w:left w:val="single" w:color="auto" w:sz="4" w:space="0"/>
              <w:bottom w:val="single" w:color="auto" w:sz="4" w:space="0"/>
              <w:right w:val="single" w:color="auto" w:sz="4" w:space="0"/>
            </w:tcBorders>
            <w:vAlign w:val="center"/>
          </w:tcPr>
          <w:p w14:paraId="501955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Cs/>
                <w:color w:val="auto"/>
                <w:kern w:val="0"/>
                <w:sz w:val="24"/>
                <w:szCs w:val="24"/>
                <w:highlight w:val="red"/>
              </w:rPr>
            </w:pPr>
            <w:r>
              <w:rPr>
                <w:rFonts w:hint="eastAsia" w:ascii="宋体" w:hAnsi="宋体" w:eastAsia="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文件组成</w:t>
            </w:r>
          </w:p>
        </w:tc>
        <w:tc>
          <w:tcPr>
            <w:tcW w:w="2116" w:type="pct"/>
            <w:tcBorders>
              <w:top w:val="single" w:color="auto" w:sz="4" w:space="0"/>
              <w:left w:val="single" w:color="auto" w:sz="4" w:space="0"/>
              <w:bottom w:val="single" w:color="auto" w:sz="4" w:space="0"/>
              <w:right w:val="single" w:color="auto" w:sz="4" w:space="0"/>
            </w:tcBorders>
            <w:vAlign w:val="top"/>
          </w:tcPr>
          <w:p w14:paraId="1E5577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一、投标函</w:t>
            </w:r>
          </w:p>
          <w:p w14:paraId="2B3C2F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二、</w:t>
            </w:r>
            <w:r>
              <w:rPr>
                <w:rFonts w:hint="eastAsia" w:ascii="宋体" w:hAnsi="宋体" w:eastAsia="宋体" w:cs="宋体"/>
                <w:bCs/>
                <w:color w:val="auto"/>
                <w:kern w:val="0"/>
                <w:sz w:val="24"/>
                <w:szCs w:val="24"/>
                <w:highlight w:val="none"/>
                <w:lang w:val="en-US" w:eastAsia="zh-CN"/>
              </w:rPr>
              <w:t>响应报价</w:t>
            </w:r>
            <w:r>
              <w:rPr>
                <w:rFonts w:hint="eastAsia" w:ascii="宋体" w:hAnsi="宋体" w:eastAsia="宋体" w:cs="宋体"/>
                <w:bCs/>
                <w:color w:val="auto"/>
                <w:kern w:val="0"/>
                <w:sz w:val="24"/>
                <w:szCs w:val="24"/>
                <w:highlight w:val="none"/>
              </w:rPr>
              <w:t>表</w:t>
            </w:r>
          </w:p>
          <w:p w14:paraId="5E46BC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三</w:t>
            </w:r>
            <w:r>
              <w:rPr>
                <w:rFonts w:hint="eastAsia" w:ascii="宋体" w:hAnsi="宋体" w:eastAsia="宋体" w:cs="宋体"/>
                <w:bCs/>
                <w:color w:val="auto"/>
                <w:kern w:val="0"/>
                <w:sz w:val="24"/>
                <w:szCs w:val="24"/>
                <w:highlight w:val="none"/>
              </w:rPr>
              <w:t>、资质证明文件</w:t>
            </w:r>
          </w:p>
          <w:p w14:paraId="512972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eastAsia="zh-CN"/>
              </w:rPr>
              <w:t>四、</w:t>
            </w:r>
            <w:r>
              <w:rPr>
                <w:rFonts w:hint="eastAsia" w:ascii="宋体" w:hAnsi="宋体" w:eastAsia="宋体" w:cs="宋体"/>
                <w:bCs/>
                <w:color w:val="auto"/>
                <w:kern w:val="0"/>
                <w:sz w:val="24"/>
                <w:szCs w:val="24"/>
                <w:highlight w:val="none"/>
                <w:lang w:val="en-US" w:eastAsia="zh-CN"/>
              </w:rPr>
              <w:t>技术商务响应偏离表</w:t>
            </w:r>
          </w:p>
          <w:p w14:paraId="5059E7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五、</w:t>
            </w:r>
            <w:r>
              <w:rPr>
                <w:rFonts w:hint="eastAsia" w:ascii="宋体" w:hAnsi="宋体" w:eastAsia="宋体" w:cs="宋体"/>
                <w:bCs/>
                <w:color w:val="auto"/>
                <w:kern w:val="0"/>
                <w:sz w:val="24"/>
                <w:szCs w:val="24"/>
                <w:highlight w:val="none"/>
                <w:lang w:val="en-US" w:eastAsia="zh-CN"/>
              </w:rPr>
              <w:t>响应方案</w:t>
            </w:r>
          </w:p>
          <w:p w14:paraId="7778B7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
                <w:bCs/>
                <w:color w:val="auto"/>
                <w:kern w:val="0"/>
                <w:sz w:val="24"/>
                <w:szCs w:val="24"/>
                <w:highlight w:val="red"/>
              </w:rPr>
            </w:pPr>
            <w:r>
              <w:rPr>
                <w:rFonts w:hint="eastAsia" w:ascii="宋体" w:hAnsi="宋体" w:eastAsia="宋体" w:cs="宋体"/>
                <w:bCs/>
                <w:color w:val="auto"/>
                <w:kern w:val="0"/>
                <w:sz w:val="24"/>
                <w:szCs w:val="24"/>
                <w:highlight w:val="none"/>
                <w:lang w:eastAsia="zh-CN"/>
              </w:rPr>
              <w:t>六</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en-US" w:eastAsia="zh-CN"/>
              </w:rPr>
              <w:t>投标单位</w:t>
            </w:r>
            <w:r>
              <w:rPr>
                <w:rFonts w:hint="eastAsia" w:ascii="宋体" w:hAnsi="宋体" w:eastAsia="宋体" w:cs="宋体"/>
                <w:bCs/>
                <w:color w:val="auto"/>
                <w:kern w:val="0"/>
                <w:sz w:val="24"/>
                <w:szCs w:val="24"/>
                <w:highlight w:val="none"/>
              </w:rPr>
              <w:t>拒绝政府采购领域商业贿赂承诺书</w:t>
            </w:r>
          </w:p>
        </w:tc>
        <w:tc>
          <w:tcPr>
            <w:tcW w:w="303" w:type="pct"/>
            <w:tcBorders>
              <w:top w:val="single" w:color="auto" w:sz="4" w:space="0"/>
              <w:left w:val="single" w:color="auto" w:sz="4" w:space="0"/>
              <w:bottom w:val="single" w:color="auto" w:sz="4" w:space="0"/>
              <w:right w:val="single" w:color="auto" w:sz="4" w:space="0"/>
            </w:tcBorders>
            <w:vAlign w:val="top"/>
          </w:tcPr>
          <w:p w14:paraId="7843F4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9" w:type="pct"/>
            <w:tcBorders>
              <w:top w:val="single" w:color="auto" w:sz="4" w:space="0"/>
              <w:left w:val="single" w:color="auto" w:sz="4" w:space="0"/>
              <w:bottom w:val="single" w:color="auto" w:sz="4" w:space="0"/>
              <w:right w:val="single" w:color="auto" w:sz="4" w:space="0"/>
            </w:tcBorders>
            <w:vAlign w:val="top"/>
          </w:tcPr>
          <w:p w14:paraId="484BCB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1EC1C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353" w:type="pct"/>
            <w:tcBorders>
              <w:top w:val="single" w:color="auto" w:sz="4" w:space="0"/>
              <w:left w:val="single" w:color="auto" w:sz="4" w:space="0"/>
              <w:bottom w:val="single" w:color="auto" w:sz="4" w:space="0"/>
              <w:right w:val="single" w:color="auto" w:sz="4" w:space="0"/>
            </w:tcBorders>
            <w:vAlign w:val="top"/>
          </w:tcPr>
          <w:p w14:paraId="56534C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4</w:t>
            </w:r>
          </w:p>
        </w:tc>
        <w:tc>
          <w:tcPr>
            <w:tcW w:w="1416" w:type="pct"/>
            <w:tcBorders>
              <w:top w:val="single" w:color="auto" w:sz="4" w:space="0"/>
              <w:left w:val="single" w:color="auto" w:sz="4" w:space="0"/>
              <w:bottom w:val="single" w:color="auto" w:sz="4" w:space="0"/>
              <w:right w:val="single" w:color="auto" w:sz="4" w:space="0"/>
            </w:tcBorders>
            <w:vAlign w:val="center"/>
          </w:tcPr>
          <w:p w14:paraId="789B75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文件的计量单位、语言、报价货币、投标有效期</w:t>
            </w:r>
          </w:p>
        </w:tc>
        <w:tc>
          <w:tcPr>
            <w:tcW w:w="2116" w:type="pct"/>
            <w:tcBorders>
              <w:top w:val="single" w:color="auto" w:sz="4" w:space="0"/>
              <w:left w:val="single" w:color="auto" w:sz="4" w:space="0"/>
              <w:bottom w:val="single" w:color="auto" w:sz="4" w:space="0"/>
              <w:right w:val="single" w:color="auto" w:sz="4" w:space="0"/>
            </w:tcBorders>
            <w:vAlign w:val="center"/>
          </w:tcPr>
          <w:p w14:paraId="4F72C6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计量单位、语言、报价货币、投标有效期均符合</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的要求。</w:t>
            </w:r>
          </w:p>
        </w:tc>
        <w:tc>
          <w:tcPr>
            <w:tcW w:w="303" w:type="pct"/>
            <w:tcBorders>
              <w:top w:val="single" w:color="auto" w:sz="4" w:space="0"/>
              <w:left w:val="single" w:color="auto" w:sz="4" w:space="0"/>
              <w:bottom w:val="single" w:color="auto" w:sz="4" w:space="0"/>
              <w:right w:val="single" w:color="auto" w:sz="4" w:space="0"/>
            </w:tcBorders>
            <w:vAlign w:val="center"/>
          </w:tcPr>
          <w:p w14:paraId="617BD4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
                <w:bCs/>
                <w:color w:val="auto"/>
                <w:kern w:val="0"/>
                <w:sz w:val="24"/>
                <w:szCs w:val="24"/>
                <w:highlight w:val="none"/>
              </w:rPr>
            </w:pPr>
          </w:p>
        </w:tc>
        <w:tc>
          <w:tcPr>
            <w:tcW w:w="809" w:type="pct"/>
            <w:tcBorders>
              <w:top w:val="single" w:color="auto" w:sz="4" w:space="0"/>
              <w:left w:val="single" w:color="auto" w:sz="4" w:space="0"/>
              <w:bottom w:val="single" w:color="auto" w:sz="4" w:space="0"/>
              <w:right w:val="single" w:color="auto" w:sz="4" w:space="0"/>
            </w:tcBorders>
            <w:vAlign w:val="top"/>
          </w:tcPr>
          <w:p w14:paraId="5D6BEC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2301F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353" w:type="pct"/>
            <w:tcBorders>
              <w:top w:val="single" w:color="auto" w:sz="4" w:space="0"/>
              <w:left w:val="single" w:color="auto" w:sz="4" w:space="0"/>
              <w:bottom w:val="single" w:color="auto" w:sz="4" w:space="0"/>
              <w:right w:val="single" w:color="auto" w:sz="4" w:space="0"/>
            </w:tcBorders>
            <w:vAlign w:val="top"/>
          </w:tcPr>
          <w:p w14:paraId="56EBA9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5</w:t>
            </w:r>
          </w:p>
        </w:tc>
        <w:tc>
          <w:tcPr>
            <w:tcW w:w="1416" w:type="pct"/>
            <w:tcBorders>
              <w:top w:val="single" w:color="auto" w:sz="4" w:space="0"/>
              <w:left w:val="single" w:color="auto" w:sz="4" w:space="0"/>
              <w:bottom w:val="single" w:color="auto" w:sz="4" w:space="0"/>
              <w:right w:val="single" w:color="auto" w:sz="4" w:space="0"/>
            </w:tcBorders>
            <w:vAlign w:val="center"/>
          </w:tcPr>
          <w:p w14:paraId="3C3937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报价</w:t>
            </w:r>
          </w:p>
        </w:tc>
        <w:tc>
          <w:tcPr>
            <w:tcW w:w="2116" w:type="pct"/>
            <w:tcBorders>
              <w:top w:val="single" w:color="auto" w:sz="4" w:space="0"/>
              <w:left w:val="single" w:color="auto" w:sz="4" w:space="0"/>
              <w:bottom w:val="single" w:color="auto" w:sz="4" w:space="0"/>
              <w:right w:val="single" w:color="auto" w:sz="4" w:space="0"/>
            </w:tcBorders>
            <w:vAlign w:val="top"/>
          </w:tcPr>
          <w:p w14:paraId="69FF4C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（1）投标报价符合唯一性要求：</w:t>
            </w:r>
          </w:p>
          <w:p w14:paraId="3F6429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r>
              <w:rPr>
                <w:rFonts w:hint="eastAsia" w:ascii="宋体" w:hAnsi="宋体" w:eastAsia="宋体" w:cs="宋体"/>
                <w:bCs/>
                <w:color w:val="auto"/>
                <w:kern w:val="0"/>
                <w:sz w:val="24"/>
                <w:szCs w:val="24"/>
                <w:highlight w:val="none"/>
                <w:lang w:val="en-US" w:eastAsia="zh-CN"/>
              </w:rPr>
              <w:t>投标报价</w:t>
            </w:r>
            <w:r>
              <w:rPr>
                <w:rFonts w:hint="eastAsia" w:ascii="宋体" w:hAnsi="宋体" w:eastAsia="宋体" w:cs="宋体"/>
                <w:bCs/>
                <w:color w:val="auto"/>
                <w:kern w:val="0"/>
                <w:sz w:val="24"/>
                <w:szCs w:val="24"/>
                <w:highlight w:val="none"/>
              </w:rPr>
              <w:t>表填写符合要求；</w:t>
            </w:r>
          </w:p>
          <w:p w14:paraId="1BDE9D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（3）未超出采购预算或</w:t>
            </w:r>
            <w:r>
              <w:rPr>
                <w:rFonts w:hint="eastAsia" w:ascii="宋体" w:hAnsi="宋体" w:eastAsia="宋体" w:cs="宋体"/>
                <w:bCs/>
                <w:color w:val="auto"/>
                <w:kern w:val="0"/>
                <w:sz w:val="24"/>
                <w:szCs w:val="24"/>
                <w:highlight w:val="none"/>
                <w:lang w:eastAsia="zh-CN"/>
              </w:rPr>
              <w:t>谈判文件</w:t>
            </w:r>
            <w:r>
              <w:rPr>
                <w:rFonts w:hint="eastAsia" w:ascii="宋体" w:hAnsi="宋体" w:eastAsia="宋体" w:cs="宋体"/>
                <w:bCs/>
                <w:color w:val="auto"/>
                <w:kern w:val="0"/>
                <w:sz w:val="24"/>
                <w:szCs w:val="24"/>
                <w:highlight w:val="none"/>
              </w:rPr>
              <w:t>规定的最高限价；</w:t>
            </w:r>
          </w:p>
        </w:tc>
        <w:tc>
          <w:tcPr>
            <w:tcW w:w="303" w:type="pct"/>
            <w:tcBorders>
              <w:top w:val="single" w:color="auto" w:sz="4" w:space="0"/>
              <w:left w:val="single" w:color="auto" w:sz="4" w:space="0"/>
              <w:bottom w:val="single" w:color="auto" w:sz="4" w:space="0"/>
              <w:right w:val="single" w:color="auto" w:sz="4" w:space="0"/>
            </w:tcBorders>
            <w:vAlign w:val="top"/>
          </w:tcPr>
          <w:p w14:paraId="59CBC4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9" w:type="pct"/>
            <w:tcBorders>
              <w:top w:val="single" w:color="auto" w:sz="4" w:space="0"/>
              <w:left w:val="single" w:color="auto" w:sz="4" w:space="0"/>
              <w:bottom w:val="single" w:color="auto" w:sz="4" w:space="0"/>
              <w:right w:val="single" w:color="auto" w:sz="4" w:space="0"/>
            </w:tcBorders>
            <w:vAlign w:val="top"/>
          </w:tcPr>
          <w:p w14:paraId="2E9F58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6E545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353" w:type="pct"/>
            <w:tcBorders>
              <w:top w:val="single" w:color="auto" w:sz="4" w:space="0"/>
              <w:left w:val="single" w:color="auto" w:sz="4" w:space="0"/>
              <w:bottom w:val="single" w:color="auto" w:sz="4" w:space="0"/>
              <w:right w:val="single" w:color="auto" w:sz="4" w:space="0"/>
            </w:tcBorders>
            <w:vAlign w:val="top"/>
          </w:tcPr>
          <w:p w14:paraId="7375BD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6</w:t>
            </w:r>
          </w:p>
        </w:tc>
        <w:tc>
          <w:tcPr>
            <w:tcW w:w="1416" w:type="pct"/>
            <w:tcBorders>
              <w:top w:val="single" w:color="auto" w:sz="4" w:space="0"/>
              <w:left w:val="single" w:color="auto" w:sz="4" w:space="0"/>
              <w:bottom w:val="single" w:color="auto" w:sz="4" w:space="0"/>
              <w:right w:val="single" w:color="auto" w:sz="4" w:space="0"/>
            </w:tcBorders>
            <w:vAlign w:val="center"/>
          </w:tcPr>
          <w:p w14:paraId="454881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谈判文件</w:t>
            </w:r>
            <w:r>
              <w:rPr>
                <w:rFonts w:hint="eastAsia" w:ascii="宋体" w:hAnsi="宋体" w:eastAsia="宋体" w:cs="宋体"/>
                <w:bCs/>
                <w:color w:val="auto"/>
                <w:kern w:val="0"/>
                <w:sz w:val="24"/>
                <w:szCs w:val="24"/>
                <w:highlight w:val="none"/>
              </w:rPr>
              <w:t>要求的实质性条款</w:t>
            </w:r>
          </w:p>
        </w:tc>
        <w:tc>
          <w:tcPr>
            <w:tcW w:w="2116" w:type="pct"/>
            <w:tcBorders>
              <w:top w:val="single" w:color="auto" w:sz="4" w:space="0"/>
              <w:left w:val="single" w:color="auto" w:sz="4" w:space="0"/>
              <w:bottom w:val="single" w:color="auto" w:sz="4" w:space="0"/>
              <w:right w:val="single" w:color="auto" w:sz="4" w:space="0"/>
            </w:tcBorders>
            <w:vAlign w:val="center"/>
          </w:tcPr>
          <w:p w14:paraId="4F5A86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完全响应</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要求的各项实质性条款</w:t>
            </w:r>
          </w:p>
        </w:tc>
        <w:tc>
          <w:tcPr>
            <w:tcW w:w="303" w:type="pct"/>
            <w:tcBorders>
              <w:top w:val="single" w:color="auto" w:sz="4" w:space="0"/>
              <w:left w:val="single" w:color="auto" w:sz="4" w:space="0"/>
              <w:bottom w:val="single" w:color="auto" w:sz="4" w:space="0"/>
              <w:right w:val="single" w:color="auto" w:sz="4" w:space="0"/>
            </w:tcBorders>
            <w:vAlign w:val="top"/>
          </w:tcPr>
          <w:p w14:paraId="02A7F3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9" w:type="pct"/>
            <w:tcBorders>
              <w:top w:val="single" w:color="auto" w:sz="4" w:space="0"/>
              <w:left w:val="single" w:color="auto" w:sz="4" w:space="0"/>
              <w:bottom w:val="single" w:color="auto" w:sz="4" w:space="0"/>
              <w:right w:val="single" w:color="auto" w:sz="4" w:space="0"/>
            </w:tcBorders>
            <w:vAlign w:val="top"/>
          </w:tcPr>
          <w:p w14:paraId="3E3CCA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39337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53" w:type="pct"/>
            <w:tcBorders>
              <w:top w:val="single" w:color="auto" w:sz="4" w:space="0"/>
              <w:left w:val="single" w:color="auto" w:sz="4" w:space="0"/>
              <w:bottom w:val="single" w:color="auto" w:sz="4" w:space="0"/>
              <w:right w:val="single" w:color="auto" w:sz="4" w:space="0"/>
            </w:tcBorders>
            <w:vAlign w:val="top"/>
          </w:tcPr>
          <w:p w14:paraId="337C7C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1416" w:type="pct"/>
            <w:tcBorders>
              <w:top w:val="single" w:color="auto" w:sz="4" w:space="0"/>
              <w:left w:val="single" w:color="auto" w:sz="4" w:space="0"/>
              <w:bottom w:val="single" w:color="auto" w:sz="4" w:space="0"/>
              <w:right w:val="single" w:color="auto" w:sz="4" w:space="0"/>
            </w:tcBorders>
            <w:vAlign w:val="center"/>
          </w:tcPr>
          <w:p w14:paraId="76C285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合同主要条款响应</w:t>
            </w:r>
          </w:p>
        </w:tc>
        <w:tc>
          <w:tcPr>
            <w:tcW w:w="2116" w:type="pct"/>
            <w:tcBorders>
              <w:top w:val="single" w:color="auto" w:sz="4" w:space="0"/>
              <w:left w:val="single" w:color="auto" w:sz="4" w:space="0"/>
              <w:bottom w:val="single" w:color="auto" w:sz="4" w:space="0"/>
              <w:right w:val="single" w:color="auto" w:sz="4" w:space="0"/>
            </w:tcBorders>
            <w:vAlign w:val="center"/>
          </w:tcPr>
          <w:p w14:paraId="03D8A9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完整响应</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合同主要条款。</w:t>
            </w:r>
          </w:p>
        </w:tc>
        <w:tc>
          <w:tcPr>
            <w:tcW w:w="303" w:type="pct"/>
            <w:tcBorders>
              <w:top w:val="single" w:color="auto" w:sz="4" w:space="0"/>
              <w:left w:val="single" w:color="auto" w:sz="4" w:space="0"/>
              <w:bottom w:val="single" w:color="auto" w:sz="4" w:space="0"/>
              <w:right w:val="single" w:color="auto" w:sz="4" w:space="0"/>
            </w:tcBorders>
            <w:vAlign w:val="top"/>
          </w:tcPr>
          <w:p w14:paraId="0E3EBE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9" w:type="pct"/>
            <w:tcBorders>
              <w:top w:val="single" w:color="auto" w:sz="4" w:space="0"/>
              <w:left w:val="single" w:color="auto" w:sz="4" w:space="0"/>
              <w:bottom w:val="single" w:color="auto" w:sz="4" w:space="0"/>
              <w:right w:val="single" w:color="auto" w:sz="4" w:space="0"/>
            </w:tcBorders>
            <w:vAlign w:val="top"/>
          </w:tcPr>
          <w:p w14:paraId="6598C0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0573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64D3B8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谈判小组</w:t>
            </w:r>
            <w:r>
              <w:rPr>
                <w:rFonts w:hint="eastAsia" w:ascii="宋体" w:hAnsi="宋体" w:eastAsia="宋体" w:cs="宋体"/>
                <w:b/>
                <w:bCs/>
                <w:color w:val="auto"/>
                <w:kern w:val="0"/>
                <w:sz w:val="24"/>
                <w:szCs w:val="24"/>
                <w:highlight w:val="none"/>
              </w:rPr>
              <w:t>成员：（签字或盖章）</w:t>
            </w:r>
          </w:p>
        </w:tc>
      </w:tr>
    </w:tbl>
    <w:p w14:paraId="6853F654">
      <w:pPr>
        <w:pageBreakBefore w:val="0"/>
        <w:kinsoku/>
        <w:wordWrap/>
        <w:overflowPunct/>
        <w:topLinePunct w:val="0"/>
        <w:autoSpaceDE w:val="0"/>
        <w:autoSpaceDN w:val="0"/>
        <w:bidi w:val="0"/>
        <w:spacing w:line="460" w:lineRule="exact"/>
        <w:ind w:firstLine="482"/>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在资格性和符合性审查时，对属于不合格或者报价无效的供应商，谈判小组必须提出不合格或者报价无效的事实依据，并出具不合格或者报价无效说明，供应商签字确认，供应商拒绝签字确认的不影响谈判小组作出的不合格或无效报价裁定。</w:t>
      </w:r>
    </w:p>
    <w:p w14:paraId="2DF36F7D">
      <w:pPr>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第三阶段：响应性审查</w:t>
      </w:r>
    </w:p>
    <w:p w14:paraId="6AC48720">
      <w:pPr>
        <w:pStyle w:val="33"/>
        <w:pageBreakBefore w:val="0"/>
        <w:widowControl w:val="0"/>
        <w:shd w:val="clear" w:color="auto" w:fill="FFFFFF"/>
        <w:kinsoku/>
        <w:wordWrap/>
        <w:overflowPunct/>
        <w:topLinePunct w:val="0"/>
        <w:bidi w:val="0"/>
        <w:spacing w:beforeAutospacing="0" w:afterAutospacing="0"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按照谈判文件要求，审查业绩、供应商报价、货物清单、规费税金及其报价合理性等，对属于不合格或者报价无效的供应商，采购小组应提出不合格或者报价无效的事实依据，并出具不合格或者报价无效说明，供应商签字确认，供应商拒绝签字确认的，不影响谈判小组作出的不合格或报价无效的裁定。</w:t>
      </w:r>
    </w:p>
    <w:p w14:paraId="5309ECCE">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zh-CN"/>
        </w:rPr>
      </w:pPr>
      <w:bookmarkStart w:id="207" w:name="_Toc411064161"/>
      <w:bookmarkStart w:id="208" w:name="_Toc14189278"/>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lang w:val="zh-CN"/>
        </w:rPr>
        <w:t>澄清</w:t>
      </w:r>
      <w:bookmarkEnd w:id="207"/>
      <w:bookmarkEnd w:id="208"/>
    </w:p>
    <w:p w14:paraId="5FBF7375">
      <w:pPr>
        <w:pStyle w:val="33"/>
        <w:pageBreakBefore w:val="0"/>
        <w:widowControl w:val="0"/>
        <w:shd w:val="clear" w:color="auto" w:fill="FFFFFF"/>
        <w:kinsoku/>
        <w:wordWrap/>
        <w:overflowPunct/>
        <w:topLinePunct w:val="0"/>
        <w:bidi w:val="0"/>
        <w:spacing w:beforeAutospacing="0" w:afterAutospacing="0"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谈判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D949EDB">
      <w:pPr>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5DB18B8">
      <w:pPr>
        <w:pStyle w:val="33"/>
        <w:pageBreakBefore w:val="0"/>
        <w:shd w:val="clear" w:color="auto" w:fill="FFFFFF"/>
        <w:kinsoku/>
        <w:wordWrap/>
        <w:overflowPunct/>
        <w:topLinePunct w:val="0"/>
        <w:bidi w:val="0"/>
        <w:spacing w:beforeAutospacing="0" w:afterAutospacing="0"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）谈判小组判断响应文件的响应性仅基于响应文件本身而不靠外部因素。未响应实质性条款的，谈判小组有权确定其报价无效，供应商不能通过修正、撤销或者澄清不符之处而使其报价成为实质性响应的报价。</w:t>
      </w:r>
    </w:p>
    <w:p w14:paraId="27B4E98B">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lang w:val="zh-CN"/>
        </w:rPr>
      </w:pPr>
      <w:bookmarkStart w:id="209" w:name="_Toc14189279"/>
      <w:bookmarkStart w:id="210" w:name="_Toc411064162"/>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lang w:val="zh-CN"/>
        </w:rPr>
        <w:t>谈判</w:t>
      </w:r>
      <w:bookmarkEnd w:id="209"/>
      <w:bookmarkEnd w:id="210"/>
    </w:p>
    <w:p w14:paraId="4E9B25EC">
      <w:pPr>
        <w:pageBreakBefore w:val="0"/>
        <w:kinsoku/>
        <w:wordWrap/>
        <w:overflowPunct/>
        <w:topLinePunct w:val="0"/>
        <w:bidi w:val="0"/>
        <w:spacing w:line="460" w:lineRule="exact"/>
        <w:ind w:firstLine="482"/>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谈判小组所有成员集中与实质性响应谈判文件的单一供应商分别进行谈判，并给予所有参加谈判的供应商平等的谈判机会。谈判小组通过随机方式确定参加谈判供应商的谈判顺序。在谈判中，谈判的任何一方不得透露与谈判有关的其他供应商的技术资料、价格和其他信息。</w:t>
      </w:r>
    </w:p>
    <w:p w14:paraId="73F74F80">
      <w:pPr>
        <w:pageBreakBefore w:val="0"/>
        <w:shd w:val="clear" w:color="auto" w:fill="FFFFFF"/>
        <w:kinsoku/>
        <w:wordWrap/>
        <w:overflowPunct/>
        <w:topLinePunct w:val="0"/>
        <w:bidi w:val="0"/>
        <w:spacing w:line="460" w:lineRule="exact"/>
        <w:ind w:firstLine="465"/>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）谈判文件应详细列明采购标的的技术、服务要求，谈判结束后，谈判小组应当要求所有继续参加谈判的供应商在规定时间内提交最终报价，最终报价是供应商响应文件的有效组成部分。</w:t>
      </w:r>
    </w:p>
    <w:p w14:paraId="3E3EB338">
      <w:pPr>
        <w:pageBreakBefore w:val="0"/>
        <w:shd w:val="clear" w:color="auto" w:fill="FFFFFF"/>
        <w:kinsoku/>
        <w:wordWrap/>
        <w:overflowPunct/>
        <w:topLinePunct w:val="0"/>
        <w:bidi w:val="0"/>
        <w:spacing w:line="460" w:lineRule="exact"/>
        <w:ind w:firstLine="465"/>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）供应商标书内的报价一览表为第一轮报价（即首轮报价）。参加谈判的供应商后一轮报价不得高于其前一轮报价，否则谈判小组有权据此确定其为无效报价，提交最终报价的供应商不得少于三家。</w:t>
      </w:r>
    </w:p>
    <w:p w14:paraId="7F395DB6">
      <w:pPr>
        <w:pStyle w:val="13"/>
        <w:spacing w:before="219" w:line="219" w:lineRule="auto"/>
        <w:ind w:left="457"/>
        <w:rPr>
          <w:rFonts w:hint="eastAsia" w:ascii="宋体" w:hAnsi="宋体" w:eastAsia="宋体" w:cs="宋体"/>
          <w:b/>
          <w:bCs/>
          <w:sz w:val="24"/>
          <w:szCs w:val="24"/>
        </w:rPr>
      </w:pPr>
      <w:bookmarkStart w:id="211" w:name="_Toc11542"/>
      <w:bookmarkStart w:id="212" w:name="_Toc14145"/>
      <w:bookmarkStart w:id="213" w:name="_Toc14189280"/>
      <w:bookmarkStart w:id="214" w:name="_Toc3798"/>
      <w:bookmarkStart w:id="215" w:name="_Toc5435"/>
      <w:bookmarkStart w:id="216" w:name="_Toc17254"/>
      <w:bookmarkStart w:id="217" w:name="_Toc18825"/>
      <w:bookmarkStart w:id="218" w:name="_Toc411064163"/>
      <w:bookmarkStart w:id="219" w:name="_Toc11420"/>
      <w:r>
        <w:rPr>
          <w:rFonts w:hint="eastAsia" w:ascii="宋体" w:hAnsi="宋体" w:eastAsia="宋体" w:cs="宋体"/>
          <w:b/>
          <w:bCs/>
          <w:spacing w:val="-3"/>
          <w:sz w:val="24"/>
          <w:szCs w:val="24"/>
        </w:rPr>
        <w:t>二次报价网上操作流程：</w:t>
      </w:r>
    </w:p>
    <w:p w14:paraId="5ACA3FFC">
      <w:pPr>
        <w:pStyle w:val="13"/>
        <w:spacing w:before="25" w:line="480" w:lineRule="exact"/>
        <w:ind w:left="455"/>
        <w:rPr>
          <w:rFonts w:hint="eastAsia" w:ascii="宋体" w:hAnsi="宋体" w:eastAsia="宋体" w:cs="宋体"/>
          <w:b w:val="0"/>
          <w:bCs w:val="0"/>
          <w:sz w:val="24"/>
          <w:szCs w:val="24"/>
        </w:rPr>
      </w:pPr>
      <w:r>
        <w:rPr>
          <w:rFonts w:hint="eastAsia" w:ascii="宋体" w:hAnsi="宋体" w:eastAsia="宋体" w:cs="宋体"/>
          <w:b w:val="0"/>
          <w:bCs w:val="0"/>
          <w:position w:val="7"/>
          <w:sz w:val="24"/>
          <w:szCs w:val="24"/>
        </w:rPr>
        <w:t xml:space="preserve">a.插入 CA </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"http://www.sxggzyjy.cn/"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position w:val="7"/>
          <w:sz w:val="24"/>
          <w:szCs w:val="24"/>
        </w:rPr>
        <w:t>锁，登录陕西省公共资源交易平台网站（http://www.sx</w:t>
      </w:r>
      <w:r>
        <w:rPr>
          <w:rFonts w:hint="eastAsia" w:ascii="宋体" w:hAnsi="宋体" w:eastAsia="宋体" w:cs="宋体"/>
          <w:b w:val="0"/>
          <w:bCs w:val="0"/>
          <w:spacing w:val="-1"/>
          <w:position w:val="7"/>
          <w:sz w:val="24"/>
          <w:szCs w:val="24"/>
        </w:rPr>
        <w:t>ggzyjy.cn/</w:t>
      </w:r>
      <w:r>
        <w:rPr>
          <w:rFonts w:hint="eastAsia" w:ascii="宋体" w:hAnsi="宋体" w:eastAsia="宋体" w:cs="宋体"/>
          <w:b w:val="0"/>
          <w:bCs w:val="0"/>
          <w:spacing w:val="-1"/>
          <w:position w:val="7"/>
          <w:sz w:val="24"/>
          <w:szCs w:val="24"/>
        </w:rPr>
        <w:fldChar w:fldCharType="end"/>
      </w:r>
      <w:r>
        <w:rPr>
          <w:rFonts w:hint="eastAsia" w:ascii="宋体" w:hAnsi="宋体" w:eastAsia="宋体" w:cs="宋体"/>
          <w:b w:val="0"/>
          <w:bCs w:val="0"/>
          <w:spacing w:val="-41"/>
          <w:position w:val="7"/>
          <w:sz w:val="24"/>
          <w:szCs w:val="24"/>
        </w:rPr>
        <w:t>）；</w:t>
      </w:r>
    </w:p>
    <w:p w14:paraId="30B471A5">
      <w:pPr>
        <w:pStyle w:val="13"/>
        <w:spacing w:before="195" w:line="219" w:lineRule="auto"/>
        <w:ind w:left="450"/>
        <w:rPr>
          <w:rFonts w:hint="eastAsia" w:ascii="宋体" w:hAnsi="宋体" w:eastAsia="宋体" w:cs="宋体"/>
          <w:b w:val="0"/>
          <w:bCs w:val="0"/>
          <w:sz w:val="24"/>
          <w:szCs w:val="24"/>
        </w:rPr>
      </w:pPr>
      <w:r>
        <w:rPr>
          <w:rFonts w:hint="eastAsia" w:ascii="宋体" w:hAnsi="宋体" w:eastAsia="宋体" w:cs="宋体"/>
          <w:b w:val="0"/>
          <w:bCs w:val="0"/>
          <w:sz w:val="24"/>
          <w:szCs w:val="24"/>
        </w:rPr>
        <w:t>b.点击右上角我的项目，选择本次开标项目，点击</w:t>
      </w:r>
      <w:r>
        <w:rPr>
          <w:rFonts w:hint="eastAsia" w:ascii="宋体" w:hAnsi="宋体" w:eastAsia="宋体" w:cs="宋体"/>
          <w:b w:val="0"/>
          <w:bCs w:val="0"/>
          <w:spacing w:val="-1"/>
          <w:sz w:val="24"/>
          <w:szCs w:val="24"/>
        </w:rPr>
        <w:t>项目流程；</w:t>
      </w:r>
    </w:p>
    <w:p w14:paraId="2011504F">
      <w:pPr>
        <w:pStyle w:val="13"/>
        <w:spacing w:before="218" w:line="219" w:lineRule="auto"/>
        <w:ind w:left="458"/>
        <w:rPr>
          <w:rFonts w:hint="eastAsia" w:ascii="宋体" w:hAnsi="宋体" w:eastAsia="宋体" w:cs="宋体"/>
          <w:b w:val="0"/>
          <w:bCs w:val="0"/>
          <w:sz w:val="24"/>
          <w:szCs w:val="24"/>
        </w:rPr>
      </w:pPr>
      <w:r>
        <w:rPr>
          <w:rFonts w:hint="eastAsia" w:ascii="宋体" w:hAnsi="宋体" w:eastAsia="宋体" w:cs="宋体"/>
          <w:b w:val="0"/>
          <w:bCs w:val="0"/>
          <w:spacing w:val="-2"/>
          <w:sz w:val="24"/>
          <w:szCs w:val="24"/>
        </w:rPr>
        <w:t>c.点击网上报价；</w:t>
      </w:r>
    </w:p>
    <w:p w14:paraId="23E7C2D9">
      <w:pPr>
        <w:pStyle w:val="13"/>
        <w:spacing w:before="61" w:line="419" w:lineRule="exact"/>
        <w:ind w:left="458"/>
        <w:rPr>
          <w:rFonts w:hint="eastAsia" w:ascii="宋体" w:hAnsi="宋体" w:eastAsia="宋体" w:cs="宋体"/>
          <w:b w:val="0"/>
          <w:bCs w:val="0"/>
          <w:sz w:val="24"/>
          <w:szCs w:val="24"/>
        </w:rPr>
      </w:pPr>
      <w:r>
        <w:rPr>
          <w:rFonts w:hint="eastAsia" w:ascii="宋体" w:hAnsi="宋体" w:eastAsia="宋体" w:cs="宋体"/>
          <w:b w:val="0"/>
          <w:bCs w:val="0"/>
          <w:spacing w:val="-1"/>
          <w:position w:val="-4"/>
          <w:sz w:val="24"/>
          <w:szCs w:val="24"/>
        </w:rPr>
        <w:t>d.报价：点击</w:t>
      </w:r>
      <w:r>
        <w:rPr>
          <w:rFonts w:hint="eastAsia" w:ascii="宋体" w:hAnsi="宋体" w:eastAsia="宋体" w:cs="宋体"/>
          <w:b w:val="0"/>
          <w:bCs w:val="0"/>
          <w:position w:val="-4"/>
          <w:sz w:val="24"/>
          <w:szCs w:val="24"/>
        </w:rPr>
        <w:drawing>
          <wp:inline distT="0" distB="0" distL="0" distR="0">
            <wp:extent cx="219075" cy="220345"/>
            <wp:effectExtent l="0" t="0" r="0" b="0"/>
            <wp:docPr id="2" name="IM 4"/>
            <wp:cNvGraphicFramePr/>
            <a:graphic xmlns:a="http://schemas.openxmlformats.org/drawingml/2006/main">
              <a:graphicData uri="http://schemas.openxmlformats.org/drawingml/2006/picture">
                <pic:pic xmlns:pic="http://schemas.openxmlformats.org/drawingml/2006/picture">
                  <pic:nvPicPr>
                    <pic:cNvPr id="2" name="IM 4"/>
                    <pic:cNvPicPr/>
                  </pic:nvPicPr>
                  <pic:blipFill>
                    <a:blip r:embed="rId23"/>
                    <a:stretch>
                      <a:fillRect/>
                    </a:stretch>
                  </pic:blipFill>
                  <pic:spPr>
                    <a:xfrm>
                      <a:off x="0" y="0"/>
                      <a:ext cx="219340" cy="220979"/>
                    </a:xfrm>
                    <a:prstGeom prst="rect">
                      <a:avLst/>
                    </a:prstGeom>
                  </pic:spPr>
                </pic:pic>
              </a:graphicData>
            </a:graphic>
          </wp:inline>
        </w:drawing>
      </w:r>
      <w:r>
        <w:rPr>
          <w:rFonts w:hint="eastAsia" w:ascii="宋体" w:hAnsi="宋体" w:eastAsia="宋体" w:cs="宋体"/>
          <w:b w:val="0"/>
          <w:bCs w:val="0"/>
          <w:spacing w:val="-1"/>
          <w:position w:val="-4"/>
          <w:sz w:val="24"/>
          <w:szCs w:val="24"/>
        </w:rPr>
        <w:t>报价，输入金额（注意大小写一致</w:t>
      </w:r>
      <w:r>
        <w:rPr>
          <w:rFonts w:hint="eastAsia" w:ascii="宋体" w:hAnsi="宋体" w:eastAsia="宋体" w:cs="宋体"/>
          <w:b w:val="0"/>
          <w:bCs w:val="0"/>
          <w:spacing w:val="-57"/>
          <w:position w:val="-4"/>
          <w:sz w:val="24"/>
          <w:szCs w:val="24"/>
        </w:rPr>
        <w:t>）；</w:t>
      </w:r>
    </w:p>
    <w:p w14:paraId="20D19357">
      <w:pPr>
        <w:pStyle w:val="13"/>
        <w:spacing w:before="25" w:line="455" w:lineRule="exact"/>
        <w:ind w:left="459"/>
        <w:rPr>
          <w:rFonts w:hint="eastAsia" w:ascii="宋体" w:hAnsi="宋体" w:eastAsia="宋体" w:cs="宋体"/>
          <w:b w:val="0"/>
          <w:bCs w:val="0"/>
          <w:sz w:val="24"/>
          <w:szCs w:val="24"/>
        </w:rPr>
      </w:pPr>
      <w:r>
        <w:rPr>
          <w:rFonts w:hint="eastAsia" w:ascii="宋体" w:hAnsi="宋体" w:eastAsia="宋体" w:cs="宋体"/>
          <w:b w:val="0"/>
          <w:bCs w:val="0"/>
          <w:spacing w:val="-2"/>
          <w:position w:val="-4"/>
          <w:sz w:val="24"/>
          <w:szCs w:val="24"/>
        </w:rPr>
        <w:t>e.签章查看：点击</w:t>
      </w:r>
      <w:r>
        <w:rPr>
          <w:rFonts w:hint="eastAsia" w:ascii="宋体" w:hAnsi="宋体" w:eastAsia="宋体" w:cs="宋体"/>
          <w:b w:val="0"/>
          <w:bCs w:val="0"/>
          <w:position w:val="-4"/>
          <w:sz w:val="24"/>
          <w:szCs w:val="24"/>
        </w:rPr>
        <w:drawing>
          <wp:inline distT="0" distB="0" distL="0" distR="0">
            <wp:extent cx="250825" cy="243840"/>
            <wp:effectExtent l="0" t="0" r="0" b="0"/>
            <wp:docPr id="8" name="IM 6"/>
            <wp:cNvGraphicFramePr/>
            <a:graphic xmlns:a="http://schemas.openxmlformats.org/drawingml/2006/main">
              <a:graphicData uri="http://schemas.openxmlformats.org/drawingml/2006/picture">
                <pic:pic xmlns:pic="http://schemas.openxmlformats.org/drawingml/2006/picture">
                  <pic:nvPicPr>
                    <pic:cNvPr id="8" name="IM 6"/>
                    <pic:cNvPicPr/>
                  </pic:nvPicPr>
                  <pic:blipFill>
                    <a:blip r:embed="rId24"/>
                    <a:stretch>
                      <a:fillRect/>
                    </a:stretch>
                  </pic:blipFill>
                  <pic:spPr>
                    <a:xfrm>
                      <a:off x="0" y="0"/>
                      <a:ext cx="251352" cy="243840"/>
                    </a:xfrm>
                    <a:prstGeom prst="rect">
                      <a:avLst/>
                    </a:prstGeom>
                  </pic:spPr>
                </pic:pic>
              </a:graphicData>
            </a:graphic>
          </wp:inline>
        </w:drawing>
      </w:r>
      <w:r>
        <w:rPr>
          <w:rFonts w:hint="eastAsia" w:ascii="宋体" w:hAnsi="宋体" w:eastAsia="宋体" w:cs="宋体"/>
          <w:b w:val="0"/>
          <w:bCs w:val="0"/>
          <w:spacing w:val="43"/>
          <w:position w:val="-4"/>
          <w:sz w:val="24"/>
          <w:szCs w:val="24"/>
        </w:rPr>
        <w:t xml:space="preserve"> </w:t>
      </w:r>
      <w:r>
        <w:rPr>
          <w:rFonts w:hint="eastAsia" w:ascii="宋体" w:hAnsi="宋体" w:eastAsia="宋体" w:cs="宋体"/>
          <w:b w:val="0"/>
          <w:bCs w:val="0"/>
          <w:spacing w:val="-2"/>
          <w:position w:val="-4"/>
          <w:sz w:val="24"/>
          <w:szCs w:val="24"/>
        </w:rPr>
        <w:t>，选择单页签章，点击报价表右下角签章；</w:t>
      </w:r>
    </w:p>
    <w:p w14:paraId="69B95E51">
      <w:pPr>
        <w:spacing w:line="313" w:lineRule="auto"/>
        <w:rPr>
          <w:rFonts w:hint="eastAsia" w:ascii="宋体" w:hAnsi="宋体" w:eastAsia="宋体" w:cs="宋体"/>
          <w:sz w:val="24"/>
          <w:szCs w:val="24"/>
        </w:rPr>
      </w:pPr>
    </w:p>
    <w:p w14:paraId="5A78A4AC">
      <w:pPr>
        <w:pStyle w:val="13"/>
        <w:spacing w:before="72"/>
        <w:ind w:left="14"/>
        <w:rPr>
          <w:rFonts w:hint="eastAsia" w:ascii="宋体" w:hAnsi="宋体" w:eastAsia="宋体" w:cs="宋体"/>
          <w:sz w:val="24"/>
          <w:szCs w:val="24"/>
        </w:rPr>
      </w:pPr>
      <w:r>
        <w:rPr>
          <w:rFonts w:hint="eastAsia" w:ascii="宋体" w:hAnsi="宋体" w:eastAsia="宋体" w:cs="宋体"/>
          <w:spacing w:val="-2"/>
          <w:sz w:val="24"/>
          <w:szCs w:val="24"/>
        </w:rPr>
        <w:t>确认无误如图：</w:t>
      </w:r>
      <w:r>
        <w:rPr>
          <w:rFonts w:hint="eastAsia" w:ascii="宋体" w:hAnsi="宋体" w:eastAsia="宋体" w:cs="宋体"/>
          <w:spacing w:val="2"/>
          <w:sz w:val="24"/>
          <w:szCs w:val="24"/>
        </w:rPr>
        <w:t xml:space="preserve">    </w:t>
      </w:r>
      <w:r>
        <w:rPr>
          <w:rFonts w:hint="eastAsia" w:ascii="宋体" w:hAnsi="宋体" w:eastAsia="宋体" w:cs="宋体"/>
          <w:position w:val="-57"/>
          <w:sz w:val="24"/>
          <w:szCs w:val="24"/>
        </w:rPr>
        <w:drawing>
          <wp:inline distT="0" distB="0" distL="0" distR="0">
            <wp:extent cx="4067175" cy="685800"/>
            <wp:effectExtent l="0" t="0" r="0" b="0"/>
            <wp:docPr id="9" name="IM 8"/>
            <wp:cNvGraphicFramePr/>
            <a:graphic xmlns:a="http://schemas.openxmlformats.org/drawingml/2006/main">
              <a:graphicData uri="http://schemas.openxmlformats.org/drawingml/2006/picture">
                <pic:pic xmlns:pic="http://schemas.openxmlformats.org/drawingml/2006/picture">
                  <pic:nvPicPr>
                    <pic:cNvPr id="9" name="IM 8"/>
                    <pic:cNvPicPr/>
                  </pic:nvPicPr>
                  <pic:blipFill>
                    <a:blip r:embed="rId25"/>
                    <a:stretch>
                      <a:fillRect/>
                    </a:stretch>
                  </pic:blipFill>
                  <pic:spPr>
                    <a:xfrm>
                      <a:off x="0" y="0"/>
                      <a:ext cx="4067556" cy="685800"/>
                    </a:xfrm>
                    <a:prstGeom prst="rect">
                      <a:avLst/>
                    </a:prstGeom>
                  </pic:spPr>
                </pic:pic>
              </a:graphicData>
            </a:graphic>
          </wp:inline>
        </w:drawing>
      </w:r>
    </w:p>
    <w:p w14:paraId="56FC1A9C">
      <w:pPr>
        <w:pStyle w:val="13"/>
        <w:spacing w:before="193" w:line="221" w:lineRule="auto"/>
        <w:ind w:left="457"/>
        <w:rPr>
          <w:rFonts w:hint="eastAsia" w:ascii="宋体" w:hAnsi="宋体" w:eastAsia="宋体" w:cs="宋体"/>
          <w:sz w:val="24"/>
          <w:szCs w:val="24"/>
        </w:rPr>
      </w:pPr>
      <w:r>
        <w:rPr>
          <w:rFonts w:hint="eastAsia" w:ascii="宋体" w:hAnsi="宋体" w:eastAsia="宋体" w:cs="宋体"/>
          <w:spacing w:val="-2"/>
          <w:sz w:val="24"/>
          <w:szCs w:val="24"/>
        </w:rPr>
        <w:t>f.提交。</w:t>
      </w:r>
    </w:p>
    <w:p w14:paraId="4C1EEDF2">
      <w:pPr>
        <w:pStyle w:val="13"/>
        <w:spacing w:before="202" w:line="342" w:lineRule="auto"/>
        <w:ind w:left="1" w:right="55" w:firstLine="446"/>
        <w:rPr>
          <w:rFonts w:hint="eastAsia" w:ascii="宋体" w:hAnsi="宋体" w:eastAsia="宋体" w:cs="宋体"/>
          <w:sz w:val="24"/>
          <w:szCs w:val="24"/>
        </w:rPr>
      </w:pPr>
      <w:r>
        <w:rPr>
          <w:rFonts w:hint="eastAsia" w:ascii="宋体" w:hAnsi="宋体" w:eastAsia="宋体" w:cs="宋体"/>
          <w:spacing w:val="-1"/>
          <w:sz w:val="24"/>
          <w:szCs w:val="24"/>
          <w:lang w:val="en-US" w:eastAsia="zh-CN"/>
        </w:rPr>
        <w:t>备注：</w:t>
      </w:r>
      <w:r>
        <w:rPr>
          <w:rFonts w:hint="eastAsia" w:ascii="宋体" w:hAnsi="宋体" w:eastAsia="宋体" w:cs="宋体"/>
          <w:spacing w:val="-1"/>
          <w:sz w:val="24"/>
          <w:szCs w:val="24"/>
        </w:rPr>
        <w:t>相关操作培训请关注《陕西省公共资源交易中心》通知公告</w:t>
      </w:r>
      <w:r>
        <w:rPr>
          <w:rFonts w:hint="eastAsia" w:ascii="宋体" w:hAnsi="宋体" w:eastAsia="宋体" w:cs="宋体"/>
          <w:spacing w:val="-2"/>
          <w:sz w:val="24"/>
          <w:szCs w:val="24"/>
        </w:rPr>
        <w:t>栏目。相关操作流程详见全国公</w:t>
      </w:r>
      <w:r>
        <w:rPr>
          <w:rFonts w:hint="eastAsia" w:ascii="宋体" w:hAnsi="宋体" w:eastAsia="宋体" w:cs="宋体"/>
          <w:spacing w:val="-1"/>
          <w:sz w:val="24"/>
          <w:szCs w:val="24"/>
        </w:rPr>
        <w:t>共资源交易平台（陕西省）网站[服务指南</w:t>
      </w:r>
      <w:r>
        <w:rPr>
          <w:rFonts w:hint="eastAsia" w:ascii="宋体" w:hAnsi="宋体" w:eastAsia="宋体" w:cs="宋体"/>
          <w:spacing w:val="-1"/>
          <w:sz w:val="24"/>
          <w:szCs w:val="24"/>
          <w:lang w:val="en-US" w:eastAsia="zh-CN"/>
        </w:rPr>
        <w:t>-</w:t>
      </w:r>
      <w:r>
        <w:rPr>
          <w:rFonts w:hint="eastAsia" w:ascii="宋体" w:hAnsi="宋体" w:eastAsia="宋体" w:cs="宋体"/>
          <w:spacing w:val="-1"/>
          <w:sz w:val="24"/>
          <w:szCs w:val="24"/>
        </w:rPr>
        <w:t>下载专区]中的《陕西省公共资源交易中心政府采购项</w:t>
      </w:r>
      <w:r>
        <w:rPr>
          <w:rFonts w:hint="eastAsia" w:ascii="宋体" w:hAnsi="宋体" w:eastAsia="宋体" w:cs="宋体"/>
          <w:spacing w:val="-2"/>
          <w:sz w:val="24"/>
          <w:szCs w:val="24"/>
        </w:rPr>
        <w:t>目远</w:t>
      </w:r>
      <w:r>
        <w:rPr>
          <w:rFonts w:hint="eastAsia" w:ascii="宋体" w:hAnsi="宋体" w:eastAsia="宋体" w:cs="宋体"/>
          <w:sz w:val="24"/>
          <w:szCs w:val="24"/>
        </w:rPr>
        <w:t xml:space="preserve"> </w:t>
      </w:r>
      <w:r>
        <w:rPr>
          <w:rFonts w:hint="eastAsia" w:ascii="宋体" w:hAnsi="宋体" w:eastAsia="宋体" w:cs="宋体"/>
          <w:spacing w:val="-5"/>
          <w:sz w:val="24"/>
          <w:szCs w:val="24"/>
        </w:rPr>
        <w:t>程不见面开标操作手册</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rPr>
        <w:t>供应商版</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rPr>
        <w:t>》。</w:t>
      </w:r>
    </w:p>
    <w:p w14:paraId="1933AF9B">
      <w:pPr>
        <w:pStyle w:val="4"/>
        <w:pageBreakBefore w:val="0"/>
        <w:kinsoku/>
        <w:wordWrap/>
        <w:overflowPunct/>
        <w:topLinePunct w:val="0"/>
        <w:bidi w:val="0"/>
        <w:spacing w:line="460" w:lineRule="exact"/>
        <w:ind w:firstLine="482" w:firstLineChars="200"/>
        <w:textAlignment w:val="auto"/>
        <w:rPr>
          <w:rFonts w:hint="eastAsia" w:ascii="宋体" w:hAnsi="宋体" w:eastAsia="宋体" w:cs="宋体"/>
          <w:color w:val="auto"/>
          <w:sz w:val="24"/>
          <w:szCs w:val="24"/>
          <w:lang w:val="zh-CN" w:eastAsia="zh-CN"/>
        </w:rPr>
      </w:pPr>
      <w:bookmarkStart w:id="220" w:name="_Toc980"/>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确定成交供应商</w:t>
      </w:r>
      <w:bookmarkEnd w:id="211"/>
      <w:bookmarkEnd w:id="212"/>
      <w:bookmarkEnd w:id="213"/>
      <w:bookmarkEnd w:id="214"/>
      <w:bookmarkEnd w:id="215"/>
      <w:bookmarkEnd w:id="216"/>
      <w:bookmarkEnd w:id="217"/>
      <w:bookmarkEnd w:id="218"/>
      <w:bookmarkEnd w:id="219"/>
      <w:bookmarkEnd w:id="220"/>
    </w:p>
    <w:p w14:paraId="30AEEA12">
      <w:pPr>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en-US" w:eastAsia="zh-CN"/>
        </w:rPr>
        <w:t>3.1</w:t>
      </w:r>
      <w:r>
        <w:rPr>
          <w:rFonts w:hint="eastAsia" w:ascii="宋体" w:hAnsi="宋体" w:eastAsia="宋体" w:cs="宋体"/>
          <w:color w:val="auto"/>
          <w:kern w:val="0"/>
          <w:sz w:val="24"/>
          <w:szCs w:val="24"/>
          <w:lang w:val="zh-CN"/>
        </w:rPr>
        <w:t>谈判小组从质量和服务均能满足谈判文件实质性响应要求的供应商中，确定最终报价最低的供应商作为成交供应商。</w:t>
      </w:r>
    </w:p>
    <w:p w14:paraId="2A9BA8D5">
      <w:pPr>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auto"/>
          <w:sz w:val="24"/>
          <w:szCs w:val="24"/>
          <w:lang w:val="en-GB"/>
        </w:rPr>
      </w:pPr>
      <w:r>
        <w:rPr>
          <w:rFonts w:hint="eastAsia" w:ascii="宋体" w:hAnsi="宋体" w:eastAsia="宋体" w:cs="宋体"/>
          <w:color w:val="auto"/>
          <w:kern w:val="0"/>
          <w:sz w:val="24"/>
          <w:szCs w:val="24"/>
          <w:lang w:val="zh-CN"/>
        </w:rPr>
        <w:t>若两家及以上供应商在最终轮次报价中相同且最低的，以货物质量更优者为成交供应商。</w:t>
      </w:r>
    </w:p>
    <w:p w14:paraId="26EDC8BD">
      <w:pPr>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谈判小组认为，供应商的报价或者某些分项报价明显不合理或者低于成本，有可能影响货物质量和不能诚信履约的，应当要求其在规定的期限内提供书面文件予以解释说明，并提交相关证明材料；否则，谈判小组可以取消该供应商的谈判资格，按照最终报价由低到高的顺序排在后面的供应商递补，以此类推。</w:t>
      </w:r>
    </w:p>
    <w:p w14:paraId="1C69385D">
      <w:pPr>
        <w:pageBreakBefore w:val="0"/>
        <w:kinsoku/>
        <w:wordWrap/>
        <w:overflowPunct/>
        <w:topLinePunct w:val="0"/>
        <w:autoSpaceDE w:val="0"/>
        <w:autoSpaceDN w:val="0"/>
        <w:bidi w:val="0"/>
        <w:adjustRightInd w:val="0"/>
        <w:spacing w:line="460" w:lineRule="exact"/>
        <w:ind w:firstLine="480" w:firstLineChars="200"/>
        <w:textAlignment w:val="auto"/>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en-US" w:eastAsia="zh-CN"/>
        </w:rPr>
        <w:t>3.2</w:t>
      </w:r>
      <w:r>
        <w:rPr>
          <w:rFonts w:hint="eastAsia" w:ascii="宋体" w:hAnsi="宋体" w:eastAsia="宋体" w:cs="宋体"/>
          <w:color w:val="auto"/>
          <w:kern w:val="0"/>
          <w:sz w:val="24"/>
          <w:szCs w:val="24"/>
          <w:lang w:val="zh-CN" w:eastAsia="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A2A8900">
      <w:pPr>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lang w:val="en-US" w:eastAsia="zh-CN"/>
        </w:rPr>
        <w:t>3.3</w:t>
      </w:r>
      <w:r>
        <w:rPr>
          <w:rFonts w:hint="eastAsia" w:ascii="宋体" w:hAnsi="宋体" w:eastAsia="宋体" w:cs="宋体"/>
          <w:color w:val="auto"/>
          <w:sz w:val="24"/>
          <w:szCs w:val="24"/>
          <w:lang w:val="zh-CN"/>
        </w:rPr>
        <w:t>成交供应商除因法定不可抗力外不得随意放弃成交资格，否则承担相应法律责任。成交供应商确因不可抗力不能履行政府采购合同，或因被查实存在影响成交结果的违法行为等情形，不符合成交条件的，应予以废标，由采购人依法重新组织采购。</w:t>
      </w:r>
    </w:p>
    <w:p w14:paraId="7262FB6E">
      <w:pPr>
        <w:pageBreakBefore w:val="0"/>
        <w:kinsoku/>
        <w:wordWrap/>
        <w:overflowPunct/>
        <w:topLinePunct w:val="0"/>
        <w:bidi w:val="0"/>
        <w:spacing w:line="460" w:lineRule="exact"/>
        <w:ind w:firstLine="482" w:firstLineChars="200"/>
        <w:textAlignment w:val="auto"/>
        <w:rPr>
          <w:rFonts w:hint="eastAsia" w:ascii="宋体" w:hAnsi="宋体" w:eastAsia="宋体" w:cs="宋体"/>
          <w:b/>
          <w:bCs/>
          <w:color w:val="auto"/>
          <w:kern w:val="2"/>
          <w:sz w:val="24"/>
          <w:szCs w:val="24"/>
          <w:lang w:val="zh-CN" w:eastAsia="zh-CN" w:bidi="ar-SA"/>
        </w:rPr>
      </w:pPr>
      <w:r>
        <w:rPr>
          <w:rFonts w:hint="eastAsia" w:ascii="宋体" w:hAnsi="宋体" w:eastAsia="宋体" w:cs="宋体"/>
          <w:b/>
          <w:bCs/>
          <w:color w:val="auto"/>
          <w:kern w:val="2"/>
          <w:sz w:val="24"/>
          <w:szCs w:val="24"/>
          <w:lang w:val="en-US" w:eastAsia="zh-CN" w:bidi="ar-SA"/>
        </w:rPr>
        <w:t>4.</w:t>
      </w:r>
      <w:r>
        <w:rPr>
          <w:rFonts w:hint="eastAsia" w:ascii="宋体" w:hAnsi="宋体" w:eastAsia="宋体" w:cs="宋体"/>
          <w:b/>
          <w:bCs/>
          <w:color w:val="auto"/>
          <w:kern w:val="2"/>
          <w:sz w:val="24"/>
          <w:szCs w:val="24"/>
          <w:lang w:val="zh-CN" w:eastAsia="zh-CN" w:bidi="ar-SA"/>
        </w:rPr>
        <w:t>编写评审报告</w:t>
      </w:r>
    </w:p>
    <w:p w14:paraId="49A84752">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谈判小组根据谈判情况编制评审报告，谈判小组成员对评审报告有异议的，应当在评审报告上签署不同意见，并说明理由，否则视为同意。对拒绝说明理由的，须报政府采购监管部门处理，并将其评审情况如实计入考核表。</w:t>
      </w:r>
    </w:p>
    <w:p w14:paraId="0DDFB4E2">
      <w:pPr>
        <w:pStyle w:val="4"/>
        <w:pageBreakBefore w:val="0"/>
        <w:kinsoku/>
        <w:wordWrap/>
        <w:overflowPunct/>
        <w:topLinePunct w:val="0"/>
        <w:bidi w:val="0"/>
        <w:spacing w:line="460" w:lineRule="exact"/>
        <w:ind w:firstLine="482" w:firstLineChars="200"/>
        <w:textAlignment w:val="auto"/>
        <w:rPr>
          <w:rFonts w:hint="eastAsia" w:ascii="宋体" w:hAnsi="宋体" w:eastAsia="宋体" w:cs="宋体"/>
          <w:color w:val="auto"/>
          <w:sz w:val="24"/>
          <w:szCs w:val="24"/>
        </w:rPr>
      </w:pPr>
      <w:bookmarkStart w:id="221" w:name="_Toc23315667"/>
      <w:bookmarkStart w:id="222" w:name="_Toc22281"/>
      <w:bookmarkStart w:id="223" w:name="_Toc35335263"/>
      <w:bookmarkStart w:id="224" w:name="_Toc5438"/>
      <w:bookmarkStart w:id="225" w:name="_Toc23467"/>
      <w:bookmarkStart w:id="226" w:name="_Toc21324"/>
      <w:bookmarkStart w:id="227" w:name="_Toc18412206"/>
      <w:bookmarkStart w:id="228" w:name="_Toc14524"/>
      <w:bookmarkStart w:id="229" w:name="_Toc14189281"/>
      <w:bookmarkStart w:id="230" w:name="_Toc23316689"/>
      <w:bookmarkStart w:id="231" w:name="_Toc23316527"/>
      <w:bookmarkStart w:id="232" w:name="_Toc22011"/>
      <w:bookmarkStart w:id="233" w:name="_Toc23627"/>
      <w:bookmarkStart w:id="234" w:name="_Toc27335"/>
      <w:bookmarkStart w:id="235" w:name="_Toc23316591"/>
      <w:bookmarkStart w:id="236" w:name="_Toc13242"/>
      <w:bookmarkStart w:id="237" w:name="_Toc14189414"/>
      <w:bookmarkStart w:id="238" w:name="_Toc1055"/>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定标</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3D855C21">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5.1</w:t>
      </w:r>
      <w:r>
        <w:rPr>
          <w:rFonts w:hint="eastAsia" w:ascii="宋体" w:hAnsi="宋体" w:eastAsia="宋体" w:cs="宋体"/>
          <w:color w:val="auto"/>
          <w:sz w:val="24"/>
          <w:szCs w:val="24"/>
        </w:rPr>
        <w:t>招标代理机构在评审工作结束后，对评审报告进行审核，在2个工作日内，将评审报告送采购人确认。</w:t>
      </w:r>
    </w:p>
    <w:p w14:paraId="6482F796">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5.2</w:t>
      </w:r>
      <w:r>
        <w:rPr>
          <w:rFonts w:hint="eastAsia" w:ascii="宋体" w:hAnsi="宋体" w:eastAsia="宋体" w:cs="宋体"/>
          <w:color w:val="auto"/>
          <w:sz w:val="24"/>
          <w:szCs w:val="24"/>
        </w:rPr>
        <w:t>采购人在收到评审报告后5个工作日内，按照评审报告中推荐的成交候选供应商排序第一的确定为成交供应商，也可以书面授权谈判小组直接确定成交供应商。采购人逾期未确定成交供应商且不提出异议的，视为确定评审报告提出的排序第一的供应商为成交供应商。</w:t>
      </w:r>
    </w:p>
    <w:p w14:paraId="6D3CC8C3">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5.3</w:t>
      </w:r>
      <w:r>
        <w:rPr>
          <w:rFonts w:hint="eastAsia" w:ascii="宋体" w:hAnsi="宋体" w:eastAsia="宋体" w:cs="宋体"/>
          <w:color w:val="auto"/>
          <w:sz w:val="24"/>
          <w:szCs w:val="24"/>
        </w:rPr>
        <w:t>在确定成交供应商后，招标代理机构发布成交公告，向确定的成交供应商发出“成交通知书”。</w:t>
      </w:r>
    </w:p>
    <w:p w14:paraId="5AC6D6BB">
      <w:pPr>
        <w:pageBreakBefore w:val="0"/>
        <w:kinsoku/>
        <w:wordWrap/>
        <w:overflowPunct/>
        <w:topLinePunct w:val="0"/>
        <w:bidi w:val="0"/>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5.4</w:t>
      </w:r>
      <w:r>
        <w:rPr>
          <w:rFonts w:hint="eastAsia" w:ascii="宋体" w:hAnsi="宋体" w:eastAsia="宋体" w:cs="宋体"/>
          <w:bCs/>
          <w:color w:val="auto"/>
          <w:sz w:val="24"/>
          <w:szCs w:val="24"/>
        </w:rPr>
        <w:t>招标代理机构不做未成交原因的解释。</w:t>
      </w:r>
    </w:p>
    <w:p w14:paraId="67DF9D37">
      <w:pPr>
        <w:pageBreakBefore w:val="0"/>
        <w:kinsoku/>
        <w:wordWrap/>
        <w:overflowPunct/>
        <w:topLinePunct w:val="0"/>
        <w:bidi w:val="0"/>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5.5</w:t>
      </w:r>
      <w:r>
        <w:rPr>
          <w:rFonts w:hint="eastAsia" w:ascii="宋体" w:hAnsi="宋体" w:eastAsia="宋体" w:cs="宋体"/>
          <w:bCs/>
          <w:color w:val="auto"/>
          <w:sz w:val="24"/>
          <w:szCs w:val="24"/>
        </w:rPr>
        <w:t>成交人应在接到招标代理机构通知之日起七日内领取成交通知书。</w:t>
      </w:r>
    </w:p>
    <w:p w14:paraId="0DC81B35">
      <w:pPr>
        <w:pStyle w:val="4"/>
        <w:pageBreakBefore w:val="0"/>
        <w:kinsoku/>
        <w:wordWrap/>
        <w:overflowPunct/>
        <w:topLinePunct w:val="0"/>
        <w:bidi w:val="0"/>
        <w:spacing w:line="460" w:lineRule="exact"/>
        <w:jc w:val="center"/>
        <w:textAlignment w:val="auto"/>
        <w:rPr>
          <w:rFonts w:hint="eastAsia" w:ascii="宋体" w:hAnsi="宋体" w:eastAsia="宋体" w:cs="宋体"/>
          <w:color w:val="auto"/>
          <w:sz w:val="24"/>
          <w:szCs w:val="24"/>
        </w:rPr>
      </w:pPr>
      <w:bookmarkStart w:id="239" w:name="_Toc27097"/>
      <w:bookmarkStart w:id="240" w:name="_Toc6540"/>
      <w:bookmarkStart w:id="241" w:name="_Toc14736"/>
      <w:bookmarkStart w:id="242" w:name="_Toc31073"/>
      <w:bookmarkStart w:id="243" w:name="_Toc3607"/>
      <w:bookmarkStart w:id="244" w:name="_Toc3632"/>
      <w:bookmarkStart w:id="245" w:name="_Toc16014"/>
      <w:bookmarkStart w:id="246" w:name="_Toc23948"/>
      <w:r>
        <w:rPr>
          <w:rFonts w:hint="eastAsia" w:ascii="宋体" w:hAnsi="宋体" w:eastAsia="宋体" w:cs="宋体"/>
          <w:color w:val="auto"/>
          <w:sz w:val="24"/>
          <w:szCs w:val="24"/>
          <w:lang w:eastAsia="zh-CN"/>
        </w:rPr>
        <w:t>六</w:t>
      </w:r>
      <w:r>
        <w:rPr>
          <w:rFonts w:hint="eastAsia" w:ascii="宋体" w:hAnsi="宋体" w:eastAsia="宋体" w:cs="宋体"/>
          <w:color w:val="auto"/>
          <w:sz w:val="24"/>
          <w:szCs w:val="24"/>
        </w:rPr>
        <w:t>、签订政府采购合同</w:t>
      </w:r>
      <w:bookmarkEnd w:id="136"/>
      <w:bookmarkEnd w:id="137"/>
      <w:bookmarkEnd w:id="138"/>
      <w:bookmarkEnd w:id="139"/>
      <w:bookmarkEnd w:id="140"/>
      <w:bookmarkEnd w:id="141"/>
      <w:bookmarkEnd w:id="142"/>
      <w:bookmarkEnd w:id="143"/>
      <w:bookmarkEnd w:id="144"/>
      <w:bookmarkEnd w:id="145"/>
      <w:bookmarkEnd w:id="239"/>
      <w:bookmarkEnd w:id="240"/>
      <w:bookmarkEnd w:id="241"/>
      <w:bookmarkEnd w:id="242"/>
      <w:bookmarkEnd w:id="243"/>
      <w:bookmarkEnd w:id="244"/>
      <w:bookmarkEnd w:id="245"/>
      <w:bookmarkEnd w:id="246"/>
    </w:p>
    <w:p w14:paraId="329708E7">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采购人与成交供应商应当在成交通知书发出之日起</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日内，按照谈判文件确定的合同文本签订政府采购合同。</w:t>
      </w:r>
    </w:p>
    <w:p w14:paraId="598437AD">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采购人不得向成交供应商提出超出谈判文件以外的任何要求作为签订合同的条件，不得与成交供应商订立背离谈判文件确定的合同文本以及采购服务要求实质性内容的协议。</w:t>
      </w:r>
    </w:p>
    <w:p w14:paraId="112E6BBF">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成交供应商拒绝与采购人签订合同的，采购人可以按照评审报告推荐的成交候选人名单排序，确定下一候选人为成交供应商，也可以重新开展政府采购活动。</w:t>
      </w:r>
    </w:p>
    <w:p w14:paraId="65CF0FFE">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政府采购合同在执行过程中，确需修改、变更时，应当按照相应的审核批准程序办理。</w:t>
      </w:r>
    </w:p>
    <w:p w14:paraId="2CF33165">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谈判文件、响应文件、澄清等为政府采购合同的组成部分，具有同等法律效力。</w:t>
      </w:r>
    </w:p>
    <w:p w14:paraId="7A5177CC">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采购人按有关规定将政府采购合同报送监管机构备案。</w:t>
      </w:r>
    </w:p>
    <w:p w14:paraId="68A52502">
      <w:pPr>
        <w:pStyle w:val="4"/>
        <w:pageBreakBefore w:val="0"/>
        <w:kinsoku/>
        <w:wordWrap/>
        <w:overflowPunct/>
        <w:topLinePunct w:val="0"/>
        <w:bidi w:val="0"/>
        <w:spacing w:line="460" w:lineRule="exact"/>
        <w:jc w:val="center"/>
        <w:textAlignment w:val="auto"/>
        <w:rPr>
          <w:rFonts w:hint="eastAsia" w:ascii="宋体" w:hAnsi="宋体" w:eastAsia="宋体" w:cs="宋体"/>
          <w:color w:val="auto"/>
          <w:sz w:val="24"/>
          <w:szCs w:val="24"/>
        </w:rPr>
      </w:pPr>
      <w:bookmarkStart w:id="247" w:name="_Toc20160"/>
      <w:bookmarkStart w:id="248" w:name="_Toc32028"/>
      <w:bookmarkStart w:id="249" w:name="_Toc21443"/>
      <w:bookmarkStart w:id="250" w:name="_Toc14189416"/>
      <w:bookmarkStart w:id="251" w:name="_Toc9046"/>
      <w:bookmarkStart w:id="252" w:name="_Toc23315669"/>
      <w:bookmarkStart w:id="253" w:name="_Toc35335265"/>
      <w:bookmarkStart w:id="254" w:name="_Toc19198"/>
      <w:bookmarkStart w:id="255" w:name="_Toc14189283"/>
      <w:bookmarkStart w:id="256" w:name="_Toc20083"/>
      <w:bookmarkStart w:id="257" w:name="_Toc24339"/>
      <w:bookmarkStart w:id="258" w:name="_Toc14689"/>
      <w:bookmarkStart w:id="259" w:name="_Toc23316593"/>
      <w:bookmarkStart w:id="260" w:name="_Toc23316691"/>
      <w:bookmarkStart w:id="261" w:name="_Toc22563"/>
      <w:bookmarkStart w:id="262" w:name="_Toc22883"/>
      <w:bookmarkStart w:id="263" w:name="_Toc18412208"/>
      <w:bookmarkStart w:id="264" w:name="_Toc23316529"/>
      <w:r>
        <w:rPr>
          <w:rFonts w:hint="eastAsia" w:ascii="宋体" w:hAnsi="宋体" w:eastAsia="宋体" w:cs="宋体"/>
          <w:color w:val="auto"/>
          <w:sz w:val="24"/>
          <w:szCs w:val="24"/>
          <w:lang w:eastAsia="zh-CN"/>
        </w:rPr>
        <w:t>七</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代理</w:t>
      </w:r>
      <w:r>
        <w:rPr>
          <w:rFonts w:hint="eastAsia" w:ascii="宋体" w:hAnsi="宋体" w:eastAsia="宋体" w:cs="宋体"/>
          <w:color w:val="auto"/>
          <w:sz w:val="24"/>
          <w:szCs w:val="24"/>
        </w:rPr>
        <w:t>服务费</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3FA32042">
      <w:pPr>
        <w:keepNext w:val="0"/>
        <w:keepLines w:val="0"/>
        <w:pageBreakBefore w:val="0"/>
        <w:widowControl/>
        <w:numPr>
          <w:ilvl w:val="0"/>
          <w:numId w:val="0"/>
        </w:numPr>
        <w:kinsoku/>
        <w:wordWrap w:val="0"/>
        <w:overflowPunct/>
        <w:topLinePunct w:val="0"/>
        <w:autoSpaceDE/>
        <w:autoSpaceDN/>
        <w:bidi w:val="0"/>
        <w:adjustRightInd/>
        <w:snapToGrid/>
        <w:spacing w:line="460" w:lineRule="exact"/>
        <w:ind w:firstLine="480" w:firstLineChars="200"/>
        <w:jc w:val="both"/>
        <w:textAlignment w:val="auto"/>
        <w:outlineLvl w:val="1"/>
        <w:rPr>
          <w:rFonts w:hint="eastAsia" w:ascii="宋体" w:hAnsi="宋体" w:eastAsia="宋体" w:cs="宋体"/>
          <w:color w:val="auto"/>
          <w:sz w:val="24"/>
          <w:szCs w:val="24"/>
        </w:rPr>
      </w:pPr>
      <w:bookmarkStart w:id="265" w:name="_Toc29960"/>
      <w:bookmarkStart w:id="266" w:name="_Toc16359"/>
      <w:bookmarkStart w:id="267" w:name="_Toc16210"/>
      <w:bookmarkStart w:id="268" w:name="_Toc16611"/>
      <w:r>
        <w:rPr>
          <w:rFonts w:hint="eastAsia" w:ascii="宋体" w:hAnsi="宋体" w:eastAsia="宋体" w:cs="宋体"/>
          <w:color w:val="auto"/>
          <w:sz w:val="24"/>
          <w:szCs w:val="24"/>
          <w:lang w:val="en-US" w:eastAsia="zh-CN"/>
        </w:rPr>
        <w:t>1.中标服务费参照国家计委关于印发《招标代理服务收费管理暂行办法》的通知（计价格〔2002〕1980号）和《国家发展改革委办公厅关于招标代理服务收费有关问题的通知》（发改办价格〔2003〕857号）规定标准计取。（采购代理机构开户名称：安康尚昊招标代理有限公司  开户行名称：中国建设银行股份有限公司安康分行营业部  账号：61050166371100000492）。</w:t>
      </w:r>
      <w:bookmarkEnd w:id="265"/>
      <w:bookmarkEnd w:id="266"/>
      <w:bookmarkEnd w:id="267"/>
      <w:bookmarkEnd w:id="268"/>
    </w:p>
    <w:p w14:paraId="7E35F936">
      <w:pPr>
        <w:pageBreakBefore w:val="0"/>
        <w:numPr>
          <w:ilvl w:val="0"/>
          <w:numId w:val="0"/>
        </w:numPr>
        <w:kinsoku/>
        <w:wordWrap/>
        <w:topLinePunct w:val="0"/>
        <w:autoSpaceDE/>
        <w:autoSpaceDN/>
        <w:bidi w:val="0"/>
        <w:spacing w:line="460" w:lineRule="exact"/>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成交</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在领取成交通知书前，须向采购代理机构一次性支付招标代理服务费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代理服务费以转账、电汇或现金等形式交纳。</w:t>
      </w:r>
    </w:p>
    <w:p w14:paraId="34D878E5">
      <w:pPr>
        <w:pageBreakBefore w:val="0"/>
        <w:kinsoku/>
        <w:wordWrap/>
        <w:overflowPunct/>
        <w:topLinePunct w:val="0"/>
        <w:bidi w:val="0"/>
        <w:adjustRightInd w:val="0"/>
        <w:snapToGrid w:val="0"/>
        <w:spacing w:line="460" w:lineRule="exact"/>
        <w:ind w:firstLine="482" w:firstLineChars="200"/>
        <w:jc w:val="center"/>
        <w:textAlignment w:val="auto"/>
        <w:rPr>
          <w:rFonts w:hint="eastAsia" w:ascii="宋体" w:hAnsi="宋体" w:eastAsia="宋体" w:cs="宋体"/>
          <w:b/>
          <w:color w:val="auto"/>
          <w:kern w:val="0"/>
          <w:sz w:val="24"/>
          <w:szCs w:val="24"/>
          <w:lang w:val="zh-CN" w:eastAsia="zh-CN"/>
        </w:rPr>
      </w:pPr>
      <w:r>
        <w:rPr>
          <w:rFonts w:hint="eastAsia" w:ascii="宋体" w:hAnsi="宋体" w:eastAsia="宋体" w:cs="宋体"/>
          <w:b/>
          <w:color w:val="auto"/>
          <w:kern w:val="0"/>
          <w:sz w:val="24"/>
          <w:szCs w:val="24"/>
          <w:lang w:val="zh-CN" w:eastAsia="zh-CN"/>
        </w:rPr>
        <w:t>八、政府采购政策</w:t>
      </w:r>
    </w:p>
    <w:p w14:paraId="1C128EFF">
      <w:pPr>
        <w:keepNext w:val="0"/>
        <w:keepLines w:val="0"/>
        <w:widowControl/>
        <w:suppressLineNumbers w:val="0"/>
        <w:autoSpaceDE w:val="0"/>
        <w:autoSpaceDN w:val="0"/>
        <w:adjustRightInd w:val="0"/>
        <w:snapToGrid w:val="0"/>
        <w:spacing w:before="0" w:beforeAutospacing="0" w:after="0" w:afterAutospacing="0" w:line="360" w:lineRule="auto"/>
        <w:ind w:left="0" w:right="0" w:firstLine="482" w:firstLineChars="200"/>
        <w:jc w:val="both"/>
        <w:rPr>
          <w:rFonts w:hint="eastAsia" w:ascii="宋体" w:hAnsi="宋体" w:eastAsia="宋体" w:cs="宋体"/>
          <w:b/>
          <w:bCs w:val="0"/>
          <w:sz w:val="24"/>
          <w:szCs w:val="28"/>
          <w:lang w:val="zh-CN" w:eastAsia="zh-CN"/>
        </w:rPr>
      </w:pPr>
      <w:r>
        <w:rPr>
          <w:rFonts w:hint="eastAsia" w:ascii="宋体" w:hAnsi="宋体" w:eastAsia="宋体" w:cs="宋体"/>
          <w:b/>
          <w:bCs w:val="0"/>
          <w:kern w:val="2"/>
          <w:sz w:val="24"/>
          <w:szCs w:val="28"/>
          <w:lang w:val="en-US" w:eastAsia="zh-CN" w:bidi="ar"/>
        </w:rPr>
        <w:t>1.</w:t>
      </w:r>
      <w:r>
        <w:rPr>
          <w:rFonts w:hint="eastAsia" w:ascii="宋体" w:hAnsi="宋体" w:eastAsia="宋体" w:cs="宋体"/>
          <w:b/>
          <w:bCs w:val="0"/>
          <w:kern w:val="2"/>
          <w:sz w:val="24"/>
          <w:szCs w:val="28"/>
          <w:lang w:val="zh-CN" w:eastAsia="zh-CN" w:bidi="ar"/>
        </w:rPr>
        <w:t>投标企业政府采购政策</w:t>
      </w:r>
    </w:p>
    <w:p w14:paraId="1FBE162A">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依据《中华人民共和国政府采购法》和《中华人民共和国政府采购法实施条例》的有关规定，落实政府采购“优先购买节能环保产品、扶持小微企业、监狱企业、福利企业”等相关政策：</w:t>
      </w:r>
    </w:p>
    <w:p w14:paraId="67B73EA6">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依据《政府采购促进中小企业发展管理办法》（财库〔2020〕46号）的有关规定，在政府采购活动中投标人为小型和微型企业的，对价格给予10%的价格扣除，用扣除后的价格参与评标（所投的货物/承建的工程/承接的服务由小型和微型提供）；</w:t>
      </w:r>
    </w:p>
    <w:p w14:paraId="4BDB5604">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根据财政部、司法部联合下发的《关于政府采购支持监狱企业发展有关问题的通知》（财库〔2014〕68号）的规定，监狱企业视同小型、微型企业。评标时，对监狱企业给予6%～10%的价格扣除，用扣除后的价格参与评审；</w:t>
      </w:r>
    </w:p>
    <w:p w14:paraId="4F850DC7">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kern w:val="2"/>
          <w:sz w:val="24"/>
          <w:szCs w:val="24"/>
          <w:lang w:val="en-US" w:eastAsia="zh-CN" w:bidi="ar"/>
        </w:rPr>
        <w:t>（3）根据财政部、民政部、中国残疾人联合会下发的《关于促进残疾人就业政府采购政策的通知》（财库〔2017〕141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w:t>
      </w:r>
      <w:r>
        <w:rPr>
          <w:rFonts w:hint="eastAsia" w:ascii="宋体" w:hAnsi="宋体" w:eastAsia="宋体" w:cs="宋体"/>
          <w:color w:val="auto"/>
          <w:kern w:val="2"/>
          <w:sz w:val="24"/>
          <w:szCs w:val="24"/>
          <w:highlight w:val="none"/>
          <w:lang w:val="en-US" w:eastAsia="zh-CN" w:bidi="ar"/>
        </w:rPr>
        <w:t>价格扣除等促进中小企业发展的政府采购政策。</w:t>
      </w:r>
    </w:p>
    <w:p w14:paraId="1FE9CB17">
      <w:pPr>
        <w:keepNext w:val="0"/>
        <w:keepLines w:val="0"/>
        <w:widowControl/>
        <w:suppressLineNumbers w:val="0"/>
        <w:tabs>
          <w:tab w:val="left" w:pos="0"/>
        </w:tabs>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（4）对专门面向中小企业采购项目，不再执行价格扣除政策。</w:t>
      </w:r>
    </w:p>
    <w:p w14:paraId="6081D510">
      <w:pPr>
        <w:pStyle w:val="4"/>
        <w:widowControl/>
        <w:adjustRightInd w:val="0"/>
        <w:snapToGrid w:val="0"/>
        <w:spacing w:line="360" w:lineRule="auto"/>
        <w:ind w:left="0" w:firstLine="480" w:firstLineChars="200"/>
        <w:rPr>
          <w:rFonts w:hint="eastAsia" w:ascii="宋体" w:hAnsi="宋体" w:eastAsia="宋体" w:cs="宋体"/>
          <w:b w:val="0"/>
          <w:bCs w:val="0"/>
          <w:color w:val="auto"/>
          <w:sz w:val="24"/>
          <w:szCs w:val="24"/>
          <w:highlight w:val="none"/>
          <w:lang w:val="en-US"/>
        </w:rPr>
      </w:pPr>
      <w:bookmarkStart w:id="269" w:name="_Toc25662"/>
      <w:bookmarkStart w:id="270" w:name="_Toc12281"/>
      <w:bookmarkStart w:id="271" w:name="_Toc11142"/>
      <w:bookmarkStart w:id="272" w:name="_Toc10909"/>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rPr>
        <w:t>5</w:t>
      </w:r>
      <w:r>
        <w:rPr>
          <w:rFonts w:hint="eastAsia" w:ascii="宋体" w:hAnsi="宋体" w:eastAsia="宋体" w:cs="宋体"/>
          <w:b w:val="0"/>
          <w:bCs w:val="0"/>
          <w:color w:val="auto"/>
          <w:sz w:val="24"/>
          <w:szCs w:val="24"/>
          <w:highlight w:val="none"/>
          <w:lang w:eastAsia="zh-CN"/>
        </w:rPr>
        <w:t>）对非专门面向中小企业采购项目，执行以上价格扣除政策。</w:t>
      </w:r>
      <w:bookmarkEnd w:id="269"/>
      <w:bookmarkEnd w:id="270"/>
      <w:bookmarkEnd w:id="271"/>
      <w:bookmarkEnd w:id="272"/>
    </w:p>
    <w:p w14:paraId="4207D072">
      <w:pPr>
        <w:keepNext w:val="0"/>
        <w:keepLines w:val="0"/>
        <w:widowControl/>
        <w:suppressLineNumbers w:val="0"/>
        <w:adjustRightInd w:val="0"/>
        <w:snapToGrid w:val="0"/>
        <w:spacing w:before="0" w:beforeAutospacing="0" w:after="0" w:afterAutospacing="0" w:line="360" w:lineRule="auto"/>
        <w:ind w:left="0" w:right="0" w:firstLine="482" w:firstLineChars="200"/>
        <w:jc w:val="both"/>
        <w:rPr>
          <w:rFonts w:hint="eastAsia" w:ascii="宋体" w:hAnsi="宋体" w:eastAsia="宋体" w:cs="宋体"/>
          <w:kern w:val="2"/>
          <w:sz w:val="24"/>
          <w:szCs w:val="24"/>
          <w:lang w:val="en-US" w:eastAsia="zh-CN" w:bidi="ar"/>
        </w:rPr>
      </w:pPr>
      <w:r>
        <w:rPr>
          <w:rFonts w:hint="eastAsia" w:ascii="宋体" w:hAnsi="宋体" w:eastAsia="宋体" w:cs="宋体"/>
          <w:b/>
          <w:bCs w:val="0"/>
          <w:kern w:val="2"/>
          <w:sz w:val="24"/>
          <w:szCs w:val="24"/>
          <w:lang w:val="en-US" w:eastAsia="zh-CN" w:bidi="ar"/>
        </w:rPr>
        <w:t>注：</w:t>
      </w:r>
      <w:r>
        <w:rPr>
          <w:rFonts w:hint="eastAsia" w:ascii="宋体" w:hAnsi="宋体" w:eastAsia="宋体" w:cs="宋体"/>
          <w:kern w:val="2"/>
          <w:sz w:val="24"/>
          <w:szCs w:val="24"/>
          <w:lang w:val="en-US" w:eastAsia="zh-CN" w:bidi="ar"/>
        </w:rPr>
        <w:t>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谈判文件规定的价格优惠，但不影响投标文件的有效性，对既属于监狱企业、福利企业，同时又满足中小微企业规定的投标单位，其价格优惠仅适用一次。</w:t>
      </w:r>
    </w:p>
    <w:p w14:paraId="2CFD2E01">
      <w:pPr>
        <w:pStyle w:val="2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①根据财政部、国家发展改革委《关于印发〈节能产品政府采购实施意见〉的通知》（财库〔2004〕185号）所投产品属于节能产品政府采购清单所列产品，在技术、服务同等的条件下，应当优先采用清单中的节能产品；</w:t>
      </w:r>
    </w:p>
    <w:p w14:paraId="1BD39618">
      <w:pPr>
        <w:pStyle w:val="2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②所投产品为“环境标志产品政府采购清单”所列产品，在性能、技术、服务等指标同等的条件下，应当优先采用；</w:t>
      </w:r>
    </w:p>
    <w:p w14:paraId="51FEDD7C">
      <w:pPr>
        <w:pStyle w:val="2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③节能产品根据《国务院办公厅关于建立政府强制采购节能产品制度的通知》国办发〔2007〕51号的规定，以中国政府采购网（http://www.ccgp.gov.cn/）公布的最新一期节能产品政府采购清单为准；</w:t>
      </w:r>
    </w:p>
    <w:p w14:paraId="50F0ED9A">
      <w:pPr>
        <w:pStyle w:val="2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④环境标志产品根据《环境标志产品政府采购实施的意见》（财库〔2006〕90号）的规定，以中国政府采购网（http://www.ccgp.gov.cn/）公布的最新一期环境标志产品政府采购清单为准；</w:t>
      </w:r>
    </w:p>
    <w:p w14:paraId="0C06C6E2">
      <w:pPr>
        <w:pStyle w:val="2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⑤若节能、环保、环境标志清单内的产品仅是构成投标产品的部件、组件或零件的，则该投标产品不享受鼓励优惠政策；</w:t>
      </w:r>
    </w:p>
    <w:p w14:paraId="7237F51A">
      <w:pPr>
        <w:spacing w:line="480" w:lineRule="exact"/>
        <w:ind w:firstLine="480" w:firstLineChars="200"/>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（6）关于信用记录的查询和使用</w:t>
      </w:r>
    </w:p>
    <w:p w14:paraId="012BC154">
      <w:pPr>
        <w:spacing w:line="480" w:lineRule="exact"/>
        <w:ind w:firstLine="480" w:firstLineChars="200"/>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①采购人将在资格审查阶段通过【</w:t>
      </w: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"http://www.creditchina.gov.cn" </w:instrText>
      </w:r>
      <w:r>
        <w:rPr>
          <w:rFonts w:hint="eastAsia" w:ascii="宋体" w:hAnsi="宋体" w:eastAsia="宋体" w:cs="宋体"/>
          <w:kern w:val="2"/>
          <w:sz w:val="24"/>
          <w:szCs w:val="24"/>
          <w:lang w:val="en-US" w:eastAsia="zh-CN" w:bidi="ar"/>
        </w:rPr>
        <w:fldChar w:fldCharType="separate"/>
      </w:r>
      <w:r>
        <w:rPr>
          <w:rFonts w:hint="eastAsia" w:ascii="宋体" w:hAnsi="宋体" w:eastAsia="宋体" w:cs="宋体"/>
          <w:kern w:val="2"/>
          <w:sz w:val="24"/>
          <w:szCs w:val="24"/>
          <w:lang w:val="en-US" w:eastAsia="zh-CN" w:bidi="ar"/>
        </w:rPr>
        <w:t>信用中国</w:t>
      </w:r>
      <w:r>
        <w:rPr>
          <w:rFonts w:hint="eastAsia" w:ascii="宋体" w:hAnsi="宋体" w:eastAsia="宋体" w:cs="宋体"/>
          <w:kern w:val="2"/>
          <w:sz w:val="24"/>
          <w:szCs w:val="24"/>
          <w:lang w:val="en-US" w:eastAsia="zh-CN" w:bidi="ar"/>
        </w:rPr>
        <w:fldChar w:fldCharType="end"/>
      </w:r>
      <w:r>
        <w:rPr>
          <w:rFonts w:hint="eastAsia" w:ascii="宋体" w:hAnsi="宋体" w:eastAsia="宋体" w:cs="宋体"/>
          <w:kern w:val="2"/>
          <w:sz w:val="24"/>
          <w:szCs w:val="24"/>
          <w:lang w:val="en-US" w:eastAsia="zh-CN" w:bidi="ar"/>
        </w:rPr>
        <w:t>（www.creditchina.gov.cn）】、【</w:t>
      </w: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"http://www.ccgp.gov.cn/cr/list" </w:instrText>
      </w:r>
      <w:r>
        <w:rPr>
          <w:rFonts w:hint="eastAsia" w:ascii="宋体" w:hAnsi="宋体" w:eastAsia="宋体" w:cs="宋体"/>
          <w:kern w:val="2"/>
          <w:sz w:val="24"/>
          <w:szCs w:val="24"/>
          <w:lang w:val="en-US" w:eastAsia="zh-CN" w:bidi="ar"/>
        </w:rPr>
        <w:fldChar w:fldCharType="separate"/>
      </w:r>
      <w:r>
        <w:rPr>
          <w:rFonts w:hint="eastAsia" w:ascii="宋体" w:hAnsi="宋体" w:eastAsia="宋体" w:cs="宋体"/>
          <w:kern w:val="2"/>
          <w:sz w:val="24"/>
          <w:szCs w:val="24"/>
          <w:lang w:val="en-US" w:eastAsia="zh-CN" w:bidi="ar"/>
        </w:rPr>
        <w:t>中国政府采购网</w:t>
      </w:r>
      <w:r>
        <w:rPr>
          <w:rFonts w:hint="eastAsia" w:ascii="宋体" w:hAnsi="宋体" w:eastAsia="宋体" w:cs="宋体"/>
          <w:kern w:val="2"/>
          <w:sz w:val="24"/>
          <w:szCs w:val="24"/>
          <w:lang w:val="en-US" w:eastAsia="zh-CN" w:bidi="ar"/>
        </w:rPr>
        <w:fldChar w:fldCharType="end"/>
      </w:r>
      <w:r>
        <w:rPr>
          <w:rFonts w:hint="eastAsia" w:ascii="宋体" w:hAnsi="宋体" w:eastAsia="宋体" w:cs="宋体"/>
          <w:kern w:val="2"/>
          <w:sz w:val="24"/>
          <w:szCs w:val="24"/>
          <w:lang w:val="en-US" w:eastAsia="zh-CN" w:bidi="ar"/>
        </w:rPr>
        <w:t>（www.ccgp.gov.cn）】网站对投标文件正本中的《投标人书面声明函》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5AA848F1">
      <w:pPr>
        <w:spacing w:line="480" w:lineRule="exact"/>
        <w:ind w:firstLine="480" w:firstLineChars="200"/>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②投标人在参加政府采购活动前3年内因违法经营被禁止在一定期限内参加政府采购活动，期限届满的，可以参加政府采购活动的，但投标人应提供相关证明材料；</w:t>
      </w:r>
    </w:p>
    <w:p w14:paraId="62AD32C3">
      <w:pPr>
        <w:spacing w:line="480" w:lineRule="exact"/>
        <w:ind w:firstLine="480" w:firstLineChars="200"/>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③信用记录查询的截止时点为“招标文件发售之日起至投标截止日前”。信用记录查询的结果，将以截图保存至电子介质的形式留存。投标人未如实填报《投标人书面声明函》的，视为“投标人提供虚假材料谋取中标、成交的”行为。</w:t>
      </w:r>
    </w:p>
    <w:p w14:paraId="1EAF0AD2">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w:t>
      </w:r>
      <w:r>
        <w:rPr>
          <w:rFonts w:hint="eastAsia" w:ascii="宋体" w:hAnsi="宋体" w:eastAsia="宋体" w:cs="宋体"/>
          <w:bCs/>
          <w:color w:val="auto"/>
          <w:sz w:val="24"/>
          <w:szCs w:val="24"/>
          <w:lang w:val="en-US" w:eastAsia="zh-CN"/>
        </w:rPr>
        <w:t>7</w:t>
      </w:r>
      <w:r>
        <w:rPr>
          <w:rFonts w:hint="eastAsia" w:ascii="宋体" w:hAnsi="宋体" w:eastAsia="宋体" w:cs="宋体"/>
          <w:bCs/>
          <w:color w:val="auto"/>
          <w:sz w:val="24"/>
          <w:szCs w:val="24"/>
          <w:lang w:val="zh-CN"/>
        </w:rPr>
        <w:t>）融资政策</w:t>
      </w:r>
    </w:p>
    <w:p w14:paraId="6900289A">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根据《陕西省财政厅关于加快推进我省中小企业政府采购信用融资工作的通知》（陕财办采</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zh-CN"/>
        </w:rPr>
        <w:t>2020</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zh-CN"/>
        </w:rPr>
        <w:t>15号）文件精神，有融资需求的</w:t>
      </w:r>
      <w:r>
        <w:rPr>
          <w:rFonts w:hint="eastAsia" w:ascii="宋体" w:hAnsi="宋体" w:eastAsia="宋体" w:cs="宋体"/>
          <w:bCs/>
          <w:color w:val="auto"/>
          <w:sz w:val="24"/>
          <w:szCs w:val="24"/>
        </w:rPr>
        <w:t>中标（成交）人</w:t>
      </w:r>
      <w:r>
        <w:rPr>
          <w:rFonts w:hint="eastAsia" w:ascii="宋体" w:hAnsi="宋体" w:eastAsia="宋体" w:cs="宋体"/>
          <w:bCs/>
          <w:color w:val="auto"/>
          <w:sz w:val="24"/>
          <w:szCs w:val="24"/>
          <w:lang w:val="zh-CN"/>
        </w:rPr>
        <w:t>可根据自身情况，在陕西省政府采购信用融资平台（含各市分平台）自主选择金融机构及其融资产品，凭政府采购中标（成交）通知书或政府采购合同向金融机构提出融资申请。陕西省政府采购信用融资平台网址：http://www.ccgp-shaanxi.gov.cn/zcdservice/zcd/shanxi/s</w:t>
      </w:r>
    </w:p>
    <w:p w14:paraId="06E209DB">
      <w:pPr>
        <w:pStyle w:val="23"/>
        <w:rPr>
          <w:rFonts w:hint="eastAsia"/>
          <w:lang w:val="zh-CN" w:eastAsia="zh-CN"/>
        </w:rPr>
      </w:pPr>
    </w:p>
    <w:p w14:paraId="6D169AD1">
      <w:pPr>
        <w:keepNext w:val="0"/>
        <w:keepLines w:val="0"/>
        <w:widowControl/>
        <w:suppressLineNumbers w:val="0"/>
        <w:adjustRightInd w:val="0"/>
        <w:snapToGrid w:val="0"/>
        <w:spacing w:before="0" w:beforeAutospacing="0" w:after="0" w:afterAutospacing="0" w:line="360" w:lineRule="auto"/>
        <w:ind w:left="0" w:right="0" w:firstLine="482" w:firstLineChars="200"/>
        <w:jc w:val="both"/>
        <w:rPr>
          <w:rFonts w:hint="eastAsia" w:ascii="宋体" w:hAnsi="宋体" w:eastAsia="宋体" w:cs="宋体"/>
          <w:b/>
          <w:bCs w:val="0"/>
          <w:sz w:val="24"/>
          <w:szCs w:val="28"/>
          <w:lang w:val="zh-CN" w:eastAsia="zh-CN"/>
        </w:rPr>
      </w:pPr>
      <w:r>
        <w:rPr>
          <w:rFonts w:hint="eastAsia" w:ascii="宋体" w:hAnsi="宋体" w:eastAsia="宋体" w:cs="宋体"/>
          <w:b/>
          <w:bCs w:val="0"/>
          <w:kern w:val="2"/>
          <w:sz w:val="24"/>
          <w:szCs w:val="28"/>
          <w:lang w:val="en-US" w:eastAsia="zh-CN" w:bidi="ar"/>
        </w:rPr>
        <w:t>2.</w:t>
      </w:r>
      <w:r>
        <w:rPr>
          <w:rFonts w:hint="eastAsia" w:ascii="宋体" w:hAnsi="宋体" w:eastAsia="宋体" w:cs="宋体"/>
          <w:b/>
          <w:bCs w:val="0"/>
          <w:kern w:val="2"/>
          <w:sz w:val="24"/>
          <w:szCs w:val="28"/>
          <w:lang w:val="zh-CN" w:eastAsia="zh-CN" w:bidi="ar"/>
        </w:rPr>
        <w:t>价格优惠比例</w:t>
      </w:r>
    </w:p>
    <w:p w14:paraId="40B2D05C">
      <w:pPr>
        <w:keepNext w:val="0"/>
        <w:keepLines w:val="0"/>
        <w:widowControl/>
        <w:suppressLineNumbers w:val="0"/>
        <w:adjustRightInd w:val="0"/>
        <w:snapToGrid w:val="0"/>
        <w:spacing w:before="0" w:beforeAutospacing="0" w:after="0" w:afterAutospacing="0" w:line="360" w:lineRule="auto"/>
        <w:ind w:left="0" w:right="0" w:firstLine="472" w:firstLineChars="196"/>
        <w:jc w:val="both"/>
        <w:rPr>
          <w:rFonts w:hint="eastAsia" w:ascii="宋体" w:hAnsi="宋体" w:eastAsia="宋体" w:cs="宋体"/>
          <w:b/>
          <w:bCs w:val="0"/>
          <w:sz w:val="24"/>
          <w:szCs w:val="28"/>
          <w:lang w:val="en-US"/>
        </w:rPr>
      </w:pPr>
      <w:r>
        <w:rPr>
          <w:rFonts w:hint="eastAsia" w:ascii="宋体" w:hAnsi="宋体" w:eastAsia="宋体" w:cs="宋体"/>
          <w:b/>
          <w:bCs w:val="0"/>
          <w:kern w:val="2"/>
          <w:sz w:val="24"/>
          <w:szCs w:val="28"/>
          <w:lang w:val="en-US" w:eastAsia="zh-CN" w:bidi="ar"/>
        </w:rPr>
        <w:t>（1）</w:t>
      </w:r>
      <w:r>
        <w:rPr>
          <w:rFonts w:hint="eastAsia" w:ascii="宋体" w:hAnsi="宋体" w:eastAsia="宋体" w:cs="宋体"/>
          <w:b/>
          <w:bCs w:val="0"/>
          <w:kern w:val="2"/>
          <w:sz w:val="24"/>
          <w:szCs w:val="28"/>
          <w:lang w:val="zh-CN" w:eastAsia="zh-CN" w:bidi="ar"/>
        </w:rPr>
        <w:t>投标企业优惠比例</w:t>
      </w:r>
    </w:p>
    <w:p w14:paraId="0063DB5D">
      <w:pPr>
        <w:keepNext w:val="0"/>
        <w:keepLines w:val="0"/>
        <w:widowControl/>
        <w:suppressLineNumbers w:val="0"/>
        <w:adjustRightInd w:val="0"/>
        <w:snapToGrid w:val="0"/>
        <w:spacing w:before="0" w:beforeAutospacing="0" w:after="0" w:afterAutospacing="0" w:line="360" w:lineRule="auto"/>
        <w:ind w:left="0" w:right="0" w:firstLine="470" w:firstLineChars="196"/>
        <w:jc w:val="both"/>
        <w:rPr>
          <w:rFonts w:hint="eastAsia" w:ascii="宋体" w:hAnsi="宋体" w:eastAsia="宋体" w:cs="宋体"/>
          <w:sz w:val="24"/>
          <w:szCs w:val="28"/>
          <w:lang w:val="zh-CN" w:eastAsia="zh-CN"/>
        </w:rPr>
      </w:pPr>
      <w:r>
        <w:rPr>
          <w:rFonts w:hint="eastAsia" w:ascii="宋体" w:hAnsi="宋体" w:eastAsia="宋体" w:cs="宋体"/>
          <w:kern w:val="2"/>
          <w:sz w:val="24"/>
          <w:szCs w:val="28"/>
          <w:lang w:val="zh-CN" w:eastAsia="zh-CN" w:bidi="ar"/>
        </w:rPr>
        <w:t>符合谈判文件规定的小微企业、监狱企业或</w:t>
      </w:r>
      <w:r>
        <w:rPr>
          <w:rFonts w:hint="eastAsia" w:ascii="宋体" w:hAnsi="宋体" w:eastAsia="宋体" w:cs="宋体"/>
          <w:kern w:val="2"/>
          <w:sz w:val="24"/>
          <w:szCs w:val="28"/>
          <w:lang w:val="en-US" w:eastAsia="zh-CN" w:bidi="ar"/>
        </w:rPr>
        <w:t>残疾人福利性单位</w:t>
      </w:r>
      <w:r>
        <w:rPr>
          <w:rFonts w:hint="eastAsia" w:ascii="宋体" w:hAnsi="宋体" w:eastAsia="宋体" w:cs="宋体"/>
          <w:kern w:val="2"/>
          <w:sz w:val="24"/>
          <w:szCs w:val="28"/>
          <w:lang w:val="zh-CN" w:eastAsia="zh-CN" w:bidi="ar"/>
        </w:rPr>
        <w:t>优惠条件的供应商，价格给予</w:t>
      </w:r>
      <w:r>
        <w:rPr>
          <w:rFonts w:hint="eastAsia" w:ascii="宋体" w:hAnsi="宋体" w:eastAsia="宋体" w:cs="宋体"/>
          <w:kern w:val="2"/>
          <w:sz w:val="24"/>
          <w:szCs w:val="28"/>
          <w:lang w:val="en-US" w:eastAsia="zh-CN" w:bidi="ar"/>
        </w:rPr>
        <w:t>10</w:t>
      </w:r>
      <w:r>
        <w:rPr>
          <w:rFonts w:hint="eastAsia" w:ascii="宋体" w:hAnsi="宋体" w:eastAsia="宋体" w:cs="宋体"/>
          <w:kern w:val="2"/>
          <w:sz w:val="24"/>
          <w:szCs w:val="28"/>
          <w:lang w:val="zh-CN" w:eastAsia="zh-CN" w:bidi="ar"/>
        </w:rPr>
        <w:t>%的扣除（不重复优惠，最高为</w:t>
      </w:r>
      <w:r>
        <w:rPr>
          <w:rFonts w:hint="eastAsia" w:ascii="宋体" w:hAnsi="宋体" w:eastAsia="宋体" w:cs="宋体"/>
          <w:kern w:val="2"/>
          <w:sz w:val="24"/>
          <w:szCs w:val="28"/>
          <w:lang w:val="en-US" w:eastAsia="zh-CN" w:bidi="ar"/>
        </w:rPr>
        <w:t>10</w:t>
      </w:r>
      <w:r>
        <w:rPr>
          <w:rFonts w:hint="eastAsia" w:ascii="宋体" w:hAnsi="宋体" w:eastAsia="宋体" w:cs="宋体"/>
          <w:kern w:val="2"/>
          <w:sz w:val="24"/>
          <w:szCs w:val="28"/>
          <w:lang w:val="zh-CN" w:eastAsia="zh-CN" w:bidi="ar"/>
        </w:rPr>
        <w:t>%），用扣除后的价格参与评审。</w:t>
      </w:r>
    </w:p>
    <w:p w14:paraId="06F468F0">
      <w:pPr>
        <w:keepNext w:val="0"/>
        <w:keepLines w:val="0"/>
        <w:widowControl/>
        <w:suppressLineNumbers w:val="0"/>
        <w:adjustRightInd w:val="0"/>
        <w:snapToGrid w:val="0"/>
        <w:spacing w:before="0" w:beforeAutospacing="0" w:after="0" w:afterAutospacing="0" w:line="360" w:lineRule="auto"/>
        <w:ind w:left="0" w:right="0" w:firstLine="472" w:firstLineChars="196"/>
        <w:jc w:val="both"/>
        <w:rPr>
          <w:rFonts w:hint="eastAsia" w:ascii="宋体" w:hAnsi="宋体" w:eastAsia="宋体" w:cs="宋体"/>
          <w:sz w:val="24"/>
          <w:szCs w:val="28"/>
          <w:lang w:val="zh-CN" w:eastAsia="zh-CN"/>
        </w:rPr>
      </w:pPr>
      <w:r>
        <w:rPr>
          <w:rFonts w:hint="eastAsia" w:ascii="宋体" w:hAnsi="宋体" w:eastAsia="宋体" w:cs="宋体"/>
          <w:b/>
          <w:bCs w:val="0"/>
          <w:kern w:val="2"/>
          <w:sz w:val="24"/>
          <w:szCs w:val="28"/>
          <w:lang w:val="en-US" w:eastAsia="zh-CN" w:bidi="ar"/>
        </w:rPr>
        <w:t>（2）</w:t>
      </w:r>
      <w:r>
        <w:rPr>
          <w:rFonts w:hint="eastAsia" w:ascii="宋体" w:hAnsi="宋体" w:eastAsia="宋体" w:cs="宋体"/>
          <w:b/>
          <w:bCs w:val="0"/>
          <w:kern w:val="2"/>
          <w:sz w:val="24"/>
          <w:szCs w:val="28"/>
          <w:lang w:val="zh-CN" w:eastAsia="zh-CN" w:bidi="ar"/>
        </w:rPr>
        <w:t>投标产品优惠比例</w:t>
      </w:r>
    </w:p>
    <w:p w14:paraId="482F49D0">
      <w:pPr>
        <w:keepNext w:val="0"/>
        <w:keepLines w:val="0"/>
        <w:widowControl/>
        <w:suppressLineNumbers w:val="0"/>
        <w:adjustRightInd w:val="0"/>
        <w:snapToGrid w:val="0"/>
        <w:spacing w:before="0" w:beforeAutospacing="0" w:after="0" w:afterAutospacing="0" w:line="360" w:lineRule="auto"/>
        <w:ind w:left="0" w:right="0" w:firstLine="470" w:firstLineChars="196"/>
        <w:jc w:val="both"/>
        <w:rPr>
          <w:rFonts w:hint="eastAsia" w:ascii="宋体" w:hAnsi="宋体" w:eastAsia="宋体" w:cs="宋体"/>
          <w:b/>
          <w:bCs/>
          <w:sz w:val="24"/>
          <w:szCs w:val="28"/>
          <w:lang w:val="en-US"/>
        </w:rPr>
      </w:pPr>
      <w:r>
        <w:rPr>
          <w:rFonts w:hint="eastAsia" w:ascii="宋体" w:hAnsi="宋体" w:eastAsia="宋体" w:cs="宋体"/>
          <w:kern w:val="2"/>
          <w:sz w:val="24"/>
          <w:szCs w:val="28"/>
          <w:lang w:val="zh-CN" w:eastAsia="zh-CN" w:bidi="ar"/>
        </w:rPr>
        <w:t>投标产品为节能、环保、环境标志产品清单中的产品，符合谈判文件要求的，价格给予6%的扣除（不重复优惠，最高为</w:t>
      </w:r>
      <w:r>
        <w:rPr>
          <w:rFonts w:hint="eastAsia" w:ascii="宋体" w:hAnsi="宋体" w:eastAsia="宋体" w:cs="宋体"/>
          <w:kern w:val="2"/>
          <w:sz w:val="24"/>
          <w:szCs w:val="28"/>
          <w:lang w:val="en-US" w:eastAsia="zh-CN" w:bidi="ar"/>
        </w:rPr>
        <w:t>10</w:t>
      </w:r>
      <w:r>
        <w:rPr>
          <w:rFonts w:hint="eastAsia" w:ascii="宋体" w:hAnsi="宋体" w:eastAsia="宋体" w:cs="宋体"/>
          <w:kern w:val="2"/>
          <w:sz w:val="24"/>
          <w:szCs w:val="28"/>
          <w:lang w:val="zh-CN" w:eastAsia="zh-CN" w:bidi="ar"/>
        </w:rPr>
        <w:t>%），用扣除后的价格参与评审。</w:t>
      </w:r>
    </w:p>
    <w:p w14:paraId="3A21416B">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8"/>
          <w:lang w:val="en-US"/>
        </w:rPr>
      </w:pPr>
      <w:r>
        <w:rPr>
          <w:rFonts w:hint="eastAsia" w:ascii="宋体" w:hAnsi="宋体" w:eastAsia="宋体" w:cs="宋体"/>
          <w:kern w:val="2"/>
          <w:sz w:val="24"/>
          <w:szCs w:val="28"/>
          <w:lang w:val="en-US" w:eastAsia="zh-CN" w:bidi="ar"/>
        </w:rPr>
        <w:t>谈判小组根据原始谈判记录和谈判结果编写谈判结果报告，报采购人。</w:t>
      </w:r>
    </w:p>
    <w:p w14:paraId="5A507B9F">
      <w:pPr>
        <w:pageBreakBefore w:val="0"/>
        <w:widowControl/>
        <w:numPr>
          <w:ilvl w:val="0"/>
          <w:numId w:val="0"/>
        </w:numPr>
        <w:kinsoku/>
        <w:wordWrap/>
        <w:overflowPunct/>
        <w:topLinePunct w:val="0"/>
        <w:autoSpaceDE/>
        <w:autoSpaceDN/>
        <w:bidi w:val="0"/>
        <w:spacing w:line="460" w:lineRule="exact"/>
        <w:jc w:val="center"/>
        <w:textAlignment w:val="auto"/>
        <w:outlineLvl w:val="1"/>
        <w:rPr>
          <w:rFonts w:hint="eastAsia" w:ascii="宋体" w:hAnsi="宋体" w:eastAsia="宋体" w:cs="宋体"/>
          <w:b/>
          <w:bCs/>
          <w:color w:val="auto"/>
          <w:kern w:val="0"/>
          <w:sz w:val="24"/>
          <w:szCs w:val="24"/>
        </w:rPr>
      </w:pPr>
      <w:bookmarkStart w:id="273" w:name="_Toc11491"/>
      <w:bookmarkStart w:id="274" w:name="_Toc19543343"/>
      <w:bookmarkStart w:id="275" w:name="_Toc12637"/>
      <w:bookmarkStart w:id="276" w:name="_Toc25069"/>
      <w:bookmarkStart w:id="277" w:name="_Toc11427"/>
      <w:bookmarkStart w:id="278" w:name="_Toc536202386"/>
      <w:bookmarkStart w:id="279" w:name="_Toc26033"/>
      <w:bookmarkStart w:id="280" w:name="_Toc536429379"/>
      <w:bookmarkStart w:id="281" w:name="_Toc536202317"/>
      <w:bookmarkStart w:id="282" w:name="_Toc4186"/>
      <w:bookmarkStart w:id="283" w:name="_Toc16711"/>
      <w:bookmarkStart w:id="284" w:name="_Toc20921"/>
      <w:bookmarkStart w:id="285" w:name="_Toc15930"/>
      <w:bookmarkStart w:id="286" w:name="_Toc536429326"/>
      <w:bookmarkStart w:id="287" w:name="_Toc664"/>
      <w:r>
        <w:rPr>
          <w:rFonts w:hint="eastAsia" w:ascii="宋体" w:hAnsi="宋体" w:eastAsia="宋体" w:cs="宋体"/>
          <w:b/>
          <w:bCs/>
          <w:color w:val="auto"/>
          <w:kern w:val="0"/>
          <w:sz w:val="24"/>
          <w:szCs w:val="24"/>
          <w:lang w:eastAsia="zh-CN"/>
        </w:rPr>
        <w:t>九、</w:t>
      </w:r>
      <w:r>
        <w:rPr>
          <w:rFonts w:hint="eastAsia" w:ascii="宋体" w:hAnsi="宋体" w:eastAsia="宋体" w:cs="宋体"/>
          <w:b/>
          <w:bCs/>
          <w:color w:val="auto"/>
          <w:kern w:val="0"/>
          <w:sz w:val="24"/>
          <w:szCs w:val="24"/>
        </w:rPr>
        <w:t>质疑和投诉</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155EA948">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质疑或投诉的接收和处理应当按照《中华人民共和国政府采购法》及其实施条例、《政府采购质疑和投诉办法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财政部关于加强政府采购供应商投诉受理审查工作的通知》等的相关规定办理。</w:t>
      </w:r>
    </w:p>
    <w:p w14:paraId="23DDE170">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0E5E3169">
      <w:pPr>
        <w:pageBreakBefore w:val="0"/>
        <w:kinsoku/>
        <w:wordWrap/>
        <w:overflowPunct/>
        <w:topLinePunct w:val="0"/>
        <w:autoSpaceDE/>
        <w:autoSpaceDN/>
        <w:bidi w:val="0"/>
        <w:spacing w:line="460" w:lineRule="exact"/>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（1）对采购文件提出质疑的，为收到采购文件之日或者采购文件公告期限届满之日；</w:t>
      </w:r>
    </w:p>
    <w:p w14:paraId="50565ADD">
      <w:pPr>
        <w:pageBreakBefore w:val="0"/>
        <w:kinsoku/>
        <w:wordWrap/>
        <w:overflowPunct/>
        <w:topLinePunct w:val="0"/>
        <w:autoSpaceDE/>
        <w:autoSpaceDN/>
        <w:bidi w:val="0"/>
        <w:spacing w:line="460" w:lineRule="exact"/>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（2）对采购过程提出质疑的，为各采购程序环节结束之日；</w:t>
      </w:r>
    </w:p>
    <w:p w14:paraId="2EFB0255">
      <w:pPr>
        <w:pageBreakBefore w:val="0"/>
        <w:kinsoku/>
        <w:wordWrap/>
        <w:overflowPunct/>
        <w:topLinePunct w:val="0"/>
        <w:autoSpaceDE/>
        <w:autoSpaceDN/>
        <w:bidi w:val="0"/>
        <w:spacing w:line="460" w:lineRule="exact"/>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（3）对中标或者成交结果提出质疑的，为中标或者成交结果公告期限届满之日。</w:t>
      </w:r>
    </w:p>
    <w:p w14:paraId="4C011D57">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供应商应当在法定质疑期内一次性提出针对同一采购程序环节的质疑。</w:t>
      </w:r>
    </w:p>
    <w:p w14:paraId="6A3D7A4D">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rPr>
        <w:t>质疑函应当包括下列主要内容：</w:t>
      </w:r>
    </w:p>
    <w:p w14:paraId="32B23929">
      <w:pPr>
        <w:pageBreakBefore w:val="0"/>
        <w:kinsoku/>
        <w:wordWrap/>
        <w:overflowPunct/>
        <w:topLinePunct w:val="0"/>
        <w:autoSpaceDE/>
        <w:autoSpaceDN/>
        <w:bidi w:val="0"/>
        <w:spacing w:line="460" w:lineRule="exact"/>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（1）供应商的姓名或者名称、地址、邮编、联系人及联系电话；</w:t>
      </w:r>
    </w:p>
    <w:p w14:paraId="497E6351">
      <w:pPr>
        <w:pageBreakBefore w:val="0"/>
        <w:kinsoku/>
        <w:wordWrap/>
        <w:overflowPunct/>
        <w:topLinePunct w:val="0"/>
        <w:autoSpaceDE/>
        <w:autoSpaceDN/>
        <w:bidi w:val="0"/>
        <w:spacing w:line="460" w:lineRule="exact"/>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（2）质疑项目的名称、编号；</w:t>
      </w:r>
    </w:p>
    <w:p w14:paraId="24BA15A5">
      <w:pPr>
        <w:pageBreakBefore w:val="0"/>
        <w:kinsoku/>
        <w:wordWrap/>
        <w:overflowPunct/>
        <w:topLinePunct w:val="0"/>
        <w:autoSpaceDE/>
        <w:autoSpaceDN/>
        <w:bidi w:val="0"/>
        <w:spacing w:line="460" w:lineRule="exact"/>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（3）具体、明确的质疑事项和与质疑事项相关的请求；</w:t>
      </w:r>
    </w:p>
    <w:p w14:paraId="1F14C7C0">
      <w:pPr>
        <w:pageBreakBefore w:val="0"/>
        <w:kinsoku/>
        <w:wordWrap/>
        <w:overflowPunct/>
        <w:topLinePunct w:val="0"/>
        <w:autoSpaceDE/>
        <w:autoSpaceDN/>
        <w:bidi w:val="0"/>
        <w:spacing w:line="460" w:lineRule="exact"/>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（4）事实依据；</w:t>
      </w:r>
    </w:p>
    <w:p w14:paraId="124B8619">
      <w:pPr>
        <w:pageBreakBefore w:val="0"/>
        <w:kinsoku/>
        <w:wordWrap/>
        <w:overflowPunct/>
        <w:topLinePunct w:val="0"/>
        <w:autoSpaceDE/>
        <w:autoSpaceDN/>
        <w:bidi w:val="0"/>
        <w:spacing w:line="460" w:lineRule="exact"/>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（5）必要的法律依据；</w:t>
      </w:r>
    </w:p>
    <w:p w14:paraId="5E997EB5">
      <w:pPr>
        <w:pageBreakBefore w:val="0"/>
        <w:kinsoku/>
        <w:wordWrap/>
        <w:overflowPunct/>
        <w:topLinePunct w:val="0"/>
        <w:autoSpaceDE/>
        <w:autoSpaceDN/>
        <w:bidi w:val="0"/>
        <w:spacing w:line="460" w:lineRule="exact"/>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（6）提出质疑的日期。</w:t>
      </w:r>
    </w:p>
    <w:p w14:paraId="05C79889">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w:t>
      </w:r>
      <w:r>
        <w:rPr>
          <w:rFonts w:hint="eastAsia" w:ascii="宋体" w:hAnsi="宋体" w:eastAsia="宋体" w:cs="宋体"/>
          <w:color w:val="auto"/>
          <w:sz w:val="24"/>
          <w:szCs w:val="24"/>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1E51148A">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rPr>
        <w:t>质疑函内容不得含有虚假、恶意成份。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滥用维权扰乱采购秩序的恶意质疑者，采购人、采购代理机构应当依法驳回。</w:t>
      </w:r>
    </w:p>
    <w:p w14:paraId="542D3BEF">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6.</w:t>
      </w:r>
      <w:r>
        <w:rPr>
          <w:rFonts w:hint="eastAsia" w:ascii="宋体" w:hAnsi="宋体" w:eastAsia="宋体" w:cs="宋体"/>
          <w:color w:val="auto"/>
          <w:sz w:val="24"/>
          <w:szCs w:val="24"/>
        </w:rPr>
        <w:t xml:space="preserve">质疑函接收方式：由自然人本人或法定代表人或者其授权代表携带书面原件及身份证明原件到现场递交，否则不予受理 。 </w:t>
      </w:r>
    </w:p>
    <w:p w14:paraId="4A1C21C3">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7.</w:t>
      </w:r>
      <w:r>
        <w:rPr>
          <w:rFonts w:hint="eastAsia" w:ascii="宋体" w:hAnsi="宋体" w:eastAsia="宋体" w:cs="宋体"/>
          <w:color w:val="auto"/>
          <w:sz w:val="24"/>
          <w:szCs w:val="24"/>
        </w:rPr>
        <w:t>质疑受理部门：安康尚昊招标代理有限公司</w:t>
      </w:r>
    </w:p>
    <w:p w14:paraId="329165E2">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质疑受理电话：</w:t>
      </w:r>
      <w:r>
        <w:rPr>
          <w:rFonts w:hint="eastAsia" w:ascii="宋体" w:hAnsi="宋体" w:eastAsia="宋体" w:cs="宋体"/>
          <w:sz w:val="24"/>
          <w:szCs w:val="24"/>
        </w:rPr>
        <w:t>15991480332</w:t>
      </w:r>
    </w:p>
    <w:p w14:paraId="28D2BBD3">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w:t>
      </w:r>
      <w:r>
        <w:rPr>
          <w:rFonts w:hint="eastAsia" w:ascii="宋体" w:hAnsi="宋体" w:eastAsia="宋体" w:cs="宋体"/>
          <w:color w:val="auto"/>
          <w:sz w:val="24"/>
          <w:szCs w:val="24"/>
        </w:rPr>
        <w:t>提交质疑函地点：</w:t>
      </w:r>
      <w:r>
        <w:rPr>
          <w:rFonts w:hint="eastAsia" w:ascii="宋体" w:hAnsi="宋体" w:eastAsia="宋体" w:cs="宋体"/>
          <w:color w:val="auto"/>
          <w:sz w:val="24"/>
          <w:szCs w:val="24"/>
          <w:lang w:eastAsia="zh-CN"/>
        </w:rPr>
        <w:t>安康市高新区高新观澜8栋二单元801室</w:t>
      </w:r>
    </w:p>
    <w:p w14:paraId="24B41997">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本次采购活动中，采购代理机构对质疑函回复的书面文件的送达方式为现场取件。</w:t>
      </w:r>
    </w:p>
    <w:p w14:paraId="53C1AEB9">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如所质疑的问题比较复杂，采购人或者采购代理机构在规定的答复时间内无法回复，应事先告知提出质疑的供应商，同时向同级政府采购监督管理部门报告。</w:t>
      </w:r>
    </w:p>
    <w:p w14:paraId="71814819">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质疑供应商对采购人、采购代理机构的答复不满意，或者采购人、采购代理机构未在规定的时间内作出答复的，可以在答复期满后15个工作日内向采购人的同级政府采购监督管理部门投诉。</w:t>
      </w:r>
    </w:p>
    <w:p w14:paraId="0DEF4B72">
      <w:pPr>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质疑函应当使用中文。</w:t>
      </w:r>
    </w:p>
    <w:p w14:paraId="7FD37209">
      <w:pPr>
        <w:pStyle w:val="4"/>
        <w:pageBreakBefore w:val="0"/>
        <w:kinsoku/>
        <w:wordWrap/>
        <w:overflowPunct/>
        <w:topLinePunct w:val="0"/>
        <w:bidi w:val="0"/>
        <w:spacing w:line="460" w:lineRule="exact"/>
        <w:jc w:val="center"/>
        <w:textAlignment w:val="auto"/>
        <w:rPr>
          <w:rFonts w:hint="eastAsia" w:ascii="宋体" w:hAnsi="宋体" w:eastAsia="宋体" w:cs="宋体"/>
          <w:color w:val="000000" w:themeColor="text1"/>
          <w:sz w:val="24"/>
          <w:szCs w:val="24"/>
          <w14:textFill>
            <w14:solidFill>
              <w14:schemeClr w14:val="tx1"/>
            </w14:solidFill>
          </w14:textFill>
        </w:rPr>
      </w:pPr>
      <w:bookmarkStart w:id="288" w:name="_Toc35335266"/>
      <w:bookmarkStart w:id="289" w:name="_Toc12377"/>
      <w:bookmarkStart w:id="290" w:name="_Toc23316530"/>
      <w:bookmarkStart w:id="291" w:name="_Toc14189417"/>
      <w:bookmarkStart w:id="292" w:name="_Toc23315670"/>
      <w:bookmarkStart w:id="293" w:name="_Toc23316692"/>
      <w:bookmarkStart w:id="294" w:name="_Toc6584"/>
      <w:bookmarkStart w:id="295" w:name="_Toc11605"/>
      <w:bookmarkStart w:id="296" w:name="_Toc9972"/>
      <w:bookmarkStart w:id="297" w:name="_Toc5578"/>
      <w:bookmarkStart w:id="298" w:name="_Toc18412209"/>
      <w:bookmarkStart w:id="299" w:name="_Toc14189284"/>
      <w:bookmarkStart w:id="300" w:name="_Toc23316594"/>
      <w:bookmarkStart w:id="301" w:name="_Toc10942"/>
      <w:bookmarkStart w:id="302" w:name="_Toc29452"/>
      <w:bookmarkStart w:id="303" w:name="_Toc25343"/>
      <w:bookmarkStart w:id="304" w:name="_Toc23278"/>
      <w:bookmarkStart w:id="305" w:name="_Toc29484"/>
      <w:r>
        <w:rPr>
          <w:rFonts w:hint="eastAsia" w:ascii="宋体" w:hAnsi="宋体" w:eastAsia="宋体" w:cs="宋体"/>
          <w:color w:val="auto"/>
          <w:sz w:val="24"/>
          <w:szCs w:val="24"/>
          <w:lang w:eastAsia="zh-CN"/>
        </w:rPr>
        <w:t>十、</w:t>
      </w:r>
      <w:r>
        <w:rPr>
          <w:rFonts w:hint="eastAsia" w:ascii="宋体" w:hAnsi="宋体" w:eastAsia="宋体" w:cs="宋体"/>
          <w:color w:val="auto"/>
          <w:sz w:val="24"/>
          <w:szCs w:val="24"/>
        </w:rPr>
        <w:t>其他</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4F340C12">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（一）第一次公告后，谈判过程中出现下列情况之一的，按谈判失败处理：</w:t>
      </w:r>
    </w:p>
    <w:p w14:paraId="07F14981">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因情况变化，不再符合规定的竞争</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采购方式适用情形的；</w:t>
      </w:r>
    </w:p>
    <w:p w14:paraId="16B5A738">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出现影响采购公正的违法、违规行为的；</w:t>
      </w:r>
    </w:p>
    <w:p w14:paraId="49BA91A7">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3084010A">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因重大变故，采购任务取消的。</w:t>
      </w:r>
    </w:p>
    <w:p w14:paraId="77DA0840">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谈判失败后，除采购任务取消外，将重新组织采购。</w:t>
      </w:r>
    </w:p>
    <w:p w14:paraId="67A9A7EF">
      <w:pPr>
        <w:pageBreakBefore w:val="0"/>
        <w:kinsoku/>
        <w:wordWrap/>
        <w:topLinePunct w:val="0"/>
        <w:bidi w:val="0"/>
        <w:spacing w:line="460" w:lineRule="exact"/>
        <w:textAlignment w:val="auto"/>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br w:type="page"/>
      </w:r>
    </w:p>
    <w:p w14:paraId="7E546EFB">
      <w:pPr>
        <w:pStyle w:val="3"/>
        <w:keepNext/>
        <w:keepLines/>
        <w:pageBreakBefore w:val="0"/>
        <w:widowControl/>
        <w:numPr>
          <w:ilvl w:val="0"/>
          <w:numId w:val="0"/>
        </w:numPr>
        <w:kinsoku/>
        <w:wordWrap/>
        <w:overflowPunct/>
        <w:topLinePunct w:val="0"/>
        <w:autoSpaceDE/>
        <w:autoSpaceDN/>
        <w:bidi w:val="0"/>
        <w:adjustRightInd w:val="0"/>
        <w:snapToGrid w:val="0"/>
        <w:spacing w:line="460" w:lineRule="exact"/>
        <w:ind w:left="0" w:leftChars="0" w:firstLine="0" w:firstLineChars="0"/>
        <w:jc w:val="center"/>
        <w:textAlignment w:val="auto"/>
        <w:rPr>
          <w:rFonts w:hint="eastAsia" w:ascii="宋体" w:hAnsi="宋体" w:eastAsia="宋体" w:cs="宋体"/>
          <w:color w:val="auto"/>
          <w:sz w:val="36"/>
          <w:szCs w:val="36"/>
          <w:lang w:val="en-US" w:eastAsia="zh-CN"/>
        </w:rPr>
      </w:pPr>
      <w:bookmarkStart w:id="306" w:name="_Toc2524"/>
      <w:r>
        <w:rPr>
          <w:rFonts w:hint="eastAsia" w:ascii="宋体" w:hAnsi="宋体" w:eastAsia="宋体" w:cs="宋体"/>
          <w:b/>
          <w:bCs/>
          <w:color w:val="auto"/>
          <w:kern w:val="44"/>
          <w:sz w:val="36"/>
          <w:szCs w:val="36"/>
          <w:lang w:val="en-US" w:eastAsia="zh-CN" w:bidi="ar-SA"/>
        </w:rPr>
        <w:t xml:space="preserve">第四章  </w:t>
      </w:r>
      <w:r>
        <w:rPr>
          <w:rFonts w:hint="eastAsia" w:ascii="宋体" w:hAnsi="宋体" w:eastAsia="宋体"/>
          <w:color w:val="auto"/>
          <w:sz w:val="36"/>
          <w:szCs w:val="36"/>
          <w:lang w:val="en-US" w:eastAsia="zh-CN"/>
        </w:rPr>
        <w:t>采购</w:t>
      </w:r>
      <w:r>
        <w:rPr>
          <w:rFonts w:hint="eastAsia" w:ascii="宋体" w:hAnsi="宋体" w:eastAsia="宋体" w:cs="宋体"/>
          <w:color w:val="auto"/>
          <w:sz w:val="36"/>
          <w:szCs w:val="36"/>
          <w:lang w:val="en-US" w:eastAsia="zh-CN"/>
        </w:rPr>
        <w:t>内容及技术要求</w:t>
      </w:r>
      <w:bookmarkEnd w:id="146"/>
      <w:bookmarkEnd w:id="147"/>
      <w:bookmarkEnd w:id="148"/>
      <w:bookmarkEnd w:id="149"/>
      <w:bookmarkEnd w:id="150"/>
      <w:bookmarkEnd w:id="151"/>
      <w:bookmarkEnd w:id="152"/>
      <w:bookmarkEnd w:id="153"/>
      <w:bookmarkEnd w:id="154"/>
      <w:bookmarkEnd w:id="306"/>
    </w:p>
    <w:p w14:paraId="2373732C">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outlineLvl w:val="0"/>
        <w:rPr>
          <w:rFonts w:hint="eastAsia" w:ascii="宋体" w:hAnsi="宋体" w:eastAsia="宋体" w:cs="宋体"/>
          <w:b/>
          <w:sz w:val="24"/>
          <w:szCs w:val="24"/>
          <w:lang w:val="en-US" w:eastAsia="zh-CN"/>
        </w:rPr>
      </w:pPr>
      <w:bookmarkStart w:id="307" w:name="_Toc30329"/>
      <w:r>
        <w:rPr>
          <w:rFonts w:hint="eastAsia" w:ascii="宋体" w:hAnsi="宋体" w:eastAsia="宋体" w:cs="宋体"/>
          <w:b/>
          <w:sz w:val="24"/>
          <w:szCs w:val="24"/>
          <w:lang w:val="en-US" w:eastAsia="zh-CN"/>
        </w:rPr>
        <w:t>一、项目概况</w:t>
      </w:r>
      <w:bookmarkEnd w:id="307"/>
    </w:p>
    <w:p w14:paraId="43AF4F6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0"/>
        <w:rPr>
          <w:rFonts w:hint="eastAsia" w:ascii="宋体" w:hAnsi="宋体" w:eastAsia="宋体" w:cs="宋体"/>
          <w:b w:val="0"/>
          <w:bCs/>
          <w:sz w:val="24"/>
          <w:szCs w:val="24"/>
          <w:lang w:val="en-US" w:eastAsia="zh-CN"/>
        </w:rPr>
      </w:pPr>
      <w:bookmarkStart w:id="308" w:name="_Toc2485"/>
      <w:r>
        <w:rPr>
          <w:rFonts w:hint="eastAsia" w:ascii="宋体" w:hAnsi="宋体" w:eastAsia="宋体" w:cs="宋体"/>
          <w:b w:val="0"/>
          <w:bCs/>
          <w:sz w:val="24"/>
          <w:szCs w:val="24"/>
          <w:lang w:val="en-US" w:eastAsia="zh-CN"/>
        </w:rPr>
        <w:t>1.项目名称：</w:t>
      </w:r>
      <w:bookmarkEnd w:id="308"/>
      <w:r>
        <w:rPr>
          <w:rFonts w:hint="eastAsia" w:ascii="宋体" w:hAnsi="宋体" w:eastAsia="宋体" w:cs="宋体"/>
          <w:b w:val="0"/>
          <w:bCs/>
          <w:sz w:val="24"/>
          <w:szCs w:val="24"/>
          <w:lang w:val="en-US" w:eastAsia="zh-CN"/>
        </w:rPr>
        <w:t>挂式污泥脱水设备采购项目（三次）</w:t>
      </w:r>
    </w:p>
    <w:p w14:paraId="0999A3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0"/>
        <w:rPr>
          <w:rFonts w:hint="eastAsia" w:ascii="宋体" w:hAnsi="宋体" w:eastAsia="宋体" w:cs="宋体"/>
          <w:b w:val="0"/>
          <w:bCs/>
          <w:sz w:val="24"/>
          <w:szCs w:val="24"/>
          <w:lang w:val="en-US" w:eastAsia="zh-CN"/>
        </w:rPr>
      </w:pPr>
      <w:bookmarkStart w:id="309" w:name="_Toc22918"/>
      <w:r>
        <w:rPr>
          <w:rFonts w:hint="eastAsia" w:ascii="宋体" w:hAnsi="宋体" w:eastAsia="宋体" w:cs="宋体"/>
          <w:b w:val="0"/>
          <w:bCs/>
          <w:sz w:val="24"/>
          <w:szCs w:val="24"/>
          <w:lang w:val="en-US" w:eastAsia="zh-CN"/>
        </w:rPr>
        <w:t>2.地点：采购人指定地点</w:t>
      </w:r>
      <w:bookmarkEnd w:id="309"/>
    </w:p>
    <w:p w14:paraId="008B4E92">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outlineLvl w:val="0"/>
        <w:rPr>
          <w:rFonts w:hint="eastAsia" w:ascii="宋体" w:hAnsi="宋体" w:eastAsia="宋体" w:cs="宋体"/>
          <w:b/>
          <w:bCs w:val="0"/>
          <w:sz w:val="24"/>
          <w:szCs w:val="24"/>
          <w:lang w:val="en-US" w:eastAsia="zh-CN"/>
        </w:rPr>
      </w:pPr>
      <w:bookmarkStart w:id="310" w:name="_Toc15281"/>
      <w:r>
        <w:rPr>
          <w:rFonts w:hint="eastAsia" w:ascii="宋体" w:hAnsi="宋体" w:eastAsia="宋体" w:cs="宋体"/>
          <w:b/>
          <w:bCs w:val="0"/>
          <w:sz w:val="24"/>
          <w:szCs w:val="24"/>
          <w:lang w:val="en-US" w:eastAsia="zh-CN"/>
        </w:rPr>
        <w:t>二、采购内容</w:t>
      </w:r>
      <w:bookmarkEnd w:id="310"/>
    </w:p>
    <w:p w14:paraId="712EEE9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0"/>
        <w:rPr>
          <w:rFonts w:hint="eastAsia" w:ascii="宋体" w:hAnsi="宋体" w:eastAsia="宋体" w:cs="宋体"/>
          <w:b w:val="0"/>
          <w:bCs/>
          <w:sz w:val="24"/>
          <w:szCs w:val="24"/>
          <w:lang w:val="en-US" w:eastAsia="zh-CN"/>
        </w:rPr>
      </w:pPr>
      <w:bookmarkStart w:id="311" w:name="_Toc5573"/>
      <w:r>
        <w:rPr>
          <w:rFonts w:hint="eastAsia" w:ascii="宋体" w:hAnsi="宋体" w:eastAsia="宋体" w:cs="宋体"/>
          <w:b w:val="0"/>
          <w:bCs/>
          <w:sz w:val="24"/>
          <w:szCs w:val="24"/>
          <w:lang w:val="en-US" w:eastAsia="zh-CN"/>
        </w:rPr>
        <w:t>采购挂式污泥脱水设备一套，费用包含设备运输、安装、调试、验收、售后服务等与供货相关的一切费用。</w:t>
      </w:r>
      <w:bookmarkEnd w:id="311"/>
    </w:p>
    <w:p w14:paraId="0FE8F5EC">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val="0"/>
          <w:sz w:val="24"/>
          <w:szCs w:val="24"/>
          <w:lang w:val="en-US" w:eastAsia="zh-CN"/>
        </w:rPr>
      </w:pPr>
      <w:bookmarkStart w:id="312" w:name="_Toc25982"/>
      <w:r>
        <w:rPr>
          <w:rFonts w:hint="eastAsia" w:ascii="宋体" w:hAnsi="宋体" w:eastAsia="宋体" w:cs="宋体"/>
          <w:b/>
          <w:bCs w:val="0"/>
          <w:sz w:val="24"/>
          <w:szCs w:val="24"/>
          <w:lang w:val="en-US" w:eastAsia="zh-CN"/>
        </w:rPr>
        <w:t>采购清单及内容</w:t>
      </w:r>
      <w:bookmarkEnd w:id="312"/>
    </w:p>
    <w:tbl>
      <w:tblPr>
        <w:tblStyle w:val="37"/>
        <w:tblW w:w="10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98"/>
        <w:gridCol w:w="1207"/>
        <w:gridCol w:w="6881"/>
        <w:gridCol w:w="854"/>
        <w:gridCol w:w="738"/>
      </w:tblGrid>
      <w:tr w14:paraId="10DFD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0178" w:type="dxa"/>
            <w:gridSpan w:val="5"/>
            <w:shd w:val="clear" w:color="auto" w:fill="auto"/>
            <w:vAlign w:val="center"/>
          </w:tcPr>
          <w:p w14:paraId="5EEBAD91">
            <w:pPr>
              <w:keepNext w:val="0"/>
              <w:keepLines w:val="0"/>
              <w:widowControl/>
              <w:suppressLineNumbers w:val="0"/>
              <w:bidi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采购清单</w:t>
            </w:r>
          </w:p>
        </w:tc>
      </w:tr>
      <w:tr w14:paraId="4FE8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498" w:type="dxa"/>
            <w:shd w:val="clear" w:color="auto" w:fill="auto"/>
            <w:vAlign w:val="center"/>
          </w:tcPr>
          <w:p w14:paraId="76C7E451">
            <w:pPr>
              <w:keepNext w:val="0"/>
              <w:keepLines w:val="0"/>
              <w:widowControl/>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序号</w:t>
            </w:r>
          </w:p>
        </w:tc>
        <w:tc>
          <w:tcPr>
            <w:tcW w:w="1207" w:type="dxa"/>
            <w:shd w:val="clear" w:color="auto" w:fill="auto"/>
            <w:vAlign w:val="center"/>
          </w:tcPr>
          <w:p w14:paraId="0309BE5F">
            <w:pPr>
              <w:keepNext w:val="0"/>
              <w:keepLines w:val="0"/>
              <w:widowControl/>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设备（功能）名称</w:t>
            </w:r>
          </w:p>
        </w:tc>
        <w:tc>
          <w:tcPr>
            <w:tcW w:w="6881" w:type="dxa"/>
            <w:shd w:val="clear" w:color="auto" w:fill="auto"/>
            <w:vAlign w:val="center"/>
          </w:tcPr>
          <w:p w14:paraId="74B1AAD8">
            <w:pPr>
              <w:keepNext w:val="0"/>
              <w:keepLines w:val="0"/>
              <w:widowControl/>
              <w:suppressLineNumbers w:val="0"/>
              <w:bidi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lang w:val="en-US" w:eastAsia="zh-CN"/>
              </w:rPr>
              <w:t>技术参数</w:t>
            </w:r>
          </w:p>
        </w:tc>
        <w:tc>
          <w:tcPr>
            <w:tcW w:w="854" w:type="dxa"/>
            <w:shd w:val="clear" w:color="auto" w:fill="auto"/>
            <w:vAlign w:val="center"/>
          </w:tcPr>
          <w:p w14:paraId="0B1682E9">
            <w:pPr>
              <w:keepNext w:val="0"/>
              <w:keepLines w:val="0"/>
              <w:widowControl/>
              <w:suppressLineNumbers w:val="0"/>
              <w:bidi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lang w:val="en-US" w:eastAsia="zh-CN"/>
              </w:rPr>
              <w:t>单位</w:t>
            </w:r>
          </w:p>
        </w:tc>
        <w:tc>
          <w:tcPr>
            <w:tcW w:w="738" w:type="dxa"/>
            <w:shd w:val="clear" w:color="auto" w:fill="auto"/>
            <w:vAlign w:val="center"/>
          </w:tcPr>
          <w:p w14:paraId="657EFE9F">
            <w:pPr>
              <w:keepNext w:val="0"/>
              <w:keepLines w:val="0"/>
              <w:widowControl/>
              <w:suppressLineNumbers w:val="0"/>
              <w:bidi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lang w:val="en-US" w:eastAsia="zh-CN"/>
              </w:rPr>
              <w:t>数量</w:t>
            </w:r>
          </w:p>
        </w:tc>
      </w:tr>
      <w:tr w14:paraId="1239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498" w:type="dxa"/>
            <w:shd w:val="clear" w:color="auto" w:fill="auto"/>
            <w:vAlign w:val="center"/>
          </w:tcPr>
          <w:p w14:paraId="13ABE562">
            <w:pPr>
              <w:keepNext w:val="0"/>
              <w:keepLines w:val="0"/>
              <w:widowControl/>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1207" w:type="dxa"/>
            <w:shd w:val="clear" w:color="auto" w:fill="auto"/>
            <w:vAlign w:val="center"/>
          </w:tcPr>
          <w:p w14:paraId="4210BF4D">
            <w:pPr>
              <w:keepNext w:val="0"/>
              <w:keepLines w:val="0"/>
              <w:widowControl/>
              <w:suppressLineNumbers w:val="0"/>
              <w:bidi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污水处理移动设备</w:t>
            </w:r>
          </w:p>
        </w:tc>
        <w:tc>
          <w:tcPr>
            <w:tcW w:w="6881" w:type="dxa"/>
            <w:shd w:val="clear" w:color="auto" w:fill="auto"/>
            <w:vAlign w:val="center"/>
          </w:tcPr>
          <w:p w14:paraId="3CBCC421">
            <w:pPr>
              <w:keepNext w:val="0"/>
              <w:keepLines w:val="0"/>
              <w:widowControl/>
              <w:numPr>
                <w:ilvl w:val="0"/>
                <w:numId w:val="0"/>
              </w:numPr>
              <w:suppressLineNumbers w:val="0"/>
              <w:bidi w:val="0"/>
              <w:spacing w:before="0" w:beforeAutospacing="0" w:after="0" w:afterAutospacing="0"/>
              <w:ind w:left="0" w:right="0"/>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lang w:val="en-US" w:eastAsia="zh-CN"/>
              </w:rPr>
              <w:t>外形尺寸≥11000x2500x3900mm(符合国家车辆制作标准)</w:t>
            </w:r>
          </w:p>
          <w:p w14:paraId="53041F60">
            <w:pPr>
              <w:keepNext w:val="0"/>
              <w:keepLines w:val="0"/>
              <w:widowControl/>
              <w:suppressLineNumbers w:val="0"/>
              <w:bidi w:val="0"/>
              <w:spacing w:before="0" w:beforeAutospacing="0" w:after="0" w:afterAutospacing="0"/>
              <w:ind w:left="0" w:right="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2.参考轴距≥1850+4600+1350mm或4920+1310+1310mm</w:t>
            </w:r>
          </w:p>
          <w:p w14:paraId="3524EAF0">
            <w:pPr>
              <w:keepNext w:val="0"/>
              <w:keepLines w:val="0"/>
              <w:widowControl/>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3.轮胎规格≥</w:t>
            </w:r>
            <w:r>
              <w:rPr>
                <w:rFonts w:hint="eastAsia" w:ascii="宋体" w:hAnsi="宋体" w:eastAsia="宋体" w:cs="宋体"/>
                <w:color w:val="auto"/>
                <w:sz w:val="24"/>
                <w:szCs w:val="24"/>
                <w:vertAlign w:val="baseline"/>
                <w:lang w:eastAsia="zh-CN"/>
              </w:rPr>
              <w:t>11.00R20 12PR</w:t>
            </w:r>
          </w:p>
        </w:tc>
        <w:tc>
          <w:tcPr>
            <w:tcW w:w="854" w:type="dxa"/>
            <w:shd w:val="clear" w:color="auto" w:fill="auto"/>
            <w:vAlign w:val="center"/>
          </w:tcPr>
          <w:p w14:paraId="54ADB0A4">
            <w:pPr>
              <w:keepNext w:val="0"/>
              <w:keepLines w:val="0"/>
              <w:widowControl/>
              <w:suppressLineNumbers w:val="0"/>
              <w:bidi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lang w:val="en-US" w:eastAsia="zh-CN"/>
              </w:rPr>
              <w:t>套</w:t>
            </w:r>
          </w:p>
        </w:tc>
        <w:tc>
          <w:tcPr>
            <w:tcW w:w="738" w:type="dxa"/>
            <w:shd w:val="clear" w:color="auto" w:fill="auto"/>
            <w:vAlign w:val="center"/>
          </w:tcPr>
          <w:p w14:paraId="7CA30DFD">
            <w:pPr>
              <w:keepNext w:val="0"/>
              <w:keepLines w:val="0"/>
              <w:widowControl/>
              <w:suppressLineNumbers w:val="0"/>
              <w:bidi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lang w:val="en-US" w:eastAsia="zh-CN"/>
              </w:rPr>
              <w:t>1</w:t>
            </w:r>
          </w:p>
        </w:tc>
      </w:tr>
      <w:tr w14:paraId="2906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1" w:hRule="atLeast"/>
          <w:jc w:val="center"/>
        </w:trPr>
        <w:tc>
          <w:tcPr>
            <w:tcW w:w="498" w:type="dxa"/>
            <w:shd w:val="clear" w:color="auto" w:fill="auto"/>
            <w:vAlign w:val="center"/>
          </w:tcPr>
          <w:p w14:paraId="1959D205">
            <w:pPr>
              <w:keepNext w:val="0"/>
              <w:keepLines w:val="0"/>
              <w:widowControl/>
              <w:suppressLineNumbers w:val="0"/>
              <w:bidi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207" w:type="dxa"/>
            <w:shd w:val="clear" w:color="auto" w:fill="auto"/>
            <w:noWrap/>
            <w:vAlign w:val="center"/>
          </w:tcPr>
          <w:p w14:paraId="15B85036">
            <w:pPr>
              <w:keepNext w:val="0"/>
              <w:keepLines w:val="0"/>
              <w:widowControl/>
              <w:suppressLineNumbers w:val="0"/>
              <w:bidi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隔膜式二次压榨</w:t>
            </w:r>
            <w:r>
              <w:rPr>
                <w:rFonts w:hint="eastAsia" w:ascii="宋体" w:hAnsi="宋体" w:eastAsia="宋体" w:cs="宋体"/>
                <w:sz w:val="24"/>
                <w:szCs w:val="24"/>
                <w:lang w:eastAsia="zh-CN"/>
              </w:rPr>
              <w:t>压滤机</w:t>
            </w:r>
          </w:p>
        </w:tc>
        <w:tc>
          <w:tcPr>
            <w:tcW w:w="6881" w:type="dxa"/>
            <w:shd w:val="clear" w:color="auto" w:fill="auto"/>
            <w:vAlign w:val="center"/>
          </w:tcPr>
          <w:p w14:paraId="677CA84C">
            <w:pPr>
              <w:keepNext w:val="0"/>
              <w:keepLines w:val="0"/>
              <w:widowControl/>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1.程控聚丙烯高压隔膜式压滤机≥150平方。</w:t>
            </w:r>
          </w:p>
          <w:p w14:paraId="5D360F8A">
            <w:pPr>
              <w:keepNext w:val="0"/>
              <w:keepLines w:val="0"/>
              <w:widowControl/>
              <w:suppressLineNumbers w:val="0"/>
              <w:bidi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2.压滤机滤板尺寸≥1250x1250自动拉板。电机功率0.75KW。</w:t>
            </w:r>
          </w:p>
          <w:p w14:paraId="50A97996">
            <w:pPr>
              <w:keepNext w:val="0"/>
              <w:keepLines w:val="0"/>
              <w:widowControl/>
              <w:suppressLineNumbers w:val="0"/>
              <w:bidi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3.过滤面积≥150㎡.</w:t>
            </w:r>
          </w:p>
          <w:p w14:paraId="3F5FB43C">
            <w:pPr>
              <w:keepNext w:val="0"/>
              <w:keepLines w:val="0"/>
              <w:widowControl/>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4.滤板数量≥58</w:t>
            </w:r>
            <w:r>
              <w:rPr>
                <w:rFonts w:hint="eastAsia" w:ascii="宋体" w:hAnsi="宋体" w:eastAsia="宋体" w:cs="宋体"/>
                <w:color w:val="auto"/>
                <w:sz w:val="24"/>
                <w:szCs w:val="24"/>
                <w:lang w:val="en-US" w:eastAsia="zh-CN"/>
              </w:rPr>
              <w:t>块</w:t>
            </w:r>
            <w:r>
              <w:rPr>
                <w:rFonts w:hint="eastAsia" w:ascii="宋体" w:hAnsi="宋体" w:eastAsia="宋体" w:cs="宋体"/>
                <w:sz w:val="24"/>
                <w:szCs w:val="24"/>
                <w:lang w:val="en-US" w:eastAsia="zh-CN"/>
              </w:rPr>
              <w:t>。</w:t>
            </w:r>
          </w:p>
          <w:p w14:paraId="0C01241B">
            <w:pPr>
              <w:keepNext w:val="0"/>
              <w:keepLines w:val="0"/>
              <w:widowControl/>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5.滤室厚度≥40mm。</w:t>
            </w:r>
          </w:p>
          <w:p w14:paraId="4E243C36">
            <w:pPr>
              <w:keepNext w:val="0"/>
              <w:keepLines w:val="0"/>
              <w:widowControl/>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6.进料压力≥0.8MPa；二次压榨压力≥1.2MPa。</w:t>
            </w:r>
          </w:p>
          <w:p w14:paraId="0BFA0291">
            <w:pPr>
              <w:keepNext w:val="0"/>
              <w:keepLines w:val="0"/>
              <w:widowControl/>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7.压榨法兰DN50，≥压力1.6MPa。</w:t>
            </w:r>
          </w:p>
          <w:p w14:paraId="246ABC65">
            <w:pPr>
              <w:keepNext w:val="0"/>
              <w:keepLines w:val="0"/>
              <w:widowControl/>
              <w:suppressLineNumbers w:val="0"/>
              <w:bidi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default" w:ascii="宋体" w:hAnsi="宋体" w:eastAsia="宋体" w:cs="宋体"/>
                <w:sz w:val="24"/>
                <w:szCs w:val="24"/>
                <w:lang w:val="en-US" w:eastAsia="zh-CN"/>
              </w:rPr>
              <w:t>进料法兰DN100，</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压力1.6MPa。</w:t>
            </w:r>
          </w:p>
          <w:p w14:paraId="7989B223">
            <w:pPr>
              <w:keepNext w:val="0"/>
              <w:keepLines w:val="0"/>
              <w:widowControl/>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9.电机功率：拉板电机≥0.75KW。</w:t>
            </w:r>
          </w:p>
          <w:p w14:paraId="3909B248">
            <w:pPr>
              <w:keepNext w:val="0"/>
              <w:keepLines w:val="0"/>
              <w:widowControl/>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10.电控柜220v-380v。</w:t>
            </w:r>
          </w:p>
          <w:p w14:paraId="4BFC0457">
            <w:pPr>
              <w:keepNext w:val="0"/>
              <w:keepLines w:val="0"/>
              <w:widowControl/>
              <w:suppressLineNumbers w:val="0"/>
              <w:bidi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11.油缸型号320。工作压力≥25MPa。</w:t>
            </w:r>
          </w:p>
          <w:p w14:paraId="4F76C004">
            <w:pPr>
              <w:keepNext w:val="0"/>
              <w:keepLines w:val="0"/>
              <w:widowControl/>
              <w:suppressLineNumbers w:val="0"/>
              <w:bidi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12.液压油站容积≥150kg。电机功率≥5.5KW。</w:t>
            </w:r>
          </w:p>
          <w:p w14:paraId="1F964B42">
            <w:pPr>
              <w:keepNext w:val="0"/>
              <w:keepLines w:val="0"/>
              <w:widowControl/>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r>
              <w:rPr>
                <w:rFonts w:hint="eastAsia" w:ascii="宋体" w:hAnsi="宋体" w:eastAsia="宋体" w:cs="宋体"/>
                <w:color w:val="000000" w:themeColor="text1"/>
                <w:sz w:val="24"/>
                <w:szCs w:val="24"/>
                <w:lang w:val="en-US" w:eastAsia="zh-CN"/>
                <w14:textFill>
                  <w14:solidFill>
                    <w14:schemeClr w14:val="tx1"/>
                  </w14:solidFill>
                </w14:textFill>
              </w:rPr>
              <w:t>一体化皮带输送机，宽度≥1000</w:t>
            </w:r>
            <w:r>
              <w:rPr>
                <w:rFonts w:hint="eastAsia" w:ascii="宋体" w:hAnsi="宋体" w:eastAsia="宋体" w:cs="宋体"/>
                <w:sz w:val="24"/>
                <w:szCs w:val="24"/>
                <w:lang w:val="en-US" w:eastAsia="zh-CN"/>
              </w:rPr>
              <w:t>mm</w:t>
            </w:r>
            <w:r>
              <w:rPr>
                <w:rFonts w:hint="eastAsia" w:ascii="宋体" w:hAnsi="宋体" w:eastAsia="宋体" w:cs="宋体"/>
                <w:color w:val="000000" w:themeColor="text1"/>
                <w:sz w:val="24"/>
                <w:szCs w:val="24"/>
                <w:lang w:val="en-US" w:eastAsia="zh-CN"/>
                <w14:textFill>
                  <w14:solidFill>
                    <w14:schemeClr w14:val="tx1"/>
                  </w14:solidFill>
                </w14:textFill>
              </w:rPr>
              <w:t>带两侧裙边防侧漏，</w:t>
            </w:r>
            <w:r>
              <w:rPr>
                <w:rFonts w:hint="eastAsia" w:ascii="宋体" w:hAnsi="宋体" w:eastAsia="宋体" w:cs="宋体"/>
                <w:sz w:val="24"/>
                <w:szCs w:val="24"/>
                <w:lang w:val="en-US" w:eastAsia="zh-CN"/>
              </w:rPr>
              <w:t>带明流接液漕。</w:t>
            </w:r>
          </w:p>
          <w:p w14:paraId="49238971">
            <w:pPr>
              <w:keepNext w:val="0"/>
              <w:keepLines w:val="0"/>
              <w:widowControl/>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14.水箱容积≥3立方，材质碳钢</w:t>
            </w:r>
          </w:p>
          <w:p w14:paraId="0D1964D1">
            <w:pPr>
              <w:keepNext w:val="0"/>
              <w:keepLines w:val="0"/>
              <w:widowControl/>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15.采用≥0.6mm厚度单丝滤布。</w:t>
            </w:r>
          </w:p>
          <w:p w14:paraId="0B2FD7F1">
            <w:pPr>
              <w:keepNext w:val="0"/>
              <w:keepLines w:val="0"/>
              <w:widowControl/>
              <w:suppressLineNumbers w:val="0"/>
              <w:bidi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16.提供该压滤机产品的技术参数，设计图纸等但不限于其他的证明材料。</w:t>
            </w:r>
          </w:p>
        </w:tc>
        <w:tc>
          <w:tcPr>
            <w:tcW w:w="854" w:type="dxa"/>
            <w:shd w:val="clear" w:color="auto" w:fill="auto"/>
            <w:vAlign w:val="center"/>
          </w:tcPr>
          <w:p w14:paraId="242A8258">
            <w:pPr>
              <w:keepNext w:val="0"/>
              <w:keepLines w:val="0"/>
              <w:widowControl/>
              <w:suppressLineNumbers w:val="0"/>
              <w:bidi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lang w:val="en-US" w:eastAsia="zh-CN"/>
              </w:rPr>
              <w:t>台</w:t>
            </w:r>
          </w:p>
        </w:tc>
        <w:tc>
          <w:tcPr>
            <w:tcW w:w="738" w:type="dxa"/>
            <w:shd w:val="clear" w:color="auto" w:fill="auto"/>
            <w:vAlign w:val="center"/>
          </w:tcPr>
          <w:p w14:paraId="0F5B1115">
            <w:pPr>
              <w:keepNext w:val="0"/>
              <w:keepLines w:val="0"/>
              <w:widowControl/>
              <w:suppressLineNumbers w:val="0"/>
              <w:bidi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lang w:val="en-US" w:eastAsia="zh-CN"/>
              </w:rPr>
              <w:t>1</w:t>
            </w:r>
          </w:p>
        </w:tc>
      </w:tr>
      <w:tr w14:paraId="37B21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98" w:type="dxa"/>
            <w:shd w:val="clear" w:color="auto" w:fill="auto"/>
            <w:vAlign w:val="center"/>
          </w:tcPr>
          <w:p w14:paraId="059BFB7E">
            <w:pPr>
              <w:keepNext w:val="0"/>
              <w:keepLines w:val="0"/>
              <w:widowControl/>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3</w:t>
            </w:r>
          </w:p>
        </w:tc>
        <w:tc>
          <w:tcPr>
            <w:tcW w:w="1207" w:type="dxa"/>
            <w:shd w:val="clear" w:color="auto" w:fill="auto"/>
            <w:vAlign w:val="center"/>
          </w:tcPr>
          <w:p w14:paraId="058CDF05">
            <w:pPr>
              <w:keepNext w:val="0"/>
              <w:keepLines w:val="0"/>
              <w:widowControl/>
              <w:suppressLineNumbers w:val="0"/>
              <w:bidi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压滤机入料泵</w:t>
            </w:r>
          </w:p>
        </w:tc>
        <w:tc>
          <w:tcPr>
            <w:tcW w:w="6881" w:type="dxa"/>
            <w:shd w:val="clear" w:color="auto" w:fill="auto"/>
            <w:vAlign w:val="center"/>
          </w:tcPr>
          <w:p w14:paraId="718E07E1">
            <w:pPr>
              <w:keepNext w:val="0"/>
              <w:keepLines w:val="0"/>
              <w:widowControl/>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1.流量≥115m3/h</w:t>
            </w:r>
          </w:p>
          <w:p w14:paraId="59ADEDEC">
            <w:pPr>
              <w:keepNext w:val="0"/>
              <w:keepLines w:val="0"/>
              <w:widowControl/>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2.转速≥1480r/min</w:t>
            </w:r>
          </w:p>
          <w:p w14:paraId="19E971AF">
            <w:pPr>
              <w:keepNext w:val="0"/>
              <w:keepLines w:val="0"/>
              <w:widowControl/>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3.扬程75m-80m</w:t>
            </w:r>
          </w:p>
          <w:p w14:paraId="3D681AF8">
            <w:pPr>
              <w:keepNext w:val="0"/>
              <w:keepLines w:val="0"/>
              <w:widowControl/>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4.配套功率≥45kw</w:t>
            </w:r>
          </w:p>
        </w:tc>
        <w:tc>
          <w:tcPr>
            <w:tcW w:w="854" w:type="dxa"/>
            <w:shd w:val="clear" w:color="auto" w:fill="auto"/>
            <w:vAlign w:val="center"/>
          </w:tcPr>
          <w:p w14:paraId="4FB6D83A">
            <w:pPr>
              <w:keepNext w:val="0"/>
              <w:keepLines w:val="0"/>
              <w:widowControl/>
              <w:suppressLineNumbers w:val="0"/>
              <w:bidi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lang w:val="en-US" w:eastAsia="zh-CN"/>
              </w:rPr>
              <w:t>套</w:t>
            </w:r>
          </w:p>
        </w:tc>
        <w:tc>
          <w:tcPr>
            <w:tcW w:w="738" w:type="dxa"/>
            <w:shd w:val="clear" w:color="auto" w:fill="auto"/>
            <w:vAlign w:val="center"/>
          </w:tcPr>
          <w:p w14:paraId="7910394A">
            <w:pPr>
              <w:keepNext w:val="0"/>
              <w:keepLines w:val="0"/>
              <w:widowControl/>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49E2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7" w:hRule="atLeast"/>
          <w:jc w:val="center"/>
        </w:trPr>
        <w:tc>
          <w:tcPr>
            <w:tcW w:w="498" w:type="dxa"/>
            <w:shd w:val="clear" w:color="auto" w:fill="auto"/>
            <w:vAlign w:val="center"/>
          </w:tcPr>
          <w:p w14:paraId="1C393EBC">
            <w:pPr>
              <w:keepNext w:val="0"/>
              <w:keepLines w:val="0"/>
              <w:widowControl/>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1207" w:type="dxa"/>
            <w:shd w:val="clear" w:color="auto" w:fill="auto"/>
            <w:vAlign w:val="center"/>
          </w:tcPr>
          <w:p w14:paraId="1427E694">
            <w:pPr>
              <w:keepNext w:val="0"/>
              <w:keepLines w:val="0"/>
              <w:widowControl/>
              <w:suppressLineNumbers w:val="0"/>
              <w:bidi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压滤机防护装置</w:t>
            </w:r>
          </w:p>
        </w:tc>
        <w:tc>
          <w:tcPr>
            <w:tcW w:w="6881" w:type="dxa"/>
            <w:shd w:val="clear" w:color="auto" w:fill="auto"/>
            <w:vAlign w:val="center"/>
          </w:tcPr>
          <w:p w14:paraId="54E120E0">
            <w:pPr>
              <w:keepNext w:val="0"/>
              <w:keepLines w:val="0"/>
              <w:widowControl/>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采用移动式，遮阳棚架结构。或者翻转式液压举升门式结构。折叠式走道，加装防护装置，移动爬梯。</w:t>
            </w:r>
          </w:p>
        </w:tc>
        <w:tc>
          <w:tcPr>
            <w:tcW w:w="854" w:type="dxa"/>
            <w:shd w:val="clear" w:color="auto" w:fill="auto"/>
            <w:vAlign w:val="center"/>
          </w:tcPr>
          <w:p w14:paraId="4C45D5CC">
            <w:pPr>
              <w:keepNext w:val="0"/>
              <w:keepLines w:val="0"/>
              <w:widowControl/>
              <w:suppressLineNumbers w:val="0"/>
              <w:bidi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lang w:eastAsia="zh-CN"/>
              </w:rPr>
              <w:t>套</w:t>
            </w:r>
          </w:p>
        </w:tc>
        <w:tc>
          <w:tcPr>
            <w:tcW w:w="738" w:type="dxa"/>
            <w:shd w:val="clear" w:color="auto" w:fill="auto"/>
            <w:vAlign w:val="center"/>
          </w:tcPr>
          <w:p w14:paraId="1474BC65">
            <w:pPr>
              <w:keepNext w:val="0"/>
              <w:keepLines w:val="0"/>
              <w:widowControl/>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2F2B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98" w:type="dxa"/>
            <w:shd w:val="clear" w:color="auto" w:fill="auto"/>
            <w:vAlign w:val="center"/>
          </w:tcPr>
          <w:p w14:paraId="6B17DC2B">
            <w:pPr>
              <w:keepNext w:val="0"/>
              <w:keepLines w:val="0"/>
              <w:widowControl/>
              <w:suppressLineNumbers w:val="0"/>
              <w:bidi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207" w:type="dxa"/>
            <w:shd w:val="clear" w:color="auto" w:fill="auto"/>
            <w:vAlign w:val="center"/>
          </w:tcPr>
          <w:p w14:paraId="321823A3">
            <w:pPr>
              <w:keepNext w:val="0"/>
              <w:keepLines w:val="0"/>
              <w:widowControl/>
              <w:suppressLineNumbers w:val="0"/>
              <w:bidi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控制系统</w:t>
            </w:r>
          </w:p>
        </w:tc>
        <w:tc>
          <w:tcPr>
            <w:tcW w:w="6881" w:type="dxa"/>
            <w:shd w:val="clear" w:color="auto" w:fill="auto"/>
            <w:vAlign w:val="center"/>
          </w:tcPr>
          <w:p w14:paraId="71671966">
            <w:pPr>
              <w:keepNext w:val="0"/>
              <w:keepLines w:val="0"/>
              <w:widowControl/>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液晶显示控制屏电控柜，材质碳钢喷塑，元器件知名平牌，手动自动控制</w:t>
            </w:r>
          </w:p>
        </w:tc>
        <w:tc>
          <w:tcPr>
            <w:tcW w:w="854" w:type="dxa"/>
            <w:shd w:val="clear" w:color="auto" w:fill="auto"/>
            <w:vAlign w:val="center"/>
          </w:tcPr>
          <w:p w14:paraId="1FE76571">
            <w:pPr>
              <w:keepNext w:val="0"/>
              <w:keepLines w:val="0"/>
              <w:widowControl/>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738" w:type="dxa"/>
            <w:shd w:val="clear" w:color="auto" w:fill="auto"/>
            <w:vAlign w:val="center"/>
          </w:tcPr>
          <w:p w14:paraId="1E5CB8C6">
            <w:pPr>
              <w:keepNext w:val="0"/>
              <w:keepLines w:val="0"/>
              <w:widowControl/>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2605B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98" w:type="dxa"/>
            <w:shd w:val="clear" w:color="auto" w:fill="auto"/>
            <w:vAlign w:val="center"/>
          </w:tcPr>
          <w:p w14:paraId="6CB71F54">
            <w:pPr>
              <w:keepNext w:val="0"/>
              <w:keepLines w:val="0"/>
              <w:widowControl/>
              <w:suppressLineNumbers w:val="0"/>
              <w:bidi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207" w:type="dxa"/>
            <w:shd w:val="clear" w:color="auto" w:fill="auto"/>
            <w:vAlign w:val="center"/>
          </w:tcPr>
          <w:p w14:paraId="741A81DD">
            <w:pPr>
              <w:keepNext w:val="0"/>
              <w:keepLines w:val="0"/>
              <w:widowControl/>
              <w:suppressLineNumbers w:val="0"/>
              <w:bidi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附件</w:t>
            </w:r>
          </w:p>
        </w:tc>
        <w:tc>
          <w:tcPr>
            <w:tcW w:w="6881" w:type="dxa"/>
            <w:shd w:val="clear" w:color="auto" w:fill="auto"/>
            <w:vAlign w:val="center"/>
          </w:tcPr>
          <w:p w14:paraId="7FA04644">
            <w:pPr>
              <w:keepNext w:val="0"/>
              <w:keepLines w:val="0"/>
              <w:widowControl/>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4寸污泥管道20米.两侧阴阳端连接。</w:t>
            </w:r>
          </w:p>
        </w:tc>
        <w:tc>
          <w:tcPr>
            <w:tcW w:w="854" w:type="dxa"/>
            <w:shd w:val="clear" w:color="auto" w:fill="auto"/>
            <w:vAlign w:val="center"/>
          </w:tcPr>
          <w:p w14:paraId="74FD1BFA">
            <w:pPr>
              <w:keepNext w:val="0"/>
              <w:keepLines w:val="0"/>
              <w:widowControl/>
              <w:suppressLineNumbers w:val="0"/>
              <w:bidi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lang w:val="en-US" w:eastAsia="zh-CN"/>
              </w:rPr>
              <w:t>套</w:t>
            </w:r>
          </w:p>
        </w:tc>
        <w:tc>
          <w:tcPr>
            <w:tcW w:w="738" w:type="dxa"/>
            <w:shd w:val="clear" w:color="auto" w:fill="auto"/>
            <w:vAlign w:val="center"/>
          </w:tcPr>
          <w:p w14:paraId="07FFBEDB">
            <w:pPr>
              <w:keepNext w:val="0"/>
              <w:keepLines w:val="0"/>
              <w:widowControl/>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1F8B2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98" w:type="dxa"/>
            <w:shd w:val="clear" w:color="auto" w:fill="auto"/>
            <w:vAlign w:val="center"/>
          </w:tcPr>
          <w:p w14:paraId="191971FC">
            <w:pPr>
              <w:keepNext w:val="0"/>
              <w:keepLines w:val="0"/>
              <w:widowControl/>
              <w:suppressLineNumbers w:val="0"/>
              <w:bidi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207" w:type="dxa"/>
            <w:shd w:val="clear" w:color="auto" w:fill="auto"/>
            <w:vAlign w:val="center"/>
          </w:tcPr>
          <w:p w14:paraId="3AEFA030">
            <w:pPr>
              <w:keepNext w:val="0"/>
              <w:keepLines w:val="0"/>
              <w:widowControl/>
              <w:suppressLineNumbers w:val="0"/>
              <w:bidi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其他要求</w:t>
            </w:r>
          </w:p>
        </w:tc>
        <w:tc>
          <w:tcPr>
            <w:tcW w:w="6881" w:type="dxa"/>
            <w:shd w:val="clear" w:color="auto" w:fill="auto"/>
            <w:vAlign w:val="center"/>
          </w:tcPr>
          <w:p w14:paraId="56BD4D4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0"/>
              <w:rPr>
                <w:rFonts w:hint="default" w:ascii="宋体" w:hAnsi="宋体" w:eastAsia="宋体" w:cs="宋体"/>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需提供中华人民共和国工业和信息化部官网企业申报车型公示截图、产品彩页或检测报告等证明材料。</w:t>
            </w:r>
          </w:p>
        </w:tc>
        <w:tc>
          <w:tcPr>
            <w:tcW w:w="854" w:type="dxa"/>
            <w:shd w:val="clear" w:color="auto" w:fill="auto"/>
            <w:vAlign w:val="center"/>
          </w:tcPr>
          <w:p w14:paraId="01E2199D">
            <w:pPr>
              <w:keepNext w:val="0"/>
              <w:keepLines w:val="0"/>
              <w:widowControl/>
              <w:suppressLineNumbers w:val="0"/>
              <w:bidi w:val="0"/>
              <w:spacing w:before="0" w:beforeAutospacing="0" w:after="0" w:afterAutospacing="0"/>
              <w:ind w:left="0" w:right="0"/>
              <w:rPr>
                <w:rFonts w:hint="eastAsia" w:ascii="宋体" w:hAnsi="宋体" w:eastAsia="宋体" w:cs="宋体"/>
                <w:sz w:val="24"/>
                <w:szCs w:val="24"/>
                <w:lang w:val="en-US" w:eastAsia="zh-CN"/>
              </w:rPr>
            </w:pPr>
          </w:p>
        </w:tc>
        <w:tc>
          <w:tcPr>
            <w:tcW w:w="738" w:type="dxa"/>
            <w:shd w:val="clear" w:color="auto" w:fill="auto"/>
            <w:vAlign w:val="center"/>
          </w:tcPr>
          <w:p w14:paraId="68EDDB95">
            <w:pPr>
              <w:keepNext w:val="0"/>
              <w:keepLines w:val="0"/>
              <w:widowControl/>
              <w:suppressLineNumbers w:val="0"/>
              <w:bidi w:val="0"/>
              <w:spacing w:before="0" w:beforeAutospacing="0" w:after="0" w:afterAutospacing="0"/>
              <w:ind w:left="0" w:right="0"/>
              <w:rPr>
                <w:rFonts w:hint="eastAsia" w:ascii="宋体" w:hAnsi="宋体" w:eastAsia="宋体" w:cs="宋体"/>
                <w:sz w:val="24"/>
                <w:szCs w:val="24"/>
                <w:lang w:val="en-US" w:eastAsia="zh-CN"/>
              </w:rPr>
            </w:pPr>
          </w:p>
        </w:tc>
      </w:tr>
    </w:tbl>
    <w:p w14:paraId="1944BC7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四、商务要求</w:t>
      </w:r>
    </w:p>
    <w:p w14:paraId="60347BCF">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1.交付期、质量标准、质保期及项目地点</w:t>
      </w:r>
    </w:p>
    <w:p w14:paraId="01CA686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yellow"/>
          <w:u w:val="none"/>
          <w:lang w:val="en-US" w:eastAsia="zh-CN"/>
        </w:rPr>
      </w:pPr>
      <w:r>
        <w:rPr>
          <w:rFonts w:hint="eastAsia" w:ascii="宋体" w:hAnsi="宋体" w:eastAsia="宋体" w:cs="宋体"/>
          <w:b w:val="0"/>
          <w:bCs w:val="0"/>
          <w:color w:val="auto"/>
          <w:sz w:val="24"/>
          <w:szCs w:val="24"/>
          <w:lang w:val="en-US" w:eastAsia="zh-CN"/>
        </w:rPr>
        <w:t>1.1</w:t>
      </w:r>
      <w:r>
        <w:rPr>
          <w:rFonts w:hint="eastAsia" w:ascii="宋体" w:hAnsi="宋体" w:eastAsia="宋体" w:cs="宋体"/>
          <w:b w:val="0"/>
          <w:bCs w:val="0"/>
          <w:color w:val="auto"/>
          <w:sz w:val="24"/>
          <w:szCs w:val="24"/>
          <w:lang w:eastAsia="zh-CN"/>
        </w:rPr>
        <w:t>交付期</w:t>
      </w:r>
      <w:r>
        <w:rPr>
          <w:rFonts w:hint="eastAsia" w:ascii="宋体" w:hAnsi="宋体" w:eastAsia="宋体" w:cs="宋体"/>
          <w:b w:val="0"/>
          <w:bCs w:val="0"/>
          <w:color w:val="auto"/>
          <w:sz w:val="24"/>
          <w:szCs w:val="24"/>
          <w:highlight w:val="none"/>
        </w:rPr>
        <w:t>：合同签订之日起30天内完成供货</w:t>
      </w:r>
      <w:r>
        <w:rPr>
          <w:rFonts w:hint="eastAsia" w:ascii="宋体" w:hAnsi="宋体" w:eastAsia="宋体" w:cs="宋体"/>
          <w:b w:val="0"/>
          <w:bCs w:val="0"/>
          <w:color w:val="auto"/>
          <w:spacing w:val="-7"/>
          <w:sz w:val="24"/>
          <w:szCs w:val="24"/>
          <w:lang w:val="en-US"/>
        </w:rPr>
        <w:t>。</w:t>
      </w:r>
    </w:p>
    <w:p w14:paraId="5E40299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1.2质量标准：</w:t>
      </w:r>
      <w:r>
        <w:rPr>
          <w:rFonts w:hint="eastAsia" w:ascii="宋体" w:hAnsi="宋体" w:eastAsia="宋体" w:cs="宋体"/>
          <w:b w:val="0"/>
          <w:bCs w:val="0"/>
          <w:sz w:val="24"/>
          <w:szCs w:val="24"/>
          <w:highlight w:val="none"/>
          <w:lang w:val="en-US" w:eastAsia="zh-CN"/>
        </w:rPr>
        <w:t>符合国家标准、行业标准</w:t>
      </w:r>
      <w:r>
        <w:rPr>
          <w:rFonts w:hint="eastAsia" w:ascii="宋体" w:hAnsi="宋体" w:eastAsia="宋体" w:cs="宋体"/>
          <w:b w:val="0"/>
          <w:bCs w:val="0"/>
          <w:color w:val="auto"/>
          <w:spacing w:val="-7"/>
          <w:sz w:val="24"/>
          <w:szCs w:val="24"/>
          <w:lang w:val="en-US"/>
        </w:rPr>
        <w:t>。</w:t>
      </w:r>
    </w:p>
    <w:p w14:paraId="10762F9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u w:val="single"/>
          <w:lang w:val="en-US" w:eastAsia="zh-CN"/>
        </w:rPr>
      </w:pPr>
      <w:bookmarkStart w:id="313" w:name="_Toc167712840"/>
      <w:bookmarkStart w:id="314" w:name="_Toc167714038"/>
      <w:bookmarkStart w:id="315" w:name="_Toc167715235"/>
      <w:r>
        <w:rPr>
          <w:rFonts w:hint="eastAsia" w:ascii="宋体" w:hAnsi="宋体" w:eastAsia="宋体" w:cs="宋体"/>
          <w:b w:val="0"/>
          <w:bCs w:val="0"/>
          <w:color w:val="auto"/>
          <w:sz w:val="24"/>
          <w:szCs w:val="24"/>
          <w:lang w:val="en-US" w:eastAsia="zh-CN"/>
        </w:rPr>
        <w:t>1.3质保期：3年</w:t>
      </w:r>
      <w:r>
        <w:rPr>
          <w:rFonts w:hint="eastAsia" w:ascii="宋体" w:hAnsi="宋体" w:eastAsia="宋体" w:cs="宋体"/>
          <w:b w:val="0"/>
          <w:bCs w:val="0"/>
          <w:color w:val="auto"/>
          <w:spacing w:val="-7"/>
          <w:sz w:val="24"/>
          <w:szCs w:val="24"/>
          <w:lang w:val="en-US"/>
        </w:rPr>
        <w:t>。</w:t>
      </w:r>
    </w:p>
    <w:p w14:paraId="50D4AA2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1.4项目地点：</w:t>
      </w:r>
      <w:r>
        <w:rPr>
          <w:rFonts w:hint="eastAsia" w:ascii="宋体" w:hAnsi="宋体" w:eastAsia="宋体" w:cs="宋体"/>
          <w:b w:val="0"/>
          <w:bCs w:val="0"/>
          <w:color w:val="auto"/>
          <w:kern w:val="0"/>
          <w:sz w:val="24"/>
          <w:szCs w:val="24"/>
          <w:lang w:eastAsia="zh-CN"/>
        </w:rPr>
        <w:t>采购人</w:t>
      </w:r>
      <w:r>
        <w:rPr>
          <w:rFonts w:hint="eastAsia" w:ascii="宋体" w:hAnsi="宋体" w:eastAsia="宋体" w:cs="宋体"/>
          <w:b w:val="0"/>
          <w:bCs w:val="0"/>
          <w:color w:val="auto"/>
          <w:kern w:val="0"/>
          <w:sz w:val="24"/>
          <w:szCs w:val="24"/>
        </w:rPr>
        <w:t>指定</w:t>
      </w:r>
      <w:r>
        <w:rPr>
          <w:rFonts w:hint="eastAsia" w:ascii="宋体" w:hAnsi="宋体" w:eastAsia="宋体" w:cs="宋体"/>
          <w:b w:val="0"/>
          <w:bCs w:val="0"/>
          <w:color w:val="auto"/>
          <w:sz w:val="24"/>
          <w:szCs w:val="24"/>
        </w:rPr>
        <w:t>地点。</w:t>
      </w:r>
    </w:p>
    <w:bookmarkEnd w:id="313"/>
    <w:bookmarkEnd w:id="314"/>
    <w:bookmarkEnd w:id="315"/>
    <w:p w14:paraId="1025C258">
      <w:pPr>
        <w:keepNext w:val="0"/>
        <w:keepLines w:val="0"/>
        <w:pageBreakBefore w:val="0"/>
        <w:widowControl/>
        <w:tabs>
          <w:tab w:val="left" w:pos="4359"/>
        </w:tabs>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000000"/>
          <w:sz w:val="24"/>
          <w:szCs w:val="24"/>
          <w:lang w:val="en-US" w:eastAsia="zh-CN"/>
        </w:rPr>
      </w:pPr>
      <w:bookmarkStart w:id="316" w:name="_Toc167712849"/>
      <w:bookmarkStart w:id="317" w:name="_Toc167714047"/>
      <w:bookmarkStart w:id="318" w:name="_Toc167715244"/>
      <w:r>
        <w:rPr>
          <w:rFonts w:hint="eastAsia" w:ascii="宋体" w:hAnsi="宋体" w:eastAsia="宋体" w:cs="宋体"/>
          <w:b/>
          <w:color w:val="000000"/>
          <w:sz w:val="24"/>
          <w:szCs w:val="24"/>
          <w:lang w:val="en-US" w:eastAsia="zh-CN"/>
        </w:rPr>
        <w:t>2.款项支付方式</w:t>
      </w:r>
      <w:r>
        <w:rPr>
          <w:rFonts w:hint="eastAsia" w:ascii="宋体" w:hAnsi="宋体" w:eastAsia="宋体" w:cs="宋体"/>
          <w:b/>
          <w:color w:val="000000"/>
          <w:sz w:val="24"/>
          <w:szCs w:val="24"/>
          <w:lang w:val="en-US" w:eastAsia="zh-CN"/>
        </w:rPr>
        <w:tab/>
      </w:r>
    </w:p>
    <w:p w14:paraId="586F806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甲方以转账形式付款，货物到场交付后支付总价款的40%，验收合格后一年内付清剩余价款。</w:t>
      </w:r>
    </w:p>
    <w:p w14:paraId="0919D714">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3.质量保证</w:t>
      </w:r>
    </w:p>
    <w:p w14:paraId="312F0A5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3.1</w:t>
      </w:r>
      <w:r>
        <w:rPr>
          <w:rFonts w:hint="default" w:ascii="宋体" w:hAnsi="宋体" w:eastAsia="宋体" w:cs="宋体"/>
          <w:b w:val="0"/>
          <w:bCs w:val="0"/>
          <w:color w:val="auto"/>
          <w:sz w:val="24"/>
          <w:szCs w:val="24"/>
          <w:lang w:val="en-US" w:eastAsia="zh-CN"/>
        </w:rPr>
        <w:t>保证</w:t>
      </w:r>
      <w:r>
        <w:rPr>
          <w:rFonts w:hint="eastAsia" w:ascii="宋体" w:hAnsi="宋体" w:eastAsia="宋体" w:cs="宋体"/>
          <w:b w:val="0"/>
          <w:bCs w:val="0"/>
          <w:color w:val="auto"/>
          <w:sz w:val="24"/>
          <w:szCs w:val="24"/>
          <w:lang w:val="en-US" w:eastAsia="zh-CN"/>
        </w:rPr>
        <w:t>采购人</w:t>
      </w:r>
      <w:r>
        <w:rPr>
          <w:rFonts w:hint="default" w:ascii="宋体" w:hAnsi="宋体" w:eastAsia="宋体" w:cs="宋体"/>
          <w:b w:val="0"/>
          <w:bCs w:val="0"/>
          <w:color w:val="auto"/>
          <w:sz w:val="24"/>
          <w:szCs w:val="24"/>
          <w:lang w:val="en-US" w:eastAsia="zh-CN"/>
        </w:rPr>
        <w:t>在使用所采购货物或其任何一部分时不受第三方提出侵犯其专利权、版权、商标权或其他权利的起诉。一旦出现侵权，索赔或诉讼，乙方应承担全部责任。</w:t>
      </w:r>
    </w:p>
    <w:p w14:paraId="66D6F04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3.2</w:t>
      </w:r>
      <w:r>
        <w:rPr>
          <w:rFonts w:hint="default" w:ascii="宋体" w:hAnsi="宋体" w:eastAsia="宋体" w:cs="宋体"/>
          <w:b w:val="0"/>
          <w:bCs w:val="0"/>
          <w:color w:val="auto"/>
          <w:sz w:val="24"/>
          <w:szCs w:val="24"/>
          <w:lang w:val="en-US" w:eastAsia="zh-CN"/>
        </w:rPr>
        <w:t>保证货物是全新的、未使用过的，完全符合国家标准、行业标准及招投标文件、合同关于货物质量、型号等要求，实行国家“三包”规定的，应严格执行。</w:t>
      </w:r>
    </w:p>
    <w:p w14:paraId="7871C70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3.3</w:t>
      </w:r>
      <w:r>
        <w:rPr>
          <w:rFonts w:hint="default" w:ascii="宋体" w:hAnsi="宋体" w:eastAsia="宋体" w:cs="宋体"/>
          <w:b w:val="0"/>
          <w:bCs w:val="0"/>
          <w:color w:val="auto"/>
          <w:sz w:val="24"/>
          <w:szCs w:val="24"/>
          <w:lang w:val="en-US" w:eastAsia="zh-CN"/>
        </w:rPr>
        <w:t>提交的货物应符合</w:t>
      </w:r>
      <w:r>
        <w:rPr>
          <w:rFonts w:hint="eastAsia" w:ascii="宋体" w:hAnsi="宋体" w:eastAsia="宋体" w:cs="宋体"/>
          <w:b w:val="0"/>
          <w:bCs w:val="0"/>
          <w:color w:val="auto"/>
          <w:sz w:val="24"/>
          <w:szCs w:val="24"/>
          <w:lang w:val="en-US" w:eastAsia="zh-CN"/>
        </w:rPr>
        <w:t>响应</w:t>
      </w:r>
      <w:r>
        <w:rPr>
          <w:rFonts w:hint="default" w:ascii="宋体" w:hAnsi="宋体" w:eastAsia="宋体" w:cs="宋体"/>
          <w:b w:val="0"/>
          <w:bCs w:val="0"/>
          <w:color w:val="auto"/>
          <w:sz w:val="24"/>
          <w:szCs w:val="24"/>
          <w:lang w:val="en-US" w:eastAsia="zh-CN"/>
        </w:rPr>
        <w:t>文件中所记载的详细配置、技术参数、参数及性能，并应附有此类货物完整、详细的技术资料和说明文件。</w:t>
      </w:r>
    </w:p>
    <w:p w14:paraId="4216C41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3.4</w:t>
      </w:r>
      <w:r>
        <w:rPr>
          <w:rFonts w:hint="default" w:ascii="宋体" w:hAnsi="宋体" w:eastAsia="宋体" w:cs="宋体"/>
          <w:b w:val="0"/>
          <w:bCs w:val="0"/>
          <w:color w:val="auto"/>
          <w:sz w:val="24"/>
          <w:szCs w:val="24"/>
          <w:lang w:val="en-US" w:eastAsia="zh-CN"/>
        </w:rPr>
        <w:t>.保证将货物按照国家和行业标准包装、确保货物安全无损运抵合同规定的交货地点，并进行安装、试运行。</w:t>
      </w:r>
    </w:p>
    <w:p w14:paraId="512ECB9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3.5</w:t>
      </w:r>
      <w:r>
        <w:rPr>
          <w:rFonts w:hint="default" w:ascii="宋体" w:hAnsi="宋体" w:eastAsia="宋体" w:cs="宋体"/>
          <w:b w:val="0"/>
          <w:bCs w:val="0"/>
          <w:color w:val="auto"/>
          <w:sz w:val="24"/>
          <w:szCs w:val="24"/>
          <w:lang w:val="en-US" w:eastAsia="zh-CN"/>
        </w:rPr>
        <w:t>保证货物不存在危及人身及财产安全的产品缺陷，否则应承担全部法律责任。</w:t>
      </w:r>
    </w:p>
    <w:p w14:paraId="5954EEA7">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sz w:val="24"/>
          <w:szCs w:val="24"/>
          <w:lang w:val="en-US" w:eastAsia="zh-CN"/>
        </w:rPr>
        <w:t>4.</w:t>
      </w:r>
      <w:r>
        <w:rPr>
          <w:rFonts w:hint="eastAsia" w:ascii="宋体" w:hAnsi="宋体" w:eastAsia="宋体" w:cs="宋体"/>
          <w:b/>
          <w:bCs/>
          <w:color w:val="000000"/>
          <w:kern w:val="0"/>
          <w:sz w:val="24"/>
          <w:szCs w:val="24"/>
          <w:lang w:val="en-US" w:eastAsia="zh-CN" w:bidi="ar"/>
        </w:rPr>
        <w:t>包装、运输、安装、调试要求：</w:t>
      </w:r>
    </w:p>
    <w:p w14:paraId="6E5F8A10">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4.1包装：应采取防潮、防晒、防腐蚀、防震动及防止其他损坏的必要措施。中标单位应承担由于其包装或防护措施不妥而引起的货物锈蚀、损坏和丢失等任何损失造成的责任或费用。 </w:t>
      </w:r>
    </w:p>
    <w:p w14:paraId="52E398DA">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4.2所有货物中标单位负责运输至项目地点，中标单位应选择运输风险小、运费低、距离短的运输路线。运杂费包含在投标总价内，包括生产厂家到供货地涉及的人工费、材料费、机械费、设备费、仓储、运输、装卸、安装调试费等所有伴随费用等。 </w:t>
      </w:r>
    </w:p>
    <w:p w14:paraId="4A75C403">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4.3安装、调试：（1）中标单位负责设备的安装、调试工作，所有费用包含在投标总价内。（2）设备安装调试过程中，中标单位应作详细检验记录，安装调试结果应该符合有关标准的要求，检验记录应提供给采购人；（3）在设备安装、调试期间，采购人有权派出技术人员参加，中标单位有义务对其进行指导。（4）中标单位提出设备调试的内容、项目、指标和方法，提供全部安装、调试过程中所需的特殊工具和易损件，并自带专用仪器仪表设备。中标单位有责任对采购人的技术人员提出的问题作出解答。调试应进行详细记录，系统调试结束后，由中标单位设备安装调试技术人员签字后交给采购人验收。</w:t>
      </w:r>
    </w:p>
    <w:p w14:paraId="51F03E9E">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4.4设备及其附件的包装应为出厂原包装，包装内应附有详细的装箱清单、出厂合格证明及其他相关资料。</w:t>
      </w:r>
    </w:p>
    <w:p w14:paraId="13FCE07D">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5.验收要求：</w:t>
      </w:r>
    </w:p>
    <w:p w14:paraId="053F2DF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设备调试完成，达到稳定运行状态，产品质量合格，中标单位书面向采购人提出验收申请，由采购人组织人员对采购项目进行验收。</w:t>
      </w:r>
    </w:p>
    <w:p w14:paraId="623047B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（1）合同签订后，中标单位负责将完整配套的原包装设备送到采购人指定的地点，由甲乙双方共同开箱初验，并由中标单位按合同规范要求完成安装；</w:t>
      </w:r>
    </w:p>
    <w:p w14:paraId="301BC28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（2）交货时，中标单位同时向采购人交付设备的合格证、保修卡等相关资料（如操作手册、使用指南、维修手册、使用安装调试说明书、服务手册等）及配备的用件、工具等；</w:t>
      </w:r>
    </w:p>
    <w:p w14:paraId="0DBCCAC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中标单位应保证所供货物是全新的、未使用过的，并完全符合合同规定的质量、规格和性能的要求。中标单位应保证其货物在正确安装、正常使用和保养条件下，在其使用寿命期内应具有满意的性能，或者没有因中标单位的行为或疏忽而产生的缺陷。</w:t>
      </w:r>
    </w:p>
    <w:p w14:paraId="75C39AD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（4）如初验发现不合格，中标单位必须予以更换；在货物最终验收后的质量保证期，中标单位应对由于开发、设计、工艺或者材料的缺陷而发生的任何缺陷或故障负责，费用由中标单位承担。</w:t>
      </w:r>
    </w:p>
    <w:p w14:paraId="651BE22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（5）对于大型或者复杂的硬件设备，采购人可以邀请国家认可的质量检测机构参加验收工作，并由其出具验收报告单。</w:t>
      </w:r>
    </w:p>
    <w:p w14:paraId="5C2C88C8">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6.</w:t>
      </w:r>
      <w:r>
        <w:rPr>
          <w:rFonts w:hint="eastAsia" w:ascii="宋体" w:hAnsi="宋体" w:eastAsia="宋体" w:cs="宋体"/>
          <w:b/>
          <w:bCs/>
          <w:sz w:val="24"/>
          <w:szCs w:val="24"/>
        </w:rPr>
        <w:t>售后服务要求</w:t>
      </w:r>
    </w:p>
    <w:bookmarkEnd w:id="316"/>
    <w:bookmarkEnd w:id="317"/>
    <w:bookmarkEnd w:id="318"/>
    <w:p w14:paraId="2D05211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6.1质量保证期：</w:t>
      </w:r>
    </w:p>
    <w:p w14:paraId="3FBCBBA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须提供所交付货物（含软件）自验收合格之日起3年的免费质保期。</w:t>
      </w:r>
    </w:p>
    <w:p w14:paraId="33018DD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6.2在质保期内，中标单位须提供免费质保服务，中标人必需在质保期内对设备产生的问题妥善解决，非因操作不当造成要更换的零配件由中标人负责包修包换，该部件必须是原厂的产品。</w:t>
      </w:r>
    </w:p>
    <w:p w14:paraId="430F8CE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b w:val="0"/>
          <w:bCs/>
          <w:sz w:val="24"/>
          <w:szCs w:val="24"/>
          <w:lang w:val="en-US" w:eastAsia="zh-CN"/>
        </w:rPr>
        <w:sectPr>
          <w:headerReference r:id="rId13" w:type="default"/>
          <w:footerReference r:id="rId14" w:type="default"/>
          <w:pgSz w:w="11905" w:h="16838"/>
          <w:pgMar w:top="1247" w:right="1134" w:bottom="1247" w:left="1134" w:header="964" w:footer="964" w:gutter="0"/>
          <w:pgNumType w:fmt="decimal"/>
          <w:cols w:space="0" w:num="1"/>
          <w:rtlGutter w:val="0"/>
          <w:docGrid w:type="lines" w:linePitch="398" w:charSpace="0"/>
        </w:sectPr>
      </w:pPr>
      <w:r>
        <w:rPr>
          <w:rFonts w:hint="default" w:ascii="宋体" w:hAnsi="宋体" w:eastAsia="宋体" w:cs="宋体"/>
          <w:b w:val="0"/>
          <w:bCs/>
          <w:sz w:val="24"/>
          <w:szCs w:val="24"/>
          <w:lang w:val="en-US" w:eastAsia="zh-CN"/>
        </w:rPr>
        <w:t>6.3在质保期内，中标单位在接到采购人维修通知后，须在12小时内作出响应，并派专业技术人员24小时内抵达现场进行维修工作。</w:t>
      </w:r>
    </w:p>
    <w:p w14:paraId="5EBDE509">
      <w:pPr>
        <w:pStyle w:val="3"/>
        <w:keepNext/>
        <w:keepLines/>
        <w:pageBreakBefore/>
        <w:widowControl/>
        <w:numPr>
          <w:ilvl w:val="0"/>
          <w:numId w:val="0"/>
        </w:numPr>
        <w:kinsoku/>
        <w:wordWrap/>
        <w:overflowPunct/>
        <w:topLinePunct w:val="0"/>
        <w:autoSpaceDE/>
        <w:autoSpaceDN/>
        <w:bidi w:val="0"/>
        <w:adjustRightInd/>
        <w:snapToGrid/>
        <w:spacing w:before="192" w:beforeLines="50" w:after="192" w:afterLines="50" w:line="460" w:lineRule="exact"/>
        <w:ind w:leftChars="0"/>
        <w:textAlignment w:val="auto"/>
        <w:rPr>
          <w:rFonts w:hint="eastAsia" w:ascii="宋体" w:hAnsi="宋体" w:eastAsia="宋体" w:cs="Times New Roman"/>
          <w:color w:val="auto"/>
          <w:lang w:val="en-US" w:eastAsia="zh-CN"/>
        </w:rPr>
      </w:pPr>
      <w:bookmarkStart w:id="319" w:name="_Toc23316532"/>
      <w:bookmarkStart w:id="320" w:name="_Toc23315672"/>
      <w:bookmarkStart w:id="321" w:name="_Toc23316596"/>
      <w:bookmarkStart w:id="322" w:name="_Toc20576"/>
      <w:bookmarkStart w:id="323" w:name="_Toc12337"/>
      <w:bookmarkStart w:id="324" w:name="_Toc23316694"/>
      <w:bookmarkStart w:id="325" w:name="_Toc3837039"/>
      <w:bookmarkStart w:id="326" w:name="_Toc23316695"/>
      <w:bookmarkStart w:id="327" w:name="_Toc31168"/>
      <w:bookmarkStart w:id="328" w:name="_Toc23316597"/>
      <w:bookmarkStart w:id="329" w:name="_Toc23315673"/>
      <w:bookmarkStart w:id="330" w:name="_Toc23316533"/>
      <w:bookmarkStart w:id="331" w:name="_Toc14189287"/>
      <w:bookmarkStart w:id="332" w:name="_Toc18412211"/>
      <w:bookmarkStart w:id="333" w:name="_Toc14189420"/>
      <w:r>
        <w:rPr>
          <w:rFonts w:hint="eastAsia" w:ascii="宋体" w:hAnsi="宋体" w:eastAsia="宋体" w:cs="Times New Roman"/>
          <w:color w:val="auto"/>
          <w:lang w:val="en-US" w:eastAsia="zh-CN"/>
        </w:rPr>
        <w:t xml:space="preserve">第五章 </w:t>
      </w:r>
      <w:bookmarkStart w:id="334" w:name="_Toc28182"/>
      <w:r>
        <w:rPr>
          <w:rFonts w:hint="eastAsia" w:ascii="宋体" w:hAnsi="宋体" w:eastAsia="宋体" w:cs="Times New Roman"/>
          <w:color w:val="auto"/>
          <w:lang w:val="en-US" w:eastAsia="zh-CN"/>
        </w:rPr>
        <w:t>合同主要条款</w:t>
      </w:r>
      <w:bookmarkEnd w:id="319"/>
      <w:bookmarkEnd w:id="320"/>
      <w:bookmarkEnd w:id="321"/>
      <w:bookmarkEnd w:id="322"/>
      <w:bookmarkEnd w:id="323"/>
      <w:bookmarkEnd w:id="324"/>
      <w:bookmarkEnd w:id="334"/>
      <w:r>
        <w:rPr>
          <w:rFonts w:hint="eastAsia" w:ascii="宋体" w:hAnsi="宋体" w:eastAsia="宋体" w:cs="Times New Roman"/>
          <w:color w:val="auto"/>
          <w:lang w:val="en-US" w:eastAsia="zh-CN"/>
        </w:rPr>
        <w:t xml:space="preserve"> </w:t>
      </w:r>
      <w:bookmarkEnd w:id="325"/>
    </w:p>
    <w:p w14:paraId="227258DB">
      <w:pPr>
        <w:keepNext w:val="0"/>
        <w:keepLines w:val="0"/>
        <w:pageBreakBefore w:val="0"/>
        <w:widowControl/>
        <w:kinsoku/>
        <w:wordWrap/>
        <w:overflowPunct/>
        <w:topLinePunct w:val="0"/>
        <w:autoSpaceDE/>
        <w:autoSpaceDN/>
        <w:bidi w:val="0"/>
        <w:adjustRightInd w:val="0"/>
        <w:snapToGrid w:val="0"/>
        <w:spacing w:line="360" w:lineRule="auto"/>
        <w:ind w:left="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（说明：本合同作为合同的基本格式，不作为最终合同，甲方有权在签订合同时对合同的相关条款及内容作进一步的细化和修改）</w:t>
      </w:r>
    </w:p>
    <w:p w14:paraId="7796244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依照《中华人民共和国民法典》及有关法律法规，甲乙双方就</w:t>
      </w:r>
      <w:r>
        <w:rPr>
          <w:rFonts w:hint="eastAsia" w:ascii="宋体" w:hAnsi="宋体" w:eastAsia="宋体" w:cs="宋体"/>
          <w:sz w:val="24"/>
          <w:szCs w:val="24"/>
          <w:u w:val="single"/>
          <w:lang w:val="en-US" w:eastAsia="zh-CN"/>
        </w:rPr>
        <w:t xml:space="preserve"> 挂式污泥脱水设备采购项目（三次） </w:t>
      </w:r>
      <w:r>
        <w:rPr>
          <w:rFonts w:hint="eastAsia" w:ascii="宋体" w:hAnsi="宋体" w:eastAsia="宋体" w:cs="宋体"/>
          <w:sz w:val="24"/>
          <w:szCs w:val="24"/>
          <w:lang w:val="en-US" w:eastAsia="zh-CN"/>
        </w:rPr>
        <w:t>采购事宜，本着平等、自愿的原则，经过友好协商，达成一致并签订如下合同，共同遵守。</w:t>
      </w:r>
    </w:p>
    <w:p w14:paraId="1E3630A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一、项目概况</w:t>
      </w:r>
    </w:p>
    <w:p w14:paraId="5D4F225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1.项目名称：挂式污泥脱水设备采购项目（三次）</w:t>
      </w:r>
    </w:p>
    <w:p w14:paraId="3204138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2.本合同为固定总价合同，合同金额：(大写)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(小写：¥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包含生产厂家到供货地涉及的人工费、材料费、机械费、设备费、仓储、运输、装卸、安装调试费等所有伴随费用等。 </w:t>
      </w:r>
    </w:p>
    <w:p w14:paraId="2F2B87C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3.供货时间：合同签订之日起30天内完成供货。</w:t>
      </w:r>
    </w:p>
    <w:p w14:paraId="325EF5F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4.质保期：3年。</w:t>
      </w:r>
    </w:p>
    <w:p w14:paraId="207452C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二、货物验收</w:t>
      </w:r>
    </w:p>
    <w:p w14:paraId="66C75DC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1.货物送达后，由乙方提出书面验收申请，甲、乙双方共同进行验收、测试。</w:t>
      </w:r>
    </w:p>
    <w:p w14:paraId="5BF1759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2.验收标准：(1)货物外形、包装完好；(2)型号、规格、数量无误；(3)三证齐全(产品合格证、质量保证书、 检测报告)； (4)货物符合国家法律、法规、监管规定要求的质量、技术、安全等标准，符合本合同各项要求及标准。</w:t>
      </w:r>
    </w:p>
    <w:p w14:paraId="4321369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三、付款方式</w:t>
      </w:r>
    </w:p>
    <w:p w14:paraId="41BD00A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甲方以转账形式付款，货物到场交付后支付总价款的 40%,验收合格后一年内付清剩余价款。</w:t>
      </w:r>
    </w:p>
    <w:p w14:paraId="07270B9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四、权利保证</w:t>
      </w:r>
    </w:p>
    <w:p w14:paraId="73E04F44">
      <w:pPr>
        <w:pStyle w:val="13"/>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乙方保证对其提供的货物拥有合法的所有权或处分权，并保证不侵犯第三人之著作权、商标权、专利权等知识产权， 不会侵犯任何第三人的商业秘密或对任何第三人构成不正当竞争，如因此与第三人形成争议、诉讼或仲裁案件，由乙方承担全部责任，并负责赔偿甲方由此而遭受的全部损失。</w:t>
      </w:r>
    </w:p>
    <w:p w14:paraId="19203DD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五、双方责任</w:t>
      </w:r>
    </w:p>
    <w:p w14:paraId="4B2EAFA0">
      <w:pPr>
        <w:pStyle w:val="13"/>
        <w:keepNext w:val="0"/>
        <w:keepLines w:val="0"/>
        <w:pageBreakBefore w:val="0"/>
        <w:widowControl/>
        <w:kinsoku/>
        <w:wordWrap/>
        <w:overflowPunct/>
        <w:topLinePunct w:val="0"/>
        <w:autoSpaceDE/>
        <w:autoSpaceDN/>
        <w:bidi w:val="0"/>
        <w:adjustRightInd w:val="0"/>
        <w:snapToGrid w:val="0"/>
        <w:spacing w:line="360" w:lineRule="auto"/>
        <w:ind w:left="0" w:right="0" w:firstLine="500" w:firstLineChars="200"/>
        <w:textAlignment w:val="auto"/>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（一）甲方：</w:t>
      </w:r>
    </w:p>
    <w:p w14:paraId="5BDFAEAC">
      <w:pPr>
        <w:pStyle w:val="13"/>
        <w:keepNext w:val="0"/>
        <w:keepLines w:val="0"/>
        <w:pageBreakBefore w:val="0"/>
        <w:widowControl/>
        <w:kinsoku/>
        <w:wordWrap/>
        <w:overflowPunct/>
        <w:topLinePunct w:val="0"/>
        <w:autoSpaceDE/>
        <w:autoSpaceDN/>
        <w:bidi w:val="0"/>
        <w:adjustRightInd w:val="0"/>
        <w:snapToGrid w:val="0"/>
        <w:spacing w:line="360" w:lineRule="auto"/>
        <w:ind w:left="0" w:right="0" w:firstLine="500" w:firstLineChars="200"/>
        <w:textAlignment w:val="auto"/>
        <w:rPr>
          <w:rFonts w:hint="eastAsia" w:ascii="宋体" w:hAnsi="宋体" w:eastAsia="宋体" w:cs="宋体"/>
          <w:sz w:val="24"/>
          <w:szCs w:val="24"/>
        </w:rPr>
      </w:pPr>
      <w:r>
        <w:rPr>
          <w:rFonts w:hint="eastAsia" w:ascii="宋体" w:hAnsi="宋体" w:eastAsia="宋体" w:cs="宋体"/>
          <w:spacing w:val="5"/>
          <w:sz w:val="24"/>
          <w:szCs w:val="24"/>
          <w:lang w:val="en-US" w:eastAsia="zh-CN"/>
        </w:rPr>
        <w:t>1.</w:t>
      </w:r>
      <w:r>
        <w:rPr>
          <w:rFonts w:hint="eastAsia" w:ascii="宋体" w:hAnsi="宋体" w:eastAsia="宋体" w:cs="宋体"/>
          <w:spacing w:val="5"/>
          <w:sz w:val="24"/>
          <w:szCs w:val="24"/>
        </w:rPr>
        <w:t>甲方无故中途退货，应向乙方支付违约金。</w:t>
      </w:r>
    </w:p>
    <w:p w14:paraId="5CD188EE">
      <w:pPr>
        <w:pStyle w:val="13"/>
        <w:keepNext w:val="0"/>
        <w:keepLines w:val="0"/>
        <w:pageBreakBefore w:val="0"/>
        <w:widowControl/>
        <w:kinsoku/>
        <w:wordWrap/>
        <w:overflowPunct/>
        <w:topLinePunct w:val="0"/>
        <w:autoSpaceDE/>
        <w:autoSpaceDN/>
        <w:bidi w:val="0"/>
        <w:adjustRightInd w:val="0"/>
        <w:snapToGrid w:val="0"/>
        <w:spacing w:line="360" w:lineRule="auto"/>
        <w:ind w:left="0" w:right="0" w:firstLine="504" w:firstLineChars="200"/>
        <w:textAlignment w:val="auto"/>
        <w:rPr>
          <w:rFonts w:hint="eastAsia" w:ascii="宋体" w:hAnsi="宋体" w:eastAsia="宋体" w:cs="宋体"/>
          <w:sz w:val="24"/>
          <w:szCs w:val="24"/>
        </w:rPr>
      </w:pPr>
      <w:r>
        <w:rPr>
          <w:rFonts w:hint="eastAsia" w:ascii="宋体" w:hAnsi="宋体" w:eastAsia="宋体" w:cs="宋体"/>
          <w:spacing w:val="6"/>
          <w:sz w:val="24"/>
          <w:szCs w:val="24"/>
          <w:lang w:val="en-US" w:eastAsia="zh-CN"/>
        </w:rPr>
        <w:t>2.</w:t>
      </w:r>
      <w:r>
        <w:rPr>
          <w:rFonts w:hint="eastAsia" w:ascii="宋体" w:hAnsi="宋体" w:eastAsia="宋体" w:cs="宋体"/>
          <w:spacing w:val="6"/>
          <w:sz w:val="24"/>
          <w:szCs w:val="24"/>
        </w:rPr>
        <w:t>甲方必须按合同履行验收、付款等义务。</w:t>
      </w:r>
    </w:p>
    <w:p w14:paraId="31CC1C82">
      <w:pPr>
        <w:pStyle w:val="13"/>
        <w:keepNext w:val="0"/>
        <w:keepLines w:val="0"/>
        <w:pageBreakBefore w:val="0"/>
        <w:widowControl/>
        <w:kinsoku/>
        <w:wordWrap/>
        <w:overflowPunct/>
        <w:topLinePunct w:val="0"/>
        <w:autoSpaceDE/>
        <w:autoSpaceDN/>
        <w:bidi w:val="0"/>
        <w:adjustRightInd w:val="0"/>
        <w:snapToGrid w:val="0"/>
        <w:spacing w:line="360" w:lineRule="auto"/>
        <w:ind w:left="0" w:right="0" w:firstLine="500" w:firstLineChars="200"/>
        <w:textAlignment w:val="auto"/>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（二）乙方 ：</w:t>
      </w:r>
    </w:p>
    <w:p w14:paraId="23A7E03D">
      <w:pPr>
        <w:pStyle w:val="13"/>
        <w:keepNext w:val="0"/>
        <w:keepLines w:val="0"/>
        <w:pageBreakBefore w:val="0"/>
        <w:widowControl/>
        <w:kinsoku/>
        <w:wordWrap/>
        <w:overflowPunct/>
        <w:topLinePunct w:val="0"/>
        <w:autoSpaceDE/>
        <w:autoSpaceDN/>
        <w:bidi w:val="0"/>
        <w:adjustRightInd w:val="0"/>
        <w:snapToGrid w:val="0"/>
        <w:spacing w:line="360" w:lineRule="auto"/>
        <w:ind w:left="0" w:right="0" w:firstLine="500" w:firstLineChars="200"/>
        <w:textAlignment w:val="auto"/>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1.乙方不能按时交货，应向甲方支付的违约金。</w:t>
      </w:r>
    </w:p>
    <w:p w14:paraId="5AE330C1">
      <w:pPr>
        <w:pStyle w:val="13"/>
        <w:keepNext w:val="0"/>
        <w:keepLines w:val="0"/>
        <w:pageBreakBefore w:val="0"/>
        <w:widowControl/>
        <w:kinsoku/>
        <w:wordWrap/>
        <w:overflowPunct/>
        <w:topLinePunct w:val="0"/>
        <w:autoSpaceDE/>
        <w:autoSpaceDN/>
        <w:bidi w:val="0"/>
        <w:adjustRightInd w:val="0"/>
        <w:snapToGrid w:val="0"/>
        <w:spacing w:line="360" w:lineRule="auto"/>
        <w:ind w:left="0" w:right="0" w:firstLine="500" w:firstLineChars="200"/>
        <w:textAlignment w:val="auto"/>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2.乙方全权负责工作人员供货、安装及调试期间的安全责任，甲方不承担任何责任。</w:t>
      </w:r>
    </w:p>
    <w:p w14:paraId="2249294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六、质量保证</w:t>
      </w:r>
    </w:p>
    <w:p w14:paraId="36D7C99D">
      <w:pPr>
        <w:pStyle w:val="13"/>
        <w:keepNext w:val="0"/>
        <w:keepLines w:val="0"/>
        <w:pageBreakBefore w:val="0"/>
        <w:widowControl/>
        <w:kinsoku/>
        <w:wordWrap/>
        <w:overflowPunct/>
        <w:topLinePunct w:val="0"/>
        <w:autoSpaceDE/>
        <w:autoSpaceDN/>
        <w:bidi w:val="0"/>
        <w:adjustRightInd w:val="0"/>
        <w:snapToGrid w:val="0"/>
        <w:spacing w:line="360" w:lineRule="auto"/>
        <w:ind w:left="0" w:right="0" w:firstLine="500" w:firstLineChars="200"/>
        <w:textAlignment w:val="auto"/>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1.乙方应保证甲方在使用所采购货物或其任何一部分时不受第三方提出侵犯其专利权、版权、商标权或其他权利的起诉。一旦出现侵权，索赔或诉讼，乙方应承担全部责任。</w:t>
      </w:r>
    </w:p>
    <w:p w14:paraId="06D77B7E">
      <w:pPr>
        <w:pStyle w:val="13"/>
        <w:keepNext w:val="0"/>
        <w:keepLines w:val="0"/>
        <w:pageBreakBefore w:val="0"/>
        <w:widowControl/>
        <w:kinsoku/>
        <w:wordWrap/>
        <w:overflowPunct/>
        <w:topLinePunct w:val="0"/>
        <w:autoSpaceDE/>
        <w:autoSpaceDN/>
        <w:bidi w:val="0"/>
        <w:adjustRightInd w:val="0"/>
        <w:snapToGrid w:val="0"/>
        <w:spacing w:line="360" w:lineRule="auto"/>
        <w:ind w:left="0" w:right="0" w:firstLine="500" w:firstLineChars="200"/>
        <w:textAlignment w:val="auto"/>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2.乙方保证货物是全新的、未使用过的，完全符合国家标准、行业标准及招投标文件、合同关于货物质量、型号等要求，实行国家“三包”规定的，应严格执行。</w:t>
      </w:r>
    </w:p>
    <w:p w14:paraId="1723CEBC">
      <w:pPr>
        <w:pStyle w:val="13"/>
        <w:keepNext w:val="0"/>
        <w:keepLines w:val="0"/>
        <w:pageBreakBefore w:val="0"/>
        <w:widowControl/>
        <w:kinsoku/>
        <w:wordWrap/>
        <w:overflowPunct/>
        <w:topLinePunct w:val="0"/>
        <w:autoSpaceDE/>
        <w:autoSpaceDN/>
        <w:bidi w:val="0"/>
        <w:adjustRightInd w:val="0"/>
        <w:snapToGrid w:val="0"/>
        <w:spacing w:line="360" w:lineRule="auto"/>
        <w:ind w:left="0" w:right="0" w:firstLine="500" w:firstLineChars="200"/>
        <w:textAlignment w:val="auto"/>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3.乙方提交的货物应符合招投标文件中所记载的详细配置、技术参数、参数及性能，并应附有此类货物完整、详细的技术资料和说明文件。</w:t>
      </w:r>
    </w:p>
    <w:p w14:paraId="554F9912">
      <w:pPr>
        <w:pStyle w:val="13"/>
        <w:keepNext w:val="0"/>
        <w:keepLines w:val="0"/>
        <w:pageBreakBefore w:val="0"/>
        <w:widowControl/>
        <w:kinsoku/>
        <w:wordWrap/>
        <w:overflowPunct/>
        <w:topLinePunct w:val="0"/>
        <w:autoSpaceDE/>
        <w:autoSpaceDN/>
        <w:bidi w:val="0"/>
        <w:adjustRightInd w:val="0"/>
        <w:snapToGrid w:val="0"/>
        <w:spacing w:line="360" w:lineRule="auto"/>
        <w:ind w:left="0" w:right="0" w:firstLine="500" w:firstLineChars="200"/>
        <w:textAlignment w:val="auto"/>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4.乙方应保证将货物按照国家和行业标准包装、确保货物安全无损运抵合同规定的交货地点，并进行安装、试运行。</w:t>
      </w:r>
    </w:p>
    <w:p w14:paraId="5AD402F7">
      <w:pPr>
        <w:pStyle w:val="13"/>
        <w:keepNext w:val="0"/>
        <w:keepLines w:val="0"/>
        <w:pageBreakBefore w:val="0"/>
        <w:widowControl/>
        <w:kinsoku/>
        <w:wordWrap/>
        <w:overflowPunct/>
        <w:topLinePunct w:val="0"/>
        <w:autoSpaceDE/>
        <w:autoSpaceDN/>
        <w:bidi w:val="0"/>
        <w:adjustRightInd w:val="0"/>
        <w:snapToGrid w:val="0"/>
        <w:spacing w:line="360" w:lineRule="auto"/>
        <w:ind w:left="0" w:right="0" w:firstLine="500" w:firstLineChars="200"/>
        <w:textAlignment w:val="auto"/>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5.乙方保证货物不存在危及人身及财产安全的产品缺陷，否则应承担全部法律责任。</w:t>
      </w:r>
    </w:p>
    <w:p w14:paraId="3FE887F9">
      <w:pPr>
        <w:pStyle w:val="13"/>
        <w:keepNext w:val="0"/>
        <w:keepLines w:val="0"/>
        <w:pageBreakBefore w:val="0"/>
        <w:widowControl/>
        <w:kinsoku/>
        <w:wordWrap/>
        <w:overflowPunct/>
        <w:topLinePunct w:val="0"/>
        <w:autoSpaceDE/>
        <w:autoSpaceDN/>
        <w:bidi w:val="0"/>
        <w:adjustRightInd w:val="0"/>
        <w:snapToGrid w:val="0"/>
        <w:spacing w:line="360" w:lineRule="auto"/>
        <w:ind w:left="0" w:right="0" w:firstLine="500" w:firstLineChars="200"/>
        <w:textAlignment w:val="auto"/>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6.甲方应在货物运达目的地后及时组织验收，货物验收时，双方必须同时在场，共同确认货物与本合同规定的生产厂家产地、品牌、规格型号、数量、质量、技术参数和性能等是否一致。乙方所交付的货物不符合规定的，甲方有权拒收。乙方应及时按本合同规定和甲方要求免费对拒收货物采取补救措施，直至验收合格，方视为乙方按本合同规定完成交货。验收合格的，由双方共同签署《验收报告》。</w:t>
      </w:r>
    </w:p>
    <w:p w14:paraId="532F889C">
      <w:pPr>
        <w:pStyle w:val="13"/>
        <w:keepNext w:val="0"/>
        <w:keepLines w:val="0"/>
        <w:pageBreakBefore w:val="0"/>
        <w:widowControl/>
        <w:kinsoku/>
        <w:wordWrap/>
        <w:overflowPunct/>
        <w:topLinePunct w:val="0"/>
        <w:autoSpaceDE/>
        <w:autoSpaceDN/>
        <w:bidi w:val="0"/>
        <w:adjustRightInd w:val="0"/>
        <w:snapToGrid w:val="0"/>
        <w:spacing w:line="360" w:lineRule="auto"/>
        <w:ind w:left="0" w:right="0" w:firstLine="500" w:firstLineChars="200"/>
        <w:textAlignment w:val="auto"/>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7.需要乙方对货物进行安装调试的，甲乙双方应在货物安装调试完毕后的5个工作日内进行运行效果验收。在验收之前，乙方需提前提交相应的调试计划(包括调试程序、环境、内容和检验标准、调试时间安排等)供甲方确认，乙方还应对所有检验验收调试的结果、步骤、原始数据等作妥善记录。如甲方要求，乙方应将记录提供给甲方。调试检验出 现全部或部分未达到本合同所约定的技术指标，甲方有权选择下列任一处理方式：</w:t>
      </w:r>
    </w:p>
    <w:p w14:paraId="6325A2C5">
      <w:pPr>
        <w:pStyle w:val="13"/>
        <w:keepNext w:val="0"/>
        <w:keepLines w:val="0"/>
        <w:pageBreakBefore w:val="0"/>
        <w:widowControl/>
        <w:kinsoku/>
        <w:wordWrap/>
        <w:overflowPunct/>
        <w:topLinePunct w:val="0"/>
        <w:autoSpaceDE/>
        <w:autoSpaceDN/>
        <w:bidi w:val="0"/>
        <w:adjustRightInd w:val="0"/>
        <w:snapToGrid w:val="0"/>
        <w:spacing w:line="360" w:lineRule="auto"/>
        <w:ind w:left="0" w:right="0" w:firstLine="500" w:firstLineChars="200"/>
        <w:textAlignment w:val="auto"/>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a. 重新调试直至合格为止；</w:t>
      </w:r>
    </w:p>
    <w:p w14:paraId="610E39CD">
      <w:pPr>
        <w:pStyle w:val="13"/>
        <w:keepNext w:val="0"/>
        <w:keepLines w:val="0"/>
        <w:pageBreakBefore w:val="0"/>
        <w:widowControl/>
        <w:kinsoku/>
        <w:wordWrap/>
        <w:overflowPunct/>
        <w:topLinePunct w:val="0"/>
        <w:autoSpaceDE/>
        <w:autoSpaceDN/>
        <w:bidi w:val="0"/>
        <w:adjustRightInd w:val="0"/>
        <w:snapToGrid w:val="0"/>
        <w:spacing w:line="360" w:lineRule="auto"/>
        <w:ind w:left="0" w:right="0" w:firstLine="500" w:firstLineChars="200"/>
        <w:textAlignment w:val="auto"/>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b. 要求乙方对货物进行免费更换，然后重新调试直至合格为止。</w:t>
      </w:r>
    </w:p>
    <w:p w14:paraId="2255615B">
      <w:pPr>
        <w:pStyle w:val="13"/>
        <w:keepNext w:val="0"/>
        <w:keepLines w:val="0"/>
        <w:pageBreakBefore w:val="0"/>
        <w:widowControl/>
        <w:kinsoku/>
        <w:wordWrap/>
        <w:overflowPunct/>
        <w:topLinePunct w:val="0"/>
        <w:autoSpaceDE/>
        <w:autoSpaceDN/>
        <w:bidi w:val="0"/>
        <w:adjustRightInd w:val="0"/>
        <w:snapToGrid w:val="0"/>
        <w:spacing w:line="360" w:lineRule="auto"/>
        <w:ind w:left="0" w:right="0" w:firstLine="500" w:firstLineChars="200"/>
        <w:textAlignment w:val="auto"/>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甲方因乙方原因所产生的所有费用均由乙方负担。</w:t>
      </w:r>
    </w:p>
    <w:p w14:paraId="3C4F9326">
      <w:pPr>
        <w:pStyle w:val="13"/>
        <w:keepNext w:val="0"/>
        <w:keepLines w:val="0"/>
        <w:pageBreakBefore w:val="0"/>
        <w:widowControl/>
        <w:kinsoku/>
        <w:wordWrap/>
        <w:overflowPunct/>
        <w:topLinePunct w:val="0"/>
        <w:autoSpaceDE/>
        <w:autoSpaceDN/>
        <w:bidi w:val="0"/>
        <w:adjustRightInd w:val="0"/>
        <w:snapToGrid w:val="0"/>
        <w:spacing w:line="360" w:lineRule="auto"/>
        <w:ind w:left="0" w:right="0" w:firstLine="500" w:firstLineChars="200"/>
        <w:textAlignment w:val="auto"/>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8.验收合格的，由双方共同签署《验收报告》。</w:t>
      </w:r>
    </w:p>
    <w:p w14:paraId="26EFF8E7">
      <w:pPr>
        <w:pStyle w:val="13"/>
        <w:keepNext w:val="0"/>
        <w:keepLines w:val="0"/>
        <w:pageBreakBefore w:val="0"/>
        <w:widowControl/>
        <w:kinsoku/>
        <w:wordWrap/>
        <w:overflowPunct/>
        <w:topLinePunct w:val="0"/>
        <w:autoSpaceDE/>
        <w:autoSpaceDN/>
        <w:bidi w:val="0"/>
        <w:adjustRightInd w:val="0"/>
        <w:snapToGrid w:val="0"/>
        <w:spacing w:line="360" w:lineRule="auto"/>
        <w:ind w:left="0" w:right="0" w:firstLine="500" w:firstLineChars="200"/>
        <w:textAlignment w:val="auto"/>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七、不可抗力</w:t>
      </w:r>
    </w:p>
    <w:p w14:paraId="6396CC85">
      <w:pPr>
        <w:pStyle w:val="13"/>
        <w:keepNext w:val="0"/>
        <w:keepLines w:val="0"/>
        <w:pageBreakBefore w:val="0"/>
        <w:widowControl/>
        <w:kinsoku/>
        <w:wordWrap/>
        <w:overflowPunct/>
        <w:topLinePunct w:val="0"/>
        <w:autoSpaceDE/>
        <w:autoSpaceDN/>
        <w:bidi w:val="0"/>
        <w:adjustRightInd w:val="0"/>
        <w:snapToGrid w:val="0"/>
        <w:spacing w:line="360" w:lineRule="auto"/>
        <w:ind w:right="0"/>
        <w:textAlignment w:val="auto"/>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合同任何一方由于不可抗力的原因(如火灾、水灾、台风、地震、疫情等事件),造成本合同不能履行或暂时不能履行全部或部分合同义务时，受不可抗力影响的一方，应尽快将所发生的事件书面通知对方，并应在不可抗力发生后的7天内将有关公证机构出具的不可抗力事件的证明交给对 方，允许延期履行、部分履行或者不履行合同，并根据情况可部分免予承担违约责任；如果不可抗力事件延续30天以上，甲方有权解除合同。</w:t>
      </w:r>
    </w:p>
    <w:p w14:paraId="5C352F6C">
      <w:pPr>
        <w:keepNext w:val="0"/>
        <w:keepLines w:val="0"/>
        <w:pageBreakBefore w:val="0"/>
        <w:widowControl/>
        <w:kinsoku/>
        <w:wordWrap/>
        <w:overflowPunct/>
        <w:topLinePunct w:val="0"/>
        <w:autoSpaceDE/>
        <w:autoSpaceDN/>
        <w:bidi w:val="0"/>
        <w:adjustRightInd w:val="0"/>
        <w:snapToGrid w:val="0"/>
        <w:spacing w:line="360" w:lineRule="auto"/>
        <w:ind w:left="0" w:right="0" w:firstLine="506" w:firstLineChars="200"/>
        <w:textAlignment w:val="auto"/>
        <w:outlineLvl w:val="2"/>
        <w:rPr>
          <w:rFonts w:hint="eastAsia" w:ascii="宋体" w:hAnsi="宋体" w:eastAsia="宋体" w:cs="宋体"/>
          <w:sz w:val="24"/>
          <w:szCs w:val="24"/>
        </w:rPr>
      </w:pPr>
      <w:r>
        <w:rPr>
          <w:rFonts w:hint="eastAsia" w:ascii="宋体" w:hAnsi="宋体" w:eastAsia="宋体" w:cs="宋体"/>
          <w:b/>
          <w:bCs/>
          <w:spacing w:val="6"/>
          <w:sz w:val="24"/>
          <w:szCs w:val="24"/>
        </w:rPr>
        <w:t>八、其他事项</w:t>
      </w:r>
    </w:p>
    <w:p w14:paraId="72E7A1C7">
      <w:pPr>
        <w:pStyle w:val="13"/>
        <w:keepNext w:val="0"/>
        <w:keepLines w:val="0"/>
        <w:pageBreakBefore w:val="0"/>
        <w:widowControl/>
        <w:kinsoku/>
        <w:wordWrap/>
        <w:overflowPunct/>
        <w:topLinePunct w:val="0"/>
        <w:autoSpaceDE/>
        <w:autoSpaceDN/>
        <w:bidi w:val="0"/>
        <w:adjustRightInd w:val="0"/>
        <w:snapToGrid w:val="0"/>
        <w:spacing w:line="360" w:lineRule="auto"/>
        <w:ind w:left="0" w:right="0" w:firstLine="629"/>
        <w:textAlignment w:val="auto"/>
        <w:rPr>
          <w:rFonts w:hint="eastAsia" w:ascii="宋体" w:hAnsi="宋体" w:eastAsia="宋体" w:cs="宋体"/>
          <w:sz w:val="24"/>
          <w:szCs w:val="24"/>
        </w:rPr>
      </w:pPr>
      <w:r>
        <w:rPr>
          <w:rFonts w:hint="eastAsia" w:ascii="宋体" w:hAnsi="宋体" w:eastAsia="宋体" w:cs="宋体"/>
          <w:spacing w:val="5"/>
          <w:sz w:val="24"/>
          <w:szCs w:val="24"/>
        </w:rPr>
        <w:t>如发生争议，由双方友好协商解决，如协商不成，双方可在甲方住所地人民法院进行诉讼。</w:t>
      </w:r>
    </w:p>
    <w:p w14:paraId="2B71B4D1">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rPr>
      </w:pPr>
    </w:p>
    <w:p w14:paraId="03B1F3CB">
      <w:pPr>
        <w:pStyle w:val="3"/>
        <w:keepNext/>
        <w:keepLines/>
        <w:pageBreakBefore/>
        <w:widowControl/>
        <w:numPr>
          <w:ilvl w:val="0"/>
          <w:numId w:val="0"/>
        </w:numPr>
        <w:kinsoku/>
        <w:wordWrap/>
        <w:overflowPunct/>
        <w:topLinePunct w:val="0"/>
        <w:autoSpaceDE/>
        <w:autoSpaceDN/>
        <w:bidi w:val="0"/>
        <w:adjustRightInd/>
        <w:snapToGrid/>
        <w:spacing w:before="192" w:beforeLines="50" w:after="192" w:afterLines="50" w:line="460" w:lineRule="exact"/>
        <w:ind w:leftChars="0"/>
        <w:textAlignment w:val="auto"/>
        <w:rPr>
          <w:rFonts w:hint="eastAsia" w:ascii="宋体" w:hAnsi="宋体" w:eastAsia="宋体" w:cs="Times New Roman"/>
          <w:color w:val="auto"/>
          <w:lang w:val="en-US" w:eastAsia="zh-CN"/>
        </w:rPr>
      </w:pPr>
      <w:bookmarkStart w:id="335" w:name="_Toc16571"/>
      <w:r>
        <w:rPr>
          <w:rFonts w:hint="eastAsia" w:ascii="宋体" w:hAnsi="宋体" w:eastAsia="宋体" w:cs="Times New Roman"/>
          <w:color w:val="auto"/>
          <w:lang w:val="en-US" w:eastAsia="zh-CN"/>
        </w:rPr>
        <w:t>第六章   响应文件格式</w:t>
      </w:r>
      <w:bookmarkEnd w:id="326"/>
      <w:bookmarkEnd w:id="327"/>
      <w:bookmarkEnd w:id="328"/>
      <w:bookmarkEnd w:id="329"/>
      <w:bookmarkEnd w:id="330"/>
      <w:bookmarkEnd w:id="331"/>
      <w:bookmarkEnd w:id="332"/>
      <w:bookmarkEnd w:id="333"/>
      <w:bookmarkEnd w:id="335"/>
    </w:p>
    <w:p w14:paraId="5EDE8ECB">
      <w:pPr>
        <w:topLinePunct w:val="0"/>
        <w:bidi w:val="0"/>
        <w:spacing w:line="480" w:lineRule="exact"/>
        <w:jc w:val="right"/>
        <w:rPr>
          <w:rFonts w:cs="仿宋" w:asciiTheme="minorEastAsia" w:hAnsiTheme="minorEastAsia" w:eastAsiaTheme="minorEastAsia"/>
          <w:b/>
          <w:color w:val="auto"/>
          <w:sz w:val="36"/>
          <w:szCs w:val="36"/>
          <w:bdr w:val="single" w:color="auto" w:sz="4" w:space="0"/>
          <w:shd w:val="pct10" w:color="auto" w:fill="FFFFFF"/>
        </w:rPr>
      </w:pPr>
    </w:p>
    <w:p w14:paraId="006A20A4">
      <w:pPr>
        <w:topLinePunct w:val="0"/>
        <w:bidi w:val="0"/>
        <w:spacing w:line="480" w:lineRule="exact"/>
        <w:jc w:val="right"/>
        <w:rPr>
          <w:rFonts w:cs="仿宋" w:asciiTheme="minorEastAsia" w:hAnsiTheme="minorEastAsia" w:eastAsiaTheme="minorEastAsia"/>
          <w:b/>
          <w:color w:val="auto"/>
          <w:sz w:val="36"/>
          <w:szCs w:val="36"/>
          <w:bdr w:val="single" w:color="auto" w:sz="4" w:space="0"/>
          <w:shd w:val="pct10" w:color="auto" w:fill="FFFFFF"/>
        </w:rPr>
      </w:pPr>
      <w:r>
        <w:rPr>
          <w:rFonts w:hint="eastAsia" w:cs="仿宋" w:asciiTheme="minorEastAsia" w:hAnsiTheme="minorEastAsia" w:eastAsiaTheme="minorEastAsia"/>
          <w:b/>
          <w:color w:val="auto"/>
          <w:sz w:val="36"/>
          <w:szCs w:val="36"/>
          <w:bdr w:val="single" w:color="auto" w:sz="4" w:space="0"/>
          <w:shd w:val="pct10" w:color="auto" w:fill="FFFFFF"/>
        </w:rPr>
        <w:t>政府采购项目</w:t>
      </w:r>
    </w:p>
    <w:p w14:paraId="76BC5B7D">
      <w:pPr>
        <w:topLinePunct w:val="0"/>
        <w:bidi w:val="0"/>
        <w:spacing w:line="480" w:lineRule="exact"/>
        <w:ind w:right="728"/>
        <w:rPr>
          <w:rFonts w:cs="仿宋" w:asciiTheme="minorEastAsia" w:hAnsiTheme="minorEastAsia" w:eastAsiaTheme="minorEastAsia"/>
          <w:bCs/>
          <w:color w:val="auto"/>
          <w:sz w:val="32"/>
          <w:szCs w:val="32"/>
        </w:rPr>
      </w:pPr>
    </w:p>
    <w:p w14:paraId="067EFE2D">
      <w:pPr>
        <w:topLinePunct w:val="0"/>
        <w:bidi w:val="0"/>
        <w:spacing w:line="480" w:lineRule="exact"/>
        <w:ind w:right="728"/>
        <w:rPr>
          <w:rFonts w:cs="仿宋" w:asciiTheme="minorEastAsia" w:hAnsiTheme="minorEastAsia" w:eastAsiaTheme="minorEastAsia"/>
          <w:b/>
          <w:color w:val="auto"/>
          <w:sz w:val="36"/>
          <w:szCs w:val="36"/>
          <w:bdr w:val="single" w:color="auto" w:sz="4" w:space="0"/>
          <w:shd w:val="pct10" w:color="auto" w:fill="FFFFFF"/>
        </w:rPr>
      </w:pPr>
      <w:r>
        <w:rPr>
          <w:rFonts w:hint="eastAsia" w:cs="仿宋" w:asciiTheme="minorEastAsia" w:hAnsiTheme="minorEastAsia" w:eastAsiaTheme="minorEastAsia"/>
          <w:bCs/>
          <w:color w:val="auto"/>
          <w:sz w:val="32"/>
          <w:szCs w:val="32"/>
          <w:lang w:val="en-US" w:eastAsia="zh-CN"/>
        </w:rPr>
        <w:t>项目</w:t>
      </w:r>
      <w:r>
        <w:rPr>
          <w:rFonts w:hint="eastAsia" w:cs="仿宋" w:asciiTheme="minorEastAsia" w:hAnsiTheme="minorEastAsia" w:eastAsiaTheme="minorEastAsia"/>
          <w:bCs/>
          <w:color w:val="auto"/>
          <w:sz w:val="32"/>
          <w:szCs w:val="32"/>
        </w:rPr>
        <w:t>编号:</w:t>
      </w:r>
    </w:p>
    <w:p w14:paraId="185584ED">
      <w:pPr>
        <w:topLinePunct w:val="0"/>
        <w:bidi w:val="0"/>
        <w:spacing w:line="480" w:lineRule="exact"/>
        <w:jc w:val="center"/>
        <w:rPr>
          <w:rFonts w:asciiTheme="minorEastAsia" w:hAnsiTheme="minorEastAsia" w:eastAsiaTheme="minorEastAsia"/>
          <w:b/>
          <w:color w:val="auto"/>
          <w:sz w:val="36"/>
          <w:szCs w:val="36"/>
        </w:rPr>
      </w:pPr>
    </w:p>
    <w:p w14:paraId="1FD6A12D">
      <w:pPr>
        <w:topLinePunct w:val="0"/>
        <w:bidi w:val="0"/>
        <w:spacing w:line="480" w:lineRule="exact"/>
        <w:jc w:val="center"/>
        <w:rPr>
          <w:rFonts w:asciiTheme="minorEastAsia" w:hAnsiTheme="minorEastAsia" w:eastAsiaTheme="minorEastAsia"/>
          <w:b/>
          <w:color w:val="auto"/>
          <w:sz w:val="36"/>
          <w:szCs w:val="36"/>
        </w:rPr>
      </w:pPr>
    </w:p>
    <w:p w14:paraId="52A0577C">
      <w:pPr>
        <w:topLinePunct w:val="0"/>
        <w:bidi w:val="0"/>
        <w:spacing w:line="480" w:lineRule="exact"/>
        <w:jc w:val="center"/>
        <w:rPr>
          <w:rFonts w:asciiTheme="minorEastAsia" w:hAnsiTheme="minorEastAsia" w:eastAsiaTheme="minorEastAsia"/>
          <w:b/>
          <w:color w:val="auto"/>
          <w:sz w:val="36"/>
          <w:szCs w:val="36"/>
        </w:rPr>
      </w:pPr>
    </w:p>
    <w:p w14:paraId="7C853243">
      <w:pPr>
        <w:topLinePunct w:val="0"/>
        <w:bidi w:val="0"/>
        <w:spacing w:line="480" w:lineRule="exact"/>
        <w:jc w:val="center"/>
        <w:rPr>
          <w:rFonts w:asciiTheme="minorEastAsia" w:hAnsiTheme="minorEastAsia" w:eastAsiaTheme="minorEastAsia"/>
          <w:b/>
          <w:color w:val="auto"/>
          <w:sz w:val="36"/>
          <w:szCs w:val="36"/>
        </w:rPr>
      </w:pPr>
    </w:p>
    <w:p w14:paraId="0646A650">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heme="minorEastAsia" w:hAnsiTheme="minorEastAsia" w:eastAsiaTheme="minorEastAsia" w:cstheme="majorEastAsia"/>
          <w:b/>
          <w:color w:val="auto"/>
          <w:w w:val="90"/>
          <w:sz w:val="56"/>
          <w:szCs w:val="56"/>
        </w:rPr>
      </w:pPr>
      <w:r>
        <w:rPr>
          <w:rFonts w:hint="eastAsia" w:asciiTheme="minorEastAsia" w:hAnsiTheme="minorEastAsia" w:eastAsiaTheme="minorEastAsia" w:cstheme="majorEastAsia"/>
          <w:b/>
          <w:color w:val="auto"/>
          <w:w w:val="90"/>
          <w:sz w:val="56"/>
          <w:szCs w:val="56"/>
          <w:u w:val="single"/>
          <w:lang w:val="en-US" w:eastAsia="zh-CN"/>
        </w:rPr>
        <w:t xml:space="preserve">               </w:t>
      </w:r>
      <w:r>
        <w:rPr>
          <w:rFonts w:hint="eastAsia" w:asciiTheme="minorEastAsia" w:hAnsiTheme="minorEastAsia" w:eastAsiaTheme="minorEastAsia" w:cstheme="majorEastAsia"/>
          <w:b/>
          <w:color w:val="auto"/>
          <w:w w:val="90"/>
          <w:sz w:val="56"/>
          <w:szCs w:val="56"/>
        </w:rPr>
        <w:t>项目</w:t>
      </w:r>
    </w:p>
    <w:p w14:paraId="62D8C795">
      <w:pPr>
        <w:topLinePunct w:val="0"/>
        <w:bidi w:val="0"/>
        <w:spacing w:line="480" w:lineRule="exact"/>
        <w:jc w:val="center"/>
        <w:rPr>
          <w:rFonts w:asciiTheme="minorEastAsia" w:hAnsiTheme="minorEastAsia" w:eastAsiaTheme="minorEastAsia" w:cstheme="majorEastAsia"/>
          <w:b/>
          <w:color w:val="auto"/>
          <w:w w:val="90"/>
          <w:sz w:val="56"/>
          <w:szCs w:val="56"/>
        </w:rPr>
      </w:pPr>
    </w:p>
    <w:p w14:paraId="1AD2AA34">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宋体" w:hAnsi="宋体" w:eastAsia="宋体" w:cs="宋体"/>
          <w:b/>
          <w:color w:val="auto"/>
          <w:sz w:val="28"/>
          <w:szCs w:val="28"/>
        </w:rPr>
      </w:pPr>
      <w:r>
        <w:rPr>
          <w:rFonts w:hint="eastAsia" w:ascii="宋体" w:hAnsi="宋体" w:eastAsia="宋体" w:cs="宋体"/>
          <w:color w:val="auto"/>
          <w:sz w:val="72"/>
          <w:szCs w:val="72"/>
          <w:lang w:eastAsia="zh-CN"/>
        </w:rPr>
        <w:t>响应</w:t>
      </w:r>
      <w:r>
        <w:rPr>
          <w:rFonts w:hint="eastAsia" w:ascii="宋体" w:hAnsi="宋体" w:eastAsia="宋体" w:cs="宋体"/>
          <w:color w:val="auto"/>
          <w:sz w:val="72"/>
          <w:szCs w:val="72"/>
        </w:rPr>
        <w:t>文件</w:t>
      </w:r>
    </w:p>
    <w:p w14:paraId="2FC9429F">
      <w:pPr>
        <w:topLinePunct w:val="0"/>
        <w:bidi w:val="0"/>
        <w:spacing w:line="480" w:lineRule="exact"/>
        <w:rPr>
          <w:rFonts w:cs="仿宋" w:asciiTheme="minorEastAsia" w:hAnsiTheme="minorEastAsia" w:eastAsiaTheme="minorEastAsia"/>
          <w:bCs/>
          <w:color w:val="auto"/>
          <w:sz w:val="18"/>
          <w:szCs w:val="18"/>
        </w:rPr>
      </w:pPr>
    </w:p>
    <w:p w14:paraId="2EE780F8">
      <w:pPr>
        <w:topLinePunct w:val="0"/>
        <w:bidi w:val="0"/>
        <w:spacing w:line="480" w:lineRule="exact"/>
        <w:rPr>
          <w:rFonts w:hint="default" w:cs="仿宋" w:asciiTheme="minorEastAsia" w:hAnsiTheme="minorEastAsia" w:eastAsiaTheme="minorEastAsia"/>
          <w:bCs/>
          <w:color w:val="auto"/>
          <w:sz w:val="28"/>
          <w:szCs w:val="28"/>
          <w:lang w:val="en-US" w:eastAsia="zh-CN"/>
        </w:rPr>
      </w:pPr>
      <w:r>
        <w:rPr>
          <w:rFonts w:hint="eastAsia" w:cs="仿宋" w:asciiTheme="minorEastAsia" w:hAnsiTheme="minorEastAsia" w:eastAsiaTheme="minorEastAsia"/>
          <w:bCs/>
          <w:color w:val="auto"/>
          <w:sz w:val="18"/>
          <w:szCs w:val="18"/>
          <w:lang w:val="en-US" w:eastAsia="zh-CN"/>
        </w:rPr>
        <w:t xml:space="preserve">                  </w:t>
      </w:r>
      <w:r>
        <w:rPr>
          <w:rFonts w:hint="eastAsia" w:cs="仿宋" w:asciiTheme="minorEastAsia" w:hAnsiTheme="minorEastAsia" w:eastAsiaTheme="minorEastAsia"/>
          <w:bCs/>
          <w:color w:val="auto"/>
          <w:sz w:val="24"/>
          <w:szCs w:val="24"/>
          <w:lang w:val="en-US" w:eastAsia="zh-CN"/>
        </w:rPr>
        <w:t xml:space="preserve">                   </w:t>
      </w:r>
      <w:r>
        <w:rPr>
          <w:rFonts w:hint="eastAsia" w:cs="仿宋" w:asciiTheme="minorEastAsia" w:hAnsiTheme="minorEastAsia" w:eastAsiaTheme="minorEastAsia"/>
          <w:bCs/>
          <w:color w:val="auto"/>
          <w:sz w:val="28"/>
          <w:szCs w:val="28"/>
          <w:lang w:val="en-US" w:eastAsia="zh-CN"/>
        </w:rPr>
        <w:t xml:space="preserve"> </w:t>
      </w:r>
    </w:p>
    <w:p w14:paraId="601F64CC">
      <w:pPr>
        <w:topLinePunct w:val="0"/>
        <w:bidi w:val="0"/>
        <w:spacing w:line="480" w:lineRule="exact"/>
        <w:rPr>
          <w:rFonts w:cs="仿宋" w:asciiTheme="minorEastAsia" w:hAnsiTheme="minorEastAsia" w:eastAsiaTheme="minorEastAsia"/>
          <w:bCs/>
          <w:color w:val="auto"/>
          <w:sz w:val="36"/>
          <w:szCs w:val="36"/>
        </w:rPr>
      </w:pPr>
    </w:p>
    <w:p w14:paraId="2975AB49">
      <w:pPr>
        <w:pStyle w:val="4"/>
        <w:topLinePunct w:val="0"/>
        <w:bidi w:val="0"/>
        <w:spacing w:line="480" w:lineRule="exact"/>
        <w:rPr>
          <w:rFonts w:ascii="宋体" w:hAnsi="宋体" w:eastAsia="宋体"/>
          <w:b w:val="0"/>
          <w:color w:val="auto"/>
          <w:sz w:val="36"/>
        </w:rPr>
      </w:pPr>
      <w:bookmarkStart w:id="336" w:name="_Toc14189288"/>
      <w:bookmarkStart w:id="337" w:name="_Toc14189421"/>
      <w:bookmarkStart w:id="338" w:name="_Toc18412212"/>
      <w:bookmarkStart w:id="339" w:name="_Toc8364"/>
    </w:p>
    <w:p w14:paraId="7D1806C2">
      <w:pPr>
        <w:rPr>
          <w:rFonts w:ascii="宋体" w:hAnsi="宋体" w:eastAsia="宋体"/>
          <w:b w:val="0"/>
          <w:color w:val="auto"/>
          <w:sz w:val="36"/>
        </w:rPr>
      </w:pPr>
    </w:p>
    <w:p w14:paraId="4FBA3C29">
      <w:pPr>
        <w:rPr>
          <w:rFonts w:ascii="宋体" w:hAnsi="宋体" w:eastAsia="宋体"/>
          <w:b w:val="0"/>
          <w:color w:val="auto"/>
          <w:sz w:val="36"/>
        </w:rPr>
      </w:pPr>
    </w:p>
    <w:p w14:paraId="38363CE1">
      <w:pPr>
        <w:rPr>
          <w:rFonts w:ascii="宋体" w:hAnsi="宋体" w:eastAsia="宋体"/>
          <w:b w:val="0"/>
          <w:color w:val="auto"/>
          <w:sz w:val="36"/>
        </w:rPr>
      </w:pPr>
    </w:p>
    <w:p w14:paraId="4018E0F2">
      <w:pPr>
        <w:rPr>
          <w:rFonts w:ascii="宋体" w:hAnsi="宋体" w:eastAsia="宋体"/>
          <w:b w:val="0"/>
          <w:color w:val="auto"/>
          <w:sz w:val="36"/>
        </w:rPr>
      </w:pPr>
    </w:p>
    <w:p w14:paraId="70730AAD">
      <w:pPr>
        <w:rPr>
          <w:rFonts w:ascii="宋体" w:hAnsi="宋体" w:eastAsia="宋体"/>
          <w:b w:val="0"/>
          <w:color w:val="auto"/>
          <w:sz w:val="36"/>
        </w:rPr>
      </w:pPr>
    </w:p>
    <w:p w14:paraId="595FA496">
      <w:pPr>
        <w:rPr>
          <w:rFonts w:ascii="宋体" w:hAnsi="宋体" w:eastAsia="宋体"/>
          <w:b w:val="0"/>
          <w:color w:val="auto"/>
          <w:sz w:val="36"/>
        </w:rPr>
      </w:pPr>
    </w:p>
    <w:p w14:paraId="590528D3">
      <w:pPr>
        <w:rPr>
          <w:rFonts w:ascii="宋体" w:hAnsi="宋体" w:eastAsia="宋体"/>
          <w:b w:val="0"/>
          <w:color w:val="auto"/>
          <w:sz w:val="36"/>
        </w:rPr>
      </w:pPr>
    </w:p>
    <w:p w14:paraId="0F78C6D0">
      <w:pPr>
        <w:topLinePunct w:val="0"/>
        <w:bidi w:val="0"/>
        <w:spacing w:line="480" w:lineRule="exact"/>
        <w:ind w:firstLine="1440" w:firstLineChars="600"/>
        <w:jc w:val="both"/>
        <w:rPr>
          <w:rFonts w:hint="eastAsia" w:cs="仿宋" w:asciiTheme="minorEastAsia" w:hAnsiTheme="minorEastAsia" w:eastAsiaTheme="minorEastAsia"/>
          <w:bCs/>
          <w:color w:val="auto"/>
          <w:sz w:val="24"/>
          <w:szCs w:val="24"/>
        </w:rPr>
      </w:pPr>
      <w:r>
        <w:rPr>
          <w:rFonts w:hint="eastAsia" w:cs="仿宋" w:asciiTheme="minorEastAsia" w:hAnsiTheme="minorEastAsia" w:eastAsiaTheme="minorEastAsia"/>
          <w:bCs/>
          <w:color w:val="auto"/>
          <w:sz w:val="24"/>
          <w:szCs w:val="24"/>
          <w:lang w:val="zh-CN"/>
        </w:rPr>
        <w:t>供应商（单位名称及公章）：</w:t>
      </w:r>
      <w:r>
        <w:rPr>
          <w:rFonts w:hint="eastAsia" w:cs="仿宋" w:asciiTheme="minorEastAsia" w:hAnsiTheme="minorEastAsia" w:eastAsiaTheme="minorEastAsia"/>
          <w:bCs/>
          <w:color w:val="auto"/>
          <w:sz w:val="24"/>
          <w:szCs w:val="24"/>
        </w:rPr>
        <w:t>____________________________</w:t>
      </w:r>
    </w:p>
    <w:p w14:paraId="733DB87F">
      <w:pPr>
        <w:topLinePunct w:val="0"/>
        <w:bidi w:val="0"/>
        <w:spacing w:line="480" w:lineRule="exact"/>
        <w:ind w:firstLine="480" w:firstLineChars="200"/>
        <w:jc w:val="center"/>
        <w:rPr>
          <w:rFonts w:hint="eastAsia" w:cs="仿宋" w:asciiTheme="minorEastAsia" w:hAnsiTheme="minorEastAsia" w:eastAsiaTheme="minorEastAsia"/>
          <w:bCs/>
          <w:color w:val="auto"/>
          <w:sz w:val="24"/>
          <w:szCs w:val="24"/>
        </w:rPr>
      </w:pPr>
      <w:r>
        <w:rPr>
          <w:rFonts w:hint="eastAsia" w:cs="仿宋" w:asciiTheme="minorEastAsia" w:hAnsiTheme="minorEastAsia" w:eastAsiaTheme="minorEastAsia"/>
          <w:bCs/>
          <w:color w:val="auto"/>
          <w:sz w:val="24"/>
          <w:szCs w:val="24"/>
          <w:lang w:val="zh-CN"/>
        </w:rPr>
        <w:t>法定代表人</w:t>
      </w:r>
      <w:r>
        <w:rPr>
          <w:rFonts w:hint="eastAsia" w:cs="仿宋" w:asciiTheme="minorEastAsia" w:hAnsiTheme="minorEastAsia" w:eastAsiaTheme="minorEastAsia"/>
          <w:bCs/>
          <w:color w:val="auto"/>
          <w:sz w:val="24"/>
          <w:szCs w:val="24"/>
          <w:lang w:val="en-US" w:eastAsia="zh-CN"/>
        </w:rPr>
        <w:t>或</w:t>
      </w:r>
      <w:r>
        <w:rPr>
          <w:rFonts w:hint="eastAsia" w:cs="仿宋" w:asciiTheme="minorEastAsia" w:hAnsiTheme="minorEastAsia" w:eastAsiaTheme="minorEastAsia"/>
          <w:bCs/>
          <w:color w:val="auto"/>
          <w:sz w:val="24"/>
          <w:szCs w:val="24"/>
          <w:lang w:val="zh-CN"/>
        </w:rPr>
        <w:t>被授权人（签字</w:t>
      </w:r>
      <w:r>
        <w:rPr>
          <w:rFonts w:hint="eastAsia" w:cs="仿宋" w:asciiTheme="minorEastAsia" w:hAnsiTheme="minorEastAsia" w:eastAsiaTheme="minorEastAsia"/>
          <w:bCs/>
          <w:color w:val="auto"/>
          <w:sz w:val="24"/>
          <w:szCs w:val="24"/>
          <w:lang w:val="en-US" w:eastAsia="zh-CN"/>
        </w:rPr>
        <w:t>或盖章</w:t>
      </w:r>
      <w:r>
        <w:rPr>
          <w:rFonts w:hint="eastAsia" w:cs="仿宋" w:asciiTheme="minorEastAsia" w:hAnsiTheme="minorEastAsia" w:eastAsiaTheme="minorEastAsia"/>
          <w:bCs/>
          <w:color w:val="auto"/>
          <w:sz w:val="24"/>
          <w:szCs w:val="24"/>
          <w:lang w:val="zh-CN"/>
        </w:rPr>
        <w:t>）：</w:t>
      </w:r>
      <w:r>
        <w:rPr>
          <w:rFonts w:hint="eastAsia" w:cs="仿宋" w:asciiTheme="minorEastAsia" w:hAnsiTheme="minorEastAsia" w:eastAsiaTheme="minorEastAsia"/>
          <w:bCs/>
          <w:color w:val="auto"/>
          <w:sz w:val="24"/>
          <w:szCs w:val="24"/>
        </w:rPr>
        <w:t>_________________________</w:t>
      </w:r>
    </w:p>
    <w:p w14:paraId="4A98C8DD">
      <w:pPr>
        <w:topLinePunct w:val="0"/>
        <w:bidi w:val="0"/>
        <w:spacing w:line="480" w:lineRule="exact"/>
        <w:ind w:firstLine="1440" w:firstLineChars="600"/>
        <w:jc w:val="both"/>
        <w:rPr>
          <w:rFonts w:hint="eastAsia" w:cs="仿宋" w:asciiTheme="minorEastAsia" w:hAnsiTheme="minorEastAsia" w:eastAsiaTheme="minorEastAsia"/>
          <w:bCs/>
          <w:color w:val="auto"/>
          <w:sz w:val="24"/>
          <w:szCs w:val="24"/>
        </w:rPr>
      </w:pPr>
      <w:r>
        <w:rPr>
          <w:rFonts w:hint="eastAsia" w:cs="仿宋" w:asciiTheme="minorEastAsia" w:hAnsiTheme="minorEastAsia" w:eastAsiaTheme="minorEastAsia"/>
          <w:bCs/>
          <w:color w:val="auto"/>
          <w:sz w:val="24"/>
          <w:szCs w:val="24"/>
        </w:rPr>
        <w:t>日</w:t>
      </w:r>
      <w:r>
        <w:rPr>
          <w:rFonts w:hint="eastAsia" w:cs="仿宋" w:asciiTheme="minorEastAsia" w:hAnsiTheme="minorEastAsia" w:eastAsiaTheme="minorEastAsia"/>
          <w:bCs/>
          <w:color w:val="auto"/>
          <w:sz w:val="24"/>
          <w:szCs w:val="24"/>
          <w:lang w:val="en-US" w:eastAsia="zh-CN"/>
        </w:rPr>
        <w:t xml:space="preserve">    </w:t>
      </w:r>
      <w:r>
        <w:rPr>
          <w:rFonts w:hint="eastAsia" w:cs="仿宋" w:asciiTheme="minorEastAsia" w:hAnsiTheme="minorEastAsia" w:eastAsiaTheme="minorEastAsia"/>
          <w:bCs/>
          <w:color w:val="auto"/>
          <w:sz w:val="24"/>
          <w:szCs w:val="24"/>
        </w:rPr>
        <w:t>期</w:t>
      </w:r>
      <w:r>
        <w:rPr>
          <w:rFonts w:hint="eastAsia" w:cs="仿宋" w:asciiTheme="minorEastAsia" w:hAnsiTheme="minorEastAsia" w:eastAsiaTheme="minorEastAsia"/>
          <w:bCs/>
          <w:color w:val="auto"/>
          <w:sz w:val="24"/>
          <w:szCs w:val="24"/>
          <w:lang w:val="zh-CN"/>
        </w:rPr>
        <w:t>：</w:t>
      </w:r>
      <w:r>
        <w:rPr>
          <w:rFonts w:hint="eastAsia" w:cs="仿宋" w:asciiTheme="minorEastAsia" w:hAnsiTheme="minorEastAsia" w:eastAsiaTheme="minorEastAsia"/>
          <w:bCs/>
          <w:color w:val="auto"/>
          <w:sz w:val="24"/>
          <w:szCs w:val="24"/>
        </w:rPr>
        <w:t>________________________________________________</w:t>
      </w:r>
    </w:p>
    <w:p w14:paraId="23E5F710">
      <w:pPr>
        <w:rPr>
          <w:color w:val="auto"/>
        </w:rPr>
        <w:sectPr>
          <w:pgSz w:w="11905" w:h="16838"/>
          <w:pgMar w:top="1247" w:right="1134" w:bottom="1247" w:left="1134" w:header="964" w:footer="964" w:gutter="0"/>
          <w:pgNumType w:fmt="decimal"/>
          <w:cols w:space="0" w:num="1"/>
          <w:rtlGutter w:val="0"/>
          <w:docGrid w:type="lines" w:linePitch="398" w:charSpace="0"/>
        </w:sectPr>
      </w:pPr>
    </w:p>
    <w:p w14:paraId="4BE7362F">
      <w:pPr>
        <w:topLinePunct w:val="0"/>
        <w:bidi w:val="0"/>
        <w:spacing w:line="480" w:lineRule="exact"/>
        <w:jc w:val="center"/>
        <w:rPr>
          <w:rFonts w:hint="eastAsia" w:ascii="宋体" w:hAnsi="宋体" w:eastAsia="宋体" w:cs="宋体"/>
          <w:b/>
          <w:color w:val="auto"/>
          <w:sz w:val="48"/>
          <w:szCs w:val="48"/>
        </w:rPr>
      </w:pPr>
    </w:p>
    <w:p w14:paraId="202D1D44">
      <w:pPr>
        <w:topLinePunct w:val="0"/>
        <w:bidi w:val="0"/>
        <w:spacing w:line="480" w:lineRule="exact"/>
        <w:jc w:val="center"/>
        <w:rPr>
          <w:rFonts w:ascii="宋体" w:hAnsi="宋体" w:eastAsia="宋体" w:cs="宋体"/>
          <w:b/>
          <w:color w:val="auto"/>
          <w:sz w:val="48"/>
          <w:szCs w:val="48"/>
        </w:rPr>
      </w:pPr>
      <w:r>
        <w:rPr>
          <w:rFonts w:hint="eastAsia" w:ascii="宋体" w:hAnsi="宋体" w:eastAsia="宋体" w:cs="宋体"/>
          <w:b/>
          <w:color w:val="auto"/>
          <w:sz w:val="48"/>
          <w:szCs w:val="48"/>
        </w:rPr>
        <w:t>目   录</w:t>
      </w:r>
    </w:p>
    <w:p w14:paraId="4A4394B1">
      <w:pPr>
        <w:topLinePunct w:val="0"/>
        <w:bidi w:val="0"/>
        <w:spacing w:line="480" w:lineRule="exact"/>
        <w:ind w:firstLine="1606" w:firstLineChars="500"/>
        <w:rPr>
          <w:rFonts w:ascii="宋体" w:hAnsi="宋体" w:eastAsia="宋体" w:cs="宋体"/>
          <w:b/>
          <w:color w:val="auto"/>
          <w:sz w:val="32"/>
          <w:szCs w:val="32"/>
        </w:rPr>
      </w:pPr>
    </w:p>
    <w:p w14:paraId="1EDC896E">
      <w:pPr>
        <w:pStyle w:val="2"/>
        <w:ind w:left="560"/>
        <w:rPr>
          <w:color w:val="auto"/>
          <w:sz w:val="30"/>
          <w:szCs w:val="30"/>
          <w:highlight w:val="none"/>
        </w:rPr>
      </w:pPr>
      <w:bookmarkStart w:id="340" w:name="_Toc23315674"/>
      <w:bookmarkStart w:id="341" w:name="_Toc23316598"/>
      <w:bookmarkStart w:id="342" w:name="_Toc35335270"/>
      <w:bookmarkStart w:id="343" w:name="_Toc30120"/>
      <w:bookmarkStart w:id="344" w:name="_Toc31374"/>
      <w:bookmarkStart w:id="345" w:name="_Toc25581"/>
      <w:bookmarkStart w:id="346" w:name="_Toc23315683"/>
      <w:bookmarkStart w:id="347" w:name="_Toc23316534"/>
      <w:bookmarkStart w:id="348" w:name="_Toc23316696"/>
      <w:bookmarkStart w:id="349" w:name="_Toc7767"/>
      <w:bookmarkStart w:id="350" w:name="_Toc4360"/>
      <w:bookmarkStart w:id="351" w:name="_Toc31404"/>
      <w:bookmarkStart w:id="352" w:name="_Toc17080"/>
      <w:bookmarkStart w:id="353" w:name="_Toc14826"/>
      <w:r>
        <w:rPr>
          <w:rFonts w:hint="eastAsia"/>
          <w:color w:val="auto"/>
          <w:sz w:val="30"/>
          <w:szCs w:val="30"/>
          <w:highlight w:val="none"/>
        </w:rPr>
        <w:t>一、投标函</w:t>
      </w:r>
      <w:bookmarkEnd w:id="340"/>
    </w:p>
    <w:p w14:paraId="5E1F563F">
      <w:pPr>
        <w:pStyle w:val="2"/>
        <w:ind w:left="560"/>
        <w:rPr>
          <w:color w:val="auto"/>
          <w:sz w:val="30"/>
          <w:szCs w:val="30"/>
          <w:highlight w:val="none"/>
        </w:rPr>
      </w:pPr>
      <w:bookmarkStart w:id="354" w:name="_Toc23315675"/>
      <w:r>
        <w:rPr>
          <w:rFonts w:hint="eastAsia"/>
          <w:color w:val="auto"/>
          <w:sz w:val="30"/>
          <w:szCs w:val="30"/>
          <w:highlight w:val="none"/>
        </w:rPr>
        <w:t>二、报价一览表</w:t>
      </w:r>
      <w:bookmarkEnd w:id="354"/>
    </w:p>
    <w:p w14:paraId="177E0C9E">
      <w:pPr>
        <w:pStyle w:val="2"/>
        <w:ind w:left="560"/>
        <w:rPr>
          <w:rFonts w:hint="eastAsia"/>
          <w:color w:val="auto"/>
          <w:sz w:val="30"/>
          <w:szCs w:val="30"/>
          <w:highlight w:val="none"/>
        </w:rPr>
      </w:pPr>
      <w:bookmarkStart w:id="355" w:name="_Toc23315678"/>
      <w:r>
        <w:rPr>
          <w:rFonts w:hint="eastAsia"/>
          <w:color w:val="auto"/>
          <w:sz w:val="30"/>
          <w:szCs w:val="30"/>
          <w:highlight w:val="none"/>
          <w:lang w:eastAsia="zh-CN"/>
        </w:rPr>
        <w:t>三</w:t>
      </w:r>
      <w:r>
        <w:rPr>
          <w:rFonts w:hint="eastAsia"/>
          <w:color w:val="auto"/>
          <w:sz w:val="30"/>
          <w:szCs w:val="30"/>
          <w:highlight w:val="none"/>
        </w:rPr>
        <w:t>、</w:t>
      </w:r>
      <w:bookmarkEnd w:id="355"/>
      <w:r>
        <w:rPr>
          <w:rFonts w:hint="eastAsia"/>
          <w:color w:val="auto"/>
          <w:sz w:val="30"/>
          <w:szCs w:val="30"/>
          <w:highlight w:val="none"/>
          <w:lang w:eastAsia="zh-CN"/>
        </w:rPr>
        <w:t>供应商</w:t>
      </w:r>
      <w:r>
        <w:rPr>
          <w:rFonts w:hint="eastAsia"/>
          <w:color w:val="auto"/>
          <w:sz w:val="30"/>
          <w:szCs w:val="30"/>
          <w:highlight w:val="none"/>
        </w:rPr>
        <w:t>资质证明文件</w:t>
      </w:r>
    </w:p>
    <w:p w14:paraId="3691E107">
      <w:pPr>
        <w:pStyle w:val="2"/>
        <w:ind w:left="560"/>
        <w:rPr>
          <w:rFonts w:hint="eastAsia" w:eastAsia="宋体"/>
          <w:color w:val="auto"/>
          <w:sz w:val="30"/>
          <w:szCs w:val="30"/>
          <w:highlight w:val="none"/>
          <w:lang w:eastAsia="zh-CN"/>
        </w:rPr>
      </w:pPr>
      <w:r>
        <w:rPr>
          <w:rFonts w:hint="eastAsia"/>
          <w:color w:val="auto"/>
          <w:sz w:val="30"/>
          <w:szCs w:val="30"/>
          <w:highlight w:val="none"/>
          <w:lang w:eastAsia="zh-CN"/>
        </w:rPr>
        <w:t>四、</w:t>
      </w:r>
      <w:r>
        <w:rPr>
          <w:rFonts w:hint="eastAsia"/>
          <w:color w:val="auto"/>
          <w:sz w:val="30"/>
          <w:szCs w:val="30"/>
          <w:highlight w:val="none"/>
          <w:lang w:val="en-US" w:eastAsia="zh-CN"/>
        </w:rPr>
        <w:t>技术商务响应偏离表</w:t>
      </w:r>
    </w:p>
    <w:p w14:paraId="3CF5CB0C">
      <w:pPr>
        <w:pStyle w:val="2"/>
        <w:ind w:left="560"/>
        <w:rPr>
          <w:rFonts w:hint="eastAsia"/>
          <w:color w:val="auto"/>
          <w:sz w:val="30"/>
          <w:szCs w:val="30"/>
          <w:highlight w:val="none"/>
        </w:rPr>
      </w:pPr>
      <w:bookmarkStart w:id="356" w:name="_Toc23315679"/>
      <w:r>
        <w:rPr>
          <w:rFonts w:hint="eastAsia"/>
          <w:color w:val="auto"/>
          <w:sz w:val="30"/>
          <w:szCs w:val="30"/>
          <w:highlight w:val="none"/>
        </w:rPr>
        <w:t>五、</w:t>
      </w:r>
      <w:bookmarkEnd w:id="356"/>
      <w:bookmarkStart w:id="357" w:name="_Toc12490"/>
      <w:bookmarkStart w:id="358" w:name="_Toc23315682"/>
      <w:bookmarkStart w:id="359" w:name="_Toc23434"/>
      <w:r>
        <w:rPr>
          <w:rFonts w:hint="eastAsia"/>
          <w:color w:val="auto"/>
          <w:sz w:val="30"/>
          <w:szCs w:val="30"/>
          <w:highlight w:val="none"/>
          <w:lang w:val="en-US" w:eastAsia="zh-CN"/>
        </w:rPr>
        <w:t>响应方案</w:t>
      </w:r>
    </w:p>
    <w:p w14:paraId="24EF84C5">
      <w:pPr>
        <w:pStyle w:val="2"/>
        <w:ind w:left="560"/>
        <w:rPr>
          <w:color w:val="auto"/>
          <w:sz w:val="30"/>
          <w:szCs w:val="30"/>
          <w:highlight w:val="none"/>
        </w:rPr>
      </w:pPr>
      <w:r>
        <w:rPr>
          <w:rFonts w:hint="eastAsia"/>
          <w:color w:val="auto"/>
          <w:sz w:val="30"/>
          <w:szCs w:val="30"/>
          <w:highlight w:val="none"/>
          <w:lang w:eastAsia="zh-CN"/>
        </w:rPr>
        <w:t>六</w:t>
      </w:r>
      <w:r>
        <w:rPr>
          <w:rFonts w:hint="eastAsia"/>
          <w:color w:val="auto"/>
          <w:sz w:val="30"/>
          <w:szCs w:val="30"/>
          <w:highlight w:val="none"/>
        </w:rPr>
        <w:t>、</w:t>
      </w:r>
      <w:bookmarkEnd w:id="357"/>
      <w:bookmarkEnd w:id="358"/>
      <w:bookmarkEnd w:id="359"/>
      <w:r>
        <w:rPr>
          <w:rFonts w:hint="eastAsia"/>
          <w:color w:val="auto"/>
          <w:sz w:val="30"/>
          <w:szCs w:val="30"/>
          <w:highlight w:val="none"/>
        </w:rPr>
        <w:t>投标单位拒绝政府采购领域商业贿赂承诺书</w:t>
      </w:r>
    </w:p>
    <w:p w14:paraId="4D30FCA5">
      <w:pPr>
        <w:pStyle w:val="4"/>
        <w:topLinePunct w:val="0"/>
        <w:bidi w:val="0"/>
        <w:spacing w:line="480" w:lineRule="exact"/>
        <w:jc w:val="center"/>
        <w:rPr>
          <w:rFonts w:hint="eastAsia" w:ascii="宋体" w:hAnsi="宋体" w:eastAsia="宋体"/>
          <w:b/>
          <w:bCs w:val="0"/>
          <w:color w:val="auto"/>
          <w:lang w:eastAsia="zh-CN"/>
        </w:rPr>
      </w:pPr>
    </w:p>
    <w:p w14:paraId="208065D5">
      <w:pPr>
        <w:rPr>
          <w:rFonts w:hint="eastAsia" w:ascii="宋体" w:hAnsi="宋体" w:eastAsia="宋体"/>
          <w:b/>
          <w:bCs w:val="0"/>
          <w:color w:val="auto"/>
          <w:lang w:eastAsia="zh-CN"/>
        </w:rPr>
      </w:pPr>
    </w:p>
    <w:p w14:paraId="3084AD7E">
      <w:pPr>
        <w:rPr>
          <w:rFonts w:hint="eastAsia" w:ascii="宋体" w:hAnsi="宋体" w:eastAsia="宋体"/>
          <w:b/>
          <w:bCs w:val="0"/>
          <w:color w:val="auto"/>
          <w:lang w:eastAsia="zh-CN"/>
        </w:rPr>
      </w:pPr>
    </w:p>
    <w:p w14:paraId="708FAD9C">
      <w:pPr>
        <w:rPr>
          <w:rFonts w:hint="eastAsia" w:ascii="宋体" w:hAnsi="宋体" w:eastAsia="宋体"/>
          <w:b/>
          <w:bCs w:val="0"/>
          <w:color w:val="auto"/>
          <w:lang w:eastAsia="zh-CN"/>
        </w:rPr>
      </w:pPr>
    </w:p>
    <w:p w14:paraId="47CE086C">
      <w:pPr>
        <w:rPr>
          <w:rFonts w:hint="eastAsia" w:ascii="宋体" w:hAnsi="宋体" w:eastAsia="宋体"/>
          <w:b/>
          <w:bCs w:val="0"/>
          <w:color w:val="auto"/>
          <w:lang w:eastAsia="zh-CN"/>
        </w:rPr>
      </w:pPr>
    </w:p>
    <w:p w14:paraId="10C20924">
      <w:pPr>
        <w:rPr>
          <w:rFonts w:hint="eastAsia" w:ascii="宋体" w:hAnsi="宋体" w:eastAsia="宋体"/>
          <w:b/>
          <w:bCs w:val="0"/>
          <w:color w:val="auto"/>
          <w:lang w:eastAsia="zh-CN"/>
        </w:rPr>
      </w:pPr>
    </w:p>
    <w:p w14:paraId="4DA795D4">
      <w:pPr>
        <w:rPr>
          <w:rFonts w:hint="eastAsia" w:ascii="宋体" w:hAnsi="宋体" w:eastAsia="宋体"/>
          <w:b/>
          <w:bCs w:val="0"/>
          <w:color w:val="auto"/>
          <w:lang w:eastAsia="zh-CN"/>
        </w:rPr>
      </w:pPr>
    </w:p>
    <w:p w14:paraId="102E8E21">
      <w:pPr>
        <w:rPr>
          <w:rFonts w:hint="eastAsia" w:ascii="宋体" w:hAnsi="宋体" w:eastAsia="宋体"/>
          <w:b/>
          <w:bCs w:val="0"/>
          <w:color w:val="auto"/>
          <w:lang w:eastAsia="zh-CN"/>
        </w:rPr>
      </w:pPr>
    </w:p>
    <w:p w14:paraId="23C4FEEE">
      <w:pPr>
        <w:rPr>
          <w:rFonts w:hint="eastAsia" w:ascii="宋体" w:hAnsi="宋体" w:eastAsia="宋体"/>
          <w:b/>
          <w:bCs w:val="0"/>
          <w:color w:val="auto"/>
          <w:lang w:eastAsia="zh-CN"/>
        </w:rPr>
      </w:pPr>
    </w:p>
    <w:p w14:paraId="0AF01F09">
      <w:pPr>
        <w:rPr>
          <w:rFonts w:hint="eastAsia" w:ascii="宋体" w:hAnsi="宋体" w:eastAsia="宋体"/>
          <w:b/>
          <w:bCs w:val="0"/>
          <w:color w:val="auto"/>
          <w:lang w:eastAsia="zh-CN"/>
        </w:rPr>
      </w:pPr>
    </w:p>
    <w:p w14:paraId="0EDB5B37">
      <w:pPr>
        <w:rPr>
          <w:rFonts w:hint="eastAsia" w:ascii="宋体" w:hAnsi="宋体" w:eastAsia="宋体"/>
          <w:b/>
          <w:bCs w:val="0"/>
          <w:color w:val="auto"/>
          <w:lang w:eastAsia="zh-CN"/>
        </w:rPr>
      </w:pPr>
    </w:p>
    <w:p w14:paraId="1B170E65">
      <w:pPr>
        <w:rPr>
          <w:rFonts w:hint="eastAsia" w:ascii="宋体" w:hAnsi="宋体" w:eastAsia="宋体"/>
          <w:b/>
          <w:bCs w:val="0"/>
          <w:color w:val="auto"/>
          <w:lang w:eastAsia="zh-CN"/>
        </w:rPr>
      </w:pPr>
    </w:p>
    <w:p w14:paraId="676DF6AB">
      <w:pPr>
        <w:rPr>
          <w:rFonts w:hint="eastAsia" w:ascii="宋体" w:hAnsi="宋体" w:eastAsia="宋体"/>
          <w:b/>
          <w:bCs w:val="0"/>
          <w:color w:val="auto"/>
          <w:lang w:eastAsia="zh-CN"/>
        </w:rPr>
      </w:pPr>
    </w:p>
    <w:p w14:paraId="1400107E">
      <w:pPr>
        <w:rPr>
          <w:rFonts w:hint="eastAsia" w:ascii="宋体" w:hAnsi="宋体" w:eastAsia="宋体"/>
          <w:b/>
          <w:bCs w:val="0"/>
          <w:color w:val="auto"/>
          <w:lang w:eastAsia="zh-CN"/>
        </w:rPr>
      </w:pPr>
    </w:p>
    <w:p w14:paraId="1FB6687C">
      <w:pPr>
        <w:rPr>
          <w:rFonts w:hint="eastAsia" w:ascii="宋体" w:hAnsi="宋体" w:eastAsia="宋体"/>
          <w:b/>
          <w:bCs w:val="0"/>
          <w:color w:val="auto"/>
          <w:lang w:eastAsia="zh-CN"/>
        </w:rPr>
      </w:pPr>
    </w:p>
    <w:p w14:paraId="7E62CDC7">
      <w:pPr>
        <w:pStyle w:val="4"/>
        <w:topLinePunct w:val="0"/>
        <w:bidi w:val="0"/>
        <w:spacing w:line="480" w:lineRule="exact"/>
        <w:jc w:val="center"/>
        <w:rPr>
          <w:rFonts w:hint="eastAsia" w:ascii="宋体" w:hAnsi="宋体" w:eastAsia="宋体"/>
          <w:b/>
          <w:bCs w:val="0"/>
          <w:color w:val="auto"/>
          <w:lang w:eastAsia="zh-CN"/>
        </w:rPr>
      </w:pPr>
    </w:p>
    <w:p w14:paraId="406F9DBD">
      <w:pPr>
        <w:rPr>
          <w:rFonts w:hint="eastAsia" w:ascii="宋体" w:hAnsi="宋体" w:eastAsia="宋体"/>
          <w:b/>
          <w:bCs w:val="0"/>
          <w:color w:val="auto"/>
          <w:lang w:eastAsia="zh-CN"/>
        </w:rPr>
      </w:pPr>
    </w:p>
    <w:p w14:paraId="2BB72393">
      <w:pPr>
        <w:rPr>
          <w:rFonts w:hint="eastAsia" w:ascii="宋体" w:hAnsi="宋体" w:eastAsia="宋体"/>
          <w:b/>
          <w:bCs w:val="0"/>
          <w:color w:val="auto"/>
          <w:lang w:eastAsia="zh-CN"/>
        </w:rPr>
      </w:pPr>
    </w:p>
    <w:p w14:paraId="735C9133">
      <w:pPr>
        <w:pStyle w:val="4"/>
        <w:topLinePunct w:val="0"/>
        <w:bidi w:val="0"/>
        <w:spacing w:line="480" w:lineRule="exact"/>
        <w:jc w:val="center"/>
        <w:rPr>
          <w:rFonts w:hint="eastAsia" w:ascii="宋体" w:hAnsi="宋体" w:eastAsia="宋体"/>
          <w:b/>
          <w:bCs w:val="0"/>
          <w:color w:val="auto"/>
        </w:rPr>
      </w:pPr>
      <w:bookmarkStart w:id="360" w:name="_Toc23398"/>
      <w:bookmarkStart w:id="361" w:name="_Toc21209"/>
      <w:r>
        <w:rPr>
          <w:rFonts w:hint="eastAsia" w:ascii="宋体" w:hAnsi="宋体" w:eastAsia="宋体"/>
          <w:b/>
          <w:bCs w:val="0"/>
          <w:color w:val="auto"/>
          <w:lang w:eastAsia="zh-CN"/>
        </w:rPr>
        <w:t>一、</w:t>
      </w:r>
      <w:r>
        <w:rPr>
          <w:rFonts w:hint="eastAsia" w:ascii="宋体" w:hAnsi="宋体" w:eastAsia="宋体"/>
          <w:b/>
          <w:bCs w:val="0"/>
          <w:color w:val="auto"/>
          <w:lang w:val="en-US" w:eastAsia="zh-CN"/>
        </w:rPr>
        <w:t xml:space="preserve"> </w:t>
      </w:r>
      <w:r>
        <w:rPr>
          <w:rFonts w:hint="eastAsia" w:ascii="宋体" w:hAnsi="宋体" w:eastAsia="宋体"/>
          <w:b/>
          <w:bCs w:val="0"/>
          <w:color w:val="auto"/>
        </w:rPr>
        <w:t>投标函</w:t>
      </w:r>
      <w:bookmarkEnd w:id="336"/>
      <w:bookmarkEnd w:id="337"/>
      <w:bookmarkEnd w:id="338"/>
      <w:bookmarkEnd w:id="341"/>
      <w:bookmarkEnd w:id="342"/>
      <w:bookmarkEnd w:id="343"/>
      <w:bookmarkEnd w:id="344"/>
      <w:bookmarkEnd w:id="345"/>
      <w:bookmarkEnd w:id="346"/>
      <w:bookmarkEnd w:id="347"/>
      <w:bookmarkEnd w:id="348"/>
      <w:bookmarkEnd w:id="349"/>
      <w:bookmarkEnd w:id="350"/>
      <w:bookmarkEnd w:id="351"/>
      <w:bookmarkEnd w:id="352"/>
      <w:bookmarkEnd w:id="353"/>
      <w:r>
        <w:rPr>
          <w:rFonts w:hint="eastAsia" w:ascii="宋体" w:hAnsi="宋体" w:eastAsia="宋体"/>
          <w:b/>
          <w:bCs w:val="0"/>
          <w:color w:val="auto"/>
        </w:rPr>
        <w:t>（格式）</w:t>
      </w:r>
      <w:bookmarkEnd w:id="360"/>
      <w:bookmarkEnd w:id="361"/>
    </w:p>
    <w:p w14:paraId="29B9C4EA">
      <w:pPr>
        <w:pStyle w:val="4"/>
        <w:topLinePunct w:val="0"/>
        <w:bidi w:val="0"/>
        <w:spacing w:line="480" w:lineRule="exact"/>
        <w:jc w:val="center"/>
        <w:rPr>
          <w:rFonts w:hint="eastAsia" w:ascii="宋体" w:hAnsi="宋体" w:eastAsia="宋体"/>
          <w:b/>
          <w:bCs w:val="0"/>
          <w:color w:val="auto"/>
          <w:lang w:val="en-US" w:eastAsia="zh-CN"/>
        </w:rPr>
      </w:pPr>
    </w:p>
    <w:p w14:paraId="743C879F">
      <w:pPr>
        <w:topLinePunct w:val="0"/>
        <w:bidi w:val="0"/>
        <w:spacing w:line="480" w:lineRule="exact"/>
        <w:ind w:right="56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致：</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u w:val="single"/>
        </w:rPr>
        <w:t>安康尚昊招标代理有限公司</w:t>
      </w:r>
      <w:r>
        <w:rPr>
          <w:rFonts w:hint="eastAsia" w:ascii="宋体" w:hAnsi="宋体" w:eastAsia="宋体" w:cs="宋体"/>
          <w:bCs/>
          <w:color w:val="auto"/>
          <w:sz w:val="24"/>
          <w:szCs w:val="24"/>
          <w:u w:val="single"/>
          <w:lang w:val="en-US" w:eastAsia="zh-CN"/>
        </w:rPr>
        <w:t xml:space="preserve"> </w:t>
      </w:r>
    </w:p>
    <w:p w14:paraId="26CA4F52">
      <w:pPr>
        <w:topLinePunct w:val="0"/>
        <w:bidi w:val="0"/>
        <w:spacing w:line="48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我单位收到贵公司</w:t>
      </w:r>
      <w:r>
        <w:rPr>
          <w:rFonts w:hint="eastAsia" w:ascii="宋体" w:hAnsi="宋体" w:eastAsia="宋体" w:cs="宋体"/>
          <w:bCs/>
          <w:color w:val="auto"/>
          <w:sz w:val="24"/>
          <w:szCs w:val="24"/>
          <w:u w:val="single"/>
        </w:rPr>
        <w:t xml:space="preserve">  （项目名称） （项目编号）  </w:t>
      </w:r>
      <w:r>
        <w:rPr>
          <w:rFonts w:hint="eastAsia" w:ascii="宋体" w:hAnsi="宋体" w:eastAsia="宋体" w:cs="宋体"/>
          <w:bCs/>
          <w:color w:val="auto"/>
          <w:sz w:val="24"/>
          <w:szCs w:val="24"/>
          <w:lang w:eastAsia="zh-CN"/>
        </w:rPr>
        <w:t>谈判文件</w:t>
      </w:r>
      <w:r>
        <w:rPr>
          <w:rFonts w:hint="eastAsia" w:ascii="宋体" w:hAnsi="宋体" w:eastAsia="宋体" w:cs="宋体"/>
          <w:bCs/>
          <w:color w:val="auto"/>
          <w:sz w:val="24"/>
          <w:szCs w:val="24"/>
        </w:rPr>
        <w:t>要求，我们决定参加该项目投标活动，并参与投标会议。为此，我方郑重声明以下诸点，并负法律责任。</w:t>
      </w:r>
    </w:p>
    <w:p w14:paraId="7810A23C">
      <w:pPr>
        <w:spacing w:line="480" w:lineRule="exact"/>
        <w:ind w:firstLine="470" w:firstLineChars="196"/>
        <w:rPr>
          <w:rFonts w:cs="仿宋" w:asciiTheme="minorEastAsia" w:hAnsiTheme="minorEastAsia" w:eastAsiaTheme="minorEastAsia"/>
          <w:bCs/>
          <w:sz w:val="24"/>
        </w:rPr>
      </w:pPr>
      <w:r>
        <w:rPr>
          <w:rFonts w:hint="eastAsia" w:ascii="宋体" w:hAnsi="宋体" w:eastAsia="宋体" w:cs="宋体"/>
          <w:bCs/>
          <w:color w:val="auto"/>
          <w:sz w:val="24"/>
          <w:szCs w:val="24"/>
          <w:lang w:eastAsia="zh-CN"/>
        </w:rPr>
        <w:t>1.</w:t>
      </w:r>
      <w:r>
        <w:rPr>
          <w:rFonts w:hint="eastAsia" w:ascii="宋体" w:hAnsi="宋体" w:eastAsia="宋体" w:cs="宋体"/>
          <w:b w:val="0"/>
          <w:bCs w:val="0"/>
          <w:color w:val="auto"/>
          <w:sz w:val="24"/>
          <w:szCs w:val="24"/>
          <w:lang w:val="en-US" w:eastAsia="zh-CN"/>
        </w:rPr>
        <w:t>按照竞争性谈判文件的规定，</w:t>
      </w:r>
      <w:r>
        <w:rPr>
          <w:rFonts w:hint="eastAsia" w:cs="仿宋" w:asciiTheme="minorEastAsia" w:hAnsiTheme="minorEastAsia" w:eastAsiaTheme="minorEastAsia"/>
          <w:bCs/>
          <w:sz w:val="24"/>
        </w:rPr>
        <w:t>我方投标</w:t>
      </w:r>
      <w:r>
        <w:rPr>
          <w:rFonts w:hint="eastAsia" w:cs="仿宋" w:asciiTheme="minorEastAsia" w:hAnsiTheme="minorEastAsia" w:eastAsiaTheme="minorEastAsia"/>
          <w:bCs/>
          <w:sz w:val="24"/>
          <w:lang w:val="en-US" w:eastAsia="zh-CN"/>
        </w:rPr>
        <w:t>总价</w:t>
      </w:r>
      <w:r>
        <w:rPr>
          <w:rFonts w:hint="eastAsia" w:cs="仿宋" w:asciiTheme="minorEastAsia" w:hAnsiTheme="minorEastAsia" w:eastAsiaTheme="minorEastAsia"/>
          <w:bCs/>
          <w:sz w:val="24"/>
        </w:rPr>
        <w:t>为： 人民币</w:t>
      </w:r>
      <w:r>
        <w:rPr>
          <w:rFonts w:hint="eastAsia" w:cs="仿宋" w:asciiTheme="minorEastAsia" w:hAnsiTheme="minorEastAsia" w:eastAsiaTheme="minorEastAsia"/>
          <w:bCs/>
          <w:sz w:val="24"/>
          <w:u w:val="single"/>
        </w:rPr>
        <w:t xml:space="preserve">       </w:t>
      </w:r>
      <w:r>
        <w:rPr>
          <w:rFonts w:hint="eastAsia" w:cs="仿宋" w:asciiTheme="minorEastAsia" w:hAnsiTheme="minorEastAsia" w:eastAsiaTheme="minorEastAsia"/>
          <w:bCs/>
          <w:sz w:val="24"/>
        </w:rPr>
        <w:t xml:space="preserve"> ，</w:t>
      </w:r>
      <w:r>
        <w:rPr>
          <w:rFonts w:hint="eastAsia" w:cs="仿宋" w:asciiTheme="minorEastAsia" w:hAnsiTheme="minorEastAsia" w:eastAsiaTheme="minorEastAsia"/>
          <w:bCs/>
          <w:sz w:val="24"/>
          <w:lang w:val="en-US" w:eastAsia="zh-CN"/>
        </w:rPr>
        <w:t>小写</w:t>
      </w:r>
      <w:r>
        <w:rPr>
          <w:rFonts w:hint="eastAsia" w:cs="仿宋" w:asciiTheme="minorEastAsia" w:hAnsiTheme="minorEastAsia" w:eastAsiaTheme="minorEastAsia"/>
          <w:bCs/>
          <w:sz w:val="24"/>
          <w:u w:val="single"/>
        </w:rPr>
        <w:t xml:space="preserve">        </w:t>
      </w:r>
      <w:r>
        <w:rPr>
          <w:rFonts w:hint="eastAsia" w:cs="仿宋" w:asciiTheme="minorEastAsia" w:hAnsiTheme="minorEastAsia" w:eastAsiaTheme="minorEastAsia"/>
          <w:bCs/>
          <w:sz w:val="24"/>
        </w:rPr>
        <w:t xml:space="preserve"> 。该报价一次报死，不受市场因素的影响。</w:t>
      </w:r>
    </w:p>
    <w:p w14:paraId="184B6BEE">
      <w:pPr>
        <w:topLinePunct w:val="0"/>
        <w:bidi w:val="0"/>
        <w:spacing w:line="480" w:lineRule="exact"/>
        <w:ind w:firstLine="480" w:firstLineChars="200"/>
        <w:rPr>
          <w:rFonts w:hint="eastAsia" w:ascii="宋体" w:hAnsi="宋体" w:eastAsia="宋体" w:cs="仿宋"/>
          <w:bCs/>
          <w:kern w:val="2"/>
          <w:sz w:val="24"/>
          <w:szCs w:val="28"/>
          <w:lang w:val="en-US" w:eastAsia="zh-CN" w:bidi="ar"/>
        </w:rPr>
      </w:pPr>
      <w:r>
        <w:rPr>
          <w:rFonts w:hint="eastAsia" w:ascii="宋体" w:hAnsi="宋体" w:eastAsia="宋体" w:cs="宋体"/>
          <w:bCs/>
          <w:color w:val="auto"/>
          <w:sz w:val="24"/>
          <w:szCs w:val="24"/>
          <w:lang w:eastAsia="zh-CN"/>
        </w:rPr>
        <w:t>2.</w:t>
      </w:r>
      <w:r>
        <w:rPr>
          <w:rFonts w:hint="eastAsia" w:ascii="宋体" w:hAnsi="宋体" w:eastAsia="宋体" w:cs="仿宋"/>
          <w:bCs/>
          <w:kern w:val="2"/>
          <w:sz w:val="24"/>
          <w:szCs w:val="28"/>
          <w:lang w:val="en-US" w:eastAsia="zh-CN" w:bidi="ar"/>
        </w:rPr>
        <w:t>我们将按照谈判文件的规定履行合同责任和义务。</w:t>
      </w:r>
    </w:p>
    <w:p w14:paraId="288B3174">
      <w:pPr>
        <w:topLinePunct w:val="0"/>
        <w:bidi w:val="0"/>
        <w:spacing w:line="48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3.</w:t>
      </w:r>
      <w:r>
        <w:rPr>
          <w:rFonts w:hint="eastAsia" w:ascii="宋体" w:hAnsi="宋体" w:eastAsia="宋体" w:cs="宋体"/>
          <w:bCs/>
          <w:color w:val="auto"/>
          <w:sz w:val="24"/>
          <w:szCs w:val="24"/>
        </w:rPr>
        <w:t>如果我们投标文件被接受，我们将履行</w:t>
      </w:r>
      <w:r>
        <w:rPr>
          <w:rFonts w:hint="eastAsia" w:ascii="宋体" w:hAnsi="宋体" w:eastAsia="宋体" w:cs="宋体"/>
          <w:bCs/>
          <w:color w:val="auto"/>
          <w:sz w:val="24"/>
          <w:szCs w:val="24"/>
          <w:lang w:eastAsia="zh-CN"/>
        </w:rPr>
        <w:t>谈判文件</w:t>
      </w:r>
      <w:r>
        <w:rPr>
          <w:rFonts w:hint="eastAsia" w:ascii="宋体" w:hAnsi="宋体" w:eastAsia="宋体" w:cs="宋体"/>
          <w:bCs/>
          <w:color w:val="auto"/>
          <w:sz w:val="24"/>
          <w:szCs w:val="24"/>
        </w:rPr>
        <w:t>中规定的每一项要求，按期、按质、按量完成任务。</w:t>
      </w:r>
    </w:p>
    <w:p w14:paraId="688AC8BA">
      <w:pPr>
        <w:topLinePunct w:val="0"/>
        <w:bidi w:val="0"/>
        <w:spacing w:line="48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4.</w:t>
      </w:r>
      <w:r>
        <w:rPr>
          <w:rFonts w:hint="eastAsia" w:ascii="宋体" w:hAnsi="宋体" w:eastAsia="宋体" w:cs="宋体"/>
          <w:bCs/>
          <w:color w:val="auto"/>
          <w:sz w:val="24"/>
          <w:szCs w:val="24"/>
        </w:rPr>
        <w:t>我们理解，最低报价不是中标的唯一条件，你们有选择投标人的权力。</w:t>
      </w:r>
    </w:p>
    <w:p w14:paraId="374CAA16">
      <w:pPr>
        <w:topLinePunct w:val="0"/>
        <w:bidi w:val="0"/>
        <w:spacing w:line="48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5.</w:t>
      </w:r>
      <w:r>
        <w:rPr>
          <w:rFonts w:hint="eastAsia" w:ascii="宋体" w:hAnsi="宋体" w:eastAsia="宋体" w:cs="宋体"/>
          <w:bCs/>
          <w:color w:val="auto"/>
          <w:sz w:val="24"/>
          <w:szCs w:val="24"/>
        </w:rPr>
        <w:t>我们愿按《中华人民共和国</w:t>
      </w:r>
      <w:r>
        <w:rPr>
          <w:rFonts w:hint="eastAsia" w:ascii="宋体" w:hAnsi="宋体" w:eastAsia="宋体" w:cs="宋体"/>
          <w:bCs/>
          <w:color w:val="auto"/>
          <w:sz w:val="24"/>
          <w:szCs w:val="24"/>
          <w:lang w:val="en-US" w:eastAsia="zh-CN"/>
        </w:rPr>
        <w:t>民法典</w:t>
      </w:r>
      <w:r>
        <w:rPr>
          <w:rFonts w:hint="eastAsia" w:ascii="宋体" w:hAnsi="宋体" w:eastAsia="宋体" w:cs="宋体"/>
          <w:bCs/>
          <w:color w:val="auto"/>
          <w:sz w:val="24"/>
          <w:szCs w:val="24"/>
        </w:rPr>
        <w:t>》履行自己的全部责任。</w:t>
      </w:r>
    </w:p>
    <w:p w14:paraId="0A0575BB">
      <w:pPr>
        <w:topLinePunct w:val="0"/>
        <w:bidi w:val="0"/>
        <w:spacing w:line="48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6.</w:t>
      </w:r>
      <w:r>
        <w:rPr>
          <w:rFonts w:hint="eastAsia" w:ascii="宋体" w:hAnsi="宋体" w:eastAsia="宋体" w:cs="宋体"/>
          <w:bCs/>
          <w:color w:val="auto"/>
          <w:sz w:val="24"/>
          <w:szCs w:val="24"/>
        </w:rPr>
        <w:t>我们同意按</w:t>
      </w:r>
      <w:r>
        <w:rPr>
          <w:rFonts w:hint="eastAsia" w:ascii="宋体" w:hAnsi="宋体" w:eastAsia="宋体" w:cs="宋体"/>
          <w:bCs/>
          <w:color w:val="auto"/>
          <w:sz w:val="24"/>
          <w:szCs w:val="24"/>
          <w:lang w:eastAsia="zh-CN"/>
        </w:rPr>
        <w:t>谈判文件</w:t>
      </w:r>
      <w:r>
        <w:rPr>
          <w:rFonts w:hint="eastAsia" w:ascii="宋体" w:hAnsi="宋体" w:eastAsia="宋体" w:cs="宋体"/>
          <w:bCs/>
          <w:color w:val="auto"/>
          <w:sz w:val="24"/>
          <w:szCs w:val="24"/>
        </w:rPr>
        <w:t>规定，遵守贵公司有关规定和收费标准。</w:t>
      </w:r>
    </w:p>
    <w:p w14:paraId="54FCF6A7">
      <w:pPr>
        <w:topLinePunct w:val="0"/>
        <w:bidi w:val="0"/>
        <w:spacing w:line="48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7.</w:t>
      </w:r>
      <w:r>
        <w:rPr>
          <w:rFonts w:hint="eastAsia" w:ascii="宋体" w:hAnsi="宋体" w:eastAsia="宋体" w:cs="宋体"/>
          <w:bCs/>
          <w:color w:val="auto"/>
          <w:sz w:val="24"/>
          <w:szCs w:val="24"/>
        </w:rPr>
        <w:t>我方的投标文件有效期为</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日历天。</w:t>
      </w:r>
    </w:p>
    <w:p w14:paraId="5E47605A">
      <w:pPr>
        <w:topLinePunct w:val="0"/>
        <w:bidi w:val="0"/>
        <w:spacing w:line="48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8.</w:t>
      </w:r>
      <w:r>
        <w:rPr>
          <w:rFonts w:hint="eastAsia" w:ascii="宋体" w:hAnsi="宋体" w:eastAsia="宋体" w:cs="宋体"/>
          <w:bCs/>
          <w:color w:val="auto"/>
          <w:sz w:val="24"/>
          <w:szCs w:val="24"/>
        </w:rPr>
        <w:t>所有关于本投标文件的函电，请按下列地址联系。</w:t>
      </w:r>
    </w:p>
    <w:bookmarkEnd w:id="339"/>
    <w:p w14:paraId="1E56EC5C">
      <w:pPr>
        <w:spacing w:line="480" w:lineRule="exact"/>
        <w:ind w:firstLine="480" w:firstLineChars="200"/>
        <w:rPr>
          <w:rFonts w:hint="eastAsia" w:ascii="宋体" w:hAnsi="宋体" w:eastAsia="宋体" w:cs="宋体"/>
          <w:bCs/>
          <w:color w:val="auto"/>
          <w:sz w:val="24"/>
          <w:szCs w:val="24"/>
        </w:rPr>
      </w:pPr>
      <w:bookmarkStart w:id="362" w:name="_Toc30983"/>
      <w:bookmarkStart w:id="363" w:name="_Toc23316697"/>
      <w:bookmarkStart w:id="364" w:name="_Toc15789"/>
      <w:bookmarkStart w:id="365" w:name="_Toc536429387"/>
      <w:bookmarkStart w:id="366" w:name="_Toc20794"/>
      <w:bookmarkStart w:id="367" w:name="_Toc23315684"/>
      <w:bookmarkStart w:id="368" w:name="_Toc536202394"/>
      <w:bookmarkStart w:id="369" w:name="_Toc536429334"/>
      <w:bookmarkStart w:id="370" w:name="_Toc23316535"/>
      <w:bookmarkStart w:id="371" w:name="_Toc536202325"/>
      <w:bookmarkStart w:id="372" w:name="_Toc13642252"/>
      <w:bookmarkStart w:id="373" w:name="_Toc23316599"/>
    </w:p>
    <w:p w14:paraId="0891B350">
      <w:pPr>
        <w:spacing w:line="480" w:lineRule="exact"/>
        <w:ind w:firstLine="480" w:firstLineChars="200"/>
        <w:rPr>
          <w:rFonts w:hint="eastAsia" w:ascii="宋体" w:hAnsi="宋体" w:eastAsia="宋体" w:cs="宋体"/>
          <w:bCs/>
          <w:color w:val="auto"/>
          <w:sz w:val="24"/>
          <w:szCs w:val="24"/>
        </w:rPr>
      </w:pPr>
    </w:p>
    <w:p w14:paraId="621A61A6">
      <w:pPr>
        <w:spacing w:line="480" w:lineRule="exact"/>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供应商名称（公章）：</w:t>
      </w:r>
      <w:r>
        <w:rPr>
          <w:rFonts w:hint="eastAsia" w:ascii="宋体" w:hAnsi="宋体" w:eastAsia="宋体" w:cs="宋体"/>
          <w:bCs/>
          <w:color w:val="auto"/>
          <w:sz w:val="24"/>
          <w:szCs w:val="24"/>
          <w:u w:val="single"/>
        </w:rPr>
        <w:t xml:space="preserve">                              </w:t>
      </w:r>
    </w:p>
    <w:p w14:paraId="2531503C">
      <w:pPr>
        <w:spacing w:line="480" w:lineRule="exact"/>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详细 地 址：</w:t>
      </w:r>
      <w:r>
        <w:rPr>
          <w:rFonts w:hint="eastAsia" w:ascii="宋体" w:hAnsi="宋体" w:eastAsia="宋体" w:cs="宋体"/>
          <w:bCs/>
          <w:color w:val="auto"/>
          <w:sz w:val="24"/>
          <w:szCs w:val="24"/>
          <w:u w:val="single"/>
        </w:rPr>
        <w:t xml:space="preserve">                                      </w:t>
      </w:r>
    </w:p>
    <w:p w14:paraId="2AED4CB8">
      <w:pPr>
        <w:spacing w:line="480" w:lineRule="exact"/>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邮 政 编 码：</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lang w:val="zh-CN"/>
        </w:rPr>
        <w:t>传       真：</w:t>
      </w:r>
      <w:r>
        <w:rPr>
          <w:rFonts w:hint="eastAsia" w:ascii="宋体" w:hAnsi="宋体" w:eastAsia="宋体" w:cs="宋体"/>
          <w:bCs/>
          <w:color w:val="auto"/>
          <w:sz w:val="24"/>
          <w:szCs w:val="24"/>
          <w:u w:val="single"/>
          <w:lang w:val="zh-CN"/>
        </w:rPr>
        <w:t xml:space="preserve">          </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u w:val="single"/>
          <w:lang w:val="zh-CN"/>
        </w:rPr>
        <w:t xml:space="preserve">       </w:t>
      </w:r>
    </w:p>
    <w:p w14:paraId="072CE661">
      <w:pPr>
        <w:spacing w:line="480" w:lineRule="exact"/>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lang w:val="zh-CN"/>
        </w:rPr>
        <w:t>电       话：</w:t>
      </w:r>
      <w:r>
        <w:rPr>
          <w:rFonts w:hint="eastAsia" w:ascii="宋体" w:hAnsi="宋体" w:eastAsia="宋体" w:cs="宋体"/>
          <w:bCs/>
          <w:color w:val="auto"/>
          <w:sz w:val="24"/>
          <w:szCs w:val="24"/>
          <w:u w:val="single"/>
          <w:lang w:val="zh-CN"/>
        </w:rPr>
        <w:t xml:space="preserve">                 </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u w:val="single"/>
          <w:lang w:val="zh-CN"/>
        </w:rPr>
        <w:t xml:space="preserve">    </w:t>
      </w:r>
      <w:r>
        <w:rPr>
          <w:rFonts w:hint="eastAsia" w:ascii="宋体" w:hAnsi="宋体" w:eastAsia="宋体" w:cs="宋体"/>
          <w:bCs/>
          <w:color w:val="auto"/>
          <w:sz w:val="24"/>
          <w:szCs w:val="24"/>
          <w:lang w:val="zh-CN"/>
        </w:rPr>
        <w:t>帐       号：</w:t>
      </w:r>
      <w:r>
        <w:rPr>
          <w:rFonts w:hint="eastAsia" w:ascii="宋体" w:hAnsi="宋体" w:eastAsia="宋体" w:cs="宋体"/>
          <w:bCs/>
          <w:color w:val="auto"/>
          <w:sz w:val="24"/>
          <w:szCs w:val="24"/>
          <w:u w:val="single"/>
          <w:lang w:val="zh-CN"/>
        </w:rPr>
        <w:t xml:space="preserve">          </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u w:val="single"/>
          <w:lang w:val="zh-CN"/>
        </w:rPr>
        <w:t xml:space="preserve">      </w:t>
      </w:r>
    </w:p>
    <w:p w14:paraId="345A9FB4">
      <w:pPr>
        <w:spacing w:line="48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zh-CN"/>
        </w:rPr>
        <w:t>开 户 银 行：</w:t>
      </w:r>
      <w:r>
        <w:rPr>
          <w:rFonts w:hint="eastAsia" w:ascii="宋体" w:hAnsi="宋体" w:eastAsia="宋体" w:cs="宋体"/>
          <w:bCs/>
          <w:color w:val="auto"/>
          <w:sz w:val="24"/>
          <w:szCs w:val="24"/>
          <w:u w:val="single"/>
          <w:lang w:val="zh-CN"/>
        </w:rPr>
        <w:t xml:space="preserve">                      </w:t>
      </w:r>
      <w:r>
        <w:rPr>
          <w:rFonts w:hint="eastAsia" w:ascii="宋体" w:hAnsi="宋体" w:eastAsia="宋体" w:cs="宋体"/>
          <w:bCs/>
          <w:color w:val="auto"/>
          <w:sz w:val="24"/>
          <w:szCs w:val="24"/>
        </w:rPr>
        <w:t>电 子 邮 件：</w:t>
      </w:r>
      <w:r>
        <w:rPr>
          <w:rFonts w:hint="eastAsia" w:ascii="宋体" w:hAnsi="宋体" w:eastAsia="宋体" w:cs="宋体"/>
          <w:bCs/>
          <w:color w:val="auto"/>
          <w:sz w:val="24"/>
          <w:szCs w:val="24"/>
          <w:u w:val="single"/>
        </w:rPr>
        <w:t xml:space="preserve">                   </w:t>
      </w:r>
    </w:p>
    <w:p w14:paraId="175D1FAE">
      <w:pPr>
        <w:spacing w:line="440" w:lineRule="exact"/>
        <w:ind w:firstLine="560" w:firstLineChars="200"/>
        <w:rPr>
          <w:rFonts w:cs="仿宋" w:asciiTheme="minorEastAsia" w:hAnsiTheme="minorEastAsia" w:eastAsiaTheme="minorEastAsia"/>
          <w:bCs/>
          <w:color w:val="auto"/>
        </w:rPr>
      </w:pPr>
    </w:p>
    <w:p w14:paraId="444E11A3">
      <w:pPr>
        <w:pStyle w:val="4"/>
        <w:jc w:val="center"/>
        <w:rPr>
          <w:rFonts w:ascii="宋体" w:hAnsi="宋体" w:eastAsia="宋体"/>
          <w:b w:val="0"/>
          <w:color w:val="auto"/>
        </w:rPr>
      </w:pPr>
    </w:p>
    <w:p w14:paraId="5EFE5964">
      <w:pPr>
        <w:pStyle w:val="4"/>
        <w:topLinePunct w:val="0"/>
        <w:bidi w:val="0"/>
        <w:spacing w:line="480" w:lineRule="exact"/>
        <w:jc w:val="center"/>
        <w:rPr>
          <w:rFonts w:ascii="宋体" w:hAnsi="宋体" w:eastAsia="宋体"/>
          <w:b w:val="0"/>
          <w:color w:val="auto"/>
        </w:rPr>
      </w:pPr>
    </w:p>
    <w:p w14:paraId="2EC7AD48">
      <w:pPr>
        <w:topLinePunct w:val="0"/>
        <w:bidi w:val="0"/>
        <w:spacing w:line="480" w:lineRule="exact"/>
        <w:jc w:val="left"/>
        <w:rPr>
          <w:rFonts w:ascii="宋体" w:hAnsi="宋体" w:eastAsia="宋体"/>
          <w:bCs/>
          <w:color w:val="auto"/>
          <w:sz w:val="32"/>
          <w:szCs w:val="32"/>
        </w:rPr>
      </w:pPr>
      <w:r>
        <w:rPr>
          <w:rFonts w:ascii="宋体" w:hAnsi="宋体" w:eastAsia="宋体"/>
          <w:b/>
          <w:color w:val="auto"/>
        </w:rPr>
        <w:br w:type="page"/>
      </w:r>
    </w:p>
    <w:p w14:paraId="74F15756">
      <w:pPr>
        <w:pStyle w:val="4"/>
        <w:topLinePunct w:val="0"/>
        <w:bidi w:val="0"/>
        <w:spacing w:line="480" w:lineRule="exact"/>
        <w:jc w:val="center"/>
        <w:rPr>
          <w:rFonts w:hint="eastAsia" w:ascii="宋体" w:hAnsi="宋体" w:eastAsia="宋体"/>
          <w:b w:val="0"/>
          <w:color w:val="auto"/>
        </w:rPr>
      </w:pPr>
      <w:bookmarkStart w:id="374" w:name="_Toc35335271"/>
      <w:bookmarkStart w:id="375" w:name="_Toc25909"/>
      <w:bookmarkStart w:id="376" w:name="_Toc16745"/>
      <w:bookmarkStart w:id="377" w:name="_Toc22662"/>
    </w:p>
    <w:p w14:paraId="1DC60883">
      <w:pPr>
        <w:pStyle w:val="4"/>
        <w:topLinePunct w:val="0"/>
        <w:bidi w:val="0"/>
        <w:spacing w:line="480" w:lineRule="exact"/>
        <w:jc w:val="center"/>
        <w:rPr>
          <w:rFonts w:ascii="宋体" w:hAnsi="宋体" w:eastAsia="宋体"/>
          <w:b w:val="0"/>
          <w:color w:val="auto"/>
        </w:rPr>
      </w:pPr>
      <w:bookmarkStart w:id="378" w:name="_Toc11884"/>
      <w:bookmarkStart w:id="379" w:name="_Toc25060"/>
      <w:bookmarkStart w:id="380" w:name="_Toc32598"/>
      <w:bookmarkStart w:id="381" w:name="_Toc2471"/>
      <w:bookmarkStart w:id="382" w:name="_Toc1435"/>
      <w:r>
        <w:rPr>
          <w:rFonts w:hint="eastAsia" w:ascii="宋体" w:hAnsi="宋体" w:eastAsia="宋体"/>
          <w:b w:val="0"/>
          <w:color w:val="auto"/>
        </w:rPr>
        <w:t>二</w:t>
      </w:r>
      <w:r>
        <w:rPr>
          <w:rFonts w:ascii="宋体" w:hAnsi="宋体" w:eastAsia="宋体"/>
          <w:b/>
          <w:bCs w:val="0"/>
          <w:color w:val="auto"/>
        </w:rPr>
        <w:t xml:space="preserve">、 </w:t>
      </w:r>
      <w:bookmarkEnd w:id="362"/>
      <w:r>
        <w:rPr>
          <w:rFonts w:hint="eastAsia" w:ascii="宋体" w:hAnsi="宋体" w:eastAsia="宋体"/>
          <w:b/>
          <w:bCs w:val="0"/>
          <w:color w:val="auto"/>
          <w:lang w:val="en-US" w:eastAsia="zh-CN"/>
        </w:rPr>
        <w:t>响应报价</w:t>
      </w:r>
      <w:r>
        <w:rPr>
          <w:rFonts w:hint="eastAsia" w:ascii="宋体" w:hAnsi="宋体" w:eastAsia="宋体"/>
          <w:b/>
          <w:bCs w:val="0"/>
          <w:color w:val="auto"/>
        </w:rPr>
        <w:t>表</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4EC7BCC3">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olor w:val="auto"/>
          <w:sz w:val="24"/>
          <w:szCs w:val="24"/>
        </w:rPr>
      </w:pPr>
      <w:r>
        <w:rPr>
          <w:rFonts w:hint="eastAsia" w:ascii="宋体" w:hAnsi="宋体" w:eastAsia="宋体"/>
          <w:color w:val="auto"/>
          <w:sz w:val="24"/>
          <w:szCs w:val="24"/>
        </w:rPr>
        <w:t xml:space="preserve">                              </w:t>
      </w:r>
    </w:p>
    <w:tbl>
      <w:tblPr>
        <w:tblStyle w:val="37"/>
        <w:tblpPr w:leftFromText="180" w:rightFromText="180" w:vertAnchor="text" w:horzAnchor="margin" w:tblpXSpec="center" w:tblpY="205"/>
        <w:tblW w:w="10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2580"/>
        <w:gridCol w:w="1649"/>
        <w:gridCol w:w="1883"/>
        <w:gridCol w:w="1604"/>
      </w:tblGrid>
      <w:tr w14:paraId="51878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2781" w:type="dxa"/>
            <w:vAlign w:val="center"/>
          </w:tcPr>
          <w:p w14:paraId="5F4835E5">
            <w:pPr>
              <w:keepNext w:val="0"/>
              <w:keepLines w:val="0"/>
              <w:widowControl/>
              <w:suppressLineNumbers w:val="0"/>
              <w:kinsoku w:val="0"/>
              <w:topLinePunct w:val="0"/>
              <w:bidi w:val="0"/>
              <w:spacing w:before="0" w:beforeAutospacing="0" w:after="0" w:afterAutospacing="0" w:line="480" w:lineRule="exact"/>
              <w:ind w:left="0" w:right="0"/>
              <w:jc w:val="center"/>
              <w:rPr>
                <w:rFonts w:hint="eastAsia" w:ascii="宋体" w:hAnsi="宋体" w:eastAsia="宋体" w:cs="宋体"/>
                <w:color w:val="auto"/>
                <w:sz w:val="24"/>
                <w:szCs w:val="24"/>
                <w:lang w:val="en-US" w:eastAsia="zh-CN"/>
              </w:rPr>
            </w:pPr>
            <w:r>
              <w:rPr>
                <w:rFonts w:hint="default"/>
                <w:color w:val="auto"/>
              </w:rPr>
              <mc:AlternateContent>
                <mc:Choice Requires="wps">
                  <w:drawing>
                    <wp:anchor distT="0" distB="0" distL="114300" distR="114300" simplePos="0" relativeHeight="251660288" behindDoc="0" locked="0" layoutInCell="1" allowOverlap="1">
                      <wp:simplePos x="0" y="0"/>
                      <wp:positionH relativeFrom="column">
                        <wp:posOffset>-52070</wp:posOffset>
                      </wp:positionH>
                      <wp:positionV relativeFrom="paragraph">
                        <wp:posOffset>53975</wp:posOffset>
                      </wp:positionV>
                      <wp:extent cx="1727200" cy="823595"/>
                      <wp:effectExtent l="1905" t="4445" r="4445" b="10160"/>
                      <wp:wrapNone/>
                      <wp:docPr id="1" name="直接连接符 1"/>
                      <wp:cNvGraphicFramePr/>
                      <a:graphic xmlns:a="http://schemas.openxmlformats.org/drawingml/2006/main">
                        <a:graphicData uri="http://schemas.microsoft.com/office/word/2010/wordprocessingShape">
                          <wps:wsp>
                            <wps:cNvCnPr/>
                            <wps:spPr>
                              <a:xfrm>
                                <a:off x="469265" y="1958975"/>
                                <a:ext cx="1727200" cy="8235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1pt;margin-top:4.25pt;height:64.85pt;width:136pt;z-index:251660288;mso-width-relative:page;mso-height-relative:page;" filled="f" stroked="t" coordsize="21600,21600" o:gfxdata="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ikWO31gAAAAgBAAAPAAAAAAAAAAEAIAAAACIAAABkcnMvZG93&#10;bnJldi54bWxQSwECFAAUAAAACACHTuJAwbQDZAICAADjAwAADgAAAAAAAAABACAAAAAlAQAAZHJz&#10;L2Uyb0RvYy54bWxQSwUGAAAAAAYABgBZAQAAmQUAAAAA&#10;">
                      <v:fill on="f" focussize="0,0"/>
                      <v:stroke color="#000000 [3200]" joinstyle="round"/>
                      <v:imagedata o:title=""/>
                      <o:lock v:ext="edit" aspectratio="f"/>
                    </v:line>
                  </w:pict>
                </mc:Fallback>
              </mc:AlternateContent>
            </w:r>
            <w:r>
              <w:rPr>
                <w:rFonts w:hint="eastAsia"/>
                <w:color w:val="auto"/>
                <w:lang w:val="en-US" w:eastAsia="zh-CN"/>
              </w:rPr>
              <w:t xml:space="preserve">           </w:t>
            </w:r>
            <w:r>
              <w:rPr>
                <w:rFonts w:hint="eastAsia" w:ascii="宋体" w:hAnsi="宋体" w:eastAsia="宋体" w:cs="宋体"/>
                <w:color w:val="auto"/>
                <w:sz w:val="24"/>
                <w:szCs w:val="24"/>
                <w:lang w:val="en-US" w:eastAsia="zh-CN"/>
              </w:rPr>
              <w:t>报价内容</w:t>
            </w:r>
          </w:p>
          <w:p w14:paraId="15A9C25E">
            <w:pPr>
              <w:pStyle w:val="57"/>
              <w:suppressLineNumbers w:val="0"/>
              <w:spacing w:beforeAutospacing="0" w:afterAutospacing="0"/>
              <w:ind w:left="0" w:right="0" w:firstLine="240" w:firstLineChars="100"/>
              <w:rPr>
                <w:rFonts w:hint="default"/>
                <w:color w:val="auto"/>
                <w:lang w:val="en-US"/>
              </w:rPr>
            </w:pPr>
            <w:r>
              <w:rPr>
                <w:rFonts w:hint="eastAsia" w:ascii="宋体" w:hAnsi="宋体" w:eastAsia="宋体" w:cs="宋体"/>
                <w:b w:val="0"/>
                <w:bCs w:val="0"/>
                <w:color w:val="auto"/>
                <w:kern w:val="2"/>
                <w:sz w:val="24"/>
                <w:szCs w:val="24"/>
                <w:lang w:val="en-US" w:eastAsia="zh-CN" w:bidi="ar-SA"/>
              </w:rPr>
              <w:t>项目名称</w:t>
            </w:r>
          </w:p>
        </w:tc>
        <w:tc>
          <w:tcPr>
            <w:tcW w:w="2580" w:type="dxa"/>
            <w:vAlign w:val="center"/>
          </w:tcPr>
          <w:p w14:paraId="5C9370E5">
            <w:pPr>
              <w:keepNext w:val="0"/>
              <w:keepLines w:val="0"/>
              <w:widowControl/>
              <w:suppressLineNumbers w:val="0"/>
              <w:kinsoku w:val="0"/>
              <w:topLinePunct w:val="0"/>
              <w:bidi w:val="0"/>
              <w:spacing w:before="0" w:beforeAutospacing="0" w:after="0" w:afterAutospacing="0" w:line="480" w:lineRule="exact"/>
              <w:ind w:left="0" w:right="0"/>
              <w:jc w:val="center"/>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投标</w:t>
            </w:r>
            <w:r>
              <w:rPr>
                <w:rFonts w:hint="default" w:ascii="宋体" w:hAnsi="宋体" w:eastAsia="宋体" w:cs="宋体"/>
                <w:color w:val="auto"/>
                <w:sz w:val="24"/>
                <w:szCs w:val="24"/>
                <w:lang w:val="en-US"/>
              </w:rPr>
              <w:t>总报价</w:t>
            </w:r>
          </w:p>
          <w:p w14:paraId="323EA874">
            <w:pPr>
              <w:keepNext w:val="0"/>
              <w:keepLines w:val="0"/>
              <w:widowControl/>
              <w:suppressLineNumbers w:val="0"/>
              <w:kinsoku w:val="0"/>
              <w:topLinePunct w:val="0"/>
              <w:bidi w:val="0"/>
              <w:spacing w:before="0" w:beforeAutospacing="0" w:after="0" w:afterAutospacing="0" w:line="480" w:lineRule="exact"/>
              <w:ind w:left="0" w:right="0"/>
              <w:jc w:val="center"/>
              <w:rPr>
                <w:rFonts w:hint="default" w:ascii="宋体" w:hAnsi="宋体" w:eastAsia="宋体" w:cs="宋体"/>
                <w:color w:val="auto"/>
                <w:sz w:val="24"/>
                <w:szCs w:val="24"/>
                <w:lang w:val="en-US"/>
              </w:rPr>
            </w:pPr>
            <w:r>
              <w:rPr>
                <w:rFonts w:hint="default" w:ascii="宋体" w:hAnsi="宋体" w:eastAsia="宋体" w:cs="宋体"/>
                <w:color w:val="auto"/>
                <w:sz w:val="24"/>
                <w:szCs w:val="24"/>
                <w:lang w:val="en-US"/>
              </w:rPr>
              <w:t>（元）</w:t>
            </w:r>
          </w:p>
        </w:tc>
        <w:tc>
          <w:tcPr>
            <w:tcW w:w="1649" w:type="dxa"/>
            <w:vAlign w:val="center"/>
          </w:tcPr>
          <w:p w14:paraId="12D5203C">
            <w:pPr>
              <w:keepNext w:val="0"/>
              <w:keepLines w:val="0"/>
              <w:widowControl/>
              <w:suppressLineNumbers w:val="0"/>
              <w:kinsoku w:val="0"/>
              <w:topLinePunct w:val="0"/>
              <w:bidi w:val="0"/>
              <w:spacing w:before="0" w:beforeAutospacing="0" w:after="0" w:afterAutospacing="0" w:line="480" w:lineRule="exact"/>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合同履行期</w:t>
            </w:r>
          </w:p>
          <w:p w14:paraId="5CFC3CFB">
            <w:pPr>
              <w:keepNext w:val="0"/>
              <w:keepLines w:val="0"/>
              <w:widowControl/>
              <w:suppressLineNumbers w:val="0"/>
              <w:kinsoku w:val="0"/>
              <w:topLinePunct w:val="0"/>
              <w:bidi w:val="0"/>
              <w:spacing w:before="0" w:beforeAutospacing="0" w:after="0" w:afterAutospacing="0" w:line="480" w:lineRule="exact"/>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（天）</w:t>
            </w:r>
          </w:p>
        </w:tc>
        <w:tc>
          <w:tcPr>
            <w:tcW w:w="1883" w:type="dxa"/>
            <w:vAlign w:val="center"/>
          </w:tcPr>
          <w:p w14:paraId="760D8AFA">
            <w:pPr>
              <w:keepNext w:val="0"/>
              <w:keepLines w:val="0"/>
              <w:widowControl/>
              <w:suppressLineNumbers w:val="0"/>
              <w:kinsoku w:val="0"/>
              <w:topLinePunct w:val="0"/>
              <w:bidi w:val="0"/>
              <w:spacing w:before="0" w:beforeAutospacing="0" w:after="0" w:afterAutospacing="0" w:line="4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质保期</w:t>
            </w:r>
          </w:p>
          <w:p w14:paraId="06E8C274">
            <w:pPr>
              <w:keepNext w:val="0"/>
              <w:keepLines w:val="0"/>
              <w:widowControl/>
              <w:suppressLineNumbers w:val="0"/>
              <w:kinsoku w:val="0"/>
              <w:topLinePunct w:val="0"/>
              <w:bidi w:val="0"/>
              <w:spacing w:before="0" w:beforeAutospacing="0" w:after="0" w:afterAutospacing="0" w:line="4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（年）</w:t>
            </w:r>
          </w:p>
        </w:tc>
        <w:tc>
          <w:tcPr>
            <w:tcW w:w="1604" w:type="dxa"/>
            <w:vAlign w:val="center"/>
          </w:tcPr>
          <w:p w14:paraId="25696EA9">
            <w:pPr>
              <w:keepNext w:val="0"/>
              <w:keepLines w:val="0"/>
              <w:widowControl/>
              <w:suppressLineNumbers w:val="0"/>
              <w:kinsoku w:val="0"/>
              <w:topLinePunct w:val="0"/>
              <w:bidi w:val="0"/>
              <w:spacing w:before="0" w:beforeAutospacing="0" w:after="0" w:afterAutospacing="0" w:line="480" w:lineRule="exact"/>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备注</w:t>
            </w:r>
          </w:p>
        </w:tc>
      </w:tr>
      <w:tr w14:paraId="19BE5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2781" w:type="dxa"/>
            <w:vAlign w:val="center"/>
          </w:tcPr>
          <w:p w14:paraId="6080C198">
            <w:pPr>
              <w:keepNext w:val="0"/>
              <w:keepLines w:val="0"/>
              <w:widowControl/>
              <w:suppressLineNumbers w:val="0"/>
              <w:kinsoku w:val="0"/>
              <w:topLinePunct w:val="0"/>
              <w:bidi w:val="0"/>
              <w:spacing w:before="0" w:beforeAutospacing="0" w:after="0" w:afterAutospacing="0" w:line="480" w:lineRule="exact"/>
              <w:ind w:left="0" w:right="0"/>
              <w:jc w:val="center"/>
              <w:rPr>
                <w:rFonts w:hint="eastAsia" w:ascii="宋体" w:hAnsi="宋体" w:eastAsia="宋体" w:cs="宋体"/>
                <w:color w:val="auto"/>
                <w:sz w:val="24"/>
                <w:szCs w:val="24"/>
              </w:rPr>
            </w:pPr>
          </w:p>
        </w:tc>
        <w:tc>
          <w:tcPr>
            <w:tcW w:w="2580" w:type="dxa"/>
            <w:vAlign w:val="center"/>
          </w:tcPr>
          <w:p w14:paraId="1AA0CAC7">
            <w:pPr>
              <w:keepNext w:val="0"/>
              <w:keepLines w:val="0"/>
              <w:widowControl/>
              <w:suppressLineNumbers w:val="0"/>
              <w:kinsoku w:val="0"/>
              <w:topLinePunct w:val="0"/>
              <w:bidi w:val="0"/>
              <w:spacing w:before="0" w:beforeAutospacing="0" w:after="0" w:afterAutospacing="0" w:line="480" w:lineRule="exact"/>
              <w:ind w:left="0" w:right="0"/>
              <w:jc w:val="center"/>
              <w:rPr>
                <w:rFonts w:hint="eastAsia" w:ascii="宋体" w:hAnsi="宋体" w:eastAsia="宋体" w:cs="宋体"/>
                <w:color w:val="auto"/>
                <w:sz w:val="24"/>
                <w:szCs w:val="24"/>
              </w:rPr>
            </w:pPr>
          </w:p>
        </w:tc>
        <w:tc>
          <w:tcPr>
            <w:tcW w:w="1649" w:type="dxa"/>
            <w:vAlign w:val="center"/>
          </w:tcPr>
          <w:p w14:paraId="081601EA">
            <w:pPr>
              <w:keepNext w:val="0"/>
              <w:keepLines w:val="0"/>
              <w:widowControl/>
              <w:suppressLineNumbers w:val="0"/>
              <w:kinsoku w:val="0"/>
              <w:topLinePunct w:val="0"/>
              <w:bidi w:val="0"/>
              <w:spacing w:before="0" w:beforeAutospacing="0" w:after="0" w:afterAutospacing="0" w:line="480" w:lineRule="exact"/>
              <w:ind w:left="0" w:right="0"/>
              <w:jc w:val="center"/>
              <w:rPr>
                <w:rFonts w:hint="eastAsia" w:ascii="宋体" w:hAnsi="宋体" w:eastAsia="宋体" w:cs="宋体"/>
                <w:color w:val="auto"/>
                <w:sz w:val="24"/>
                <w:szCs w:val="24"/>
              </w:rPr>
            </w:pPr>
          </w:p>
        </w:tc>
        <w:tc>
          <w:tcPr>
            <w:tcW w:w="1883" w:type="dxa"/>
            <w:vAlign w:val="center"/>
          </w:tcPr>
          <w:p w14:paraId="29FB2AAD">
            <w:pPr>
              <w:keepNext w:val="0"/>
              <w:keepLines w:val="0"/>
              <w:widowControl/>
              <w:suppressLineNumbers w:val="0"/>
              <w:kinsoku w:val="0"/>
              <w:topLinePunct w:val="0"/>
              <w:bidi w:val="0"/>
              <w:spacing w:before="0" w:beforeAutospacing="0" w:after="0" w:afterAutospacing="0" w:line="480" w:lineRule="exact"/>
              <w:ind w:left="0" w:right="0"/>
              <w:jc w:val="center"/>
              <w:rPr>
                <w:rFonts w:hint="eastAsia" w:ascii="宋体" w:hAnsi="宋体" w:eastAsia="宋体" w:cs="宋体"/>
                <w:color w:val="auto"/>
                <w:sz w:val="24"/>
                <w:szCs w:val="24"/>
              </w:rPr>
            </w:pPr>
          </w:p>
        </w:tc>
        <w:tc>
          <w:tcPr>
            <w:tcW w:w="1604" w:type="dxa"/>
            <w:vAlign w:val="center"/>
          </w:tcPr>
          <w:p w14:paraId="44780A66">
            <w:pPr>
              <w:keepNext w:val="0"/>
              <w:keepLines w:val="0"/>
              <w:widowControl/>
              <w:suppressLineNumbers w:val="0"/>
              <w:kinsoku w:val="0"/>
              <w:topLinePunct w:val="0"/>
              <w:bidi w:val="0"/>
              <w:spacing w:before="0" w:beforeAutospacing="0" w:after="0" w:afterAutospacing="0" w:line="480" w:lineRule="exact"/>
              <w:ind w:left="0" w:right="0"/>
              <w:jc w:val="center"/>
              <w:rPr>
                <w:rFonts w:hint="eastAsia" w:ascii="宋体" w:hAnsi="宋体" w:eastAsia="宋体" w:cs="宋体"/>
                <w:color w:val="auto"/>
                <w:sz w:val="24"/>
                <w:szCs w:val="24"/>
              </w:rPr>
            </w:pPr>
          </w:p>
        </w:tc>
      </w:tr>
      <w:tr w14:paraId="0B12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10497" w:type="dxa"/>
            <w:gridSpan w:val="5"/>
            <w:vAlign w:val="center"/>
          </w:tcPr>
          <w:p w14:paraId="4850005D">
            <w:pPr>
              <w:keepNext w:val="0"/>
              <w:keepLines w:val="0"/>
              <w:widowControl/>
              <w:suppressLineNumbers w:val="0"/>
              <w:kinsoku w:val="0"/>
              <w:topLinePunct w:val="0"/>
              <w:bidi w:val="0"/>
              <w:spacing w:before="0" w:beforeAutospacing="0" w:after="0" w:afterAutospacing="0" w:line="480" w:lineRule="exact"/>
              <w:ind w:left="0" w:right="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投标总报价合计（大写）：                              </w:t>
            </w:r>
          </w:p>
        </w:tc>
      </w:tr>
      <w:tr w14:paraId="50C20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10497" w:type="dxa"/>
            <w:gridSpan w:val="5"/>
            <w:vAlign w:val="center"/>
          </w:tcPr>
          <w:p w14:paraId="2523BA71">
            <w:pPr>
              <w:keepNext w:val="0"/>
              <w:keepLines w:val="0"/>
              <w:widowControl/>
              <w:suppressLineNumbers w:val="0"/>
              <w:kinsoku w:val="0"/>
              <w:topLinePunct w:val="0"/>
              <w:bidi w:val="0"/>
              <w:spacing w:before="0" w:beforeAutospacing="0" w:after="0" w:afterAutospacing="0" w:line="480" w:lineRule="exact"/>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备注：表内报价保留小数点后两位。</w:t>
            </w:r>
          </w:p>
        </w:tc>
      </w:tr>
    </w:tbl>
    <w:p w14:paraId="2241C001">
      <w:pPr>
        <w:widowControl w:val="0"/>
        <w:topLinePunct w:val="0"/>
        <w:bidi w:val="0"/>
        <w:adjustRightInd w:val="0"/>
        <w:snapToGrid w:val="0"/>
        <w:spacing w:line="48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254B8D6A">
      <w:pPr>
        <w:widowControl w:val="0"/>
        <w:topLinePunct w:val="0"/>
        <w:bidi w:val="0"/>
        <w:adjustRightInd w:val="0"/>
        <w:snapToGrid w:val="0"/>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投标报价表中标明完成本次招标所要求的货物、服务且验收合格的所有费用，</w:t>
      </w:r>
      <w:r>
        <w:rPr>
          <w:rFonts w:hint="eastAsia" w:ascii="宋体" w:hAnsi="宋体" w:eastAsia="宋体" w:cs="宋体"/>
          <w:color w:val="auto"/>
          <w:sz w:val="24"/>
          <w:szCs w:val="24"/>
          <w:lang w:val="en-US" w:eastAsia="zh-CN"/>
        </w:rPr>
        <w:t>以及</w:t>
      </w:r>
      <w:r>
        <w:rPr>
          <w:rFonts w:hint="eastAsia" w:ascii="宋体" w:hAnsi="宋体" w:eastAsia="宋体" w:cs="宋体"/>
          <w:color w:val="auto"/>
          <w:sz w:val="24"/>
          <w:szCs w:val="24"/>
        </w:rPr>
        <w:t>履行合同产生的一切相关费用。</w:t>
      </w:r>
    </w:p>
    <w:p w14:paraId="79703B5D">
      <w:pPr>
        <w:widowControl w:val="0"/>
        <w:topLinePunct w:val="0"/>
        <w:bidi w:val="0"/>
        <w:adjustRightInd w:val="0"/>
        <w:snapToGrid w:val="0"/>
        <w:spacing w:line="480" w:lineRule="exact"/>
        <w:jc w:val="left"/>
        <w:rPr>
          <w:rFonts w:hint="eastAsia" w:ascii="宋体" w:hAnsi="宋体" w:eastAsia="宋体" w:cs="宋体"/>
          <w:color w:val="auto"/>
          <w:sz w:val="24"/>
          <w:szCs w:val="24"/>
        </w:rPr>
      </w:pPr>
    </w:p>
    <w:p w14:paraId="0096EC03">
      <w:pPr>
        <w:widowControl w:val="0"/>
        <w:topLinePunct w:val="0"/>
        <w:bidi w:val="0"/>
        <w:adjustRightInd w:val="0"/>
        <w:snapToGrid w:val="0"/>
        <w:spacing w:line="480" w:lineRule="exact"/>
        <w:jc w:val="left"/>
        <w:rPr>
          <w:rFonts w:ascii="宋体" w:hAnsi="宋体" w:eastAsia="宋体" w:cs="宋体"/>
          <w:color w:val="auto"/>
          <w:sz w:val="24"/>
          <w:szCs w:val="24"/>
        </w:rPr>
      </w:pPr>
    </w:p>
    <w:p w14:paraId="013A6721">
      <w:pPr>
        <w:pStyle w:val="6"/>
        <w:topLinePunct w:val="0"/>
        <w:bidi w:val="0"/>
        <w:spacing w:line="480" w:lineRule="exact"/>
        <w:rPr>
          <w:color w:val="auto"/>
          <w:lang w:val="en-US" w:eastAsia="zh-CN" w:bidi="ar-SA"/>
        </w:rPr>
      </w:pPr>
    </w:p>
    <w:p w14:paraId="768AED07">
      <w:pPr>
        <w:widowControl w:val="0"/>
        <w:topLinePunct w:val="0"/>
        <w:bidi w:val="0"/>
        <w:adjustRightInd w:val="0"/>
        <w:snapToGrid w:val="0"/>
        <w:spacing w:line="480" w:lineRule="exact"/>
        <w:jc w:val="left"/>
        <w:rPr>
          <w:rFonts w:hint="default" w:ascii="宋体" w:hAnsi="宋体" w:eastAsia="宋体"/>
          <w:color w:val="auto"/>
          <w:sz w:val="24"/>
          <w:szCs w:val="24"/>
          <w:u w:val="single"/>
          <w:lang w:val="en-US" w:eastAsia="zh-CN"/>
        </w:rPr>
      </w:pPr>
      <w:r>
        <w:rPr>
          <w:rFonts w:hint="eastAsia" w:ascii="宋体" w:hAnsi="宋体" w:eastAsia="宋体" w:cs="宋体"/>
          <w:color w:val="auto"/>
          <w:sz w:val="24"/>
          <w:szCs w:val="24"/>
          <w:lang w:val="en-US" w:eastAsia="zh-CN"/>
        </w:rPr>
        <w:t>供应商（单位名称及公章）：</w:t>
      </w:r>
      <w:r>
        <w:rPr>
          <w:rFonts w:hint="eastAsia" w:ascii="宋体" w:hAnsi="宋体" w:eastAsia="宋体" w:cs="宋体"/>
          <w:color w:val="auto"/>
          <w:sz w:val="24"/>
          <w:szCs w:val="24"/>
          <w:u w:val="single"/>
          <w:lang w:val="en-US" w:eastAsia="zh-CN"/>
        </w:rPr>
        <w:t xml:space="preserve">                                </w:t>
      </w:r>
    </w:p>
    <w:p w14:paraId="48B28D9F">
      <w:pPr>
        <w:widowControl w:val="0"/>
        <w:topLinePunct w:val="0"/>
        <w:bidi w:val="0"/>
        <w:adjustRightInd w:val="0"/>
        <w:snapToGrid w:val="0"/>
        <w:spacing w:line="480" w:lineRule="exact"/>
        <w:jc w:val="left"/>
        <w:rPr>
          <w:rFonts w:hint="eastAsia" w:ascii="宋体" w:hAnsi="宋体" w:eastAsia="宋体" w:cs="宋体"/>
          <w:b/>
          <w:bCs/>
          <w:color w:val="auto"/>
          <w:sz w:val="24"/>
          <w:szCs w:val="24"/>
          <w:u w:val="none"/>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被授权人（签字）：</w:t>
      </w:r>
      <w:r>
        <w:rPr>
          <w:rFonts w:hint="eastAsia" w:ascii="宋体" w:hAnsi="宋体" w:eastAsia="宋体" w:cs="宋体"/>
          <w:b/>
          <w:bCs/>
          <w:color w:val="auto"/>
          <w:sz w:val="24"/>
          <w:szCs w:val="24"/>
          <w:u w:val="none"/>
          <w:lang w:val="en-US" w:eastAsia="zh-CN"/>
        </w:rPr>
        <w:t>_________________</w:t>
      </w:r>
    </w:p>
    <w:p w14:paraId="07F829DE">
      <w:pPr>
        <w:topLinePunct w:val="0"/>
        <w:bidi w:val="0"/>
        <w:adjustRightInd w:val="0"/>
        <w:snapToGrid w:val="0"/>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日 </w:t>
      </w:r>
    </w:p>
    <w:p w14:paraId="0E7B43B4">
      <w:pPr>
        <w:widowControl w:val="0"/>
        <w:topLinePunct w:val="0"/>
        <w:bidi w:val="0"/>
        <w:adjustRightInd w:val="0"/>
        <w:snapToGrid w:val="0"/>
        <w:spacing w:line="480" w:lineRule="exact"/>
        <w:jc w:val="left"/>
        <w:rPr>
          <w:rFonts w:hint="default" w:ascii="宋体" w:hAnsi="宋体" w:eastAsia="宋体" w:cs="宋体"/>
          <w:b/>
          <w:bCs/>
          <w:color w:val="auto"/>
          <w:sz w:val="24"/>
          <w:szCs w:val="24"/>
          <w:u w:val="none"/>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u w:val="none"/>
          <w:lang w:val="en-US" w:eastAsia="zh-CN"/>
        </w:rPr>
        <w:t xml:space="preserve">                </w:t>
      </w:r>
    </w:p>
    <w:p w14:paraId="25A99434">
      <w:pPr>
        <w:widowControl w:val="0"/>
        <w:spacing w:line="460" w:lineRule="exact"/>
        <w:jc w:val="center"/>
        <w:rPr>
          <w:rFonts w:hint="eastAsia" w:ascii="宋体" w:hAnsi="宋体" w:eastAsia="宋体" w:cs="宋体"/>
          <w:b/>
          <w:sz w:val="32"/>
          <w:szCs w:val="28"/>
        </w:rPr>
      </w:pPr>
    </w:p>
    <w:p w14:paraId="295E6727">
      <w:pPr>
        <w:widowControl w:val="0"/>
        <w:spacing w:line="460" w:lineRule="exact"/>
        <w:jc w:val="center"/>
        <w:rPr>
          <w:rFonts w:hint="eastAsia" w:ascii="宋体" w:hAnsi="宋体" w:eastAsia="宋体" w:cs="宋体"/>
          <w:b/>
          <w:sz w:val="32"/>
          <w:szCs w:val="28"/>
        </w:rPr>
      </w:pPr>
      <w:bookmarkStart w:id="383" w:name="_Toc11657"/>
      <w:bookmarkStart w:id="384" w:name="_Toc8710"/>
      <w:bookmarkStart w:id="385" w:name="_Toc11272"/>
      <w:bookmarkStart w:id="386" w:name="_Toc19543353"/>
      <w:bookmarkStart w:id="387" w:name="_Toc10667"/>
    </w:p>
    <w:p w14:paraId="50BAEE30">
      <w:pPr>
        <w:widowControl w:val="0"/>
        <w:spacing w:line="460" w:lineRule="exact"/>
        <w:jc w:val="center"/>
        <w:rPr>
          <w:rFonts w:hint="eastAsia" w:ascii="宋体" w:hAnsi="宋体" w:eastAsia="宋体" w:cs="宋体"/>
          <w:b/>
          <w:sz w:val="32"/>
          <w:szCs w:val="28"/>
        </w:rPr>
      </w:pPr>
    </w:p>
    <w:p w14:paraId="2CB47E46">
      <w:pPr>
        <w:widowControl w:val="0"/>
        <w:spacing w:line="460" w:lineRule="exact"/>
        <w:jc w:val="center"/>
        <w:rPr>
          <w:rFonts w:hint="eastAsia" w:ascii="宋体" w:hAnsi="宋体" w:eastAsia="宋体" w:cs="宋体"/>
          <w:b/>
          <w:sz w:val="32"/>
          <w:szCs w:val="28"/>
        </w:rPr>
      </w:pPr>
    </w:p>
    <w:p w14:paraId="07DA6B0A">
      <w:pPr>
        <w:widowControl w:val="0"/>
        <w:spacing w:line="460" w:lineRule="exact"/>
        <w:jc w:val="center"/>
        <w:rPr>
          <w:rFonts w:hint="eastAsia" w:ascii="宋体" w:hAnsi="宋体" w:eastAsia="宋体" w:cs="宋体"/>
          <w:b/>
          <w:sz w:val="32"/>
          <w:szCs w:val="28"/>
        </w:rPr>
      </w:pPr>
    </w:p>
    <w:p w14:paraId="72227319">
      <w:pPr>
        <w:widowControl w:val="0"/>
        <w:spacing w:line="460" w:lineRule="exact"/>
        <w:jc w:val="center"/>
        <w:rPr>
          <w:rFonts w:hint="eastAsia" w:ascii="宋体" w:hAnsi="宋体" w:eastAsia="宋体" w:cs="宋体"/>
          <w:b/>
          <w:sz w:val="32"/>
          <w:szCs w:val="28"/>
        </w:rPr>
      </w:pPr>
    </w:p>
    <w:p w14:paraId="28A61259">
      <w:pPr>
        <w:widowControl w:val="0"/>
        <w:spacing w:line="460" w:lineRule="exact"/>
        <w:jc w:val="center"/>
        <w:rPr>
          <w:rFonts w:hint="eastAsia" w:ascii="宋体" w:hAnsi="宋体" w:eastAsia="宋体" w:cs="宋体"/>
          <w:b/>
          <w:sz w:val="32"/>
          <w:szCs w:val="28"/>
        </w:rPr>
      </w:pPr>
      <w:r>
        <w:rPr>
          <w:rFonts w:hint="eastAsia" w:ascii="宋体" w:hAnsi="宋体" w:eastAsia="宋体" w:cs="宋体"/>
          <w:b/>
          <w:sz w:val="32"/>
          <w:szCs w:val="28"/>
        </w:rPr>
        <w:t>投标分项报价表</w:t>
      </w:r>
      <w:bookmarkEnd w:id="383"/>
    </w:p>
    <w:p w14:paraId="7E004EB2">
      <w:pPr>
        <w:rPr>
          <w:rFonts w:hint="eastAsia"/>
        </w:rPr>
      </w:pPr>
    </w:p>
    <w:p w14:paraId="449B81E0">
      <w:pPr>
        <w:tabs>
          <w:tab w:val="right" w:pos="8435"/>
        </w:tabs>
        <w:ind w:firstLine="280" w:firstLineChars="100"/>
        <w:rPr>
          <w:rFonts w:hint="eastAsia" w:ascii="宋体" w:hAnsi="宋体" w:cs="Times New Roman"/>
          <w:color w:val="auto"/>
          <w:sz w:val="28"/>
          <w:szCs w:val="28"/>
          <w:highlight w:val="none"/>
          <w:lang w:val="en-US" w:eastAsia="zh-CN"/>
        </w:rPr>
      </w:pPr>
      <w:r>
        <w:rPr>
          <w:rFonts w:hint="eastAsia" w:ascii="宋体" w:hAnsi="宋体" w:eastAsia="宋体" w:cs="Times New Roman"/>
          <w:color w:val="auto"/>
          <w:sz w:val="28"/>
          <w:szCs w:val="28"/>
          <w:highlight w:val="none"/>
        </w:rPr>
        <w:tab/>
      </w:r>
      <w:r>
        <w:rPr>
          <w:rFonts w:hint="eastAsia" w:ascii="宋体" w:hAnsi="宋体" w:eastAsia="宋体" w:cs="Times New Roman"/>
          <w:color w:val="auto"/>
          <w:sz w:val="28"/>
          <w:szCs w:val="28"/>
          <w:highlight w:val="none"/>
          <w:lang w:val="en-US" w:eastAsia="zh-CN"/>
        </w:rPr>
        <w:t xml:space="preserve">      </w:t>
      </w:r>
      <w:r>
        <w:rPr>
          <w:rFonts w:hint="eastAsia" w:ascii="宋体" w:hAnsi="宋体" w:cs="Times New Roman"/>
          <w:color w:val="auto"/>
          <w:sz w:val="28"/>
          <w:szCs w:val="28"/>
          <w:highlight w:val="none"/>
          <w:lang w:val="en-US" w:eastAsia="zh-CN"/>
        </w:rPr>
        <w:t xml:space="preserve"> </w:t>
      </w:r>
      <w:r>
        <w:rPr>
          <w:rFonts w:hint="eastAsia" w:ascii="宋体" w:hAnsi="宋体" w:eastAsia="宋体" w:cs="Times New Roman"/>
          <w:color w:val="auto"/>
          <w:sz w:val="28"/>
          <w:szCs w:val="28"/>
          <w:highlight w:val="none"/>
          <w:lang w:val="en-US" w:eastAsia="zh-CN"/>
        </w:rPr>
        <w:t xml:space="preserve"> </w:t>
      </w:r>
      <w:r>
        <w:rPr>
          <w:rFonts w:hint="eastAsia" w:ascii="宋体" w:hAnsi="宋体" w:cs="Times New Roman"/>
          <w:color w:val="auto"/>
          <w:sz w:val="28"/>
          <w:szCs w:val="28"/>
          <w:highlight w:val="none"/>
          <w:lang w:val="en-US" w:eastAsia="zh-CN"/>
        </w:rPr>
        <w:t xml:space="preserve">  </w:t>
      </w:r>
      <w:r>
        <w:rPr>
          <w:rFonts w:hint="eastAsia" w:ascii="宋体" w:hAnsi="宋体" w:eastAsia="宋体" w:cs="Times New Roman"/>
          <w:color w:val="auto"/>
          <w:sz w:val="28"/>
          <w:szCs w:val="28"/>
          <w:highlight w:val="none"/>
          <w:lang w:val="en-US" w:eastAsia="zh-CN"/>
        </w:rPr>
        <w:t xml:space="preserve">    </w:t>
      </w:r>
      <w:r>
        <w:rPr>
          <w:rFonts w:hint="eastAsia" w:ascii="宋体" w:hAnsi="宋体" w:cs="Times New Roman"/>
          <w:color w:val="auto"/>
          <w:sz w:val="28"/>
          <w:szCs w:val="28"/>
          <w:highlight w:val="none"/>
          <w:lang w:val="en-US" w:eastAsia="zh-CN"/>
        </w:rPr>
        <w:t xml:space="preserve">  </w:t>
      </w:r>
      <w:r>
        <w:rPr>
          <w:rFonts w:hint="eastAsia" w:ascii="宋体" w:hAnsi="宋体" w:eastAsia="宋体" w:cs="Times New Roman"/>
          <w:color w:val="auto"/>
          <w:sz w:val="28"/>
          <w:szCs w:val="28"/>
          <w:highlight w:val="none"/>
          <w:lang w:val="en-US" w:eastAsia="zh-CN"/>
        </w:rPr>
        <w:t xml:space="preserve">       </w:t>
      </w:r>
      <w:r>
        <w:rPr>
          <w:rFonts w:hint="eastAsia" w:ascii="宋体" w:hAnsi="宋体" w:cs="Times New Roman"/>
          <w:color w:val="auto"/>
          <w:sz w:val="28"/>
          <w:szCs w:val="28"/>
          <w:highlight w:val="none"/>
          <w:lang w:val="en-US" w:eastAsia="zh-CN"/>
        </w:rPr>
        <w:t xml:space="preserve"> </w:t>
      </w:r>
      <w:r>
        <w:rPr>
          <w:rFonts w:hint="eastAsia" w:ascii="宋体" w:hAnsi="宋体" w:eastAsia="宋体" w:cs="Times New Roman"/>
          <w:color w:val="auto"/>
          <w:sz w:val="28"/>
          <w:szCs w:val="28"/>
          <w:highlight w:val="none"/>
          <w:lang w:val="en-US" w:eastAsia="zh-CN"/>
        </w:rPr>
        <w:t xml:space="preserve"> </w:t>
      </w:r>
      <w:r>
        <w:rPr>
          <w:rFonts w:hint="eastAsia" w:ascii="宋体" w:hAnsi="宋体" w:cs="Times New Roman"/>
          <w:color w:val="auto"/>
          <w:sz w:val="28"/>
          <w:szCs w:val="28"/>
          <w:highlight w:val="none"/>
          <w:lang w:val="en-US" w:eastAsia="zh-CN"/>
        </w:rPr>
        <w:t xml:space="preserve">                   </w:t>
      </w:r>
      <w:r>
        <w:rPr>
          <w:rFonts w:hint="eastAsia" w:ascii="宋体" w:hAnsi="宋体" w:eastAsia="宋体" w:cs="Times New Roman"/>
          <w:color w:val="auto"/>
          <w:sz w:val="28"/>
          <w:szCs w:val="28"/>
          <w:highlight w:val="none"/>
        </w:rPr>
        <w:t>金额单位：人民币 （元</w:t>
      </w:r>
      <w:r>
        <w:rPr>
          <w:rFonts w:hint="default" w:ascii="宋体" w:hAnsi="宋体" w:eastAsia="宋体" w:cs="Times New Roman"/>
          <w:color w:val="auto"/>
          <w:sz w:val="28"/>
          <w:szCs w:val="28"/>
          <w:highlight w:val="none"/>
        </w:rPr>
        <w:t>）</w:t>
      </w:r>
      <w:r>
        <w:rPr>
          <w:rFonts w:hint="eastAsia" w:ascii="宋体" w:hAnsi="宋体" w:cs="Times New Roman"/>
          <w:color w:val="auto"/>
          <w:sz w:val="28"/>
          <w:szCs w:val="28"/>
          <w:highlight w:val="none"/>
          <w:lang w:val="en-US" w:eastAsia="zh-CN"/>
        </w:rPr>
        <w:t xml:space="preserve"> </w:t>
      </w:r>
    </w:p>
    <w:tbl>
      <w:tblPr>
        <w:tblStyle w:val="3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1568"/>
        <w:gridCol w:w="964"/>
        <w:gridCol w:w="1254"/>
        <w:gridCol w:w="1025"/>
        <w:gridCol w:w="1025"/>
        <w:gridCol w:w="874"/>
        <w:gridCol w:w="933"/>
        <w:gridCol w:w="9"/>
        <w:gridCol w:w="1029"/>
      </w:tblGrid>
      <w:tr w14:paraId="7FAB6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jc w:val="center"/>
        </w:trPr>
        <w:tc>
          <w:tcPr>
            <w:tcW w:w="605" w:type="dxa"/>
            <w:noWrap w:val="0"/>
            <w:vAlign w:val="center"/>
          </w:tcPr>
          <w:p w14:paraId="700ADE15">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序号</w:t>
            </w:r>
          </w:p>
        </w:tc>
        <w:tc>
          <w:tcPr>
            <w:tcW w:w="1568" w:type="dxa"/>
            <w:noWrap w:val="0"/>
            <w:vAlign w:val="center"/>
          </w:tcPr>
          <w:p w14:paraId="62DEF2BA">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名称</w:t>
            </w:r>
          </w:p>
        </w:tc>
        <w:tc>
          <w:tcPr>
            <w:tcW w:w="964" w:type="dxa"/>
            <w:noWrap w:val="0"/>
            <w:vAlign w:val="center"/>
          </w:tcPr>
          <w:p w14:paraId="09650216">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品牌</w:t>
            </w:r>
          </w:p>
        </w:tc>
        <w:tc>
          <w:tcPr>
            <w:tcW w:w="1254" w:type="dxa"/>
            <w:noWrap w:val="0"/>
            <w:vAlign w:val="center"/>
          </w:tcPr>
          <w:p w14:paraId="7C859048">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规格型号</w:t>
            </w:r>
          </w:p>
        </w:tc>
        <w:tc>
          <w:tcPr>
            <w:tcW w:w="1025" w:type="dxa"/>
            <w:noWrap w:val="0"/>
            <w:vAlign w:val="center"/>
          </w:tcPr>
          <w:p w14:paraId="7D913A83">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生产厂家</w:t>
            </w:r>
          </w:p>
        </w:tc>
        <w:tc>
          <w:tcPr>
            <w:tcW w:w="1025" w:type="dxa"/>
            <w:noWrap w:val="0"/>
            <w:vAlign w:val="center"/>
          </w:tcPr>
          <w:p w14:paraId="1BFE9DF6">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单位</w:t>
            </w:r>
          </w:p>
        </w:tc>
        <w:tc>
          <w:tcPr>
            <w:tcW w:w="874" w:type="dxa"/>
            <w:noWrap w:val="0"/>
            <w:vAlign w:val="center"/>
          </w:tcPr>
          <w:p w14:paraId="1527BC97">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数量</w:t>
            </w:r>
          </w:p>
        </w:tc>
        <w:tc>
          <w:tcPr>
            <w:tcW w:w="942" w:type="dxa"/>
            <w:gridSpan w:val="2"/>
            <w:noWrap w:val="0"/>
            <w:vAlign w:val="center"/>
          </w:tcPr>
          <w:p w14:paraId="5298A0AB">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单价</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元</w:t>
            </w:r>
            <w:r>
              <w:rPr>
                <w:rFonts w:hint="eastAsia" w:ascii="宋体" w:hAnsi="宋体" w:cs="宋体"/>
                <w:color w:val="auto"/>
                <w:sz w:val="24"/>
                <w:szCs w:val="24"/>
                <w:highlight w:val="none"/>
                <w:shd w:val="clear" w:color="auto" w:fill="auto"/>
                <w:lang w:eastAsia="zh-CN"/>
              </w:rPr>
              <w:t>）</w:t>
            </w:r>
          </w:p>
        </w:tc>
        <w:tc>
          <w:tcPr>
            <w:tcW w:w="1029" w:type="dxa"/>
            <w:noWrap w:val="0"/>
            <w:vAlign w:val="center"/>
          </w:tcPr>
          <w:p w14:paraId="58FC0AAB">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合计</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元</w:t>
            </w:r>
            <w:r>
              <w:rPr>
                <w:rFonts w:hint="eastAsia" w:ascii="宋体" w:hAnsi="宋体" w:cs="宋体"/>
                <w:color w:val="auto"/>
                <w:sz w:val="24"/>
                <w:szCs w:val="24"/>
                <w:highlight w:val="none"/>
                <w:shd w:val="clear" w:color="auto" w:fill="auto"/>
                <w:lang w:eastAsia="zh-CN"/>
              </w:rPr>
              <w:t>）</w:t>
            </w:r>
          </w:p>
        </w:tc>
      </w:tr>
      <w:tr w14:paraId="7349F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05" w:type="dxa"/>
            <w:noWrap w:val="0"/>
            <w:vAlign w:val="center"/>
          </w:tcPr>
          <w:p w14:paraId="4BCBA993">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p>
        </w:tc>
        <w:tc>
          <w:tcPr>
            <w:tcW w:w="1568" w:type="dxa"/>
            <w:noWrap w:val="0"/>
            <w:vAlign w:val="center"/>
          </w:tcPr>
          <w:p w14:paraId="73EAAD9B">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shd w:val="clear" w:color="auto" w:fill="auto"/>
              </w:rPr>
            </w:pPr>
          </w:p>
        </w:tc>
        <w:tc>
          <w:tcPr>
            <w:tcW w:w="964" w:type="dxa"/>
            <w:noWrap w:val="0"/>
            <w:vAlign w:val="center"/>
          </w:tcPr>
          <w:p w14:paraId="25FA87B1">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shd w:val="clear" w:color="auto" w:fill="auto"/>
              </w:rPr>
            </w:pPr>
          </w:p>
        </w:tc>
        <w:tc>
          <w:tcPr>
            <w:tcW w:w="1254" w:type="dxa"/>
            <w:noWrap w:val="0"/>
            <w:vAlign w:val="center"/>
          </w:tcPr>
          <w:p w14:paraId="17346731">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shd w:val="clear" w:color="auto" w:fill="auto"/>
              </w:rPr>
            </w:pPr>
          </w:p>
        </w:tc>
        <w:tc>
          <w:tcPr>
            <w:tcW w:w="1025" w:type="dxa"/>
            <w:noWrap w:val="0"/>
            <w:vAlign w:val="center"/>
          </w:tcPr>
          <w:p w14:paraId="7A4B6A7C">
            <w:pPr>
              <w:pStyle w:val="19"/>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highlight w:val="none"/>
                <w:shd w:val="clear" w:color="auto" w:fill="auto"/>
              </w:rPr>
            </w:pPr>
          </w:p>
        </w:tc>
        <w:tc>
          <w:tcPr>
            <w:tcW w:w="1025" w:type="dxa"/>
            <w:noWrap w:val="0"/>
            <w:vAlign w:val="center"/>
          </w:tcPr>
          <w:p w14:paraId="4A40E9A0">
            <w:pPr>
              <w:pStyle w:val="19"/>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highlight w:val="none"/>
                <w:shd w:val="clear" w:color="auto" w:fill="auto"/>
              </w:rPr>
            </w:pPr>
          </w:p>
        </w:tc>
        <w:tc>
          <w:tcPr>
            <w:tcW w:w="874" w:type="dxa"/>
            <w:noWrap w:val="0"/>
            <w:vAlign w:val="center"/>
          </w:tcPr>
          <w:p w14:paraId="4C0BBB05">
            <w:pPr>
              <w:pStyle w:val="19"/>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highlight w:val="none"/>
                <w:shd w:val="clear" w:color="auto" w:fill="auto"/>
              </w:rPr>
            </w:pPr>
          </w:p>
        </w:tc>
        <w:tc>
          <w:tcPr>
            <w:tcW w:w="942" w:type="dxa"/>
            <w:gridSpan w:val="2"/>
            <w:noWrap w:val="0"/>
            <w:vAlign w:val="center"/>
          </w:tcPr>
          <w:p w14:paraId="7DE90E80">
            <w:pPr>
              <w:pStyle w:val="19"/>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highlight w:val="none"/>
                <w:shd w:val="clear" w:color="auto" w:fill="auto"/>
              </w:rPr>
            </w:pPr>
          </w:p>
        </w:tc>
        <w:tc>
          <w:tcPr>
            <w:tcW w:w="1029" w:type="dxa"/>
            <w:noWrap w:val="0"/>
            <w:vAlign w:val="center"/>
          </w:tcPr>
          <w:p w14:paraId="4D75759B">
            <w:pPr>
              <w:pStyle w:val="19"/>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pacing w:val="-6"/>
                <w:sz w:val="24"/>
                <w:szCs w:val="24"/>
                <w:highlight w:val="none"/>
                <w:shd w:val="clear" w:color="auto" w:fill="auto"/>
              </w:rPr>
            </w:pPr>
          </w:p>
        </w:tc>
      </w:tr>
      <w:tr w14:paraId="7AF7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05" w:type="dxa"/>
            <w:noWrap w:val="0"/>
            <w:vAlign w:val="center"/>
          </w:tcPr>
          <w:p w14:paraId="277EDD4B">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2</w:t>
            </w:r>
          </w:p>
        </w:tc>
        <w:tc>
          <w:tcPr>
            <w:tcW w:w="1568" w:type="dxa"/>
            <w:noWrap w:val="0"/>
            <w:vAlign w:val="center"/>
          </w:tcPr>
          <w:p w14:paraId="7C3AE118">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shd w:val="clear" w:color="auto" w:fill="auto"/>
              </w:rPr>
            </w:pPr>
          </w:p>
        </w:tc>
        <w:tc>
          <w:tcPr>
            <w:tcW w:w="964" w:type="dxa"/>
            <w:noWrap w:val="0"/>
            <w:vAlign w:val="center"/>
          </w:tcPr>
          <w:p w14:paraId="601DA8E1">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shd w:val="clear" w:color="auto" w:fill="auto"/>
              </w:rPr>
            </w:pPr>
          </w:p>
        </w:tc>
        <w:tc>
          <w:tcPr>
            <w:tcW w:w="1254" w:type="dxa"/>
            <w:noWrap w:val="0"/>
            <w:vAlign w:val="center"/>
          </w:tcPr>
          <w:p w14:paraId="5C968734">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shd w:val="clear" w:color="auto" w:fill="auto"/>
              </w:rPr>
            </w:pPr>
          </w:p>
        </w:tc>
        <w:tc>
          <w:tcPr>
            <w:tcW w:w="1025" w:type="dxa"/>
            <w:noWrap w:val="0"/>
            <w:vAlign w:val="center"/>
          </w:tcPr>
          <w:p w14:paraId="3A7A9B00">
            <w:pPr>
              <w:pStyle w:val="19"/>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highlight w:val="none"/>
                <w:shd w:val="clear" w:color="auto" w:fill="auto"/>
              </w:rPr>
            </w:pPr>
          </w:p>
        </w:tc>
        <w:tc>
          <w:tcPr>
            <w:tcW w:w="1025" w:type="dxa"/>
            <w:noWrap w:val="0"/>
            <w:vAlign w:val="center"/>
          </w:tcPr>
          <w:p w14:paraId="1F9BD0A7">
            <w:pPr>
              <w:pStyle w:val="19"/>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highlight w:val="none"/>
                <w:shd w:val="clear" w:color="auto" w:fill="auto"/>
              </w:rPr>
            </w:pPr>
          </w:p>
        </w:tc>
        <w:tc>
          <w:tcPr>
            <w:tcW w:w="874" w:type="dxa"/>
            <w:noWrap w:val="0"/>
            <w:vAlign w:val="center"/>
          </w:tcPr>
          <w:p w14:paraId="74CCB9F4">
            <w:pPr>
              <w:pStyle w:val="19"/>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highlight w:val="none"/>
                <w:shd w:val="clear" w:color="auto" w:fill="auto"/>
              </w:rPr>
            </w:pPr>
          </w:p>
        </w:tc>
        <w:tc>
          <w:tcPr>
            <w:tcW w:w="942" w:type="dxa"/>
            <w:gridSpan w:val="2"/>
            <w:noWrap w:val="0"/>
            <w:vAlign w:val="center"/>
          </w:tcPr>
          <w:p w14:paraId="55392B13">
            <w:pPr>
              <w:pStyle w:val="19"/>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highlight w:val="none"/>
                <w:shd w:val="clear" w:color="auto" w:fill="auto"/>
              </w:rPr>
            </w:pPr>
          </w:p>
        </w:tc>
        <w:tc>
          <w:tcPr>
            <w:tcW w:w="1029" w:type="dxa"/>
            <w:noWrap w:val="0"/>
            <w:vAlign w:val="center"/>
          </w:tcPr>
          <w:p w14:paraId="3BC3A7F8">
            <w:pPr>
              <w:pStyle w:val="19"/>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pacing w:val="-6"/>
                <w:sz w:val="24"/>
                <w:szCs w:val="24"/>
                <w:highlight w:val="none"/>
                <w:shd w:val="clear" w:color="auto" w:fill="auto"/>
              </w:rPr>
            </w:pPr>
          </w:p>
        </w:tc>
      </w:tr>
      <w:tr w14:paraId="2909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05" w:type="dxa"/>
            <w:noWrap w:val="0"/>
            <w:vAlign w:val="center"/>
          </w:tcPr>
          <w:p w14:paraId="5EEF9BBA">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w:t>
            </w:r>
          </w:p>
        </w:tc>
        <w:tc>
          <w:tcPr>
            <w:tcW w:w="1568" w:type="dxa"/>
            <w:noWrap w:val="0"/>
            <w:vAlign w:val="center"/>
          </w:tcPr>
          <w:p w14:paraId="459DC937">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shd w:val="clear" w:color="auto" w:fill="auto"/>
              </w:rPr>
            </w:pPr>
          </w:p>
        </w:tc>
        <w:tc>
          <w:tcPr>
            <w:tcW w:w="964" w:type="dxa"/>
            <w:noWrap w:val="0"/>
            <w:vAlign w:val="center"/>
          </w:tcPr>
          <w:p w14:paraId="7096B53F">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shd w:val="clear" w:color="auto" w:fill="auto"/>
              </w:rPr>
            </w:pPr>
          </w:p>
        </w:tc>
        <w:tc>
          <w:tcPr>
            <w:tcW w:w="1254" w:type="dxa"/>
            <w:noWrap w:val="0"/>
            <w:vAlign w:val="center"/>
          </w:tcPr>
          <w:p w14:paraId="720C4945">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shd w:val="clear" w:color="auto" w:fill="auto"/>
              </w:rPr>
            </w:pPr>
          </w:p>
        </w:tc>
        <w:tc>
          <w:tcPr>
            <w:tcW w:w="1025" w:type="dxa"/>
            <w:noWrap w:val="0"/>
            <w:vAlign w:val="center"/>
          </w:tcPr>
          <w:p w14:paraId="7FE49E5F">
            <w:pPr>
              <w:pStyle w:val="19"/>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highlight w:val="none"/>
                <w:shd w:val="clear" w:color="auto" w:fill="auto"/>
              </w:rPr>
            </w:pPr>
          </w:p>
        </w:tc>
        <w:tc>
          <w:tcPr>
            <w:tcW w:w="1025" w:type="dxa"/>
            <w:noWrap w:val="0"/>
            <w:vAlign w:val="center"/>
          </w:tcPr>
          <w:p w14:paraId="7192A1F4">
            <w:pPr>
              <w:pStyle w:val="19"/>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highlight w:val="none"/>
                <w:shd w:val="clear" w:color="auto" w:fill="auto"/>
              </w:rPr>
            </w:pPr>
          </w:p>
        </w:tc>
        <w:tc>
          <w:tcPr>
            <w:tcW w:w="874" w:type="dxa"/>
            <w:noWrap w:val="0"/>
            <w:vAlign w:val="center"/>
          </w:tcPr>
          <w:p w14:paraId="0748D623">
            <w:pPr>
              <w:pStyle w:val="19"/>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highlight w:val="none"/>
                <w:shd w:val="clear" w:color="auto" w:fill="auto"/>
              </w:rPr>
            </w:pPr>
          </w:p>
        </w:tc>
        <w:tc>
          <w:tcPr>
            <w:tcW w:w="942" w:type="dxa"/>
            <w:gridSpan w:val="2"/>
            <w:noWrap w:val="0"/>
            <w:vAlign w:val="center"/>
          </w:tcPr>
          <w:p w14:paraId="4910062A">
            <w:pPr>
              <w:pStyle w:val="19"/>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highlight w:val="none"/>
                <w:shd w:val="clear" w:color="auto" w:fill="auto"/>
              </w:rPr>
            </w:pPr>
          </w:p>
        </w:tc>
        <w:tc>
          <w:tcPr>
            <w:tcW w:w="1029" w:type="dxa"/>
            <w:noWrap w:val="0"/>
            <w:vAlign w:val="center"/>
          </w:tcPr>
          <w:p w14:paraId="76C1CC14">
            <w:pPr>
              <w:pStyle w:val="19"/>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pacing w:val="-6"/>
                <w:sz w:val="24"/>
                <w:szCs w:val="24"/>
                <w:highlight w:val="none"/>
                <w:shd w:val="clear" w:color="auto" w:fill="auto"/>
              </w:rPr>
            </w:pPr>
          </w:p>
        </w:tc>
      </w:tr>
      <w:tr w14:paraId="3F640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605" w:type="dxa"/>
            <w:noWrap w:val="0"/>
            <w:vAlign w:val="center"/>
          </w:tcPr>
          <w:p w14:paraId="40D6696E">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lang w:val="en-US" w:eastAsia="zh-CN"/>
              </w:rPr>
            </w:pPr>
            <w:r>
              <w:rPr>
                <w:rFonts w:hint="eastAsia" w:ascii="宋体" w:hAnsi="宋体" w:eastAsia="宋体" w:cs="宋体"/>
                <w:color w:val="auto"/>
                <w:spacing w:val="-6"/>
                <w:sz w:val="24"/>
                <w:szCs w:val="24"/>
                <w:highlight w:val="none"/>
                <w:shd w:val="clear" w:color="auto" w:fill="auto"/>
                <w:lang w:val="en-US" w:eastAsia="zh-CN"/>
              </w:rPr>
              <w:t>...</w:t>
            </w:r>
          </w:p>
        </w:tc>
        <w:tc>
          <w:tcPr>
            <w:tcW w:w="1568" w:type="dxa"/>
            <w:noWrap w:val="0"/>
            <w:vAlign w:val="center"/>
          </w:tcPr>
          <w:p w14:paraId="1780F837">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c>
          <w:tcPr>
            <w:tcW w:w="964" w:type="dxa"/>
            <w:noWrap w:val="0"/>
            <w:vAlign w:val="center"/>
          </w:tcPr>
          <w:p w14:paraId="7B789A63">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c>
          <w:tcPr>
            <w:tcW w:w="1254" w:type="dxa"/>
            <w:noWrap w:val="0"/>
            <w:vAlign w:val="center"/>
          </w:tcPr>
          <w:p w14:paraId="729EB21E">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c>
          <w:tcPr>
            <w:tcW w:w="1025" w:type="dxa"/>
            <w:noWrap w:val="0"/>
            <w:vAlign w:val="center"/>
          </w:tcPr>
          <w:p w14:paraId="5732D76D">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c>
          <w:tcPr>
            <w:tcW w:w="1025" w:type="dxa"/>
            <w:noWrap w:val="0"/>
            <w:vAlign w:val="center"/>
          </w:tcPr>
          <w:p w14:paraId="2844FD48">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c>
          <w:tcPr>
            <w:tcW w:w="874" w:type="dxa"/>
            <w:noWrap w:val="0"/>
            <w:vAlign w:val="center"/>
          </w:tcPr>
          <w:p w14:paraId="1FB59114">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c>
          <w:tcPr>
            <w:tcW w:w="933" w:type="dxa"/>
            <w:noWrap w:val="0"/>
            <w:vAlign w:val="center"/>
          </w:tcPr>
          <w:p w14:paraId="7477C915">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c>
          <w:tcPr>
            <w:tcW w:w="1038" w:type="dxa"/>
            <w:gridSpan w:val="2"/>
            <w:noWrap w:val="0"/>
            <w:vAlign w:val="center"/>
          </w:tcPr>
          <w:p w14:paraId="2BE27F99">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r>
      <w:tr w14:paraId="1517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605" w:type="dxa"/>
            <w:noWrap w:val="0"/>
            <w:vAlign w:val="center"/>
          </w:tcPr>
          <w:p w14:paraId="028F7DCC">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lang w:val="en-US" w:eastAsia="zh-CN"/>
              </w:rPr>
            </w:pPr>
          </w:p>
        </w:tc>
        <w:tc>
          <w:tcPr>
            <w:tcW w:w="1568" w:type="dxa"/>
            <w:noWrap w:val="0"/>
            <w:vAlign w:val="center"/>
          </w:tcPr>
          <w:p w14:paraId="4B8555EF">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c>
          <w:tcPr>
            <w:tcW w:w="964" w:type="dxa"/>
            <w:noWrap w:val="0"/>
            <w:vAlign w:val="center"/>
          </w:tcPr>
          <w:p w14:paraId="67727313">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c>
          <w:tcPr>
            <w:tcW w:w="1254" w:type="dxa"/>
            <w:noWrap w:val="0"/>
            <w:vAlign w:val="center"/>
          </w:tcPr>
          <w:p w14:paraId="3980AC18">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c>
          <w:tcPr>
            <w:tcW w:w="1025" w:type="dxa"/>
            <w:noWrap w:val="0"/>
            <w:vAlign w:val="center"/>
          </w:tcPr>
          <w:p w14:paraId="67A6FE16">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c>
          <w:tcPr>
            <w:tcW w:w="1025" w:type="dxa"/>
            <w:noWrap w:val="0"/>
            <w:vAlign w:val="center"/>
          </w:tcPr>
          <w:p w14:paraId="3C0741CC">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c>
          <w:tcPr>
            <w:tcW w:w="874" w:type="dxa"/>
            <w:noWrap w:val="0"/>
            <w:vAlign w:val="center"/>
          </w:tcPr>
          <w:p w14:paraId="11911349">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c>
          <w:tcPr>
            <w:tcW w:w="933" w:type="dxa"/>
            <w:noWrap w:val="0"/>
            <w:vAlign w:val="center"/>
          </w:tcPr>
          <w:p w14:paraId="6A476CE2">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c>
          <w:tcPr>
            <w:tcW w:w="1038" w:type="dxa"/>
            <w:gridSpan w:val="2"/>
            <w:noWrap w:val="0"/>
            <w:vAlign w:val="center"/>
          </w:tcPr>
          <w:p w14:paraId="7225A49B">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r>
      <w:tr w14:paraId="36B8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605" w:type="dxa"/>
            <w:noWrap w:val="0"/>
            <w:vAlign w:val="center"/>
          </w:tcPr>
          <w:p w14:paraId="3A97B543">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lang w:val="en-US" w:eastAsia="zh-CN"/>
              </w:rPr>
            </w:pPr>
          </w:p>
        </w:tc>
        <w:tc>
          <w:tcPr>
            <w:tcW w:w="1568" w:type="dxa"/>
            <w:noWrap w:val="0"/>
            <w:vAlign w:val="center"/>
          </w:tcPr>
          <w:p w14:paraId="7806654D">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c>
          <w:tcPr>
            <w:tcW w:w="964" w:type="dxa"/>
            <w:noWrap w:val="0"/>
            <w:vAlign w:val="center"/>
          </w:tcPr>
          <w:p w14:paraId="02AEBD2F">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c>
          <w:tcPr>
            <w:tcW w:w="1254" w:type="dxa"/>
            <w:noWrap w:val="0"/>
            <w:vAlign w:val="center"/>
          </w:tcPr>
          <w:p w14:paraId="248363EF">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c>
          <w:tcPr>
            <w:tcW w:w="1025" w:type="dxa"/>
            <w:noWrap w:val="0"/>
            <w:vAlign w:val="center"/>
          </w:tcPr>
          <w:p w14:paraId="7AAF05C2">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c>
          <w:tcPr>
            <w:tcW w:w="1025" w:type="dxa"/>
            <w:noWrap w:val="0"/>
            <w:vAlign w:val="center"/>
          </w:tcPr>
          <w:p w14:paraId="61E01D98">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c>
          <w:tcPr>
            <w:tcW w:w="874" w:type="dxa"/>
            <w:noWrap w:val="0"/>
            <w:vAlign w:val="center"/>
          </w:tcPr>
          <w:p w14:paraId="1388A6C3">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c>
          <w:tcPr>
            <w:tcW w:w="933" w:type="dxa"/>
            <w:noWrap w:val="0"/>
            <w:vAlign w:val="center"/>
          </w:tcPr>
          <w:p w14:paraId="64E9A111">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c>
          <w:tcPr>
            <w:tcW w:w="1038" w:type="dxa"/>
            <w:gridSpan w:val="2"/>
            <w:noWrap w:val="0"/>
            <w:vAlign w:val="center"/>
          </w:tcPr>
          <w:p w14:paraId="47A69C9B">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pacing w:val="-6"/>
                <w:sz w:val="24"/>
                <w:szCs w:val="24"/>
                <w:highlight w:val="none"/>
                <w:shd w:val="clear" w:color="auto" w:fill="auto"/>
              </w:rPr>
            </w:pPr>
          </w:p>
        </w:tc>
      </w:tr>
      <w:tr w14:paraId="75D24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286" w:type="dxa"/>
            <w:gridSpan w:val="10"/>
            <w:tcBorders>
              <w:top w:val="single" w:color="auto" w:sz="4" w:space="0"/>
              <w:left w:val="single" w:color="auto" w:sz="4" w:space="0"/>
              <w:bottom w:val="single" w:color="auto" w:sz="4" w:space="0"/>
              <w:right w:val="single" w:color="auto" w:sz="4" w:space="0"/>
            </w:tcBorders>
            <w:noWrap w:val="0"/>
            <w:vAlign w:val="center"/>
          </w:tcPr>
          <w:p w14:paraId="6A0ECCD5">
            <w:pPr>
              <w:pStyle w:val="19"/>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pacing w:val="-6"/>
                <w:sz w:val="24"/>
                <w:szCs w:val="24"/>
                <w:highlight w:val="none"/>
                <w:shd w:val="clear" w:color="auto" w:fill="auto"/>
              </w:rPr>
            </w:pPr>
            <w:r>
              <w:rPr>
                <w:rFonts w:hint="eastAsia" w:ascii="宋体" w:hAnsi="宋体" w:eastAsia="宋体" w:cs="宋体"/>
                <w:color w:val="auto"/>
                <w:spacing w:val="-6"/>
                <w:sz w:val="24"/>
                <w:szCs w:val="24"/>
                <w:highlight w:val="none"/>
                <w:shd w:val="clear" w:color="auto" w:fill="auto"/>
              </w:rPr>
              <w:t>总报价（人民币大写）：                                 （￥                元）</w:t>
            </w:r>
          </w:p>
        </w:tc>
      </w:tr>
      <w:tr w14:paraId="7888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286" w:type="dxa"/>
            <w:gridSpan w:val="10"/>
            <w:tcBorders>
              <w:top w:val="single" w:color="auto" w:sz="4" w:space="0"/>
              <w:left w:val="single" w:color="auto" w:sz="4" w:space="0"/>
              <w:bottom w:val="single" w:color="auto" w:sz="4" w:space="0"/>
              <w:right w:val="single" w:color="auto" w:sz="4" w:space="0"/>
            </w:tcBorders>
            <w:noWrap w:val="0"/>
            <w:vAlign w:val="center"/>
          </w:tcPr>
          <w:p w14:paraId="111C09F6">
            <w:pPr>
              <w:pStyle w:val="19"/>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pacing w:val="-6"/>
                <w:sz w:val="24"/>
                <w:szCs w:val="24"/>
                <w:highlight w:val="none"/>
                <w:shd w:val="clear" w:color="auto" w:fill="auto"/>
              </w:rPr>
            </w:pPr>
            <w:r>
              <w:rPr>
                <w:rFonts w:hint="eastAsia" w:ascii="宋体" w:hAnsi="宋体" w:eastAsia="宋体" w:cs="宋体"/>
                <w:color w:val="auto"/>
                <w:spacing w:val="-6"/>
                <w:sz w:val="24"/>
                <w:szCs w:val="24"/>
                <w:highlight w:val="none"/>
                <w:shd w:val="clear" w:color="auto" w:fill="auto"/>
              </w:rPr>
              <w:t>备注：表内报价内容以元为单位。</w:t>
            </w:r>
          </w:p>
        </w:tc>
      </w:tr>
    </w:tbl>
    <w:p w14:paraId="7AB62462">
      <w:pPr>
        <w:rPr>
          <w:rFonts w:hint="eastAsia" w:ascii="宋体" w:hAnsi="宋体" w:cs="Times New Roman"/>
          <w:color w:val="auto"/>
          <w:sz w:val="28"/>
          <w:szCs w:val="28"/>
          <w:highlight w:val="none"/>
          <w:lang w:val="en-US" w:eastAsia="zh-CN"/>
        </w:rPr>
      </w:pPr>
    </w:p>
    <w:p w14:paraId="5183DDFC">
      <w:pPr>
        <w:pStyle w:val="13"/>
        <w:rPr>
          <w:rFonts w:hint="eastAsia"/>
          <w:color w:val="auto"/>
          <w:lang w:val="en-US" w:eastAsia="zh-CN"/>
        </w:rPr>
      </w:pPr>
    </w:p>
    <w:p w14:paraId="273651CE">
      <w:pPr>
        <w:widowControl w:val="0"/>
        <w:spacing w:line="360" w:lineRule="auto"/>
        <w:rPr>
          <w:rFonts w:ascii="宋体" w:hAnsi="宋体" w:eastAsia="宋体" w:cs="仿宋"/>
          <w:b/>
          <w:bCs/>
          <w:color w:val="auto"/>
          <w:sz w:val="24"/>
          <w:szCs w:val="24"/>
          <w:highlight w:val="none"/>
        </w:rPr>
      </w:pPr>
      <w:r>
        <w:rPr>
          <w:rFonts w:hint="eastAsia" w:ascii="宋体" w:hAnsi="宋体" w:cs="仿宋"/>
          <w:b/>
          <w:bCs/>
          <w:color w:val="auto"/>
          <w:sz w:val="24"/>
          <w:szCs w:val="24"/>
          <w:highlight w:val="none"/>
        </w:rPr>
        <w:t>注：</w:t>
      </w:r>
      <w:r>
        <w:rPr>
          <w:rFonts w:hint="eastAsia" w:ascii="宋体" w:hAnsi="宋体" w:eastAsia="宋体" w:cs="仿宋"/>
          <w:b/>
          <w:bCs/>
          <w:color w:val="auto"/>
          <w:sz w:val="24"/>
          <w:szCs w:val="24"/>
          <w:highlight w:val="none"/>
        </w:rPr>
        <w:t>1.投标人可根据实际情况自行扩展表格细项。</w:t>
      </w:r>
    </w:p>
    <w:p w14:paraId="7A08C0C3">
      <w:pPr>
        <w:widowControl w:val="0"/>
        <w:spacing w:line="360" w:lineRule="auto"/>
        <w:ind w:firstLine="482" w:firstLineChars="200"/>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2.如果分项报价合计与投标总报价不一致，以分项报价合计为准进行结算。</w:t>
      </w:r>
    </w:p>
    <w:p w14:paraId="466DF08C">
      <w:pPr>
        <w:widowControl w:val="0"/>
        <w:spacing w:line="360" w:lineRule="auto"/>
        <w:ind w:firstLine="482" w:firstLineChars="200"/>
        <w:rPr>
          <w:rFonts w:ascii="宋体" w:hAnsi="宋体" w:eastAsia="宋体" w:cs="仿宋"/>
          <w:b/>
          <w:bCs/>
          <w:color w:val="auto"/>
          <w:sz w:val="24"/>
          <w:szCs w:val="24"/>
          <w:highlight w:val="none"/>
        </w:rPr>
      </w:pPr>
      <w:r>
        <w:rPr>
          <w:rFonts w:ascii="宋体" w:hAnsi="宋体" w:eastAsia="宋体" w:cs="仿宋"/>
          <w:b/>
          <w:bCs/>
          <w:color w:val="auto"/>
          <w:sz w:val="24"/>
          <w:szCs w:val="24"/>
          <w:highlight w:val="none"/>
        </w:rPr>
        <w:t>3.</w:t>
      </w:r>
      <w:r>
        <w:rPr>
          <w:rFonts w:hint="eastAsia" w:ascii="宋体" w:hAnsi="宋体" w:eastAsia="宋体" w:cs="仿宋"/>
          <w:b/>
          <w:bCs/>
          <w:color w:val="auto"/>
          <w:sz w:val="24"/>
          <w:szCs w:val="24"/>
          <w:highlight w:val="none"/>
        </w:rPr>
        <w:t>如果不提供详细分项报价将视为没有实质性响应谈判文件。</w:t>
      </w:r>
    </w:p>
    <w:p w14:paraId="3744A9C4">
      <w:pPr>
        <w:spacing w:line="360" w:lineRule="auto"/>
        <w:ind w:firstLine="480" w:firstLineChars="200"/>
        <w:rPr>
          <w:rFonts w:ascii="宋体" w:hAnsi="宋体" w:cs="仿宋"/>
          <w:color w:val="auto"/>
          <w:sz w:val="24"/>
          <w:szCs w:val="24"/>
          <w:highlight w:val="none"/>
        </w:rPr>
      </w:pPr>
    </w:p>
    <w:p w14:paraId="19881453">
      <w:pPr>
        <w:pStyle w:val="23"/>
        <w:rPr>
          <w:color w:val="auto"/>
          <w:highlight w:val="none"/>
        </w:rPr>
      </w:pPr>
    </w:p>
    <w:p w14:paraId="04CA2E2B">
      <w:pPr>
        <w:adjustRightInd w:val="0"/>
        <w:snapToGrid w:val="0"/>
        <w:spacing w:line="48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供应商（单位名称及公章）：____________________________</w:t>
      </w:r>
    </w:p>
    <w:p w14:paraId="4D50BEFB">
      <w:pPr>
        <w:adjustRightInd w:val="0"/>
        <w:snapToGrid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被授权人（签字）：____________________________</w:t>
      </w:r>
    </w:p>
    <w:p w14:paraId="3E19F251">
      <w:pPr>
        <w:adjustRightInd w:val="0"/>
        <w:snapToGrid w:val="0"/>
        <w:spacing w:line="480" w:lineRule="auto"/>
        <w:rPr>
          <w:rFonts w:hint="eastAsia" w:ascii="宋体" w:hAnsi="宋体" w:eastAsia="宋体" w:cs="宋体"/>
          <w:b/>
          <w:color w:val="auto"/>
          <w:sz w:val="30"/>
          <w:szCs w:val="32"/>
          <w:highlight w:val="none"/>
        </w:rPr>
      </w:pPr>
      <w:r>
        <w:rPr>
          <w:rFonts w:hint="eastAsia" w:ascii="宋体" w:hAnsi="宋体" w:eastAsia="宋体" w:cs="宋体"/>
          <w:color w:val="auto"/>
          <w:sz w:val="24"/>
          <w:szCs w:val="24"/>
          <w:highlight w:val="none"/>
        </w:rPr>
        <w:t>日    期：_______年_______月_______日</w:t>
      </w:r>
    </w:p>
    <w:bookmarkEnd w:id="384"/>
    <w:bookmarkEnd w:id="385"/>
    <w:p w14:paraId="29B56AE5">
      <w:pPr>
        <w:pStyle w:val="4"/>
        <w:keepNext/>
        <w:keepLines/>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Times New Roman"/>
          <w:b/>
          <w:bCs w:val="0"/>
          <w:color w:val="auto"/>
          <w:highlight w:val="none"/>
          <w:lang w:eastAsia="zh-CN"/>
        </w:rPr>
      </w:pPr>
      <w:bookmarkStart w:id="388" w:name="_Toc15834"/>
      <w:bookmarkStart w:id="389" w:name="_Toc32589"/>
      <w:bookmarkStart w:id="390" w:name="_Toc27172"/>
      <w:r>
        <w:rPr>
          <w:rFonts w:hint="eastAsia" w:ascii="宋体" w:hAnsi="宋体" w:eastAsia="宋体" w:cs="Times New Roman"/>
          <w:b/>
          <w:bCs w:val="0"/>
          <w:color w:val="auto"/>
          <w:highlight w:val="none"/>
          <w:lang w:eastAsia="zh-CN"/>
        </w:rPr>
        <w:t>三、</w:t>
      </w:r>
      <w:r>
        <w:rPr>
          <w:rFonts w:hint="eastAsia" w:ascii="宋体" w:hAnsi="宋体" w:eastAsia="宋体" w:cs="Times New Roman"/>
          <w:b/>
          <w:bCs w:val="0"/>
          <w:color w:val="auto"/>
          <w:highlight w:val="none"/>
          <w:lang w:val="en-US" w:eastAsia="zh-CN"/>
        </w:rPr>
        <w:t xml:space="preserve"> </w:t>
      </w:r>
      <w:r>
        <w:rPr>
          <w:rFonts w:hint="eastAsia" w:ascii="宋体" w:hAnsi="宋体" w:eastAsia="宋体" w:cs="Times New Roman"/>
          <w:b/>
          <w:bCs w:val="0"/>
          <w:color w:val="auto"/>
          <w:highlight w:val="none"/>
          <w:lang w:eastAsia="zh-CN"/>
        </w:rPr>
        <w:t>资质证明文件</w:t>
      </w:r>
      <w:bookmarkEnd w:id="388"/>
      <w:bookmarkEnd w:id="389"/>
      <w:bookmarkEnd w:id="390"/>
    </w:p>
    <w:p w14:paraId="32AB7944">
      <w:pPr>
        <w:keepNext w:val="0"/>
        <w:keepLines w:val="0"/>
        <w:pageBreakBefore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.具有独立承担民事责任能力的法人、非法人组织或自然人，提供合法有效的营业执照/事业单位法人证书/专业服务机构执业许可证/民办非企业单位登记证书等相关证明，自然人参与地提供其身份证明。</w:t>
      </w:r>
    </w:p>
    <w:p w14:paraId="310BD12B">
      <w:pPr>
        <w:keepNext w:val="0"/>
        <w:keepLines w:val="0"/>
        <w:pageBreakBefore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法定代表人授权书及被授权人身份证</w:t>
      </w:r>
      <w:r>
        <w:rPr>
          <w:rFonts w:hint="eastAsia" w:ascii="宋体" w:hAnsi="宋体" w:eastAsia="宋体" w:cs="宋体"/>
          <w:color w:val="auto"/>
          <w:kern w:val="0"/>
          <w:sz w:val="24"/>
          <w:szCs w:val="24"/>
          <w:lang w:val="en-US" w:eastAsia="zh-CN"/>
        </w:rPr>
        <w:t>复印件</w:t>
      </w:r>
      <w:r>
        <w:rPr>
          <w:rFonts w:hint="eastAsia" w:ascii="宋体" w:hAnsi="宋体" w:eastAsia="宋体" w:cs="宋体"/>
          <w:color w:val="auto"/>
          <w:kern w:val="0"/>
          <w:sz w:val="24"/>
          <w:szCs w:val="24"/>
          <w:lang w:eastAsia="zh-CN"/>
        </w:rPr>
        <w:t>（法定代表人直接投标只需提交其身份证明资料）。</w:t>
      </w:r>
    </w:p>
    <w:p w14:paraId="2AA5EBD7">
      <w:pPr>
        <w:keepNext w:val="0"/>
        <w:keepLines w:val="0"/>
        <w:pageBreakBefore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w:t>
      </w:r>
      <w:r>
        <w:rPr>
          <w:rFonts w:hint="eastAsia" w:ascii="宋体" w:hAnsi="宋体" w:eastAsia="宋体" w:cs="宋体"/>
          <w:kern w:val="2"/>
          <w:sz w:val="24"/>
          <w:szCs w:val="24"/>
          <w:lang w:val="en-US" w:eastAsia="zh-CN" w:bidi="ar"/>
        </w:rPr>
        <w:t>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查询结果为准（响应文件中提供查询结果网页截图并加盖投标人公章，查询日期为从谈判文件获取之日起至投标截止日前，评标现场通过网站对信用记录进行核实）。</w:t>
      </w:r>
    </w:p>
    <w:p w14:paraId="670EA578">
      <w:pPr>
        <w:keepNext w:val="0"/>
        <w:keepLines w:val="0"/>
        <w:pageBreakBefore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 xml:space="preserve">书面声明：投标人必须提供参加政府采购活动前3年内在经营活动中没有重大违法记录的书面声明。 </w:t>
      </w:r>
    </w:p>
    <w:p w14:paraId="7189B9A8">
      <w:pPr>
        <w:keepNext w:val="0"/>
        <w:keepLines w:val="0"/>
        <w:pageBreakBefore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5.财务状况报告：提供2023年度或2024年度的财务审计报告或者谈判截止时间六个月内基本开户银行出具的资信证明（成立时间至提交响应文件截止时间不足一年的可提供成立后任意时段的资产负债表）。</w:t>
      </w:r>
    </w:p>
    <w:p w14:paraId="49BDE04F">
      <w:pPr>
        <w:pStyle w:val="56"/>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税收缴纳证明：</w:t>
      </w:r>
      <w:r>
        <w:rPr>
          <w:rFonts w:hint="eastAsia" w:ascii="宋体" w:hAnsi="宋体" w:cs="宋体"/>
          <w:color w:val="auto"/>
          <w:kern w:val="0"/>
          <w:sz w:val="24"/>
          <w:szCs w:val="24"/>
          <w:lang w:val="en-US" w:eastAsia="zh-CN"/>
        </w:rPr>
        <w:t>提供2024年9月至今任意一个月缴纳的纳税证明或完税证明</w:t>
      </w:r>
      <w:r>
        <w:rPr>
          <w:rFonts w:hint="eastAsia" w:ascii="宋体" w:hAnsi="宋体" w:eastAsia="宋体" w:cs="宋体"/>
          <w:color w:val="auto"/>
          <w:kern w:val="0"/>
          <w:sz w:val="24"/>
          <w:szCs w:val="24"/>
          <w:lang w:val="en-US" w:eastAsia="zh-CN"/>
        </w:rPr>
        <w:t>，依法免税或缓缴的单位应提供相关证明材料，纳税证明或完税证明上应有代收机构或税务机关的公章或业务专用章（成立时间至提交响应文件截止时间不足三个月的可不提供）。</w:t>
      </w:r>
    </w:p>
    <w:p w14:paraId="41CE7A42">
      <w:pPr>
        <w:pStyle w:val="56"/>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cs="宋体"/>
          <w:color w:val="000000" w:themeColor="text1"/>
          <w:sz w:val="24"/>
          <w:szCs w:val="24"/>
          <w:lang w:val="en-US" w:eastAsia="zh-CN"/>
          <w14:textFill>
            <w14:solidFill>
              <w14:schemeClr w14:val="tx1"/>
            </w14:solidFill>
          </w14:textFill>
        </w:rPr>
        <w:t>.社会保障资金缴纳证明：提供2024年9月至今任意一个月社会保障资金缴存单据或社保机构开具的社会保险参保缴费情况证明，依法不需要缴纳社会保险资金的单位应提供相关证明材料，单据或证明上应有社保机构或代收机构的印章（成立时间至提交响应文件截止时间不足三个月的可不提供）。</w:t>
      </w:r>
    </w:p>
    <w:p w14:paraId="028B88BF">
      <w:pPr>
        <w:pStyle w:val="56"/>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本项目专门面向中小企业采购，投标人须提</w:t>
      </w:r>
      <w:r>
        <w:rPr>
          <w:rFonts w:hint="eastAsia" w:ascii="宋体" w:hAnsi="宋体" w:eastAsia="宋体" w:cs="宋体"/>
          <w:color w:val="auto"/>
          <w:sz w:val="24"/>
          <w:szCs w:val="24"/>
          <w:lang w:val="en-US" w:eastAsia="zh-CN"/>
        </w:rPr>
        <w:t xml:space="preserve">供《中小企业声明函》。  </w:t>
      </w:r>
    </w:p>
    <w:p w14:paraId="68CBDE4F">
      <w:pPr>
        <w:pStyle w:val="56"/>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textAlignment w:val="auto"/>
        <w:rPr>
          <w:rFonts w:hint="eastAsia" w:ascii="宋体" w:hAnsi="宋体" w:cs="宋体"/>
          <w:color w:val="auto"/>
          <w:sz w:val="24"/>
          <w:szCs w:val="24"/>
          <w:lang w:val="en-US" w:eastAsia="zh-CN"/>
        </w:rPr>
        <w:sectPr>
          <w:footerReference r:id="rId15" w:type="default"/>
          <w:pgSz w:w="11905" w:h="16838"/>
          <w:pgMar w:top="1247" w:right="1134" w:bottom="1247" w:left="1134" w:header="964" w:footer="964" w:gutter="0"/>
          <w:pgNumType w:fmt="decimal"/>
          <w:cols w:space="0" w:num="1"/>
          <w:rtlGutter w:val="0"/>
          <w:docGrid w:type="lines" w:linePitch="398" w:charSpace="0"/>
        </w:sectPr>
      </w:pPr>
      <w:r>
        <w:rPr>
          <w:rFonts w:hint="eastAsia" w:ascii="宋体" w:hAnsi="宋体" w:cs="宋体"/>
          <w:color w:val="auto"/>
          <w:sz w:val="24"/>
          <w:szCs w:val="24"/>
          <w:lang w:val="en-US" w:eastAsia="zh-CN"/>
        </w:rPr>
        <w:t>9.</w:t>
      </w:r>
      <w:r>
        <w:rPr>
          <w:rFonts w:hint="eastAsia" w:ascii="宋体" w:hAnsi="宋体" w:eastAsia="宋体" w:cs="宋体"/>
          <w:color w:val="auto"/>
          <w:kern w:val="0"/>
          <w:sz w:val="24"/>
          <w:szCs w:val="24"/>
          <w:lang w:eastAsia="zh-CN"/>
        </w:rPr>
        <w:t>本项目不接受联合体投标</w:t>
      </w:r>
      <w:r>
        <w:rPr>
          <w:rFonts w:hint="eastAsia" w:ascii="宋体" w:hAnsi="宋体" w:cs="宋体"/>
          <w:color w:val="auto"/>
          <w:sz w:val="24"/>
          <w:szCs w:val="24"/>
          <w:lang w:val="en-US" w:eastAsia="zh-CN"/>
        </w:rPr>
        <w:t>。</w:t>
      </w:r>
    </w:p>
    <w:p w14:paraId="67BD2C13">
      <w:pPr>
        <w:pStyle w:val="56"/>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textAlignment w:val="auto"/>
        <w:rPr>
          <w:rFonts w:hint="default" w:ascii="宋体" w:hAnsi="宋体" w:cs="宋体"/>
          <w:color w:val="auto"/>
          <w:sz w:val="24"/>
          <w:szCs w:val="24"/>
          <w:lang w:val="en-US" w:eastAsia="zh-CN"/>
        </w:rPr>
      </w:pPr>
    </w:p>
    <w:p w14:paraId="01C0B5A6">
      <w:pPr>
        <w:pStyle w:val="56"/>
        <w:keepNext w:val="0"/>
        <w:keepLines w:val="0"/>
        <w:pageBreakBefore w:val="0"/>
        <w:widowControl w:val="0"/>
        <w:kinsoku/>
        <w:wordWrap/>
        <w:overflowPunct/>
        <w:topLinePunct w:val="0"/>
        <w:autoSpaceDE/>
        <w:autoSpaceDN/>
        <w:bidi w:val="0"/>
        <w:adjustRightInd/>
        <w:spacing w:line="500" w:lineRule="exact"/>
        <w:ind w:left="0" w:leftChars="0" w:firstLine="480"/>
        <w:jc w:val="center"/>
        <w:textAlignment w:val="auto"/>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法定代表人证明书</w:t>
      </w:r>
    </w:p>
    <w:tbl>
      <w:tblPr>
        <w:tblStyle w:val="37"/>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2231"/>
        <w:gridCol w:w="2006"/>
        <w:gridCol w:w="411"/>
        <w:gridCol w:w="2226"/>
        <w:gridCol w:w="2181"/>
      </w:tblGrid>
      <w:tr w14:paraId="1C82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640" w:type="dxa"/>
            <w:gridSpan w:val="6"/>
            <w:vAlign w:val="center"/>
          </w:tcPr>
          <w:p w14:paraId="00AC6E4D">
            <w:pPr>
              <w:keepNext w:val="0"/>
              <w:keepLines w:val="0"/>
              <w:widowControl/>
              <w:suppressLineNumbers w:val="0"/>
              <w:tabs>
                <w:tab w:val="left" w:pos="210"/>
              </w:tabs>
              <w:topLinePunct w:val="0"/>
              <w:bidi w:val="0"/>
              <w:spacing w:before="0" w:beforeAutospacing="0" w:after="0" w:afterAutospacing="0" w:line="480" w:lineRule="exact"/>
              <w:ind w:left="0" w:right="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致：</w:t>
            </w:r>
            <w:r>
              <w:rPr>
                <w:rFonts w:hint="eastAsia" w:ascii="宋体" w:hAnsi="宋体" w:eastAsia="宋体" w:cs="宋体"/>
                <w:color w:val="auto"/>
                <w:kern w:val="0"/>
                <w:sz w:val="24"/>
                <w:szCs w:val="24"/>
                <w:lang w:eastAsia="zh-CN"/>
              </w:rPr>
              <w:t>安康尚昊招标代理有限公司</w:t>
            </w:r>
          </w:p>
        </w:tc>
      </w:tr>
      <w:tr w14:paraId="3BBE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85" w:type="dxa"/>
            <w:vMerge w:val="restart"/>
            <w:vAlign w:val="center"/>
          </w:tcPr>
          <w:p w14:paraId="44B777DB">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企</w:t>
            </w:r>
          </w:p>
          <w:p w14:paraId="0E3F9FE7">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p w14:paraId="1337FFF9">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业</w:t>
            </w:r>
          </w:p>
          <w:p w14:paraId="0B229001">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p w14:paraId="1EAE2A1D">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w:t>
            </w:r>
          </w:p>
          <w:p w14:paraId="670C5BD8">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p w14:paraId="6F796AF6">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w:t>
            </w:r>
          </w:p>
        </w:tc>
        <w:tc>
          <w:tcPr>
            <w:tcW w:w="2231" w:type="dxa"/>
            <w:vAlign w:val="center"/>
          </w:tcPr>
          <w:p w14:paraId="10704B39">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企业名称</w:t>
            </w:r>
          </w:p>
        </w:tc>
        <w:tc>
          <w:tcPr>
            <w:tcW w:w="6824" w:type="dxa"/>
            <w:gridSpan w:val="4"/>
            <w:vAlign w:val="center"/>
          </w:tcPr>
          <w:p w14:paraId="0DC06273">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r>
      <w:tr w14:paraId="6AC1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85" w:type="dxa"/>
            <w:vMerge w:val="continue"/>
            <w:vAlign w:val="center"/>
          </w:tcPr>
          <w:p w14:paraId="6C6BE00C">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c>
          <w:tcPr>
            <w:tcW w:w="2231" w:type="dxa"/>
            <w:vAlign w:val="center"/>
          </w:tcPr>
          <w:p w14:paraId="3269CE84">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法定地址</w:t>
            </w:r>
          </w:p>
        </w:tc>
        <w:tc>
          <w:tcPr>
            <w:tcW w:w="6824" w:type="dxa"/>
            <w:gridSpan w:val="4"/>
            <w:vAlign w:val="center"/>
          </w:tcPr>
          <w:p w14:paraId="4F5F7EF9">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r>
      <w:tr w14:paraId="034DC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85" w:type="dxa"/>
            <w:vMerge w:val="continue"/>
            <w:vAlign w:val="center"/>
          </w:tcPr>
          <w:p w14:paraId="4E65AB42">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c>
          <w:tcPr>
            <w:tcW w:w="2231" w:type="dxa"/>
            <w:vAlign w:val="center"/>
          </w:tcPr>
          <w:p w14:paraId="45B1C0A7">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邮政编码</w:t>
            </w:r>
          </w:p>
        </w:tc>
        <w:tc>
          <w:tcPr>
            <w:tcW w:w="6824" w:type="dxa"/>
            <w:gridSpan w:val="4"/>
            <w:vAlign w:val="center"/>
          </w:tcPr>
          <w:p w14:paraId="33E14599">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r>
      <w:tr w14:paraId="41E2B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85" w:type="dxa"/>
            <w:vMerge w:val="continue"/>
            <w:vAlign w:val="center"/>
          </w:tcPr>
          <w:p w14:paraId="19747BDE">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c>
          <w:tcPr>
            <w:tcW w:w="2231" w:type="dxa"/>
            <w:vAlign w:val="center"/>
          </w:tcPr>
          <w:p w14:paraId="1D53F196">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工商登记机关</w:t>
            </w:r>
          </w:p>
        </w:tc>
        <w:tc>
          <w:tcPr>
            <w:tcW w:w="6824" w:type="dxa"/>
            <w:gridSpan w:val="4"/>
            <w:vAlign w:val="center"/>
          </w:tcPr>
          <w:p w14:paraId="7BBB20A2">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r>
      <w:tr w14:paraId="1F146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585" w:type="dxa"/>
            <w:vMerge w:val="continue"/>
            <w:vAlign w:val="center"/>
          </w:tcPr>
          <w:p w14:paraId="66C1751F">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c>
          <w:tcPr>
            <w:tcW w:w="2231" w:type="dxa"/>
            <w:vAlign w:val="center"/>
          </w:tcPr>
          <w:p w14:paraId="51AF2A0C">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税务登记机关</w:t>
            </w:r>
          </w:p>
        </w:tc>
        <w:tc>
          <w:tcPr>
            <w:tcW w:w="6824" w:type="dxa"/>
            <w:gridSpan w:val="4"/>
            <w:vAlign w:val="center"/>
          </w:tcPr>
          <w:p w14:paraId="6E0CCC3B">
            <w:pPr>
              <w:keepNext w:val="0"/>
              <w:keepLines w:val="0"/>
              <w:widowControl/>
              <w:suppressLineNumbers w:val="0"/>
              <w:tabs>
                <w:tab w:val="left" w:pos="210"/>
              </w:tabs>
              <w:topLinePunct w:val="0"/>
              <w:bidi w:val="0"/>
              <w:spacing w:before="0" w:beforeAutospacing="0" w:after="0" w:afterAutospacing="0" w:line="480" w:lineRule="exact"/>
              <w:ind w:left="0" w:right="0"/>
              <w:rPr>
                <w:rFonts w:hint="eastAsia" w:ascii="宋体" w:hAnsi="宋体" w:eastAsia="宋体" w:cs="宋体"/>
                <w:color w:val="auto"/>
                <w:kern w:val="0"/>
                <w:sz w:val="24"/>
                <w:szCs w:val="24"/>
              </w:rPr>
            </w:pPr>
          </w:p>
        </w:tc>
      </w:tr>
      <w:tr w14:paraId="18E35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85" w:type="dxa"/>
            <w:vMerge w:val="continue"/>
            <w:vAlign w:val="center"/>
          </w:tcPr>
          <w:p w14:paraId="06B9F929">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c>
          <w:tcPr>
            <w:tcW w:w="2231" w:type="dxa"/>
            <w:vAlign w:val="center"/>
          </w:tcPr>
          <w:p w14:paraId="5DBD19E1">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机构代码证号</w:t>
            </w:r>
          </w:p>
        </w:tc>
        <w:tc>
          <w:tcPr>
            <w:tcW w:w="6824" w:type="dxa"/>
            <w:gridSpan w:val="4"/>
            <w:vAlign w:val="center"/>
          </w:tcPr>
          <w:p w14:paraId="659D3A52">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r>
      <w:tr w14:paraId="58AD8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85" w:type="dxa"/>
            <w:vMerge w:val="restart"/>
            <w:vAlign w:val="center"/>
          </w:tcPr>
          <w:p w14:paraId="2FDA1423">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w:t>
            </w:r>
          </w:p>
        </w:tc>
        <w:tc>
          <w:tcPr>
            <w:tcW w:w="2231" w:type="dxa"/>
            <w:vAlign w:val="center"/>
          </w:tcPr>
          <w:p w14:paraId="2CD026E2">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姓名</w:t>
            </w:r>
          </w:p>
        </w:tc>
        <w:tc>
          <w:tcPr>
            <w:tcW w:w="2417" w:type="dxa"/>
            <w:gridSpan w:val="2"/>
            <w:vAlign w:val="center"/>
          </w:tcPr>
          <w:p w14:paraId="46D512DC">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c>
          <w:tcPr>
            <w:tcW w:w="2226" w:type="dxa"/>
            <w:vAlign w:val="center"/>
          </w:tcPr>
          <w:p w14:paraId="6AA40383">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性别</w:t>
            </w:r>
          </w:p>
        </w:tc>
        <w:tc>
          <w:tcPr>
            <w:tcW w:w="2181" w:type="dxa"/>
            <w:vAlign w:val="center"/>
          </w:tcPr>
          <w:p w14:paraId="6C3624C0">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r>
      <w:tr w14:paraId="22323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585" w:type="dxa"/>
            <w:vMerge w:val="continue"/>
            <w:vAlign w:val="center"/>
          </w:tcPr>
          <w:p w14:paraId="3200B719">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c>
          <w:tcPr>
            <w:tcW w:w="2231" w:type="dxa"/>
            <w:vAlign w:val="center"/>
          </w:tcPr>
          <w:p w14:paraId="16664FBB">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职务</w:t>
            </w:r>
          </w:p>
        </w:tc>
        <w:tc>
          <w:tcPr>
            <w:tcW w:w="2417" w:type="dxa"/>
            <w:gridSpan w:val="2"/>
            <w:vAlign w:val="center"/>
          </w:tcPr>
          <w:p w14:paraId="51D965FB">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c>
          <w:tcPr>
            <w:tcW w:w="2226" w:type="dxa"/>
            <w:vAlign w:val="center"/>
          </w:tcPr>
          <w:p w14:paraId="1580C39E">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联系电话</w:t>
            </w:r>
          </w:p>
        </w:tc>
        <w:tc>
          <w:tcPr>
            <w:tcW w:w="2181" w:type="dxa"/>
            <w:vAlign w:val="center"/>
          </w:tcPr>
          <w:p w14:paraId="20B09E41">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r>
      <w:tr w14:paraId="10F4A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85" w:type="dxa"/>
            <w:vMerge w:val="continue"/>
            <w:vAlign w:val="center"/>
          </w:tcPr>
          <w:p w14:paraId="6FB58314">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c>
          <w:tcPr>
            <w:tcW w:w="2231" w:type="dxa"/>
            <w:vAlign w:val="center"/>
          </w:tcPr>
          <w:p w14:paraId="21CE667F">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传真</w:t>
            </w:r>
          </w:p>
        </w:tc>
        <w:tc>
          <w:tcPr>
            <w:tcW w:w="6824" w:type="dxa"/>
            <w:gridSpan w:val="4"/>
            <w:vAlign w:val="center"/>
          </w:tcPr>
          <w:p w14:paraId="08C9E244">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r>
      <w:tr w14:paraId="5DB4F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jc w:val="center"/>
        </w:trPr>
        <w:tc>
          <w:tcPr>
            <w:tcW w:w="585" w:type="dxa"/>
            <w:vMerge w:val="restart"/>
            <w:vAlign w:val="center"/>
          </w:tcPr>
          <w:p w14:paraId="64C9DC27">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法定代表人身份证复印件</w:t>
            </w:r>
          </w:p>
        </w:tc>
        <w:tc>
          <w:tcPr>
            <w:tcW w:w="4237" w:type="dxa"/>
            <w:gridSpan w:val="2"/>
            <w:vMerge w:val="restart"/>
            <w:vAlign w:val="center"/>
          </w:tcPr>
          <w:p w14:paraId="7514A2FC">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（粘贴处）</w:t>
            </w:r>
          </w:p>
        </w:tc>
        <w:tc>
          <w:tcPr>
            <w:tcW w:w="4818" w:type="dxa"/>
            <w:gridSpan w:val="3"/>
            <w:vAlign w:val="center"/>
          </w:tcPr>
          <w:p w14:paraId="6EA7E48D">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法定代表人签字或盖章</w:t>
            </w:r>
          </w:p>
        </w:tc>
      </w:tr>
      <w:tr w14:paraId="61E4A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jc w:val="center"/>
        </w:trPr>
        <w:tc>
          <w:tcPr>
            <w:tcW w:w="585" w:type="dxa"/>
            <w:vMerge w:val="continue"/>
            <w:vAlign w:val="center"/>
          </w:tcPr>
          <w:p w14:paraId="5CEAE0A8">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c>
          <w:tcPr>
            <w:tcW w:w="4237" w:type="dxa"/>
            <w:gridSpan w:val="2"/>
            <w:vMerge w:val="continue"/>
            <w:vAlign w:val="center"/>
          </w:tcPr>
          <w:p w14:paraId="59F002B1">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tc>
        <w:tc>
          <w:tcPr>
            <w:tcW w:w="4818" w:type="dxa"/>
            <w:gridSpan w:val="3"/>
            <w:vAlign w:val="center"/>
          </w:tcPr>
          <w:p w14:paraId="17883453">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p w14:paraId="1E45B415">
            <w:pPr>
              <w:keepNext w:val="0"/>
              <w:keepLines w:val="0"/>
              <w:widowControl/>
              <w:suppressLineNumbers w:val="0"/>
              <w:tabs>
                <w:tab w:val="left" w:pos="210"/>
              </w:tabs>
              <w:topLinePunct w:val="0"/>
              <w:bidi w:val="0"/>
              <w:spacing w:before="0" w:beforeAutospacing="0" w:after="0" w:afterAutospacing="0" w:line="480" w:lineRule="exact"/>
              <w:ind w:left="0" w:right="0"/>
              <w:jc w:val="both"/>
              <w:rPr>
                <w:rFonts w:hint="eastAsia" w:ascii="宋体" w:hAnsi="宋体" w:eastAsia="宋体" w:cs="宋体"/>
                <w:color w:val="auto"/>
                <w:kern w:val="0"/>
                <w:sz w:val="24"/>
                <w:szCs w:val="24"/>
              </w:rPr>
            </w:pPr>
          </w:p>
          <w:p w14:paraId="1B37BD1C">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企业</w:t>
            </w:r>
            <w:r>
              <w:rPr>
                <w:rFonts w:hint="eastAsia" w:ascii="宋体" w:hAnsi="宋体" w:eastAsia="宋体" w:cs="宋体"/>
                <w:color w:val="auto"/>
                <w:kern w:val="0"/>
                <w:sz w:val="24"/>
                <w:szCs w:val="24"/>
              </w:rPr>
              <w:t>公章）</w:t>
            </w:r>
          </w:p>
          <w:p w14:paraId="7DD6EB22">
            <w:pPr>
              <w:keepNext w:val="0"/>
              <w:keepLines w:val="0"/>
              <w:widowControl/>
              <w:suppressLineNumbers w:val="0"/>
              <w:tabs>
                <w:tab w:val="left" w:pos="210"/>
              </w:tabs>
              <w:topLinePunct w:val="0"/>
              <w:bidi w:val="0"/>
              <w:spacing w:before="0" w:beforeAutospacing="0" w:after="0" w:afterAutospacing="0" w:line="480" w:lineRule="exact"/>
              <w:ind w:left="0" w:right="0"/>
              <w:jc w:val="center"/>
              <w:rPr>
                <w:rFonts w:hint="eastAsia" w:ascii="宋体" w:hAnsi="宋体" w:eastAsia="宋体" w:cs="宋体"/>
                <w:color w:val="auto"/>
                <w:kern w:val="0"/>
                <w:sz w:val="24"/>
                <w:szCs w:val="24"/>
              </w:rPr>
            </w:pPr>
          </w:p>
          <w:p w14:paraId="466BE7EE">
            <w:pPr>
              <w:pStyle w:val="31"/>
              <w:keepNext w:val="0"/>
              <w:keepLines w:val="0"/>
              <w:widowControl/>
              <w:suppressLineNumbers w:val="0"/>
              <w:spacing w:before="0" w:beforeAutospacing="0" w:after="0" w:afterAutospacing="0"/>
              <w:ind w:left="0" w:right="0"/>
              <w:rPr>
                <w:rFonts w:hint="eastAsia"/>
                <w:color w:val="auto"/>
              </w:rPr>
            </w:pPr>
          </w:p>
          <w:p w14:paraId="69D58CD0">
            <w:pPr>
              <w:keepNext w:val="0"/>
              <w:keepLines w:val="0"/>
              <w:widowControl/>
              <w:suppressLineNumbers w:val="0"/>
              <w:tabs>
                <w:tab w:val="left" w:pos="210"/>
              </w:tabs>
              <w:topLinePunct w:val="0"/>
              <w:bidi w:val="0"/>
              <w:spacing w:before="0" w:beforeAutospacing="0" w:after="0" w:afterAutospacing="0" w:line="480" w:lineRule="exact"/>
              <w:ind w:left="0" w:right="0" w:firstLine="2880" w:firstLineChars="1200"/>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年  月  日</w:t>
            </w:r>
          </w:p>
        </w:tc>
      </w:tr>
    </w:tbl>
    <w:p w14:paraId="71EB5D43">
      <w:pPr>
        <w:pStyle w:val="4"/>
        <w:pageBreakBefore/>
        <w:jc w:val="center"/>
        <w:rPr>
          <w:rFonts w:hint="eastAsia" w:ascii="宋体" w:hAnsi="宋体" w:eastAsia="宋体" w:cs="宋体"/>
          <w:color w:val="auto"/>
        </w:rPr>
      </w:pPr>
      <w:bookmarkStart w:id="391" w:name="_Toc27709"/>
      <w:bookmarkStart w:id="392" w:name="_Toc10261"/>
      <w:bookmarkStart w:id="393" w:name="_Toc17113"/>
      <w:bookmarkStart w:id="394" w:name="_Toc13614"/>
      <w:bookmarkStart w:id="395" w:name="_Toc19543356"/>
      <w:bookmarkStart w:id="396" w:name="_Toc26296"/>
      <w:bookmarkStart w:id="397" w:name="_Toc30769"/>
      <w:bookmarkStart w:id="398" w:name="_Toc21672"/>
      <w:bookmarkStart w:id="399" w:name="_Toc6900"/>
      <w:bookmarkStart w:id="400" w:name="_Toc12960"/>
      <w:r>
        <w:rPr>
          <w:rFonts w:hint="eastAsia" w:ascii="宋体" w:hAnsi="宋体" w:eastAsia="宋体" w:cs="宋体"/>
          <w:color w:val="auto"/>
        </w:rPr>
        <w:t>法定代表人授权书</w:t>
      </w:r>
      <w:bookmarkEnd w:id="391"/>
      <w:bookmarkEnd w:id="392"/>
      <w:bookmarkEnd w:id="393"/>
      <w:bookmarkEnd w:id="394"/>
      <w:bookmarkEnd w:id="395"/>
      <w:bookmarkEnd w:id="396"/>
      <w:bookmarkEnd w:id="397"/>
      <w:bookmarkEnd w:id="398"/>
    </w:p>
    <w:p w14:paraId="45943590">
      <w:pPr>
        <w:pStyle w:val="19"/>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安康尚昊招标代理有限公司：</w:t>
      </w:r>
    </w:p>
    <w:p w14:paraId="39645682">
      <w:pPr>
        <w:tabs>
          <w:tab w:val="left" w:pos="8820"/>
        </w:tabs>
        <w:spacing w:line="400" w:lineRule="exact"/>
        <w:ind w:firstLine="570"/>
        <w:rPr>
          <w:rFonts w:hint="eastAsia" w:ascii="宋体" w:hAnsi="宋体" w:eastAsia="宋体" w:cs="宋体"/>
          <w:color w:val="auto"/>
          <w:sz w:val="24"/>
          <w:szCs w:val="24"/>
          <w:u w:val="single"/>
        </w:rPr>
      </w:pPr>
      <w:r>
        <w:rPr>
          <w:rFonts w:hint="eastAsia" w:ascii="宋体" w:hAnsi="宋体" w:eastAsia="宋体" w:cs="宋体"/>
          <w:color w:val="auto"/>
          <w:sz w:val="24"/>
          <w:szCs w:val="24"/>
        </w:rPr>
        <w:t>本授权委托书声明：我</w:t>
      </w: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系注册于</w:t>
      </w:r>
      <w:r>
        <w:rPr>
          <w:rFonts w:hint="eastAsia" w:ascii="宋体" w:hAnsi="宋体" w:eastAsia="宋体" w:cs="宋体"/>
          <w:color w:val="auto"/>
          <w:sz w:val="24"/>
          <w:szCs w:val="24"/>
          <w:u w:val="single"/>
        </w:rPr>
        <w:t xml:space="preserve">  （供应商地址）</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 xml:space="preserve">（供应商名称）  </w:t>
      </w:r>
      <w:r>
        <w:rPr>
          <w:rFonts w:hint="eastAsia" w:ascii="宋体" w:hAnsi="宋体" w:eastAsia="宋体" w:cs="宋体"/>
          <w:color w:val="auto"/>
          <w:sz w:val="24"/>
          <w:szCs w:val="24"/>
        </w:rPr>
        <w:t>的法定代表人，现代表公司授权下面签字的</w:t>
      </w:r>
      <w:r>
        <w:rPr>
          <w:rFonts w:hint="eastAsia" w:ascii="宋体" w:hAnsi="宋体" w:eastAsia="宋体" w:cs="宋体"/>
          <w:color w:val="auto"/>
          <w:sz w:val="24"/>
          <w:szCs w:val="24"/>
          <w:u w:val="single"/>
        </w:rPr>
        <w:t xml:space="preserve">（被授权人的姓名、职务）   </w:t>
      </w:r>
      <w:r>
        <w:rPr>
          <w:rFonts w:hint="eastAsia" w:ascii="宋体" w:hAnsi="宋体" w:eastAsia="宋体" w:cs="宋体"/>
          <w:color w:val="auto"/>
          <w:sz w:val="24"/>
          <w:szCs w:val="24"/>
        </w:rPr>
        <w:t>为我公司合法代理人，代表本公司参加</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采购项目编号为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的采购活动。以我方名义全权处理该项目有关</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、签订合同以及执行合同等一切事宜。</w:t>
      </w:r>
    </w:p>
    <w:p w14:paraId="2CC93A26">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有效期自</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之日起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日历日，特此声明。</w:t>
      </w:r>
    </w:p>
    <w:p w14:paraId="67CC0A78">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委托单位：    （公章）                  法定代表人（签字或盖章）：</w:t>
      </w:r>
    </w:p>
    <w:p w14:paraId="36528406">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签发日期：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01E5F953">
      <w:pPr>
        <w:spacing w:line="5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附：被授权人姓名：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14:paraId="6AC2750E">
      <w:pPr>
        <w:spacing w:line="500" w:lineRule="exact"/>
        <w:ind w:firstLine="480" w:firstLineChars="200"/>
        <w:rPr>
          <w:rFonts w:hint="eastAsia" w:ascii="宋体" w:hAnsi="宋体" w:eastAsia="宋体" w:cs="宋体"/>
          <w:sz w:val="24"/>
          <w:szCs w:val="24"/>
          <w:highlight w:val="none"/>
          <w:u w:val="thick"/>
        </w:rPr>
      </w:pPr>
      <w:r>
        <w:rPr>
          <w:rFonts w:hint="eastAsia" w:ascii="宋体" w:hAnsi="宋体" w:eastAsia="宋体" w:cs="宋体"/>
          <w:sz w:val="24"/>
          <w:szCs w:val="24"/>
          <w:highlight w:val="none"/>
        </w:rPr>
        <w:t>联系地址：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thick"/>
        </w:rPr>
        <w:t xml:space="preserve">           </w:t>
      </w:r>
    </w:p>
    <w:p w14:paraId="6A8A9A03">
      <w:pPr>
        <w:spacing w:line="500" w:lineRule="exact"/>
        <w:ind w:firstLine="480" w:firstLineChars="200"/>
        <w:rPr>
          <w:rFonts w:hint="eastAsia" w:ascii="宋体" w:hAnsi="宋体" w:eastAsia="宋体" w:cs="宋体"/>
          <w:sz w:val="24"/>
          <w:szCs w:val="24"/>
          <w:highlight w:val="none"/>
          <w:u w:val="thick"/>
        </w:rPr>
      </w:pPr>
      <w:r>
        <w:rPr>
          <w:rFonts w:hint="eastAsia" w:ascii="宋体" w:hAnsi="宋体" w:eastAsia="宋体" w:cs="宋体"/>
          <w:sz w:val="24"/>
          <w:szCs w:val="24"/>
          <w:highlight w:val="none"/>
        </w:rPr>
        <w:t>传真：</w:t>
      </w:r>
      <w:r>
        <w:rPr>
          <w:rFonts w:hint="eastAsia" w:ascii="宋体" w:hAnsi="宋体" w:eastAsia="宋体" w:cs="宋体"/>
          <w:sz w:val="24"/>
          <w:szCs w:val="24"/>
          <w:highlight w:val="none"/>
          <w:u w:val="thick"/>
        </w:rPr>
        <w:t xml:space="preserve">    </w:t>
      </w:r>
    </w:p>
    <w:p w14:paraId="1DFE3EA4">
      <w:pPr>
        <w:pStyle w:val="19"/>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法定代表人及被授权人身份证复印件</w:t>
      </w:r>
    </w:p>
    <w:tbl>
      <w:tblPr>
        <w:tblStyle w:val="37"/>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2"/>
        <w:gridCol w:w="4531"/>
      </w:tblGrid>
      <w:tr w14:paraId="43A8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5" w:hRule="atLeast"/>
          <w:jc w:val="center"/>
        </w:trPr>
        <w:tc>
          <w:tcPr>
            <w:tcW w:w="4542" w:type="dxa"/>
            <w:shd w:val="clear" w:color="auto" w:fill="D9D9D9"/>
            <w:vAlign w:val="center"/>
          </w:tcPr>
          <w:p w14:paraId="7FBE6FB7">
            <w:pPr>
              <w:pStyle w:val="19"/>
              <w:keepNext w:val="0"/>
              <w:keepLines w:val="0"/>
              <w:widowControl/>
              <w:suppressLineNumbers w:val="0"/>
              <w:spacing w:before="0" w:beforeAutospacing="0" w:after="0" w:afterAutospacing="0" w:line="500" w:lineRule="exact"/>
              <w:ind w:left="0" w:right="0"/>
              <w:jc w:val="left"/>
              <w:rPr>
                <w:rFonts w:hint="eastAsia" w:ascii="宋体" w:hAnsi="宋体" w:eastAsia="宋体" w:cs="宋体"/>
                <w:color w:val="auto"/>
                <w:sz w:val="22"/>
                <w:szCs w:val="24"/>
                <w:shd w:val="pct10" w:color="auto" w:fill="FFFFFF"/>
              </w:rPr>
            </w:pPr>
            <w:r>
              <w:rPr>
                <w:rFonts w:hint="eastAsia" w:ascii="宋体" w:hAnsi="宋体" w:eastAsia="宋体" w:cs="宋体"/>
                <w:color w:val="auto"/>
                <w:sz w:val="22"/>
                <w:szCs w:val="24"/>
                <w:shd w:val="pct10" w:color="auto" w:fill="FFFFFF"/>
              </w:rPr>
              <w:t>法定代表人身份证复印件（正面）</w:t>
            </w:r>
          </w:p>
        </w:tc>
        <w:tc>
          <w:tcPr>
            <w:tcW w:w="4531" w:type="dxa"/>
            <w:shd w:val="clear" w:color="auto" w:fill="D9D9D9"/>
            <w:vAlign w:val="center"/>
          </w:tcPr>
          <w:p w14:paraId="7D85E88F">
            <w:pPr>
              <w:pStyle w:val="19"/>
              <w:keepNext w:val="0"/>
              <w:keepLines w:val="0"/>
              <w:widowControl/>
              <w:suppressLineNumbers w:val="0"/>
              <w:spacing w:before="0" w:beforeAutospacing="0" w:after="0" w:afterAutospacing="0" w:line="500" w:lineRule="exact"/>
              <w:ind w:left="0" w:right="0" w:firstLine="440" w:firstLineChars="200"/>
              <w:jc w:val="left"/>
              <w:rPr>
                <w:rFonts w:hint="eastAsia" w:ascii="宋体" w:hAnsi="宋体" w:eastAsia="宋体" w:cs="宋体"/>
                <w:color w:val="auto"/>
                <w:sz w:val="22"/>
                <w:szCs w:val="24"/>
                <w:shd w:val="pct10" w:color="auto" w:fill="FFFFFF"/>
              </w:rPr>
            </w:pPr>
            <w:r>
              <w:rPr>
                <w:rFonts w:hint="eastAsia" w:ascii="宋体" w:hAnsi="宋体" w:eastAsia="宋体" w:cs="宋体"/>
                <w:color w:val="auto"/>
                <w:sz w:val="22"/>
                <w:szCs w:val="24"/>
                <w:shd w:val="pct10" w:color="auto" w:fill="FFFFFF"/>
              </w:rPr>
              <w:t>被授权人身份证复印件（正面）</w:t>
            </w:r>
          </w:p>
        </w:tc>
      </w:tr>
      <w:tr w14:paraId="36F8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jc w:val="center"/>
        </w:trPr>
        <w:tc>
          <w:tcPr>
            <w:tcW w:w="4542" w:type="dxa"/>
            <w:shd w:val="clear" w:color="auto" w:fill="D9D9D9"/>
            <w:vAlign w:val="center"/>
          </w:tcPr>
          <w:p w14:paraId="1516DB80">
            <w:pPr>
              <w:pStyle w:val="19"/>
              <w:keepNext w:val="0"/>
              <w:keepLines w:val="0"/>
              <w:widowControl/>
              <w:suppressLineNumbers w:val="0"/>
              <w:spacing w:before="0" w:beforeAutospacing="0" w:after="0" w:afterAutospacing="0" w:line="500" w:lineRule="exact"/>
              <w:ind w:left="0" w:right="0"/>
              <w:jc w:val="left"/>
              <w:rPr>
                <w:rFonts w:hint="eastAsia" w:ascii="宋体" w:hAnsi="宋体" w:eastAsia="宋体" w:cs="宋体"/>
                <w:color w:val="auto"/>
                <w:sz w:val="22"/>
                <w:szCs w:val="24"/>
                <w:shd w:val="pct10" w:color="auto" w:fill="FFFFFF"/>
              </w:rPr>
            </w:pPr>
            <w:r>
              <w:rPr>
                <w:rFonts w:hint="eastAsia" w:ascii="宋体" w:hAnsi="宋体" w:eastAsia="宋体" w:cs="宋体"/>
                <w:color w:val="auto"/>
                <w:sz w:val="22"/>
                <w:szCs w:val="24"/>
                <w:shd w:val="pct10" w:color="auto" w:fill="FFFFFF"/>
              </w:rPr>
              <w:t>法定代表人身份证复印件（反面）</w:t>
            </w:r>
          </w:p>
        </w:tc>
        <w:tc>
          <w:tcPr>
            <w:tcW w:w="4531" w:type="dxa"/>
            <w:shd w:val="clear" w:color="auto" w:fill="D9D9D9"/>
            <w:vAlign w:val="center"/>
          </w:tcPr>
          <w:p w14:paraId="4A6A5C22">
            <w:pPr>
              <w:pStyle w:val="19"/>
              <w:keepNext w:val="0"/>
              <w:keepLines w:val="0"/>
              <w:widowControl/>
              <w:suppressLineNumbers w:val="0"/>
              <w:spacing w:before="0" w:beforeAutospacing="0" w:after="0" w:afterAutospacing="0" w:line="500" w:lineRule="exact"/>
              <w:ind w:left="0" w:right="0" w:firstLine="440" w:firstLineChars="200"/>
              <w:jc w:val="left"/>
              <w:rPr>
                <w:rFonts w:hint="eastAsia" w:ascii="宋体" w:hAnsi="宋体" w:eastAsia="宋体" w:cs="宋体"/>
                <w:color w:val="auto"/>
                <w:sz w:val="22"/>
                <w:szCs w:val="24"/>
                <w:shd w:val="pct10" w:color="auto" w:fill="FFFFFF"/>
              </w:rPr>
            </w:pPr>
            <w:r>
              <w:rPr>
                <w:rFonts w:hint="eastAsia" w:ascii="宋体" w:hAnsi="宋体" w:eastAsia="宋体" w:cs="宋体"/>
                <w:color w:val="auto"/>
                <w:sz w:val="22"/>
                <w:szCs w:val="24"/>
                <w:shd w:val="pct10" w:color="auto" w:fill="FFFFFF"/>
              </w:rPr>
              <w:t>被授权人身份证复印件（反面）</w:t>
            </w:r>
          </w:p>
        </w:tc>
      </w:tr>
    </w:tbl>
    <w:p w14:paraId="6746DB8C">
      <w:pPr>
        <w:pStyle w:val="19"/>
        <w:spacing w:line="5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说明：</w:t>
      </w:r>
    </w:p>
    <w:p w14:paraId="3D341CBD">
      <w:pPr>
        <w:pStyle w:val="19"/>
        <w:spacing w:line="5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1．本授权书有效期自招标大会之日计算不得少于90日历日。</w:t>
      </w:r>
    </w:p>
    <w:p w14:paraId="75915B84">
      <w:pPr>
        <w:ind w:firstLine="480" w:firstLineChars="200"/>
        <w:rPr>
          <w:rFonts w:hint="eastAsia" w:ascii="宋体" w:hAnsi="宋体" w:eastAsia="宋体" w:cs="宋体"/>
          <w:b w:val="0"/>
          <w:bCs w:val="0"/>
          <w:color w:val="auto"/>
          <w:sz w:val="24"/>
          <w:szCs w:val="24"/>
        </w:rPr>
        <w:sectPr>
          <w:pgSz w:w="11905" w:h="16838"/>
          <w:pgMar w:top="1247" w:right="1134" w:bottom="1247" w:left="1134" w:header="964" w:footer="964" w:gutter="0"/>
          <w:pgNumType w:fmt="decimal"/>
          <w:cols w:space="0" w:num="1"/>
          <w:rtlGutter w:val="0"/>
          <w:docGrid w:type="lines" w:linePitch="398" w:charSpace="0"/>
        </w:sectPr>
      </w:pPr>
      <w:r>
        <w:rPr>
          <w:rFonts w:hint="eastAsia" w:ascii="宋体" w:hAnsi="宋体" w:eastAsia="宋体" w:cs="宋体"/>
          <w:color w:val="auto"/>
          <w:sz w:val="24"/>
          <w:szCs w:val="24"/>
        </w:rPr>
        <w:t>2．授权书内容填写要明确，文字要工整清楚，涂改无效。</w:t>
      </w:r>
    </w:p>
    <w:p w14:paraId="1653C922">
      <w:pPr>
        <w:pStyle w:val="4"/>
        <w:topLinePunct w:val="0"/>
        <w:bidi w:val="0"/>
        <w:spacing w:line="480" w:lineRule="exact"/>
        <w:jc w:val="center"/>
        <w:rPr>
          <w:rFonts w:hint="eastAsia" w:ascii="宋体" w:hAnsi="宋体" w:eastAsia="宋体" w:cs="宋体"/>
          <w:color w:val="auto"/>
        </w:rPr>
      </w:pPr>
      <w:bookmarkStart w:id="401" w:name="_Toc25828"/>
      <w:bookmarkStart w:id="402" w:name="_Toc28000"/>
      <w:bookmarkStart w:id="403" w:name="_Toc32189"/>
      <w:bookmarkStart w:id="404" w:name="_Toc1281"/>
      <w:bookmarkStart w:id="405" w:name="_Toc3308"/>
      <w:bookmarkStart w:id="406" w:name="_Toc29612"/>
      <w:r>
        <w:rPr>
          <w:rFonts w:hint="eastAsia" w:ascii="宋体" w:hAnsi="宋体" w:eastAsia="宋体" w:cs="宋体"/>
          <w:color w:val="auto"/>
        </w:rPr>
        <w:t>无重大违法记录声明</w:t>
      </w:r>
      <w:bookmarkEnd w:id="399"/>
      <w:bookmarkEnd w:id="400"/>
      <w:bookmarkEnd w:id="401"/>
      <w:bookmarkEnd w:id="402"/>
      <w:bookmarkEnd w:id="403"/>
      <w:bookmarkEnd w:id="404"/>
      <w:bookmarkEnd w:id="405"/>
      <w:bookmarkEnd w:id="406"/>
    </w:p>
    <w:p w14:paraId="0AD9F0AA">
      <w:pPr>
        <w:topLinePunct w:val="0"/>
        <w:bidi w:val="0"/>
        <w:snapToGrid w:val="0"/>
        <w:spacing w:line="480" w:lineRule="exact"/>
        <w:ind w:firstLine="480" w:firstLineChars="200"/>
        <w:jc w:val="left"/>
        <w:rPr>
          <w:rFonts w:hint="eastAsia" w:ascii="宋体" w:hAnsi="宋体" w:eastAsia="宋体" w:cs="宋体"/>
          <w:color w:val="auto"/>
          <w:kern w:val="0"/>
          <w:sz w:val="24"/>
          <w:szCs w:val="24"/>
        </w:rPr>
      </w:pPr>
    </w:p>
    <w:p w14:paraId="1FCDE31C">
      <w:pPr>
        <w:adjustRightInd w:val="0"/>
        <w:snapToGrid w:val="0"/>
        <w:spacing w:line="408" w:lineRule="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安康尚昊招标代理有限公司</w:t>
      </w:r>
      <w:r>
        <w:rPr>
          <w:rFonts w:hint="eastAsia" w:ascii="宋体" w:hAnsi="宋体" w:eastAsia="宋体" w:cs="宋体"/>
          <w:bCs/>
          <w:sz w:val="24"/>
          <w:szCs w:val="24"/>
          <w:highlight w:val="none"/>
        </w:rPr>
        <w:t>：</w:t>
      </w:r>
    </w:p>
    <w:p w14:paraId="742A979B">
      <w:pPr>
        <w:adjustRightInd w:val="0"/>
        <w:snapToGrid w:val="0"/>
        <w:spacing w:line="408"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我方愿响应贵方</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日发布的</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项目（项目编号：</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）公告内容，参与投标，提供采购人需求中规定的全部内容。作为参加本次政府采购活动的投标人，郑重承诺：</w:t>
      </w:r>
    </w:p>
    <w:p w14:paraId="7B412683">
      <w:pPr>
        <w:adjustRightInd w:val="0"/>
        <w:snapToGrid w:val="0"/>
        <w:spacing w:line="408"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1</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rPr>
        <w:t>我方参加本次政府采购活动近三年内，在经营活动中没有重大违法记录及其他违法采购活动记录，未被列入失信被执行人名单，未被列入重大税收违法案件记录名单，未被列入政府采购严重违法失信行为记录名单。</w:t>
      </w:r>
    </w:p>
    <w:p w14:paraId="4DB7BADA">
      <w:pPr>
        <w:adjustRightInd w:val="0"/>
        <w:snapToGrid w:val="0"/>
        <w:spacing w:line="408"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2</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rPr>
        <w:t>我方参与本次政府采购活动近三年内：没有处于被责令停业的状态；没有处于被行政主管部门取消投标资格的处罚期内；没有处于财产被接管、冻结、破产的状态；在近三年内没有行政主管部门已书面认定的重大质量问题；没有在近三年内被人民法院判决犯有行贿罪的记录。</w:t>
      </w:r>
    </w:p>
    <w:p w14:paraId="0138F7B7">
      <w:pPr>
        <w:adjustRightInd w:val="0"/>
        <w:snapToGrid w:val="0"/>
        <w:spacing w:line="408"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本公司对上述承诺的真实性负责，如有虚假，我方自行承担一切后果及法律责任。</w:t>
      </w:r>
    </w:p>
    <w:p w14:paraId="42FADFC5">
      <w:pPr>
        <w:adjustRightInd w:val="0"/>
        <w:snapToGrid w:val="0"/>
        <w:spacing w:line="408" w:lineRule="auto"/>
        <w:rPr>
          <w:rFonts w:hint="eastAsia" w:ascii="宋体" w:hAnsi="宋体" w:eastAsia="宋体" w:cs="宋体"/>
          <w:color w:val="auto"/>
          <w:sz w:val="24"/>
          <w:szCs w:val="24"/>
        </w:rPr>
      </w:pPr>
      <w:r>
        <w:rPr>
          <w:rFonts w:hint="eastAsia" w:ascii="宋体" w:hAnsi="宋体" w:eastAsia="宋体" w:cs="宋体"/>
          <w:bCs/>
          <w:sz w:val="24"/>
          <w:szCs w:val="24"/>
          <w:highlight w:val="none"/>
        </w:rPr>
        <w:t xml:space="preserve">    </w:t>
      </w:r>
      <w:r>
        <w:rPr>
          <w:rFonts w:hint="eastAsia" w:ascii="宋体" w:hAnsi="宋体" w:eastAsia="宋体" w:cs="宋体"/>
          <w:b/>
          <w:bCs/>
          <w:sz w:val="24"/>
          <w:szCs w:val="24"/>
          <w:highlight w:val="none"/>
        </w:rPr>
        <w:t>注：在对投标文件中此声明函真实性和有效性进行审查、验证时，如有造假/情况不一致/未按要求提供的，按无效文件处理。</w:t>
      </w:r>
    </w:p>
    <w:p w14:paraId="7028F52B">
      <w:pPr>
        <w:topLinePunct w:val="0"/>
        <w:bidi w:val="0"/>
        <w:spacing w:line="480" w:lineRule="exact"/>
        <w:rPr>
          <w:rFonts w:hint="eastAsia" w:ascii="宋体" w:hAnsi="宋体" w:eastAsia="宋体" w:cs="宋体"/>
          <w:color w:val="auto"/>
          <w:sz w:val="24"/>
          <w:szCs w:val="24"/>
        </w:rPr>
      </w:pPr>
    </w:p>
    <w:p w14:paraId="37C9A2EA">
      <w:pPr>
        <w:topLinePunct w:val="0"/>
        <w:bidi w:val="0"/>
        <w:spacing w:line="480" w:lineRule="exact"/>
        <w:rPr>
          <w:rFonts w:hint="eastAsia" w:ascii="宋体" w:hAnsi="宋体" w:eastAsia="宋体" w:cs="宋体"/>
          <w:color w:val="auto"/>
          <w:sz w:val="24"/>
          <w:szCs w:val="24"/>
        </w:rPr>
      </w:pPr>
    </w:p>
    <w:p w14:paraId="57C94298">
      <w:pPr>
        <w:topLinePunct w:val="0"/>
        <w:bidi w:val="0"/>
        <w:spacing w:line="480" w:lineRule="exact"/>
        <w:rPr>
          <w:rFonts w:hint="eastAsia" w:ascii="宋体" w:hAnsi="宋体" w:eastAsia="宋体" w:cs="宋体"/>
          <w:color w:val="auto"/>
          <w:sz w:val="24"/>
          <w:szCs w:val="24"/>
        </w:rPr>
      </w:pPr>
    </w:p>
    <w:p w14:paraId="12131A79">
      <w:pPr>
        <w:topLinePunct w:val="0"/>
        <w:bidi w:val="0"/>
        <w:spacing w:line="480" w:lineRule="exact"/>
        <w:rPr>
          <w:rFonts w:hint="eastAsia" w:ascii="宋体" w:hAnsi="宋体" w:eastAsia="宋体" w:cs="宋体"/>
          <w:color w:val="auto"/>
          <w:sz w:val="24"/>
          <w:szCs w:val="24"/>
          <w:lang w:eastAsia="zh-CN"/>
        </w:rPr>
      </w:pPr>
    </w:p>
    <w:p w14:paraId="2DD17874">
      <w:pPr>
        <w:widowControl w:val="0"/>
        <w:topLinePunct w:val="0"/>
        <w:bidi w:val="0"/>
        <w:adjustRightInd w:val="0"/>
        <w:snapToGrid w:val="0"/>
        <w:spacing w:line="480" w:lineRule="exact"/>
        <w:ind w:firstLine="480" w:firstLineChars="200"/>
        <w:jc w:val="left"/>
        <w:rPr>
          <w:rFonts w:hint="default" w:ascii="宋体" w:hAnsi="宋体" w:eastAsia="宋体"/>
          <w:color w:val="auto"/>
          <w:sz w:val="24"/>
          <w:szCs w:val="24"/>
          <w:u w:val="single"/>
          <w:lang w:val="en-US" w:eastAsia="zh-CN"/>
        </w:rPr>
      </w:pPr>
      <w:r>
        <w:rPr>
          <w:rFonts w:hint="eastAsia" w:ascii="宋体" w:hAnsi="宋体" w:eastAsia="宋体" w:cs="宋体"/>
          <w:color w:val="auto"/>
          <w:sz w:val="24"/>
          <w:szCs w:val="24"/>
          <w:lang w:val="en-US" w:eastAsia="zh-CN"/>
        </w:rPr>
        <w:t>供应商（单位名称及公章）：</w:t>
      </w:r>
      <w:r>
        <w:rPr>
          <w:rFonts w:hint="eastAsia" w:ascii="宋体" w:hAnsi="宋体" w:eastAsia="宋体" w:cs="宋体"/>
          <w:color w:val="auto"/>
          <w:sz w:val="24"/>
          <w:szCs w:val="24"/>
          <w:u w:val="single"/>
          <w:lang w:val="en-US" w:eastAsia="zh-CN"/>
        </w:rPr>
        <w:t xml:space="preserve">                                </w:t>
      </w:r>
    </w:p>
    <w:p w14:paraId="3B3E1D76">
      <w:pPr>
        <w:widowControl w:val="0"/>
        <w:topLinePunct w:val="0"/>
        <w:bidi w:val="0"/>
        <w:adjustRightInd w:val="0"/>
        <w:snapToGrid w:val="0"/>
        <w:spacing w:line="480" w:lineRule="exact"/>
        <w:ind w:firstLine="480" w:firstLineChars="200"/>
        <w:jc w:val="left"/>
        <w:rPr>
          <w:rFonts w:hint="eastAsia" w:ascii="宋体" w:hAnsi="宋体" w:eastAsia="宋体" w:cs="宋体"/>
          <w:b/>
          <w:bCs/>
          <w:color w:val="auto"/>
          <w:sz w:val="24"/>
          <w:szCs w:val="24"/>
          <w:u w:val="none"/>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被授权人（签字）：</w:t>
      </w:r>
      <w:r>
        <w:rPr>
          <w:rFonts w:hint="eastAsia" w:ascii="宋体" w:hAnsi="宋体" w:eastAsia="宋体" w:cs="宋体"/>
          <w:b/>
          <w:bCs/>
          <w:color w:val="auto"/>
          <w:sz w:val="24"/>
          <w:szCs w:val="24"/>
          <w:u w:val="none"/>
          <w:lang w:val="en-US" w:eastAsia="zh-CN"/>
        </w:rPr>
        <w:t>_________________</w:t>
      </w:r>
    </w:p>
    <w:p w14:paraId="5218AE9C">
      <w:pPr>
        <w:topLinePunct w:val="0"/>
        <w:bidi w:val="0"/>
        <w:adjustRightInd w:val="0"/>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日 </w:t>
      </w:r>
    </w:p>
    <w:p w14:paraId="40EF2B61">
      <w:pPr>
        <w:topLinePunct w:val="0"/>
        <w:bidi w:val="0"/>
        <w:adjustRightInd w:val="0"/>
        <w:snapToGrid w:val="0"/>
        <w:spacing w:line="480" w:lineRule="exact"/>
        <w:rPr>
          <w:rFonts w:hint="eastAsia" w:ascii="宋体" w:hAnsi="宋体" w:eastAsia="宋体" w:cs="宋体"/>
          <w:color w:val="auto"/>
          <w:sz w:val="24"/>
          <w:szCs w:val="24"/>
        </w:rPr>
      </w:pPr>
    </w:p>
    <w:p w14:paraId="5424CBA4">
      <w:pPr>
        <w:topLinePunct w:val="0"/>
        <w:bidi w:val="0"/>
        <w:spacing w:line="480" w:lineRule="exact"/>
        <w:rPr>
          <w:rFonts w:hint="eastAsia" w:ascii="宋体" w:hAnsi="宋体" w:eastAsia="宋体" w:cs="宋体"/>
          <w:color w:val="auto"/>
        </w:rPr>
        <w:sectPr>
          <w:headerReference r:id="rId16" w:type="default"/>
          <w:pgSz w:w="11905" w:h="16838"/>
          <w:pgMar w:top="1247" w:right="1134" w:bottom="1247" w:left="1134" w:header="964" w:footer="964" w:gutter="0"/>
          <w:pgNumType w:fmt="decimal"/>
          <w:cols w:space="0" w:num="1"/>
          <w:rtlGutter w:val="0"/>
          <w:docGrid w:type="lines" w:linePitch="398" w:charSpace="0"/>
        </w:sectPr>
      </w:pPr>
    </w:p>
    <w:p w14:paraId="5737B72A">
      <w:pPr>
        <w:topLinePunct w:val="0"/>
        <w:bidi w:val="0"/>
        <w:adjustRightInd w:val="0"/>
        <w:snapToGrid w:val="0"/>
        <w:spacing w:line="48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投标人非联合体投标声明</w:t>
      </w:r>
    </w:p>
    <w:p w14:paraId="42602593">
      <w:pPr>
        <w:topLinePunct w:val="0"/>
        <w:bidi w:val="0"/>
        <w:adjustRightInd w:val="0"/>
        <w:snapToGrid w:val="0"/>
        <w:spacing w:line="480" w:lineRule="exact"/>
        <w:rPr>
          <w:rFonts w:hint="eastAsia" w:ascii="仿宋" w:hAnsi="仿宋" w:eastAsia="仿宋" w:cs="黑体"/>
          <w:bCs/>
          <w:color w:val="auto"/>
          <w:sz w:val="28"/>
          <w:szCs w:val="28"/>
        </w:rPr>
      </w:pPr>
    </w:p>
    <w:p w14:paraId="43B15210">
      <w:pPr>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安康尚昊招标代理有限公司</w:t>
      </w:r>
      <w:r>
        <w:rPr>
          <w:rFonts w:hint="eastAsia" w:ascii="宋体" w:hAnsi="宋体" w:eastAsia="宋体" w:cs="宋体"/>
          <w:bCs/>
          <w:color w:val="auto"/>
          <w:sz w:val="24"/>
          <w:szCs w:val="24"/>
        </w:rPr>
        <w:t>：</w:t>
      </w:r>
    </w:p>
    <w:p w14:paraId="5D35C6FC">
      <w:pPr>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我方愿响应贵方</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年</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月</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日发布的</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项目（项目编号：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采购</w:t>
      </w:r>
      <w:r>
        <w:rPr>
          <w:rFonts w:hint="eastAsia" w:ascii="宋体" w:hAnsi="宋体" w:eastAsia="宋体" w:cs="宋体"/>
          <w:bCs/>
          <w:color w:val="auto"/>
          <w:sz w:val="24"/>
          <w:szCs w:val="24"/>
        </w:rPr>
        <w:t>内容，参与投标，提供采购人需求中规定的全部内容。本公司就参加投标工作，作出郑重声明：</w:t>
      </w:r>
    </w:p>
    <w:p w14:paraId="4760E61E">
      <w:pPr>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1.本公司保证在本项目投标中不与其他单位围标、串标，不出让投标资格，不向采购人、采购代理机构和评标委员会成员行贿。</w:t>
      </w:r>
    </w:p>
    <w:p w14:paraId="5B2CA0FE">
      <w:pPr>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2.本公司保证本项目并非联合体投标，本项目服务由本公司独立承担。</w:t>
      </w:r>
    </w:p>
    <w:p w14:paraId="3814E4C7">
      <w:pPr>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本公司违反上述保证，或本声明陈述与事实不符，经查实，我方自行承担一切后果及法律责任。</w:t>
      </w:r>
    </w:p>
    <w:p w14:paraId="546036E2">
      <w:pPr>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特此声明。</w:t>
      </w:r>
    </w:p>
    <w:p w14:paraId="66CB982B">
      <w:pPr>
        <w:pStyle w:val="13"/>
        <w:topLinePunct w:val="0"/>
        <w:bidi w:val="0"/>
        <w:spacing w:line="480" w:lineRule="exact"/>
        <w:rPr>
          <w:rFonts w:hint="eastAsia"/>
          <w:color w:val="auto"/>
        </w:rPr>
      </w:pPr>
    </w:p>
    <w:p w14:paraId="4758313B">
      <w:pPr>
        <w:topLinePunct w:val="0"/>
        <w:bidi w:val="0"/>
        <w:spacing w:line="480" w:lineRule="exact"/>
        <w:rPr>
          <w:rFonts w:hint="eastAsia"/>
          <w:color w:val="auto"/>
        </w:rPr>
      </w:pPr>
    </w:p>
    <w:p w14:paraId="77418AE4">
      <w:pPr>
        <w:topLinePunct w:val="0"/>
        <w:bidi w:val="0"/>
        <w:spacing w:line="480" w:lineRule="exact"/>
        <w:rPr>
          <w:rFonts w:hint="eastAsia"/>
          <w:color w:val="auto"/>
        </w:rPr>
      </w:pPr>
    </w:p>
    <w:p w14:paraId="0F50F7B2">
      <w:pPr>
        <w:topLinePunct w:val="0"/>
        <w:bidi w:val="0"/>
        <w:spacing w:line="480" w:lineRule="exact"/>
        <w:rPr>
          <w:rFonts w:hint="eastAsia"/>
          <w:color w:val="auto"/>
        </w:rPr>
      </w:pPr>
    </w:p>
    <w:p w14:paraId="4D422D19">
      <w:pPr>
        <w:topLinePunct w:val="0"/>
        <w:bidi w:val="0"/>
        <w:spacing w:line="480" w:lineRule="exact"/>
        <w:rPr>
          <w:rFonts w:hint="eastAsia"/>
          <w:color w:val="auto"/>
        </w:rPr>
      </w:pPr>
    </w:p>
    <w:p w14:paraId="421906CD">
      <w:pPr>
        <w:topLinePunct w:val="0"/>
        <w:bidi w:val="0"/>
        <w:spacing w:line="480" w:lineRule="exact"/>
        <w:rPr>
          <w:rFonts w:hint="eastAsia"/>
          <w:color w:val="auto"/>
        </w:rPr>
      </w:pPr>
    </w:p>
    <w:p w14:paraId="1E52A720">
      <w:pPr>
        <w:topLinePunct w:val="0"/>
        <w:bidi w:val="0"/>
        <w:spacing w:line="480" w:lineRule="exact"/>
        <w:rPr>
          <w:rFonts w:hint="eastAsia"/>
          <w:color w:val="auto"/>
        </w:rPr>
      </w:pPr>
    </w:p>
    <w:p w14:paraId="5ECA439F">
      <w:pPr>
        <w:widowControl w:val="0"/>
        <w:topLinePunct w:val="0"/>
        <w:bidi w:val="0"/>
        <w:adjustRightInd w:val="0"/>
        <w:snapToGrid w:val="0"/>
        <w:spacing w:line="480" w:lineRule="exact"/>
        <w:ind w:firstLine="480" w:firstLineChars="200"/>
        <w:jc w:val="left"/>
        <w:rPr>
          <w:rFonts w:hint="default" w:ascii="宋体" w:hAnsi="宋体" w:eastAsia="宋体"/>
          <w:color w:val="auto"/>
          <w:sz w:val="24"/>
          <w:szCs w:val="24"/>
          <w:u w:val="single"/>
          <w:lang w:val="en-US" w:eastAsia="zh-CN"/>
        </w:rPr>
      </w:pPr>
      <w:r>
        <w:rPr>
          <w:rFonts w:hint="eastAsia" w:ascii="宋体" w:hAnsi="宋体" w:eastAsia="宋体" w:cs="宋体"/>
          <w:color w:val="auto"/>
          <w:sz w:val="24"/>
          <w:szCs w:val="24"/>
          <w:lang w:val="en-US" w:eastAsia="zh-CN"/>
        </w:rPr>
        <w:t>供应商（单位名称及公章）：</w:t>
      </w:r>
      <w:r>
        <w:rPr>
          <w:rFonts w:hint="eastAsia" w:ascii="宋体" w:hAnsi="宋体" w:eastAsia="宋体" w:cs="宋体"/>
          <w:color w:val="auto"/>
          <w:sz w:val="24"/>
          <w:szCs w:val="24"/>
          <w:u w:val="single"/>
          <w:lang w:val="en-US" w:eastAsia="zh-CN"/>
        </w:rPr>
        <w:t xml:space="preserve">                                </w:t>
      </w:r>
    </w:p>
    <w:p w14:paraId="0F09E891">
      <w:pPr>
        <w:widowControl w:val="0"/>
        <w:topLinePunct w:val="0"/>
        <w:bidi w:val="0"/>
        <w:adjustRightInd w:val="0"/>
        <w:snapToGrid w:val="0"/>
        <w:spacing w:line="480" w:lineRule="exact"/>
        <w:ind w:firstLine="480" w:firstLineChars="200"/>
        <w:jc w:val="left"/>
        <w:rPr>
          <w:rFonts w:hint="eastAsia" w:ascii="宋体" w:hAnsi="宋体" w:eastAsia="宋体" w:cs="宋体"/>
          <w:b/>
          <w:bCs/>
          <w:color w:val="auto"/>
          <w:sz w:val="24"/>
          <w:szCs w:val="24"/>
          <w:u w:val="none"/>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被授权人（签字）：</w:t>
      </w:r>
      <w:r>
        <w:rPr>
          <w:rFonts w:hint="eastAsia" w:ascii="宋体" w:hAnsi="宋体" w:eastAsia="宋体" w:cs="宋体"/>
          <w:b/>
          <w:bCs/>
          <w:color w:val="auto"/>
          <w:sz w:val="24"/>
          <w:szCs w:val="24"/>
          <w:u w:val="none"/>
          <w:lang w:val="en-US" w:eastAsia="zh-CN"/>
        </w:rPr>
        <w:t>_________________</w:t>
      </w:r>
    </w:p>
    <w:p w14:paraId="2BF50EFC">
      <w:pPr>
        <w:topLinePunct w:val="0"/>
        <w:bidi w:val="0"/>
        <w:adjustRightInd w:val="0"/>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日 </w:t>
      </w:r>
    </w:p>
    <w:p w14:paraId="546F23B3">
      <w:pPr>
        <w:pStyle w:val="13"/>
        <w:topLinePunct w:val="0"/>
        <w:bidi w:val="0"/>
        <w:spacing w:line="480" w:lineRule="exact"/>
        <w:rPr>
          <w:rFonts w:hint="eastAsia"/>
          <w:color w:val="auto"/>
        </w:rPr>
        <w:sectPr>
          <w:pgSz w:w="11905" w:h="16838"/>
          <w:pgMar w:top="1247" w:right="1134" w:bottom="1247" w:left="1134" w:header="964" w:footer="964" w:gutter="0"/>
          <w:pgNumType w:fmt="decimal"/>
          <w:cols w:space="0" w:num="1"/>
          <w:rtlGutter w:val="0"/>
          <w:docGrid w:type="lines" w:linePitch="398" w:charSpace="0"/>
        </w:sectPr>
      </w:pPr>
    </w:p>
    <w:p w14:paraId="30140F1B">
      <w:pPr>
        <w:spacing w:after="190" w:afterLines="50" w:line="480" w:lineRule="exact"/>
        <w:jc w:val="center"/>
        <w:rPr>
          <w:rFonts w:hint="eastAsia" w:ascii="宋体" w:hAnsi="宋体" w:eastAsia="宋体" w:cs="宋体"/>
          <w:b/>
          <w:bCs w:val="0"/>
          <w:color w:val="auto"/>
          <w:sz w:val="24"/>
          <w:szCs w:val="24"/>
          <w:highlight w:val="none"/>
          <w:u w:val="none"/>
          <w:lang w:val="en-US" w:eastAsia="zh-CN"/>
        </w:rPr>
      </w:pPr>
      <w:bookmarkStart w:id="407" w:name="_Toc15986"/>
      <w:bookmarkStart w:id="408" w:name="_Toc25747"/>
      <w:bookmarkStart w:id="409" w:name="_Toc10859"/>
      <w:bookmarkStart w:id="410" w:name="_Toc22739"/>
      <w:bookmarkStart w:id="411" w:name="_Toc26308"/>
      <w:bookmarkStart w:id="412" w:name="_Toc28060"/>
      <w:r>
        <w:rPr>
          <w:rFonts w:hint="eastAsia" w:ascii="宋体" w:hAnsi="宋体" w:eastAsia="宋体" w:cs="宋体"/>
          <w:b/>
          <w:bCs w:val="0"/>
          <w:color w:val="auto"/>
          <w:sz w:val="24"/>
          <w:szCs w:val="24"/>
          <w:highlight w:val="none"/>
          <w:u w:val="none"/>
          <w:lang w:val="en-US" w:eastAsia="zh-CN"/>
        </w:rPr>
        <w:t>中小企业声明函（货物）</w:t>
      </w:r>
    </w:p>
    <w:p w14:paraId="1FE1C08F">
      <w:pPr>
        <w:pStyle w:val="144"/>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本公司（联合体）郑重声明，根据《政府采购促进中小企业发展管理办法》（财库﹝2020﹞46号）的规定，本公司 （联合体）参加</w:t>
      </w:r>
      <w:r>
        <w:rPr>
          <w:rFonts w:hint="eastAsia" w:ascii="宋体" w:hAnsi="宋体" w:eastAsia="宋体" w:cs="宋体"/>
          <w:b w:val="0"/>
          <w:bCs w:val="0"/>
          <w:color w:val="000000"/>
          <w:sz w:val="24"/>
          <w:szCs w:val="24"/>
          <w:u w:val="single"/>
        </w:rPr>
        <w:t>（单位名称）</w:t>
      </w:r>
      <w:r>
        <w:rPr>
          <w:rFonts w:hint="eastAsia" w:ascii="宋体" w:hAnsi="宋体" w:eastAsia="宋体" w:cs="宋体"/>
          <w:b w:val="0"/>
          <w:bCs w:val="0"/>
          <w:color w:val="000000"/>
          <w:sz w:val="24"/>
          <w:szCs w:val="24"/>
        </w:rPr>
        <w:t>的</w:t>
      </w:r>
      <w:r>
        <w:rPr>
          <w:rFonts w:hint="eastAsia" w:ascii="宋体" w:hAnsi="宋体" w:eastAsia="宋体" w:cs="宋体"/>
          <w:b w:val="0"/>
          <w:bCs w:val="0"/>
          <w:color w:val="000000"/>
          <w:sz w:val="24"/>
          <w:szCs w:val="24"/>
          <w:u w:val="single"/>
        </w:rPr>
        <w:t>（项目名称）</w:t>
      </w:r>
      <w:r>
        <w:rPr>
          <w:rFonts w:hint="eastAsia" w:ascii="宋体" w:hAnsi="宋体" w:eastAsia="宋体" w:cs="宋体"/>
          <w:b w:val="0"/>
          <w:bCs w:val="0"/>
          <w:color w:val="000000"/>
          <w:sz w:val="24"/>
          <w:szCs w:val="24"/>
        </w:rPr>
        <w:t>采购活动，提供的货物全部由符合政策要求的中小企业制造。相关企业 （含联合体中的中小企业、签订分包意向协议的中小企业） 的具体情况如下：</w:t>
      </w:r>
    </w:p>
    <w:p w14:paraId="73930B52">
      <w:pPr>
        <w:pStyle w:val="14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2"/>
          <w:sz w:val="24"/>
          <w:szCs w:val="24"/>
          <w:lang w:val="en-US" w:eastAsia="zh-CN" w:bidi="ar-SA"/>
        </w:rPr>
        <w:t>1.</w:t>
      </w:r>
      <w:r>
        <w:rPr>
          <w:rFonts w:hint="eastAsia" w:ascii="宋体" w:hAnsi="宋体" w:eastAsia="宋体" w:cs="宋体"/>
          <w:b w:val="0"/>
          <w:bCs w:val="0"/>
          <w:color w:val="000000"/>
          <w:sz w:val="24"/>
          <w:szCs w:val="24"/>
          <w:u w:val="single"/>
        </w:rPr>
        <w:t>（标的名称）</w:t>
      </w:r>
      <w:r>
        <w:rPr>
          <w:rFonts w:hint="eastAsia" w:ascii="宋体" w:hAnsi="宋体" w:eastAsia="宋体" w:cs="宋体"/>
          <w:b w:val="0"/>
          <w:bCs w:val="0"/>
          <w:color w:val="000000"/>
          <w:sz w:val="24"/>
          <w:szCs w:val="24"/>
        </w:rPr>
        <w:t xml:space="preserve"> ，属于</w:t>
      </w:r>
      <w:r>
        <w:rPr>
          <w:rFonts w:hint="eastAsia" w:ascii="宋体" w:hAnsi="宋体" w:eastAsia="宋体" w:cs="宋体"/>
          <w:b w:val="0"/>
          <w:bCs w:val="0"/>
          <w:color w:val="000000"/>
          <w:sz w:val="24"/>
          <w:szCs w:val="24"/>
          <w:u w:val="single"/>
        </w:rPr>
        <w:t xml:space="preserve">（采购文件中明确的所属行业） </w:t>
      </w:r>
      <w:r>
        <w:rPr>
          <w:rFonts w:hint="eastAsia" w:ascii="宋体" w:hAnsi="宋体" w:eastAsia="宋体" w:cs="宋体"/>
          <w:b w:val="0"/>
          <w:bCs w:val="0"/>
          <w:color w:val="000000"/>
          <w:sz w:val="24"/>
          <w:szCs w:val="24"/>
        </w:rPr>
        <w:t>行业；制造商为</w:t>
      </w:r>
      <w:r>
        <w:rPr>
          <w:rFonts w:hint="eastAsia" w:ascii="宋体" w:hAnsi="宋体" w:eastAsia="宋体" w:cs="宋体"/>
          <w:b w:val="0"/>
          <w:bCs w:val="0"/>
          <w:color w:val="000000"/>
          <w:sz w:val="24"/>
          <w:szCs w:val="24"/>
          <w:u w:val="single"/>
        </w:rPr>
        <w:t>（企业名称）</w:t>
      </w:r>
      <w:r>
        <w:rPr>
          <w:rFonts w:hint="eastAsia" w:ascii="宋体" w:hAnsi="宋体" w:eastAsia="宋体" w:cs="宋体"/>
          <w:b w:val="0"/>
          <w:bCs w:val="0"/>
          <w:color w:val="000000"/>
          <w:sz w:val="24"/>
          <w:szCs w:val="24"/>
        </w:rPr>
        <w:t>，从业人员</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人，营业收入为</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万元，资产总额为</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万元</w:t>
      </w:r>
      <w:r>
        <w:rPr>
          <w:rFonts w:hint="eastAsia" w:ascii="宋体" w:hAnsi="宋体" w:eastAsia="宋体" w:cs="宋体"/>
          <w:b w:val="0"/>
          <w:bCs w:val="0"/>
          <w:color w:val="000000"/>
          <w:sz w:val="32"/>
          <w:szCs w:val="32"/>
          <w:vertAlign w:val="superscript"/>
        </w:rPr>
        <w:t xml:space="preserve"> 1</w:t>
      </w:r>
      <w:r>
        <w:rPr>
          <w:rFonts w:hint="eastAsia" w:ascii="宋体" w:hAnsi="宋体" w:eastAsia="宋体" w:cs="宋体"/>
          <w:b w:val="0"/>
          <w:bCs w:val="0"/>
          <w:color w:val="000000"/>
          <w:sz w:val="24"/>
          <w:szCs w:val="24"/>
        </w:rPr>
        <w:t>，属于</w:t>
      </w:r>
      <w:r>
        <w:rPr>
          <w:rFonts w:hint="eastAsia" w:ascii="宋体" w:hAnsi="宋体" w:eastAsia="宋体" w:cs="宋体"/>
          <w:b w:val="0"/>
          <w:bCs w:val="0"/>
          <w:color w:val="000000"/>
          <w:sz w:val="24"/>
          <w:szCs w:val="24"/>
          <w:u w:val="single"/>
        </w:rPr>
        <w:t>（中型企业、小 型企业、微型企业）</w:t>
      </w:r>
      <w:r>
        <w:rPr>
          <w:rFonts w:hint="eastAsia" w:ascii="宋体" w:hAnsi="宋体" w:eastAsia="宋体" w:cs="宋体"/>
          <w:b w:val="0"/>
          <w:bCs w:val="0"/>
          <w:color w:val="000000"/>
          <w:sz w:val="24"/>
          <w:szCs w:val="24"/>
        </w:rPr>
        <w:t xml:space="preserve">； </w:t>
      </w:r>
    </w:p>
    <w:p w14:paraId="15609684">
      <w:pPr>
        <w:pStyle w:val="14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r>
        <w:rPr>
          <w:rFonts w:hint="eastAsia" w:ascii="宋体" w:hAnsi="宋体" w:eastAsia="宋体" w:cs="宋体"/>
          <w:b w:val="0"/>
          <w:bCs w:val="0"/>
          <w:color w:val="000000"/>
          <w:sz w:val="24"/>
          <w:szCs w:val="24"/>
          <w:u w:val="single"/>
        </w:rPr>
        <w:t xml:space="preserve"> （标的名称） </w:t>
      </w:r>
      <w:r>
        <w:rPr>
          <w:rFonts w:hint="eastAsia" w:ascii="宋体" w:hAnsi="宋体" w:eastAsia="宋体" w:cs="宋体"/>
          <w:b w:val="0"/>
          <w:bCs w:val="0"/>
          <w:color w:val="000000"/>
          <w:sz w:val="24"/>
          <w:szCs w:val="24"/>
        </w:rPr>
        <w:t>，属于</w:t>
      </w:r>
      <w:r>
        <w:rPr>
          <w:rFonts w:hint="eastAsia" w:ascii="宋体" w:hAnsi="宋体" w:eastAsia="宋体" w:cs="宋体"/>
          <w:b w:val="0"/>
          <w:bCs w:val="0"/>
          <w:color w:val="000000"/>
          <w:sz w:val="24"/>
          <w:szCs w:val="24"/>
          <w:u w:val="single"/>
        </w:rPr>
        <w:t xml:space="preserve">（采购文件中明确的所属行业） </w:t>
      </w:r>
      <w:r>
        <w:rPr>
          <w:rFonts w:hint="eastAsia" w:ascii="宋体" w:hAnsi="宋体" w:eastAsia="宋体" w:cs="宋体"/>
          <w:b w:val="0"/>
          <w:bCs w:val="0"/>
          <w:color w:val="000000"/>
          <w:sz w:val="24"/>
          <w:szCs w:val="24"/>
        </w:rPr>
        <w:t>行业；制造商为</w:t>
      </w:r>
      <w:r>
        <w:rPr>
          <w:rFonts w:hint="eastAsia" w:ascii="宋体" w:hAnsi="宋体" w:eastAsia="宋体" w:cs="宋体"/>
          <w:b w:val="0"/>
          <w:bCs w:val="0"/>
          <w:color w:val="000000"/>
          <w:sz w:val="24"/>
          <w:szCs w:val="24"/>
          <w:u w:val="single"/>
        </w:rPr>
        <w:t>（企业名称）</w:t>
      </w:r>
      <w:r>
        <w:rPr>
          <w:rFonts w:hint="eastAsia" w:ascii="宋体" w:hAnsi="宋体" w:eastAsia="宋体" w:cs="宋体"/>
          <w:b w:val="0"/>
          <w:bCs w:val="0"/>
          <w:color w:val="000000"/>
          <w:sz w:val="24"/>
          <w:szCs w:val="24"/>
        </w:rPr>
        <w:t>，从业人员</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人，营业收入为</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万元，资产总额为</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万元，属于</w:t>
      </w:r>
      <w:r>
        <w:rPr>
          <w:rFonts w:hint="eastAsia" w:ascii="宋体" w:hAnsi="宋体" w:eastAsia="宋体" w:cs="宋体"/>
          <w:b w:val="0"/>
          <w:bCs w:val="0"/>
          <w:color w:val="000000"/>
          <w:sz w:val="24"/>
          <w:szCs w:val="24"/>
          <w:u w:val="single"/>
        </w:rPr>
        <w:t>（中型企业、小型 企业、微型企业）</w:t>
      </w:r>
      <w:r>
        <w:rPr>
          <w:rFonts w:hint="eastAsia" w:ascii="宋体" w:hAnsi="宋体" w:eastAsia="宋体" w:cs="宋体"/>
          <w:b w:val="0"/>
          <w:bCs w:val="0"/>
          <w:color w:val="000000"/>
          <w:sz w:val="24"/>
          <w:szCs w:val="24"/>
        </w:rPr>
        <w:t xml:space="preserve">； </w:t>
      </w:r>
    </w:p>
    <w:p w14:paraId="2DE21894">
      <w:pPr>
        <w:pStyle w:val="14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w:t>
      </w:r>
    </w:p>
    <w:p w14:paraId="1495C7E5">
      <w:pPr>
        <w:pStyle w:val="14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以上企业，不属于大企业的分支机构，不存在控股股东为大企业的情形，也不存在与大企业的负责人为同一人的情形。 </w:t>
      </w:r>
    </w:p>
    <w:p w14:paraId="5050D7CC">
      <w:pPr>
        <w:pStyle w:val="14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本企业对上述声明内容的真实性负责。如有虚假，将依法承担相应责任。 </w:t>
      </w:r>
    </w:p>
    <w:p w14:paraId="3952BE5A">
      <w:pPr>
        <w:pStyle w:val="14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b w:val="0"/>
          <w:bCs w:val="0"/>
          <w:color w:val="000000"/>
          <w:sz w:val="24"/>
          <w:szCs w:val="24"/>
        </w:rPr>
      </w:pPr>
    </w:p>
    <w:p w14:paraId="7DF6A32E">
      <w:pPr>
        <w:spacing w:after="190" w:afterLines="50" w:line="480" w:lineRule="exact"/>
        <w:ind w:firstLine="3840" w:firstLineChars="16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企业名称（盖章）： </w:t>
      </w:r>
    </w:p>
    <w:p w14:paraId="473B1B1E">
      <w:pPr>
        <w:spacing w:after="190" w:afterLines="50" w:line="480" w:lineRule="exact"/>
        <w:ind w:firstLine="3840" w:firstLineChars="16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日 期： </w:t>
      </w:r>
    </w:p>
    <w:p w14:paraId="17177E80">
      <w:pPr>
        <w:pStyle w:val="14"/>
        <w:ind w:firstLine="480" w:firstLineChars="20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注：1.¹从业人员、营业收入、资产总额填报上一年度数据，无上一年度数据的新成立企业可不填报。</w:t>
      </w:r>
    </w:p>
    <w:p w14:paraId="20C4067E">
      <w:pPr>
        <w:spacing w:line="360" w:lineRule="auto"/>
        <w:ind w:firstLine="720" w:firstLineChars="300"/>
        <w:jc w:val="left"/>
        <w:outlineLvl w:val="9"/>
        <w:rPr>
          <w:rFonts w:hint="eastAsia" w:ascii="宋体" w:hAnsi="宋体" w:eastAsia="宋体" w:cs="宋体"/>
          <w:bCs/>
          <w:kern w:val="2"/>
          <w:sz w:val="24"/>
          <w:szCs w:val="24"/>
          <w:highlight w:val="none"/>
          <w:lang w:val="en-US" w:eastAsia="zh-CN" w:bidi="ar-SA"/>
        </w:rPr>
        <w:sectPr>
          <w:headerReference r:id="rId17" w:type="default"/>
          <w:footerReference r:id="rId18" w:type="default"/>
          <w:pgSz w:w="11905" w:h="16838"/>
          <w:pgMar w:top="1247" w:right="1134" w:bottom="1247" w:left="1134" w:header="964" w:footer="964" w:gutter="0"/>
          <w:pgNumType w:fmt="decimal"/>
          <w:cols w:space="0" w:num="1"/>
          <w:rtlGutter w:val="0"/>
          <w:docGrid w:type="lines" w:linePitch="398" w:charSpace="0"/>
        </w:sectPr>
      </w:pPr>
    </w:p>
    <w:p w14:paraId="5E2C02EE">
      <w:pPr>
        <w:spacing w:after="190" w:afterLines="50" w:line="480" w:lineRule="exact"/>
        <w:jc w:val="center"/>
        <w:rPr>
          <w:rFonts w:hint="eastAsia" w:ascii="宋体" w:hAnsi="宋体" w:eastAsia="宋体" w:cs="宋体"/>
          <w:b/>
          <w:bCs w:val="0"/>
          <w:color w:val="auto"/>
          <w:sz w:val="24"/>
          <w:szCs w:val="24"/>
          <w:u w:val="none"/>
          <w:lang w:val="en-US" w:eastAsia="zh-CN"/>
        </w:rPr>
      </w:pPr>
      <w:r>
        <w:rPr>
          <w:rFonts w:hint="eastAsia" w:ascii="宋体" w:hAnsi="宋体" w:eastAsia="宋体" w:cs="宋体"/>
          <w:b/>
          <w:bCs w:val="0"/>
          <w:color w:val="auto"/>
          <w:sz w:val="24"/>
          <w:szCs w:val="24"/>
          <w:u w:val="none"/>
          <w:lang w:val="en-US" w:eastAsia="zh-CN"/>
        </w:rPr>
        <w:t>中小企业声明函（工程、服务）</w:t>
      </w:r>
    </w:p>
    <w:p w14:paraId="605FD24B">
      <w:pPr>
        <w:spacing w:after="190" w:afterLines="50" w:line="480" w:lineRule="exact"/>
        <w:ind w:firstLine="720" w:firstLineChars="3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eastAsia="宋体" w:cs="宋体"/>
          <w:b w:val="0"/>
          <w:bCs/>
          <w:color w:val="auto"/>
          <w:sz w:val="24"/>
          <w:szCs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4F021B13">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w:t>
      </w:r>
      <w:r>
        <w:rPr>
          <w:rFonts w:hint="eastAsia" w:ascii="宋体" w:hAnsi="宋体" w:eastAsia="宋体" w:cs="宋体"/>
          <w:b w:val="0"/>
          <w:bCs/>
          <w:color w:val="auto"/>
          <w:kern w:val="2"/>
          <w:sz w:val="24"/>
          <w:szCs w:val="24"/>
          <w:lang w:val="en-US" w:eastAsia="zh-CN" w:bidi="ar-SA"/>
        </w:rPr>
        <w:t>¹</w:t>
      </w:r>
      <w:r>
        <w:rPr>
          <w:rFonts w:hint="eastAsia" w:ascii="宋体" w:hAnsi="宋体" w:eastAsia="宋体" w:cs="宋体"/>
          <w:b w:val="0"/>
          <w:bCs/>
          <w:color w:val="auto"/>
          <w:sz w:val="24"/>
          <w:szCs w:val="24"/>
          <w:lang w:val="en-US" w:eastAsia="zh-CN"/>
        </w:rPr>
        <w:t xml:space="preserve">，属于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23B482FB">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p>
    <w:p w14:paraId="1C5855FE">
      <w:pPr>
        <w:spacing w:after="190" w:afterLines="50" w:line="480" w:lineRule="exact"/>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13C82A18">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4B1FF35F">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01212E24">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753C1BD2">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65DCA603">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5345C419">
      <w:pPr>
        <w:pStyle w:val="144"/>
        <w:rPr>
          <w:rFonts w:hint="eastAsia"/>
          <w:lang w:val="en-US" w:eastAsia="zh-CN"/>
        </w:rPr>
      </w:pPr>
    </w:p>
    <w:p w14:paraId="6C7B3C5D">
      <w:pPr>
        <w:pStyle w:val="14"/>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1D9E86E8">
      <w:pPr>
        <w:pStyle w:val="13"/>
        <w:rPr>
          <w:rFonts w:hint="eastAsia" w:ascii="宋体" w:hAnsi="宋体" w:eastAsia="宋体" w:cs="宋体"/>
          <w:sz w:val="24"/>
          <w:szCs w:val="24"/>
        </w:rPr>
        <w:sectPr>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p>
    <w:p w14:paraId="319A3A7B">
      <w:pPr>
        <w:spacing w:line="360" w:lineRule="auto"/>
        <w:jc w:val="center"/>
        <w:outlineLvl w:val="1"/>
        <w:rPr>
          <w:rFonts w:hint="eastAsia" w:ascii="宋体" w:hAnsi="宋体" w:eastAsia="宋体" w:cs="宋体"/>
          <w:b/>
          <w:sz w:val="24"/>
          <w:szCs w:val="24"/>
          <w:highlight w:val="none"/>
        </w:rPr>
      </w:pPr>
      <w:bookmarkStart w:id="413" w:name="_Toc12032"/>
      <w:bookmarkStart w:id="414" w:name="_Toc17009"/>
      <w:r>
        <w:rPr>
          <w:rFonts w:hint="eastAsia" w:ascii="宋体" w:hAnsi="宋体" w:eastAsia="宋体" w:cs="宋体"/>
          <w:b/>
          <w:sz w:val="24"/>
          <w:szCs w:val="24"/>
          <w:highlight w:val="none"/>
        </w:rPr>
        <w:t>投标产品属节能、环境标志产品列表（如有）</w:t>
      </w:r>
      <w:bookmarkEnd w:id="413"/>
      <w:bookmarkEnd w:id="414"/>
    </w:p>
    <w:p w14:paraId="54443B82">
      <w:pPr>
        <w:spacing w:line="360" w:lineRule="auto"/>
        <w:outlineLvl w:val="1"/>
        <w:rPr>
          <w:rFonts w:hint="eastAsia" w:ascii="宋体" w:hAnsi="宋体" w:eastAsia="宋体" w:cs="宋体"/>
          <w:sz w:val="24"/>
          <w:szCs w:val="24"/>
          <w:highlight w:val="none"/>
        </w:rPr>
      </w:pPr>
      <w:bookmarkStart w:id="415" w:name="_Toc18695"/>
      <w:bookmarkStart w:id="416" w:name="_Toc4183"/>
      <w:r>
        <w:rPr>
          <w:rFonts w:hint="eastAsia" w:ascii="宋体" w:hAnsi="宋体" w:eastAsia="宋体" w:cs="宋体"/>
          <w:sz w:val="24"/>
          <w:szCs w:val="24"/>
          <w:highlight w:val="none"/>
        </w:rPr>
        <w:t>项目名称：</w:t>
      </w:r>
      <w:bookmarkEnd w:id="415"/>
      <w:bookmarkEnd w:id="416"/>
    </w:p>
    <w:p w14:paraId="01E03FF2">
      <w:pPr>
        <w:spacing w:line="360" w:lineRule="auto"/>
        <w:jc w:val="left"/>
        <w:outlineLvl w:val="1"/>
        <w:rPr>
          <w:rFonts w:hint="eastAsia" w:ascii="宋体" w:hAnsi="宋体" w:eastAsia="宋体" w:cs="宋体"/>
          <w:sz w:val="24"/>
          <w:szCs w:val="24"/>
          <w:highlight w:val="none"/>
        </w:rPr>
      </w:pPr>
      <w:bookmarkStart w:id="417" w:name="_Toc7737"/>
      <w:bookmarkStart w:id="418" w:name="_Toc22255"/>
      <w:r>
        <w:rPr>
          <w:rFonts w:hint="eastAsia" w:ascii="宋体" w:hAnsi="宋体" w:eastAsia="宋体" w:cs="宋体"/>
          <w:sz w:val="24"/>
          <w:szCs w:val="24"/>
          <w:highlight w:val="none"/>
        </w:rPr>
        <w:t>项目编号：</w:t>
      </w:r>
      <w:bookmarkEnd w:id="417"/>
      <w:bookmarkEnd w:id="418"/>
      <w:r>
        <w:rPr>
          <w:rFonts w:hint="eastAsia" w:ascii="宋体" w:hAnsi="宋体" w:eastAsia="宋体" w:cs="宋体"/>
          <w:sz w:val="24"/>
          <w:szCs w:val="24"/>
          <w:highlight w:val="none"/>
        </w:rPr>
        <w:t xml:space="preserve"> </w:t>
      </w:r>
    </w:p>
    <w:p w14:paraId="3E57494C">
      <w:pPr>
        <w:adjustRightInd w:val="0"/>
        <w:snapToGrid w:val="0"/>
        <w:spacing w:line="360" w:lineRule="auto"/>
        <w:outlineLvl w:val="1"/>
        <w:rPr>
          <w:rFonts w:hint="eastAsia" w:ascii="宋体" w:hAnsi="宋体" w:eastAsia="宋体" w:cs="宋体"/>
          <w:sz w:val="24"/>
          <w:szCs w:val="24"/>
          <w:highlight w:val="none"/>
        </w:rPr>
      </w:pPr>
    </w:p>
    <w:tbl>
      <w:tblPr>
        <w:tblStyle w:val="37"/>
        <w:tblW w:w="8928" w:type="dxa"/>
        <w:tblInd w:w="0" w:type="dxa"/>
        <w:tblLayout w:type="fixed"/>
        <w:tblCellMar>
          <w:top w:w="0" w:type="dxa"/>
          <w:left w:w="28" w:type="dxa"/>
          <w:bottom w:w="0" w:type="dxa"/>
          <w:right w:w="28" w:type="dxa"/>
        </w:tblCellMar>
      </w:tblPr>
      <w:tblGrid>
        <w:gridCol w:w="886"/>
        <w:gridCol w:w="1862"/>
        <w:gridCol w:w="2250"/>
        <w:gridCol w:w="1311"/>
        <w:gridCol w:w="1307"/>
        <w:gridCol w:w="1312"/>
      </w:tblGrid>
      <w:tr w14:paraId="2559898B">
        <w:trPr>
          <w:trHeight w:val="911" w:hRule="atLeast"/>
        </w:trPr>
        <w:tc>
          <w:tcPr>
            <w:tcW w:w="886" w:type="dxa"/>
            <w:tcBorders>
              <w:top w:val="single" w:color="auto" w:sz="6" w:space="0"/>
              <w:left w:val="single" w:color="auto" w:sz="4" w:space="0"/>
              <w:bottom w:val="single" w:color="auto" w:sz="6" w:space="0"/>
            </w:tcBorders>
            <w:vAlign w:val="center"/>
          </w:tcPr>
          <w:p w14:paraId="345F6677">
            <w:pPr>
              <w:keepNext w:val="0"/>
              <w:keepLines w:val="0"/>
              <w:widowControl/>
              <w:suppressLineNumbers w:val="0"/>
              <w:spacing w:before="0" w:beforeAutospacing="0" w:after="120" w:afterAutospacing="0" w:line="360" w:lineRule="auto"/>
              <w:ind w:left="0" w:right="0"/>
              <w:jc w:val="center"/>
              <w:outlineLvl w:val="1"/>
              <w:rPr>
                <w:rFonts w:hint="eastAsia" w:ascii="宋体" w:hAnsi="宋体" w:eastAsia="宋体" w:cs="宋体"/>
                <w:sz w:val="24"/>
                <w:szCs w:val="24"/>
                <w:highlight w:val="none"/>
              </w:rPr>
            </w:pPr>
            <w:bookmarkStart w:id="419" w:name="_Toc23365"/>
            <w:bookmarkStart w:id="420" w:name="_Toc28465"/>
            <w:r>
              <w:rPr>
                <w:rFonts w:hint="eastAsia" w:ascii="宋体" w:hAnsi="宋体" w:eastAsia="宋体" w:cs="宋体"/>
                <w:sz w:val="24"/>
                <w:szCs w:val="24"/>
                <w:highlight w:val="none"/>
              </w:rPr>
              <w:t>序号</w:t>
            </w:r>
            <w:bookmarkEnd w:id="419"/>
            <w:bookmarkEnd w:id="420"/>
          </w:p>
        </w:tc>
        <w:tc>
          <w:tcPr>
            <w:tcW w:w="1862" w:type="dxa"/>
            <w:tcBorders>
              <w:top w:val="single" w:color="auto" w:sz="6" w:space="0"/>
              <w:left w:val="single" w:color="auto" w:sz="6" w:space="0"/>
              <w:bottom w:val="single" w:color="auto" w:sz="6" w:space="0"/>
              <w:right w:val="single" w:color="auto" w:sz="6" w:space="0"/>
            </w:tcBorders>
            <w:vAlign w:val="center"/>
          </w:tcPr>
          <w:p w14:paraId="1B75A401">
            <w:pPr>
              <w:keepNext w:val="0"/>
              <w:keepLines w:val="0"/>
              <w:widowControl/>
              <w:suppressLineNumbers w:val="0"/>
              <w:spacing w:before="0" w:beforeAutospacing="0" w:after="120" w:afterAutospacing="0" w:line="360" w:lineRule="auto"/>
              <w:ind w:left="0" w:right="0"/>
              <w:jc w:val="center"/>
              <w:outlineLvl w:val="1"/>
              <w:rPr>
                <w:rFonts w:hint="eastAsia" w:ascii="宋体" w:hAnsi="宋体" w:eastAsia="宋体" w:cs="宋体"/>
                <w:sz w:val="24"/>
                <w:szCs w:val="24"/>
                <w:highlight w:val="none"/>
              </w:rPr>
            </w:pPr>
            <w:bookmarkStart w:id="421" w:name="_Toc7852"/>
            <w:bookmarkStart w:id="422" w:name="_Toc18361"/>
            <w:r>
              <w:rPr>
                <w:rFonts w:hint="eastAsia" w:ascii="宋体" w:hAnsi="宋体" w:eastAsia="宋体" w:cs="宋体"/>
                <w:sz w:val="24"/>
                <w:szCs w:val="24"/>
                <w:highlight w:val="none"/>
              </w:rPr>
              <w:t>名称</w:t>
            </w:r>
            <w:bookmarkEnd w:id="421"/>
            <w:bookmarkEnd w:id="422"/>
          </w:p>
        </w:tc>
        <w:tc>
          <w:tcPr>
            <w:tcW w:w="2250" w:type="dxa"/>
            <w:tcBorders>
              <w:top w:val="single" w:color="auto" w:sz="6" w:space="0"/>
              <w:left w:val="single" w:color="auto" w:sz="6" w:space="0"/>
              <w:bottom w:val="single" w:color="auto" w:sz="6" w:space="0"/>
              <w:right w:val="single" w:color="auto" w:sz="6" w:space="0"/>
            </w:tcBorders>
            <w:vAlign w:val="center"/>
          </w:tcPr>
          <w:p w14:paraId="2BF11A72">
            <w:pPr>
              <w:keepNext w:val="0"/>
              <w:keepLines w:val="0"/>
              <w:widowControl/>
              <w:suppressLineNumbers w:val="0"/>
              <w:spacing w:before="163" w:beforeLines="50" w:beforeAutospacing="0" w:after="120" w:afterAutospacing="0" w:line="360" w:lineRule="auto"/>
              <w:ind w:left="0" w:right="0"/>
              <w:jc w:val="center"/>
              <w:outlineLvl w:val="1"/>
              <w:rPr>
                <w:rFonts w:hint="eastAsia" w:ascii="宋体" w:hAnsi="宋体" w:eastAsia="宋体" w:cs="宋体"/>
                <w:sz w:val="24"/>
                <w:szCs w:val="24"/>
                <w:highlight w:val="none"/>
              </w:rPr>
            </w:pPr>
            <w:bookmarkStart w:id="423" w:name="_Toc20611"/>
            <w:bookmarkStart w:id="424" w:name="_Toc11492"/>
            <w:r>
              <w:rPr>
                <w:rFonts w:hint="eastAsia" w:ascii="宋体" w:hAnsi="宋体" w:eastAsia="宋体" w:cs="宋体"/>
                <w:sz w:val="24"/>
                <w:szCs w:val="24"/>
                <w:highlight w:val="none"/>
              </w:rPr>
              <w:t>型号和规格</w:t>
            </w:r>
            <w:bookmarkEnd w:id="423"/>
            <w:bookmarkEnd w:id="424"/>
          </w:p>
        </w:tc>
        <w:tc>
          <w:tcPr>
            <w:tcW w:w="1311" w:type="dxa"/>
            <w:tcBorders>
              <w:top w:val="single" w:color="auto" w:sz="6" w:space="0"/>
              <w:left w:val="single" w:color="auto" w:sz="6" w:space="0"/>
              <w:bottom w:val="single" w:color="auto" w:sz="6" w:space="0"/>
              <w:right w:val="single" w:color="auto" w:sz="6" w:space="0"/>
            </w:tcBorders>
            <w:vAlign w:val="center"/>
          </w:tcPr>
          <w:p w14:paraId="0A6C4E6E">
            <w:pPr>
              <w:keepNext w:val="0"/>
              <w:keepLines w:val="0"/>
              <w:widowControl/>
              <w:suppressLineNumbers w:val="0"/>
              <w:spacing w:before="0" w:beforeAutospacing="0" w:after="120" w:afterAutospacing="0" w:line="360" w:lineRule="auto"/>
              <w:ind w:left="0" w:right="0"/>
              <w:jc w:val="center"/>
              <w:outlineLvl w:val="1"/>
              <w:rPr>
                <w:rFonts w:hint="eastAsia" w:ascii="宋体" w:hAnsi="宋体" w:eastAsia="宋体" w:cs="宋体"/>
                <w:sz w:val="24"/>
                <w:szCs w:val="24"/>
                <w:highlight w:val="none"/>
              </w:rPr>
            </w:pPr>
            <w:bookmarkStart w:id="425" w:name="_Toc23540"/>
            <w:bookmarkStart w:id="426" w:name="_Toc24810"/>
            <w:r>
              <w:rPr>
                <w:rFonts w:hint="eastAsia" w:ascii="宋体" w:hAnsi="宋体" w:eastAsia="宋体" w:cs="宋体"/>
                <w:sz w:val="24"/>
                <w:szCs w:val="24"/>
                <w:highlight w:val="none"/>
              </w:rPr>
              <w:t>数量</w:t>
            </w:r>
            <w:bookmarkEnd w:id="425"/>
            <w:bookmarkEnd w:id="426"/>
          </w:p>
        </w:tc>
        <w:tc>
          <w:tcPr>
            <w:tcW w:w="1307" w:type="dxa"/>
            <w:tcBorders>
              <w:top w:val="single" w:color="auto" w:sz="6" w:space="0"/>
              <w:left w:val="single" w:color="auto" w:sz="6" w:space="0"/>
              <w:bottom w:val="single" w:color="auto" w:sz="6" w:space="0"/>
              <w:right w:val="single" w:color="auto" w:sz="6" w:space="0"/>
            </w:tcBorders>
            <w:vAlign w:val="center"/>
          </w:tcPr>
          <w:p w14:paraId="4E240C6A">
            <w:pPr>
              <w:keepNext w:val="0"/>
              <w:keepLines w:val="0"/>
              <w:widowControl/>
              <w:suppressLineNumbers w:val="0"/>
              <w:spacing w:before="0" w:beforeAutospacing="0" w:after="120" w:afterAutospacing="0" w:line="360" w:lineRule="auto"/>
              <w:ind w:left="0" w:right="0"/>
              <w:jc w:val="center"/>
              <w:outlineLvl w:val="1"/>
              <w:rPr>
                <w:rFonts w:hint="eastAsia" w:ascii="宋体" w:hAnsi="宋体" w:eastAsia="宋体" w:cs="宋体"/>
                <w:sz w:val="24"/>
                <w:szCs w:val="24"/>
                <w:highlight w:val="none"/>
              </w:rPr>
            </w:pPr>
            <w:bookmarkStart w:id="427" w:name="_Toc12243"/>
            <w:bookmarkStart w:id="428" w:name="_Toc29324"/>
            <w:r>
              <w:rPr>
                <w:rFonts w:hint="eastAsia" w:ascii="宋体" w:hAnsi="宋体" w:eastAsia="宋体" w:cs="宋体"/>
                <w:sz w:val="24"/>
                <w:szCs w:val="24"/>
                <w:highlight w:val="none"/>
              </w:rPr>
              <w:t>单价</w:t>
            </w:r>
            <w:bookmarkEnd w:id="427"/>
            <w:bookmarkEnd w:id="428"/>
          </w:p>
          <w:p w14:paraId="498257A5">
            <w:pPr>
              <w:keepNext w:val="0"/>
              <w:keepLines w:val="0"/>
              <w:widowControl/>
              <w:suppressLineNumbers w:val="0"/>
              <w:spacing w:before="0" w:beforeAutospacing="0" w:after="120" w:afterAutospacing="0" w:line="360" w:lineRule="auto"/>
              <w:ind w:left="0" w:right="0"/>
              <w:jc w:val="center"/>
              <w:outlineLvl w:val="1"/>
              <w:rPr>
                <w:rFonts w:hint="eastAsia" w:ascii="宋体" w:hAnsi="宋体" w:eastAsia="宋体" w:cs="宋体"/>
                <w:bCs/>
                <w:sz w:val="24"/>
                <w:szCs w:val="24"/>
                <w:highlight w:val="none"/>
              </w:rPr>
            </w:pPr>
            <w:bookmarkStart w:id="429" w:name="_Toc28823"/>
            <w:bookmarkStart w:id="430" w:name="_Toc362"/>
            <w:r>
              <w:rPr>
                <w:rFonts w:hint="eastAsia" w:ascii="宋体" w:hAnsi="宋体" w:eastAsia="宋体" w:cs="宋体"/>
                <w:sz w:val="24"/>
                <w:szCs w:val="24"/>
                <w:highlight w:val="none"/>
              </w:rPr>
              <w:t>（元）</w:t>
            </w:r>
            <w:bookmarkEnd w:id="429"/>
            <w:bookmarkEnd w:id="430"/>
          </w:p>
        </w:tc>
        <w:tc>
          <w:tcPr>
            <w:tcW w:w="1312" w:type="dxa"/>
            <w:tcBorders>
              <w:top w:val="single" w:color="auto" w:sz="6" w:space="0"/>
              <w:left w:val="single" w:color="auto" w:sz="6" w:space="0"/>
              <w:bottom w:val="single" w:color="auto" w:sz="6" w:space="0"/>
              <w:right w:val="single" w:color="auto" w:sz="6" w:space="0"/>
            </w:tcBorders>
            <w:vAlign w:val="center"/>
          </w:tcPr>
          <w:p w14:paraId="3CA33DD6">
            <w:pPr>
              <w:keepNext w:val="0"/>
              <w:keepLines w:val="0"/>
              <w:widowControl/>
              <w:suppressLineNumbers w:val="0"/>
              <w:spacing w:before="0" w:beforeAutospacing="0" w:after="120" w:afterAutospacing="0" w:line="360" w:lineRule="auto"/>
              <w:ind w:left="0" w:right="0"/>
              <w:jc w:val="center"/>
              <w:outlineLvl w:val="1"/>
              <w:rPr>
                <w:rFonts w:hint="eastAsia" w:ascii="宋体" w:hAnsi="宋体" w:eastAsia="宋体" w:cs="宋体"/>
                <w:bCs/>
                <w:sz w:val="24"/>
                <w:szCs w:val="24"/>
                <w:highlight w:val="none"/>
              </w:rPr>
            </w:pPr>
            <w:bookmarkStart w:id="431" w:name="_Toc26989"/>
            <w:bookmarkStart w:id="432" w:name="_Toc21925"/>
            <w:r>
              <w:rPr>
                <w:rFonts w:hint="eastAsia" w:ascii="宋体" w:hAnsi="宋体" w:eastAsia="宋体" w:cs="宋体"/>
                <w:bCs/>
                <w:sz w:val="24"/>
                <w:szCs w:val="24"/>
                <w:highlight w:val="none"/>
              </w:rPr>
              <w:t>总价</w:t>
            </w:r>
            <w:bookmarkEnd w:id="431"/>
            <w:bookmarkEnd w:id="432"/>
          </w:p>
          <w:p w14:paraId="395180C4">
            <w:pPr>
              <w:keepNext w:val="0"/>
              <w:keepLines w:val="0"/>
              <w:widowControl/>
              <w:suppressLineNumbers w:val="0"/>
              <w:spacing w:before="0" w:beforeAutospacing="0" w:after="120" w:afterAutospacing="0" w:line="360" w:lineRule="auto"/>
              <w:ind w:left="0" w:right="0"/>
              <w:jc w:val="center"/>
              <w:outlineLvl w:val="1"/>
              <w:rPr>
                <w:rFonts w:hint="eastAsia" w:ascii="宋体" w:hAnsi="宋体" w:eastAsia="宋体" w:cs="宋体"/>
                <w:bCs/>
                <w:sz w:val="24"/>
                <w:szCs w:val="24"/>
                <w:highlight w:val="none"/>
              </w:rPr>
            </w:pPr>
            <w:bookmarkStart w:id="433" w:name="_Toc12838"/>
            <w:bookmarkStart w:id="434" w:name="_Toc15545"/>
            <w:r>
              <w:rPr>
                <w:rFonts w:hint="eastAsia" w:ascii="宋体" w:hAnsi="宋体" w:eastAsia="宋体" w:cs="宋体"/>
                <w:bCs/>
                <w:sz w:val="24"/>
                <w:szCs w:val="24"/>
                <w:highlight w:val="none"/>
              </w:rPr>
              <w:t>（元）</w:t>
            </w:r>
            <w:bookmarkEnd w:id="433"/>
            <w:bookmarkEnd w:id="434"/>
          </w:p>
        </w:tc>
      </w:tr>
      <w:tr w14:paraId="73612E20">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vAlign w:val="center"/>
          </w:tcPr>
          <w:p w14:paraId="34A2BE8F">
            <w:pPr>
              <w:keepNext w:val="0"/>
              <w:keepLines w:val="0"/>
              <w:widowControl/>
              <w:suppressLineNumbers w:val="0"/>
              <w:spacing w:before="326" w:beforeLines="100" w:beforeAutospacing="0" w:after="0" w:afterAutospacing="0" w:line="360" w:lineRule="auto"/>
              <w:ind w:left="0" w:right="0"/>
              <w:jc w:val="center"/>
              <w:outlineLvl w:val="1"/>
              <w:rPr>
                <w:rFonts w:hint="eastAsia" w:ascii="宋体" w:hAnsi="宋体" w:eastAsia="宋体" w:cs="宋体"/>
                <w:sz w:val="24"/>
                <w:szCs w:val="24"/>
                <w:highlight w:val="none"/>
              </w:rPr>
            </w:pPr>
            <w:bookmarkStart w:id="435" w:name="_Toc1372"/>
            <w:bookmarkStart w:id="436" w:name="_Toc13436"/>
            <w:r>
              <w:rPr>
                <w:rFonts w:hint="eastAsia" w:ascii="宋体" w:hAnsi="宋体" w:eastAsia="宋体" w:cs="宋体"/>
                <w:sz w:val="24"/>
                <w:szCs w:val="24"/>
                <w:highlight w:val="none"/>
              </w:rPr>
              <w:t>1</w:t>
            </w:r>
            <w:bookmarkEnd w:id="435"/>
            <w:bookmarkEnd w:id="436"/>
          </w:p>
        </w:tc>
        <w:tc>
          <w:tcPr>
            <w:tcW w:w="1862" w:type="dxa"/>
            <w:tcBorders>
              <w:top w:val="single" w:color="auto" w:sz="6" w:space="0"/>
              <w:left w:val="single" w:color="auto" w:sz="6" w:space="0"/>
              <w:bottom w:val="single" w:color="auto" w:sz="4" w:space="0"/>
              <w:right w:val="single" w:color="auto" w:sz="6" w:space="0"/>
            </w:tcBorders>
            <w:vAlign w:val="center"/>
          </w:tcPr>
          <w:p w14:paraId="6F8EE1FA">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p>
        </w:tc>
        <w:tc>
          <w:tcPr>
            <w:tcW w:w="2250" w:type="dxa"/>
            <w:tcBorders>
              <w:top w:val="single" w:color="auto" w:sz="6" w:space="0"/>
              <w:left w:val="single" w:color="auto" w:sz="6" w:space="0"/>
              <w:bottom w:val="single" w:color="auto" w:sz="4" w:space="0"/>
              <w:right w:val="single" w:color="auto" w:sz="6" w:space="0"/>
            </w:tcBorders>
            <w:vAlign w:val="center"/>
          </w:tcPr>
          <w:p w14:paraId="3B7C2EF8">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p>
        </w:tc>
        <w:tc>
          <w:tcPr>
            <w:tcW w:w="1311" w:type="dxa"/>
            <w:tcBorders>
              <w:top w:val="single" w:color="auto" w:sz="6" w:space="0"/>
              <w:left w:val="single" w:color="auto" w:sz="6" w:space="0"/>
              <w:bottom w:val="single" w:color="auto" w:sz="4" w:space="0"/>
              <w:right w:val="single" w:color="auto" w:sz="6" w:space="0"/>
            </w:tcBorders>
            <w:vAlign w:val="center"/>
          </w:tcPr>
          <w:p w14:paraId="45F0551A">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p>
        </w:tc>
        <w:tc>
          <w:tcPr>
            <w:tcW w:w="1307" w:type="dxa"/>
            <w:tcBorders>
              <w:top w:val="single" w:color="auto" w:sz="6" w:space="0"/>
              <w:left w:val="single" w:color="auto" w:sz="6" w:space="0"/>
              <w:bottom w:val="single" w:color="auto" w:sz="4" w:space="0"/>
              <w:right w:val="single" w:color="auto" w:sz="6" w:space="0"/>
            </w:tcBorders>
            <w:vAlign w:val="center"/>
          </w:tcPr>
          <w:p w14:paraId="4DB2EAC6">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p>
        </w:tc>
        <w:tc>
          <w:tcPr>
            <w:tcW w:w="1312" w:type="dxa"/>
            <w:tcBorders>
              <w:top w:val="single" w:color="auto" w:sz="6" w:space="0"/>
              <w:left w:val="single" w:color="auto" w:sz="6" w:space="0"/>
              <w:bottom w:val="single" w:color="auto" w:sz="4" w:space="0"/>
              <w:right w:val="single" w:color="auto" w:sz="6" w:space="0"/>
            </w:tcBorders>
            <w:vAlign w:val="center"/>
          </w:tcPr>
          <w:p w14:paraId="75270723">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p>
        </w:tc>
      </w:tr>
      <w:tr w14:paraId="1C0856B6">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4666B352">
            <w:pPr>
              <w:keepNext w:val="0"/>
              <w:keepLines w:val="0"/>
              <w:widowControl/>
              <w:suppressLineNumbers w:val="0"/>
              <w:spacing w:before="326" w:beforeLines="100" w:beforeAutospacing="0" w:after="0" w:afterAutospacing="0" w:line="360" w:lineRule="auto"/>
              <w:ind w:left="0" w:right="0"/>
              <w:jc w:val="center"/>
              <w:outlineLvl w:val="1"/>
              <w:rPr>
                <w:rFonts w:hint="eastAsia" w:ascii="宋体" w:hAnsi="宋体" w:eastAsia="宋体" w:cs="宋体"/>
                <w:sz w:val="24"/>
                <w:szCs w:val="24"/>
                <w:highlight w:val="none"/>
              </w:rPr>
            </w:pPr>
            <w:bookmarkStart w:id="437" w:name="_Toc12307"/>
            <w:bookmarkStart w:id="438" w:name="_Toc15259"/>
            <w:r>
              <w:rPr>
                <w:rFonts w:hint="eastAsia" w:ascii="宋体" w:hAnsi="宋体" w:eastAsia="宋体" w:cs="宋体"/>
                <w:sz w:val="24"/>
                <w:szCs w:val="24"/>
                <w:highlight w:val="none"/>
              </w:rPr>
              <w:t>2</w:t>
            </w:r>
            <w:bookmarkEnd w:id="437"/>
            <w:bookmarkEnd w:id="438"/>
          </w:p>
        </w:tc>
        <w:tc>
          <w:tcPr>
            <w:tcW w:w="1862" w:type="dxa"/>
            <w:tcBorders>
              <w:top w:val="single" w:color="auto" w:sz="4" w:space="0"/>
              <w:left w:val="single" w:color="auto" w:sz="6" w:space="0"/>
              <w:bottom w:val="single" w:color="auto" w:sz="6" w:space="0"/>
              <w:right w:val="single" w:color="auto" w:sz="6" w:space="0"/>
            </w:tcBorders>
            <w:vAlign w:val="center"/>
          </w:tcPr>
          <w:p w14:paraId="21E86D52">
            <w:pPr>
              <w:keepNext w:val="0"/>
              <w:keepLines w:val="0"/>
              <w:widowControl/>
              <w:suppressLineNumbers w:val="0"/>
              <w:spacing w:before="326" w:beforeLines="100" w:beforeAutospacing="0" w:after="0" w:afterAutospacing="0" w:line="360" w:lineRule="auto"/>
              <w:ind w:left="0" w:right="0"/>
              <w:jc w:val="center"/>
              <w:outlineLvl w:val="1"/>
              <w:rPr>
                <w:rFonts w:hint="eastAsia" w:ascii="宋体" w:hAnsi="宋体" w:eastAsia="宋体" w:cs="宋体"/>
                <w:sz w:val="24"/>
                <w:szCs w:val="24"/>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6BFBC37F">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0DF1EE72">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08D2F865">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p>
        </w:tc>
        <w:tc>
          <w:tcPr>
            <w:tcW w:w="1312" w:type="dxa"/>
            <w:tcBorders>
              <w:top w:val="single" w:color="auto" w:sz="4" w:space="0"/>
              <w:left w:val="single" w:color="auto" w:sz="6" w:space="0"/>
              <w:bottom w:val="single" w:color="auto" w:sz="6" w:space="0"/>
              <w:right w:val="single" w:color="auto" w:sz="6" w:space="0"/>
            </w:tcBorders>
            <w:vAlign w:val="center"/>
          </w:tcPr>
          <w:p w14:paraId="1FCB9BB9">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p>
        </w:tc>
      </w:tr>
      <w:tr w14:paraId="2F394E2D">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32849559">
            <w:pPr>
              <w:keepNext w:val="0"/>
              <w:keepLines w:val="0"/>
              <w:widowControl/>
              <w:suppressLineNumbers w:val="0"/>
              <w:spacing w:before="326" w:beforeLines="100" w:beforeAutospacing="0" w:after="0" w:afterAutospacing="0" w:line="360" w:lineRule="auto"/>
              <w:ind w:left="0" w:right="0"/>
              <w:jc w:val="center"/>
              <w:outlineLvl w:val="1"/>
              <w:rPr>
                <w:rFonts w:hint="eastAsia" w:ascii="宋体" w:hAnsi="宋体" w:eastAsia="宋体" w:cs="宋体"/>
                <w:sz w:val="24"/>
                <w:szCs w:val="24"/>
                <w:highlight w:val="none"/>
              </w:rPr>
            </w:pPr>
            <w:bookmarkStart w:id="439" w:name="_Toc32126"/>
            <w:bookmarkStart w:id="440" w:name="_Toc15046"/>
            <w:r>
              <w:rPr>
                <w:rFonts w:hint="eastAsia" w:ascii="宋体" w:hAnsi="宋体" w:eastAsia="宋体" w:cs="宋体"/>
                <w:sz w:val="24"/>
                <w:szCs w:val="24"/>
                <w:highlight w:val="none"/>
              </w:rPr>
              <w:t>3</w:t>
            </w:r>
            <w:bookmarkEnd w:id="439"/>
            <w:bookmarkEnd w:id="440"/>
          </w:p>
        </w:tc>
        <w:tc>
          <w:tcPr>
            <w:tcW w:w="1862" w:type="dxa"/>
            <w:tcBorders>
              <w:top w:val="single" w:color="auto" w:sz="4" w:space="0"/>
              <w:left w:val="single" w:color="auto" w:sz="6" w:space="0"/>
              <w:bottom w:val="single" w:color="auto" w:sz="6" w:space="0"/>
              <w:right w:val="single" w:color="auto" w:sz="6" w:space="0"/>
            </w:tcBorders>
            <w:vAlign w:val="center"/>
          </w:tcPr>
          <w:p w14:paraId="0C01FBC1">
            <w:pPr>
              <w:keepNext w:val="0"/>
              <w:keepLines w:val="0"/>
              <w:widowControl/>
              <w:suppressLineNumbers w:val="0"/>
              <w:spacing w:before="326" w:beforeLines="100" w:beforeAutospacing="0" w:after="0" w:afterAutospacing="0" w:line="360" w:lineRule="auto"/>
              <w:ind w:left="0" w:right="0"/>
              <w:jc w:val="center"/>
              <w:outlineLvl w:val="1"/>
              <w:rPr>
                <w:rFonts w:hint="eastAsia" w:ascii="宋体" w:hAnsi="宋体" w:eastAsia="宋体" w:cs="宋体"/>
                <w:sz w:val="24"/>
                <w:szCs w:val="24"/>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381F7A92">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1774095D">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3AFFFAEA">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p>
        </w:tc>
        <w:tc>
          <w:tcPr>
            <w:tcW w:w="1312" w:type="dxa"/>
            <w:tcBorders>
              <w:top w:val="single" w:color="auto" w:sz="4" w:space="0"/>
              <w:left w:val="single" w:color="auto" w:sz="6" w:space="0"/>
              <w:bottom w:val="single" w:color="auto" w:sz="6" w:space="0"/>
              <w:right w:val="single" w:color="auto" w:sz="6" w:space="0"/>
            </w:tcBorders>
            <w:vAlign w:val="center"/>
          </w:tcPr>
          <w:p w14:paraId="1F40CA0D">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p>
        </w:tc>
      </w:tr>
      <w:tr w14:paraId="21E0C613">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4E622170">
            <w:pPr>
              <w:keepNext w:val="0"/>
              <w:keepLines w:val="0"/>
              <w:widowControl/>
              <w:suppressLineNumbers w:val="0"/>
              <w:spacing w:before="326" w:beforeLines="100" w:beforeAutospacing="0" w:after="0" w:afterAutospacing="0" w:line="360" w:lineRule="auto"/>
              <w:ind w:left="0" w:right="0"/>
              <w:jc w:val="center"/>
              <w:outlineLvl w:val="1"/>
              <w:rPr>
                <w:rFonts w:hint="eastAsia" w:ascii="宋体" w:hAnsi="宋体" w:eastAsia="宋体" w:cs="宋体"/>
                <w:sz w:val="24"/>
                <w:szCs w:val="24"/>
                <w:highlight w:val="none"/>
              </w:rPr>
            </w:pPr>
            <w:bookmarkStart w:id="441" w:name="_Toc23102"/>
            <w:bookmarkStart w:id="442" w:name="_Toc735"/>
            <w:r>
              <w:rPr>
                <w:rFonts w:hint="eastAsia" w:ascii="宋体" w:hAnsi="宋体" w:eastAsia="宋体" w:cs="宋体"/>
                <w:sz w:val="24"/>
                <w:szCs w:val="24"/>
                <w:highlight w:val="none"/>
              </w:rPr>
              <w:t>……</w:t>
            </w:r>
            <w:bookmarkEnd w:id="441"/>
            <w:bookmarkEnd w:id="442"/>
          </w:p>
        </w:tc>
        <w:tc>
          <w:tcPr>
            <w:tcW w:w="1862" w:type="dxa"/>
            <w:tcBorders>
              <w:top w:val="single" w:color="auto" w:sz="4" w:space="0"/>
              <w:left w:val="single" w:color="auto" w:sz="6" w:space="0"/>
              <w:bottom w:val="single" w:color="auto" w:sz="6" w:space="0"/>
              <w:right w:val="single" w:color="auto" w:sz="6" w:space="0"/>
            </w:tcBorders>
            <w:vAlign w:val="center"/>
          </w:tcPr>
          <w:p w14:paraId="7B6A78B8">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15442E55">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3DE20A06">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2A953652">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p>
        </w:tc>
        <w:tc>
          <w:tcPr>
            <w:tcW w:w="1312" w:type="dxa"/>
            <w:tcBorders>
              <w:top w:val="single" w:color="auto" w:sz="4" w:space="0"/>
              <w:left w:val="single" w:color="auto" w:sz="6" w:space="0"/>
              <w:bottom w:val="single" w:color="auto" w:sz="6" w:space="0"/>
              <w:right w:val="single" w:color="auto" w:sz="6" w:space="0"/>
            </w:tcBorders>
            <w:vAlign w:val="center"/>
          </w:tcPr>
          <w:p w14:paraId="2FA4E5FA">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p>
        </w:tc>
      </w:tr>
      <w:tr w14:paraId="7903C05E">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7BB245D0">
            <w:pPr>
              <w:keepNext w:val="0"/>
              <w:keepLines w:val="0"/>
              <w:widowControl/>
              <w:suppressLineNumbers w:val="0"/>
              <w:spacing w:before="326" w:beforeLines="100" w:beforeAutospacing="0" w:after="0" w:afterAutospacing="0" w:line="360" w:lineRule="auto"/>
              <w:ind w:left="0" w:right="0"/>
              <w:jc w:val="center"/>
              <w:outlineLvl w:val="1"/>
              <w:rPr>
                <w:rFonts w:hint="eastAsia" w:ascii="宋体" w:hAnsi="宋体" w:eastAsia="宋体" w:cs="宋体"/>
                <w:b/>
                <w:sz w:val="24"/>
                <w:szCs w:val="24"/>
                <w:highlight w:val="none"/>
              </w:rPr>
            </w:pPr>
            <w:bookmarkStart w:id="443" w:name="_Toc11242"/>
            <w:bookmarkStart w:id="444" w:name="_Toc4150"/>
            <w:r>
              <w:rPr>
                <w:rFonts w:hint="eastAsia" w:ascii="宋体" w:hAnsi="宋体" w:eastAsia="宋体" w:cs="宋体"/>
                <w:sz w:val="24"/>
                <w:szCs w:val="24"/>
                <w:highlight w:val="none"/>
              </w:rPr>
              <w:t>……</w:t>
            </w:r>
            <w:bookmarkEnd w:id="443"/>
            <w:bookmarkEnd w:id="444"/>
          </w:p>
        </w:tc>
        <w:tc>
          <w:tcPr>
            <w:tcW w:w="1862" w:type="dxa"/>
            <w:tcBorders>
              <w:top w:val="single" w:color="auto" w:sz="4" w:space="0"/>
              <w:left w:val="single" w:color="auto" w:sz="6" w:space="0"/>
              <w:bottom w:val="single" w:color="auto" w:sz="6" w:space="0"/>
              <w:right w:val="single" w:color="auto" w:sz="6" w:space="0"/>
            </w:tcBorders>
            <w:vAlign w:val="center"/>
          </w:tcPr>
          <w:p w14:paraId="200DCDFC">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4617EC44">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244FC7BF">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1AA81393">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p>
        </w:tc>
        <w:tc>
          <w:tcPr>
            <w:tcW w:w="1312" w:type="dxa"/>
            <w:tcBorders>
              <w:top w:val="single" w:color="auto" w:sz="4" w:space="0"/>
              <w:left w:val="single" w:color="auto" w:sz="6" w:space="0"/>
              <w:bottom w:val="single" w:color="auto" w:sz="6" w:space="0"/>
              <w:right w:val="single" w:color="auto" w:sz="6" w:space="0"/>
            </w:tcBorders>
            <w:vAlign w:val="center"/>
          </w:tcPr>
          <w:p w14:paraId="10948134">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p>
        </w:tc>
      </w:tr>
      <w:tr w14:paraId="2B12EC12">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7C2513E5">
            <w:pPr>
              <w:keepNext w:val="0"/>
              <w:keepLines w:val="0"/>
              <w:widowControl/>
              <w:suppressLineNumbers w:val="0"/>
              <w:spacing w:before="0" w:beforeAutospacing="0" w:after="0" w:afterAutospacing="0" w:line="360" w:lineRule="auto"/>
              <w:ind w:left="0" w:right="0"/>
              <w:jc w:val="center"/>
              <w:outlineLvl w:val="1"/>
              <w:rPr>
                <w:rFonts w:hint="eastAsia" w:ascii="宋体" w:hAnsi="宋体" w:eastAsia="宋体" w:cs="宋体"/>
                <w:sz w:val="24"/>
                <w:szCs w:val="24"/>
                <w:highlight w:val="none"/>
              </w:rPr>
            </w:pPr>
            <w:bookmarkStart w:id="445" w:name="_Toc6733"/>
            <w:bookmarkStart w:id="446" w:name="_Toc21506"/>
            <w:r>
              <w:rPr>
                <w:rFonts w:hint="eastAsia" w:ascii="宋体" w:hAnsi="宋体" w:eastAsia="宋体" w:cs="宋体"/>
                <w:sz w:val="24"/>
                <w:szCs w:val="24"/>
                <w:highlight w:val="none"/>
              </w:rPr>
              <w:t>合计：</w:t>
            </w:r>
            <w:bookmarkEnd w:id="445"/>
            <w:bookmarkEnd w:id="446"/>
          </w:p>
        </w:tc>
        <w:tc>
          <w:tcPr>
            <w:tcW w:w="8042" w:type="dxa"/>
            <w:gridSpan w:val="5"/>
            <w:tcBorders>
              <w:top w:val="single" w:color="auto" w:sz="4" w:space="0"/>
              <w:left w:val="single" w:color="auto" w:sz="6" w:space="0"/>
              <w:bottom w:val="single" w:color="auto" w:sz="6" w:space="0"/>
              <w:right w:val="single" w:color="auto" w:sz="6" w:space="0"/>
            </w:tcBorders>
            <w:vAlign w:val="center"/>
          </w:tcPr>
          <w:p w14:paraId="5CB54739">
            <w:pPr>
              <w:keepNext w:val="0"/>
              <w:keepLines w:val="0"/>
              <w:widowControl/>
              <w:suppressLineNumbers w:val="0"/>
              <w:spacing w:before="163" w:beforeLines="50" w:beforeAutospacing="0" w:after="0" w:afterAutospacing="0" w:line="360" w:lineRule="auto"/>
              <w:ind w:left="0" w:right="0"/>
              <w:jc w:val="left"/>
              <w:outlineLvl w:val="1"/>
              <w:rPr>
                <w:rFonts w:hint="eastAsia" w:ascii="宋体" w:hAnsi="宋体" w:eastAsia="宋体" w:cs="宋体"/>
                <w:sz w:val="24"/>
                <w:szCs w:val="24"/>
                <w:highlight w:val="none"/>
              </w:rPr>
            </w:pPr>
            <w:bookmarkStart w:id="447" w:name="_Toc12055"/>
            <w:bookmarkStart w:id="448" w:name="_Toc4954"/>
            <w:r>
              <w:rPr>
                <w:rFonts w:hint="eastAsia" w:ascii="宋体" w:hAnsi="宋体" w:eastAsia="宋体" w:cs="宋体"/>
                <w:sz w:val="24"/>
                <w:szCs w:val="24"/>
                <w:highlight w:val="none"/>
              </w:rPr>
              <w:t>大写：                                小写：</w:t>
            </w:r>
            <w:bookmarkEnd w:id="447"/>
            <w:bookmarkEnd w:id="448"/>
          </w:p>
        </w:tc>
      </w:tr>
      <w:tr w14:paraId="38AF7E19">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08FBC0FB">
            <w:pPr>
              <w:keepNext w:val="0"/>
              <w:keepLines w:val="0"/>
              <w:widowControl/>
              <w:suppressLineNumbers w:val="0"/>
              <w:spacing w:before="0" w:beforeAutospacing="0" w:after="0" w:afterAutospacing="0" w:line="360" w:lineRule="auto"/>
              <w:ind w:left="0" w:right="0"/>
              <w:jc w:val="center"/>
              <w:outlineLvl w:val="1"/>
              <w:rPr>
                <w:rFonts w:hint="eastAsia" w:ascii="宋体" w:hAnsi="宋体" w:eastAsia="宋体" w:cs="宋体"/>
                <w:sz w:val="24"/>
                <w:szCs w:val="24"/>
                <w:highlight w:val="none"/>
              </w:rPr>
            </w:pPr>
            <w:bookmarkStart w:id="449" w:name="_Toc20547"/>
            <w:bookmarkStart w:id="450" w:name="_Toc11418"/>
            <w:r>
              <w:rPr>
                <w:rFonts w:hint="eastAsia" w:ascii="宋体" w:hAnsi="宋体" w:eastAsia="宋体" w:cs="宋体"/>
                <w:sz w:val="24"/>
                <w:szCs w:val="24"/>
                <w:highlight w:val="none"/>
              </w:rPr>
              <w:t>备注</w:t>
            </w:r>
            <w:bookmarkEnd w:id="449"/>
            <w:bookmarkEnd w:id="450"/>
          </w:p>
        </w:tc>
        <w:tc>
          <w:tcPr>
            <w:tcW w:w="8042" w:type="dxa"/>
            <w:gridSpan w:val="5"/>
            <w:tcBorders>
              <w:top w:val="single" w:color="auto" w:sz="4" w:space="0"/>
              <w:left w:val="single" w:color="auto" w:sz="6" w:space="0"/>
              <w:bottom w:val="single" w:color="auto" w:sz="6" w:space="0"/>
              <w:right w:val="single" w:color="auto" w:sz="6" w:space="0"/>
            </w:tcBorders>
            <w:vAlign w:val="center"/>
          </w:tcPr>
          <w:p w14:paraId="5639DAB4">
            <w:pPr>
              <w:keepNext w:val="0"/>
              <w:keepLines w:val="0"/>
              <w:widowControl/>
              <w:suppressLineNumbers w:val="0"/>
              <w:spacing w:before="163" w:beforeLines="50" w:beforeAutospacing="0" w:after="0" w:afterAutospacing="0" w:line="360" w:lineRule="auto"/>
              <w:ind w:left="0" w:right="0"/>
              <w:jc w:val="center"/>
              <w:outlineLvl w:val="1"/>
              <w:rPr>
                <w:rFonts w:hint="eastAsia" w:ascii="宋体" w:hAnsi="宋体" w:eastAsia="宋体" w:cs="宋体"/>
                <w:sz w:val="24"/>
                <w:szCs w:val="24"/>
                <w:highlight w:val="none"/>
              </w:rPr>
            </w:pPr>
            <w:bookmarkStart w:id="451" w:name="_Toc841"/>
            <w:bookmarkStart w:id="452" w:name="_Toc16705"/>
            <w:r>
              <w:rPr>
                <w:rFonts w:hint="eastAsia" w:ascii="宋体" w:hAnsi="宋体" w:eastAsia="宋体" w:cs="宋体"/>
                <w:spacing w:val="-6"/>
                <w:sz w:val="24"/>
                <w:szCs w:val="24"/>
                <w:highlight w:val="none"/>
              </w:rPr>
              <w:t>保留小数点后两位。</w:t>
            </w:r>
            <w:bookmarkEnd w:id="451"/>
            <w:bookmarkEnd w:id="452"/>
          </w:p>
        </w:tc>
      </w:tr>
    </w:tbl>
    <w:p w14:paraId="2269F576">
      <w:pPr>
        <w:adjustRightInd w:val="0"/>
        <w:snapToGrid w:val="0"/>
        <w:spacing w:line="360" w:lineRule="auto"/>
        <w:outlineLvl w:val="1"/>
        <w:rPr>
          <w:rFonts w:hint="eastAsia" w:ascii="宋体" w:hAnsi="宋体" w:eastAsia="宋体" w:cs="宋体"/>
          <w:sz w:val="24"/>
          <w:szCs w:val="24"/>
          <w:highlight w:val="none"/>
        </w:rPr>
      </w:pPr>
    </w:p>
    <w:p w14:paraId="6DD63FA1">
      <w:pPr>
        <w:adjustRightInd w:val="0"/>
        <w:snapToGrid w:val="0"/>
        <w:spacing w:line="360" w:lineRule="auto"/>
        <w:outlineLvl w:val="1"/>
        <w:rPr>
          <w:rFonts w:hint="eastAsia" w:ascii="宋体" w:hAnsi="宋体" w:eastAsia="宋体" w:cs="宋体"/>
          <w:sz w:val="24"/>
          <w:szCs w:val="24"/>
          <w:highlight w:val="none"/>
        </w:rPr>
      </w:pPr>
    </w:p>
    <w:p w14:paraId="234F613F">
      <w:pPr>
        <w:adjustRightInd w:val="0"/>
        <w:snapToGrid w:val="0"/>
        <w:spacing w:line="360" w:lineRule="auto"/>
        <w:outlineLvl w:val="1"/>
        <w:rPr>
          <w:rFonts w:hint="eastAsia" w:ascii="宋体" w:hAnsi="宋体" w:eastAsia="宋体" w:cs="宋体"/>
          <w:bCs/>
          <w:sz w:val="24"/>
          <w:szCs w:val="24"/>
          <w:highlight w:val="none"/>
        </w:rPr>
      </w:pPr>
      <w:bookmarkStart w:id="453" w:name="_Toc28520"/>
      <w:bookmarkStart w:id="454" w:name="_Toc18213"/>
      <w:r>
        <w:rPr>
          <w:rFonts w:hint="eastAsia" w:ascii="宋体" w:hAnsi="宋体" w:eastAsia="宋体" w:cs="宋体"/>
          <w:sz w:val="24"/>
          <w:szCs w:val="24"/>
          <w:highlight w:val="none"/>
        </w:rPr>
        <w:t>说明：</w:t>
      </w:r>
      <w:r>
        <w:rPr>
          <w:rFonts w:hint="eastAsia" w:ascii="宋体" w:hAnsi="宋体" w:eastAsia="宋体" w:cs="宋体"/>
          <w:bCs/>
          <w:sz w:val="24"/>
          <w:szCs w:val="24"/>
          <w:highlight w:val="none"/>
        </w:rPr>
        <w:t>1</w:t>
      </w:r>
      <w:r>
        <w:rPr>
          <w:rFonts w:hint="eastAsia" w:ascii="宋体" w:hAnsi="宋体" w:eastAsia="宋体" w:cs="宋体"/>
          <w:bCs/>
          <w:sz w:val="24"/>
          <w:szCs w:val="24"/>
          <w:highlight w:val="none"/>
          <w:lang w:val="en-US" w:eastAsia="zh-CN"/>
        </w:rPr>
        <w:t>.</w:t>
      </w:r>
      <w:r>
        <w:rPr>
          <w:rFonts w:hint="eastAsia" w:ascii="宋体" w:hAnsi="宋体" w:eastAsia="宋体" w:cs="宋体"/>
          <w:sz w:val="24"/>
          <w:szCs w:val="24"/>
          <w:highlight w:val="none"/>
        </w:rPr>
        <w:t>供应商提供的产品</w:t>
      </w:r>
      <w:r>
        <w:rPr>
          <w:rFonts w:hint="eastAsia" w:ascii="宋体" w:hAnsi="宋体" w:eastAsia="宋体" w:cs="宋体"/>
          <w:bCs/>
          <w:sz w:val="24"/>
          <w:szCs w:val="24"/>
          <w:highlight w:val="none"/>
        </w:rPr>
        <w:t>属于《节能产品政府采购清单》中节能产品，《环境标志产品政府采购清单》中环境标志产品，应按招标文件要求</w:t>
      </w:r>
      <w:r>
        <w:rPr>
          <w:rFonts w:hint="eastAsia" w:ascii="宋体" w:hAnsi="宋体" w:eastAsia="宋体" w:cs="宋体"/>
          <w:sz w:val="24"/>
          <w:szCs w:val="24"/>
          <w:highlight w:val="none"/>
        </w:rPr>
        <w:t>提供相关证明材料。</w:t>
      </w:r>
      <w:bookmarkEnd w:id="453"/>
      <w:bookmarkEnd w:id="454"/>
    </w:p>
    <w:p w14:paraId="48784C72">
      <w:pPr>
        <w:pStyle w:val="151"/>
        <w:spacing w:line="360" w:lineRule="auto"/>
        <w:ind w:left="560" w:leftChars="200" w:firstLine="240" w:firstLineChars="100"/>
        <w:outlineLvl w:val="1"/>
        <w:rPr>
          <w:rFonts w:hint="eastAsia" w:ascii="宋体" w:hAnsi="宋体" w:eastAsia="宋体" w:cs="宋体"/>
          <w:sz w:val="24"/>
          <w:szCs w:val="24"/>
          <w:highlight w:val="none"/>
        </w:rPr>
      </w:pPr>
      <w:bookmarkStart w:id="455" w:name="_Toc9613"/>
      <w:bookmarkStart w:id="456" w:name="_Toc22072"/>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rPr>
        <w:t>未按上述要求提供、</w:t>
      </w:r>
      <w:r>
        <w:rPr>
          <w:rFonts w:hint="eastAsia" w:ascii="宋体" w:hAnsi="宋体" w:eastAsia="宋体" w:cs="宋体"/>
          <w:sz w:val="24"/>
          <w:szCs w:val="24"/>
          <w:highlight w:val="none"/>
        </w:rPr>
        <w:t>填写</w:t>
      </w:r>
      <w:r>
        <w:rPr>
          <w:rFonts w:hint="eastAsia" w:ascii="宋体" w:hAnsi="宋体" w:eastAsia="宋体" w:cs="宋体"/>
          <w:bCs/>
          <w:sz w:val="24"/>
          <w:szCs w:val="24"/>
          <w:highlight w:val="none"/>
        </w:rPr>
        <w:t>的，评标时不予以考虑。</w:t>
      </w:r>
      <w:bookmarkEnd w:id="455"/>
      <w:bookmarkEnd w:id="456"/>
    </w:p>
    <w:p w14:paraId="337B387A">
      <w:pPr>
        <w:pStyle w:val="23"/>
        <w:rPr>
          <w:rFonts w:hint="eastAsia" w:ascii="宋体" w:hAnsi="宋体" w:eastAsia="宋体" w:cs="宋体"/>
          <w:b/>
          <w:bCs/>
          <w:sz w:val="24"/>
          <w:szCs w:val="24"/>
          <w:highlight w:val="none"/>
        </w:rPr>
      </w:pPr>
    </w:p>
    <w:p w14:paraId="67089226">
      <w:pPr>
        <w:spacing w:line="360" w:lineRule="auto"/>
        <w:ind w:firstLine="480" w:firstLineChars="200"/>
        <w:outlineLvl w:val="0"/>
        <w:rPr>
          <w:rFonts w:hint="eastAsia" w:ascii="宋体" w:hAnsi="宋体" w:eastAsia="宋体" w:cs="宋体"/>
          <w:sz w:val="24"/>
          <w:szCs w:val="24"/>
          <w:highlight w:val="none"/>
        </w:rPr>
      </w:pPr>
      <w:bookmarkStart w:id="457" w:name="_Toc29312"/>
      <w:bookmarkStart w:id="458" w:name="_Toc1211"/>
      <w:bookmarkStart w:id="459" w:name="_Toc32440"/>
      <w:r>
        <w:rPr>
          <w:rFonts w:hint="eastAsia" w:ascii="宋体" w:hAnsi="宋体" w:eastAsia="宋体" w:cs="宋体"/>
          <w:sz w:val="24"/>
          <w:szCs w:val="24"/>
          <w:highlight w:val="none"/>
        </w:rPr>
        <w:t>供应商名称（公章）</w:t>
      </w:r>
      <w:bookmarkEnd w:id="457"/>
      <w:bookmarkEnd w:id="458"/>
      <w:bookmarkEnd w:id="459"/>
    </w:p>
    <w:p w14:paraId="62D10E69">
      <w:pPr>
        <w:spacing w:line="360" w:lineRule="auto"/>
        <w:ind w:firstLine="720" w:firstLineChars="300"/>
        <w:outlineLvl w:val="0"/>
        <w:rPr>
          <w:rFonts w:hint="eastAsia" w:ascii="宋体" w:hAnsi="宋体" w:eastAsia="宋体" w:cs="宋体"/>
          <w:sz w:val="24"/>
          <w:szCs w:val="24"/>
          <w:highlight w:val="none"/>
        </w:rPr>
      </w:pPr>
      <w:bookmarkStart w:id="460" w:name="_Toc27124"/>
      <w:bookmarkStart w:id="461" w:name="_Toc32743"/>
      <w:bookmarkStart w:id="462" w:name="_Toc25329"/>
      <w:r>
        <w:rPr>
          <w:rFonts w:hint="eastAsia" w:ascii="宋体" w:hAnsi="宋体" w:eastAsia="宋体" w:cs="宋体"/>
          <w:sz w:val="24"/>
          <w:szCs w:val="24"/>
          <w:highlight w:val="none"/>
        </w:rPr>
        <w:t>年  月  日</w:t>
      </w:r>
      <w:bookmarkEnd w:id="460"/>
      <w:bookmarkEnd w:id="461"/>
      <w:bookmarkEnd w:id="462"/>
    </w:p>
    <w:p w14:paraId="22E28504">
      <w:pPr>
        <w:pStyle w:val="23"/>
        <w:rPr>
          <w:rFonts w:hint="eastAsia" w:ascii="宋体" w:hAnsi="宋体" w:eastAsia="宋体" w:cs="宋体"/>
          <w:b/>
          <w:bCs/>
          <w:sz w:val="24"/>
          <w:szCs w:val="24"/>
          <w:highlight w:val="none"/>
        </w:rPr>
        <w:sectPr>
          <w:headerReference r:id="rId19" w:type="default"/>
          <w:pgSz w:w="11905" w:h="16838"/>
          <w:pgMar w:top="1247" w:right="1134" w:bottom="1247" w:left="1134" w:header="964" w:footer="964" w:gutter="0"/>
          <w:pgNumType w:fmt="decimal" w:chapStyle="1"/>
          <w:cols w:space="0" w:num="1"/>
          <w:rtlGutter w:val="0"/>
          <w:docGrid w:type="lines" w:linePitch="398" w:charSpace="0"/>
        </w:sectPr>
      </w:pPr>
    </w:p>
    <w:p w14:paraId="5213943C">
      <w:pPr>
        <w:spacing w:line="360" w:lineRule="auto"/>
        <w:jc w:val="center"/>
        <w:outlineLvl w:val="1"/>
        <w:rPr>
          <w:rFonts w:hint="eastAsia" w:ascii="宋体" w:hAnsi="宋体" w:eastAsia="宋体" w:cs="宋体"/>
          <w:b/>
          <w:sz w:val="24"/>
          <w:szCs w:val="24"/>
          <w:highlight w:val="none"/>
        </w:rPr>
      </w:pPr>
      <w:bookmarkStart w:id="463" w:name="_Toc21565"/>
      <w:bookmarkStart w:id="464" w:name="_Toc9051"/>
      <w:bookmarkStart w:id="465" w:name="OLE_LINK13"/>
      <w:bookmarkStart w:id="466" w:name="OLE_LINK14"/>
      <w:r>
        <w:rPr>
          <w:rFonts w:hint="eastAsia" w:ascii="宋体" w:hAnsi="宋体" w:eastAsia="宋体" w:cs="宋体"/>
          <w:b/>
          <w:bCs/>
          <w:sz w:val="24"/>
          <w:szCs w:val="24"/>
          <w:highlight w:val="none"/>
        </w:rPr>
        <w:t>残疾人福利性单位声明函</w:t>
      </w:r>
      <w:r>
        <w:rPr>
          <w:rFonts w:hint="eastAsia" w:ascii="宋体" w:hAnsi="宋体" w:eastAsia="宋体" w:cs="宋体"/>
          <w:b/>
          <w:sz w:val="24"/>
          <w:szCs w:val="24"/>
          <w:highlight w:val="none"/>
        </w:rPr>
        <w:t>（如</w:t>
      </w:r>
      <w:r>
        <w:rPr>
          <w:rFonts w:hint="eastAsia" w:ascii="宋体" w:hAnsi="宋体" w:eastAsia="宋体" w:cs="宋体"/>
          <w:b/>
          <w:bCs/>
          <w:sz w:val="24"/>
          <w:szCs w:val="24"/>
          <w:highlight w:val="none"/>
        </w:rPr>
        <w:t>是</w:t>
      </w:r>
      <w:r>
        <w:rPr>
          <w:rFonts w:hint="eastAsia" w:ascii="宋体" w:hAnsi="宋体" w:eastAsia="宋体" w:cs="宋体"/>
          <w:b/>
          <w:sz w:val="24"/>
          <w:szCs w:val="24"/>
          <w:highlight w:val="none"/>
        </w:rPr>
        <w:t>）</w:t>
      </w:r>
      <w:bookmarkEnd w:id="463"/>
      <w:bookmarkEnd w:id="464"/>
    </w:p>
    <w:p w14:paraId="304AFE3F">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  </w:t>
      </w:r>
    </w:p>
    <w:bookmarkEnd w:id="465"/>
    <w:bookmarkEnd w:id="466"/>
    <w:p w14:paraId="431A3CC6">
      <w:pPr>
        <w:spacing w:line="588" w:lineRule="exact"/>
        <w:rPr>
          <w:rFonts w:hint="eastAsia" w:ascii="宋体" w:hAnsi="宋体" w:eastAsia="宋体" w:cs="宋体"/>
          <w:b/>
          <w:spacing w:val="6"/>
          <w:sz w:val="24"/>
          <w:szCs w:val="24"/>
          <w:highlight w:val="none"/>
        </w:rPr>
      </w:pPr>
    </w:p>
    <w:p w14:paraId="07A07C9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单位的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项目采购活动提供本单位制造的货物（由本单位承担工程/提供服务），或者提供其他残疾人福利性单位制造的货物（不包括使用非残疾人福利性单位注册商标的货物）。</w:t>
      </w:r>
    </w:p>
    <w:p w14:paraId="422B693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本单位对上述声明的真实性负责。如有虚假，将依法承担相应责任。</w:t>
      </w:r>
    </w:p>
    <w:p w14:paraId="6E4BFFE1">
      <w:pPr>
        <w:spacing w:line="360" w:lineRule="auto"/>
        <w:rPr>
          <w:rFonts w:hint="eastAsia" w:ascii="宋体" w:hAnsi="宋体" w:eastAsia="宋体" w:cs="宋体"/>
          <w:sz w:val="24"/>
          <w:szCs w:val="24"/>
          <w:highlight w:val="none"/>
        </w:rPr>
      </w:pPr>
    </w:p>
    <w:p w14:paraId="388C3423">
      <w:pPr>
        <w:spacing w:line="360" w:lineRule="auto"/>
        <w:rPr>
          <w:rFonts w:hint="eastAsia" w:ascii="宋体" w:hAnsi="宋体" w:eastAsia="宋体" w:cs="宋体"/>
          <w:sz w:val="24"/>
          <w:szCs w:val="24"/>
          <w:highlight w:val="none"/>
        </w:rPr>
      </w:pPr>
    </w:p>
    <w:p w14:paraId="76E880A8">
      <w:pPr>
        <w:spacing w:line="360" w:lineRule="auto"/>
        <w:ind w:firstLine="6120" w:firstLineChars="2550"/>
        <w:outlineLvl w:val="0"/>
        <w:rPr>
          <w:rFonts w:hint="eastAsia" w:ascii="宋体" w:hAnsi="宋体" w:eastAsia="宋体" w:cs="宋体"/>
          <w:sz w:val="24"/>
          <w:szCs w:val="24"/>
          <w:highlight w:val="none"/>
        </w:rPr>
      </w:pPr>
      <w:bookmarkStart w:id="467" w:name="_Toc15190"/>
      <w:bookmarkStart w:id="468" w:name="_Toc10190"/>
      <w:bookmarkStart w:id="469" w:name="_Toc16638"/>
      <w:bookmarkStart w:id="470" w:name="_Toc27331"/>
      <w:r>
        <w:rPr>
          <w:rFonts w:hint="eastAsia" w:ascii="宋体" w:hAnsi="宋体" w:eastAsia="宋体" w:cs="宋体"/>
          <w:sz w:val="24"/>
          <w:szCs w:val="24"/>
          <w:highlight w:val="none"/>
        </w:rPr>
        <w:t>供应商名称（公章）</w:t>
      </w:r>
      <w:bookmarkEnd w:id="467"/>
      <w:bookmarkEnd w:id="468"/>
      <w:bookmarkEnd w:id="469"/>
      <w:bookmarkEnd w:id="470"/>
    </w:p>
    <w:p w14:paraId="2B82DDC5">
      <w:pPr>
        <w:spacing w:line="360" w:lineRule="auto"/>
        <w:ind w:firstLine="6600" w:firstLineChars="2750"/>
        <w:outlineLvl w:val="0"/>
        <w:rPr>
          <w:rFonts w:hint="eastAsia" w:ascii="宋体" w:hAnsi="宋体" w:eastAsia="宋体" w:cs="宋体"/>
          <w:sz w:val="24"/>
          <w:szCs w:val="24"/>
          <w:highlight w:val="none"/>
        </w:rPr>
      </w:pPr>
      <w:bookmarkStart w:id="471" w:name="_Toc4481"/>
      <w:bookmarkStart w:id="472" w:name="_Toc19112"/>
      <w:bookmarkStart w:id="473" w:name="_Toc19326"/>
      <w:bookmarkStart w:id="474" w:name="_Toc6322"/>
      <w:r>
        <w:rPr>
          <w:rFonts w:hint="eastAsia" w:ascii="宋体" w:hAnsi="宋体" w:eastAsia="宋体" w:cs="宋体"/>
          <w:sz w:val="24"/>
          <w:szCs w:val="24"/>
          <w:highlight w:val="none"/>
        </w:rPr>
        <w:t>年  月  日</w:t>
      </w:r>
      <w:bookmarkEnd w:id="471"/>
      <w:bookmarkEnd w:id="472"/>
      <w:bookmarkEnd w:id="473"/>
      <w:bookmarkEnd w:id="474"/>
    </w:p>
    <w:p w14:paraId="622E2637">
      <w:pPr>
        <w:spacing w:line="360" w:lineRule="auto"/>
        <w:ind w:firstLine="480" w:firstLineChars="200"/>
        <w:rPr>
          <w:rFonts w:hint="eastAsia" w:ascii="宋体" w:hAnsi="宋体" w:eastAsia="宋体" w:cs="宋体"/>
          <w:sz w:val="24"/>
          <w:szCs w:val="24"/>
          <w:highlight w:val="none"/>
        </w:rPr>
      </w:pPr>
    </w:p>
    <w:p w14:paraId="7EDB80DB">
      <w:pPr>
        <w:spacing w:line="360" w:lineRule="auto"/>
        <w:ind w:firstLine="480" w:firstLineChars="200"/>
        <w:rPr>
          <w:rFonts w:hint="eastAsia" w:ascii="宋体" w:hAnsi="宋体" w:eastAsia="宋体" w:cs="宋体"/>
          <w:sz w:val="24"/>
          <w:szCs w:val="24"/>
          <w:highlight w:val="none"/>
        </w:rPr>
      </w:pPr>
    </w:p>
    <w:p w14:paraId="07BFBC28">
      <w:pPr>
        <w:spacing w:line="360" w:lineRule="auto"/>
        <w:ind w:firstLine="480" w:firstLineChars="200"/>
        <w:rPr>
          <w:rFonts w:hint="eastAsia" w:ascii="宋体" w:hAnsi="宋体" w:eastAsia="宋体" w:cs="宋体"/>
          <w:sz w:val="24"/>
          <w:szCs w:val="24"/>
          <w:highlight w:val="none"/>
        </w:rPr>
      </w:pPr>
    </w:p>
    <w:p w14:paraId="590F0C9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非残疾人福利性单位不提供此声明函</w:t>
      </w:r>
    </w:p>
    <w:p w14:paraId="7380779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rPr>
        <w:t>提供此声明函的，若提供虚假材料谋取中标、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CA0B8FD">
      <w:pPr>
        <w:keepNext/>
        <w:keepLines/>
        <w:spacing w:line="415" w:lineRule="auto"/>
        <w:jc w:val="center"/>
        <w:outlineLvl w:val="1"/>
        <w:rPr>
          <w:rFonts w:hint="eastAsia" w:ascii="宋体" w:hAnsi="宋体" w:eastAsia="宋体" w:cs="宋体"/>
          <w:b/>
          <w:bCs/>
          <w:sz w:val="24"/>
          <w:szCs w:val="24"/>
          <w:highlight w:val="none"/>
        </w:rPr>
        <w:sectPr>
          <w:pgSz w:w="11905" w:h="16838"/>
          <w:pgMar w:top="1247" w:right="1134" w:bottom="1247" w:left="1134" w:header="964" w:footer="964" w:gutter="0"/>
          <w:pgNumType w:fmt="decimal" w:chapStyle="1"/>
          <w:cols w:space="0" w:num="1"/>
          <w:rtlGutter w:val="0"/>
          <w:docGrid w:type="lines" w:linePitch="398" w:charSpace="0"/>
        </w:sectPr>
      </w:pPr>
    </w:p>
    <w:bookmarkEnd w:id="386"/>
    <w:bookmarkEnd w:id="407"/>
    <w:bookmarkEnd w:id="408"/>
    <w:bookmarkEnd w:id="409"/>
    <w:bookmarkEnd w:id="410"/>
    <w:bookmarkEnd w:id="411"/>
    <w:bookmarkEnd w:id="412"/>
    <w:p w14:paraId="00A0A21B">
      <w:pPr>
        <w:keepNext/>
        <w:keepLines/>
        <w:numPr>
          <w:ilvl w:val="0"/>
          <w:numId w:val="5"/>
        </w:numPr>
        <w:topLinePunct w:val="0"/>
        <w:bidi w:val="0"/>
        <w:spacing w:before="260" w:after="260" w:line="480" w:lineRule="exact"/>
        <w:jc w:val="center"/>
        <w:outlineLvl w:val="1"/>
        <w:rPr>
          <w:rFonts w:hint="eastAsia" w:ascii="宋体" w:hAnsi="宋体" w:eastAsia="宋体" w:cs="宋体"/>
          <w:b/>
          <w:bCs/>
          <w:color w:val="auto"/>
        </w:rPr>
      </w:pPr>
      <w:bookmarkStart w:id="475" w:name="_Toc23229"/>
      <w:bookmarkStart w:id="476" w:name="_Toc16810"/>
      <w:bookmarkStart w:id="477" w:name="OLE_LINK77"/>
      <w:r>
        <w:rPr>
          <w:rFonts w:hint="eastAsia" w:ascii="宋体" w:hAnsi="宋体" w:eastAsia="宋体" w:cs="宋体"/>
          <w:b/>
          <w:bCs/>
          <w:color w:val="auto"/>
        </w:rPr>
        <w:t>技术商务</w:t>
      </w:r>
      <w:r>
        <w:rPr>
          <w:rFonts w:hint="eastAsia" w:ascii="宋体" w:hAnsi="宋体" w:eastAsia="宋体" w:cs="宋体"/>
          <w:b/>
          <w:bCs/>
          <w:color w:val="auto"/>
          <w:lang w:val="en-US" w:eastAsia="zh-CN"/>
        </w:rPr>
        <w:t>响应</w:t>
      </w:r>
      <w:r>
        <w:rPr>
          <w:rFonts w:hint="eastAsia" w:ascii="宋体" w:hAnsi="宋体" w:eastAsia="宋体" w:cs="宋体"/>
          <w:b/>
          <w:bCs/>
          <w:color w:val="auto"/>
        </w:rPr>
        <w:t>偏离表</w:t>
      </w:r>
      <w:bookmarkEnd w:id="475"/>
      <w:bookmarkEnd w:id="476"/>
      <w:bookmarkEnd w:id="477"/>
    </w:p>
    <w:p w14:paraId="6D908BAF">
      <w:pPr>
        <w:pStyle w:val="23"/>
        <w:topLinePunct w:val="0"/>
        <w:bidi w:val="0"/>
        <w:spacing w:line="480" w:lineRule="exact"/>
        <w:ind w:firstLine="4337" w:firstLineChars="180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4.1 技术响应偏离表</w:t>
      </w:r>
    </w:p>
    <w:tbl>
      <w:tblPr>
        <w:tblStyle w:val="37"/>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747"/>
        <w:gridCol w:w="2993"/>
        <w:gridCol w:w="1778"/>
      </w:tblGrid>
      <w:tr w14:paraId="4794D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40" w:type="dxa"/>
            <w:vAlign w:val="center"/>
          </w:tcPr>
          <w:p w14:paraId="468FA3C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3747" w:type="dxa"/>
            <w:vAlign w:val="center"/>
          </w:tcPr>
          <w:p w14:paraId="19C05A8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谈判文件</w:t>
            </w:r>
            <w:r>
              <w:rPr>
                <w:rFonts w:hint="eastAsia" w:ascii="宋体" w:hAnsi="宋体" w:eastAsia="宋体" w:cs="宋体"/>
                <w:b/>
                <w:bCs/>
                <w:color w:val="auto"/>
                <w:sz w:val="24"/>
                <w:szCs w:val="24"/>
                <w:lang w:val="en-US" w:eastAsia="zh-CN"/>
              </w:rPr>
              <w:t>技术</w:t>
            </w:r>
            <w:r>
              <w:rPr>
                <w:rFonts w:hint="eastAsia" w:ascii="宋体" w:hAnsi="宋体" w:eastAsia="宋体" w:cs="宋体"/>
                <w:b/>
                <w:bCs/>
                <w:color w:val="auto"/>
                <w:sz w:val="24"/>
                <w:szCs w:val="24"/>
              </w:rPr>
              <w:t>要求</w:t>
            </w:r>
          </w:p>
        </w:tc>
        <w:tc>
          <w:tcPr>
            <w:tcW w:w="2993" w:type="dxa"/>
            <w:vAlign w:val="center"/>
          </w:tcPr>
          <w:p w14:paraId="1F05C78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响应</w:t>
            </w:r>
            <w:r>
              <w:rPr>
                <w:rFonts w:hint="eastAsia" w:ascii="宋体" w:hAnsi="宋体" w:eastAsia="宋体" w:cs="宋体"/>
                <w:b/>
                <w:bCs/>
                <w:color w:val="auto"/>
                <w:sz w:val="24"/>
                <w:szCs w:val="24"/>
              </w:rPr>
              <w:t>文件技术参数</w:t>
            </w:r>
            <w:r>
              <w:rPr>
                <w:rFonts w:hint="eastAsia" w:ascii="宋体" w:hAnsi="宋体" w:eastAsia="宋体" w:cs="宋体"/>
                <w:b/>
                <w:bCs/>
                <w:color w:val="auto"/>
                <w:sz w:val="24"/>
                <w:szCs w:val="24"/>
                <w:lang w:val="en-US" w:eastAsia="zh-CN"/>
              </w:rPr>
              <w:t>应答</w:t>
            </w:r>
          </w:p>
        </w:tc>
        <w:tc>
          <w:tcPr>
            <w:tcW w:w="1778" w:type="dxa"/>
            <w:vAlign w:val="center"/>
          </w:tcPr>
          <w:p w14:paraId="6BE9BE2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响应/偏离</w:t>
            </w:r>
          </w:p>
        </w:tc>
      </w:tr>
      <w:tr w14:paraId="7E742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0" w:type="dxa"/>
            <w:vAlign w:val="center"/>
          </w:tcPr>
          <w:p w14:paraId="70E2001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3747" w:type="dxa"/>
            <w:vAlign w:val="center"/>
          </w:tcPr>
          <w:p w14:paraId="6544C7BA">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2993" w:type="dxa"/>
            <w:vAlign w:val="center"/>
          </w:tcPr>
          <w:p w14:paraId="21AB8B94">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1778" w:type="dxa"/>
            <w:vAlign w:val="center"/>
          </w:tcPr>
          <w:p w14:paraId="054F8D53">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r>
      <w:tr w14:paraId="55A40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0" w:type="dxa"/>
            <w:vAlign w:val="center"/>
          </w:tcPr>
          <w:p w14:paraId="33FD1AD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3747" w:type="dxa"/>
            <w:vAlign w:val="center"/>
          </w:tcPr>
          <w:p w14:paraId="4B280FC3">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2993" w:type="dxa"/>
            <w:vAlign w:val="center"/>
          </w:tcPr>
          <w:p w14:paraId="141D782F">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1778" w:type="dxa"/>
            <w:vAlign w:val="center"/>
          </w:tcPr>
          <w:p w14:paraId="2AC928A3">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r>
      <w:tr w14:paraId="2B4F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0" w:type="dxa"/>
            <w:vAlign w:val="center"/>
          </w:tcPr>
          <w:p w14:paraId="6CFF705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3747" w:type="dxa"/>
            <w:vAlign w:val="center"/>
          </w:tcPr>
          <w:p w14:paraId="349BF531">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2993" w:type="dxa"/>
            <w:vAlign w:val="center"/>
          </w:tcPr>
          <w:p w14:paraId="63F412B3">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1778" w:type="dxa"/>
            <w:vAlign w:val="center"/>
          </w:tcPr>
          <w:p w14:paraId="66B899C0">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r>
      <w:tr w14:paraId="52841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0" w:type="dxa"/>
            <w:vAlign w:val="center"/>
          </w:tcPr>
          <w:p w14:paraId="3B3A1C5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3747" w:type="dxa"/>
            <w:vAlign w:val="center"/>
          </w:tcPr>
          <w:p w14:paraId="0A0667AD">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2993" w:type="dxa"/>
            <w:vAlign w:val="center"/>
          </w:tcPr>
          <w:p w14:paraId="7254BE2D">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1778" w:type="dxa"/>
            <w:vAlign w:val="center"/>
          </w:tcPr>
          <w:p w14:paraId="3B449F56">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r>
      <w:tr w14:paraId="2052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0" w:type="dxa"/>
            <w:vAlign w:val="center"/>
          </w:tcPr>
          <w:p w14:paraId="26C23DF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b/>
                <w:color w:val="auto"/>
                <w:szCs w:val="21"/>
                <w:highlight w:val="none"/>
              </w:rPr>
              <w:t>…</w:t>
            </w:r>
          </w:p>
        </w:tc>
        <w:tc>
          <w:tcPr>
            <w:tcW w:w="3747" w:type="dxa"/>
            <w:vAlign w:val="center"/>
          </w:tcPr>
          <w:p w14:paraId="39C0637A">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2993" w:type="dxa"/>
            <w:vAlign w:val="center"/>
          </w:tcPr>
          <w:p w14:paraId="508477F6">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1778" w:type="dxa"/>
            <w:vAlign w:val="center"/>
          </w:tcPr>
          <w:p w14:paraId="61FD3E19">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r>
      <w:tr w14:paraId="0763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0" w:type="dxa"/>
            <w:vAlign w:val="center"/>
          </w:tcPr>
          <w:p w14:paraId="621519E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3747" w:type="dxa"/>
            <w:vAlign w:val="center"/>
          </w:tcPr>
          <w:p w14:paraId="5BDD2901">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2993" w:type="dxa"/>
            <w:vAlign w:val="center"/>
          </w:tcPr>
          <w:p w14:paraId="3ECA2734">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c>
          <w:tcPr>
            <w:tcW w:w="1778" w:type="dxa"/>
            <w:vAlign w:val="center"/>
          </w:tcPr>
          <w:p w14:paraId="37BCFB10">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szCs w:val="24"/>
              </w:rPr>
            </w:pPr>
          </w:p>
        </w:tc>
      </w:tr>
    </w:tbl>
    <w:p w14:paraId="37EC93DF">
      <w:pPr>
        <w:pStyle w:val="23"/>
        <w:numPr>
          <w:ilvl w:val="0"/>
          <w:numId w:val="0"/>
        </w:numPr>
        <w:topLinePunct w:val="0"/>
        <w:bidi w:val="0"/>
        <w:spacing w:line="480" w:lineRule="exact"/>
        <w:ind w:firstLine="480" w:firstLineChars="200"/>
        <w:rPr>
          <w:rFonts w:hint="eastAsia" w:ascii="宋体" w:hAnsi="宋体" w:eastAsia="宋体" w:cs="仿宋"/>
          <w:kern w:val="2"/>
          <w:sz w:val="24"/>
          <w:szCs w:val="24"/>
          <w:lang w:val="en-US" w:eastAsia="zh-CN" w:bidi="ar-SA"/>
        </w:rPr>
      </w:pPr>
      <w:r>
        <w:rPr>
          <w:rFonts w:hint="eastAsia" w:ascii="宋体" w:hAnsi="宋体" w:eastAsia="宋体" w:cs="仿宋"/>
          <w:kern w:val="2"/>
          <w:sz w:val="24"/>
          <w:szCs w:val="24"/>
          <w:lang w:val="en-US" w:eastAsia="zh-CN" w:bidi="ar-SA"/>
        </w:rPr>
        <w:t>注：1.如有漏报、瞒报谈判文件所要求的性能指标等，将视为没有实质性响应谈判文件。谈判文件第三章 技术参数必须逐条响应，否则视为无效投标技术；</w:t>
      </w:r>
    </w:p>
    <w:p w14:paraId="151196BB">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960" w:firstLineChars="400"/>
        <w:textAlignment w:val="auto"/>
        <w:rPr>
          <w:rFonts w:hint="eastAsia" w:ascii="宋体" w:hAnsi="宋体" w:eastAsia="宋体" w:cs="仿宋"/>
          <w:kern w:val="2"/>
          <w:sz w:val="24"/>
          <w:szCs w:val="24"/>
          <w:lang w:val="en-US" w:eastAsia="zh-CN" w:bidi="ar-SA"/>
        </w:rPr>
      </w:pPr>
      <w:r>
        <w:rPr>
          <w:rFonts w:hint="eastAsia" w:ascii="宋体" w:hAnsi="宋体" w:eastAsia="宋体" w:cs="仿宋"/>
          <w:kern w:val="2"/>
          <w:sz w:val="24"/>
          <w:szCs w:val="24"/>
          <w:lang w:val="en-US" w:eastAsia="zh-CN" w:bidi="ar-SA"/>
        </w:rPr>
        <w:t>2.“响应文件响应条款”必须与响应文件中提供的证明材料的响应情况相一致。若在评审环节发现该项与响应文件证明材料的响应情况不一致，供应商自行承担因证明材料不全或不一致被视为技术参数偏离的风险。</w:t>
      </w:r>
    </w:p>
    <w:p w14:paraId="5BEAA654">
      <w:pPr>
        <w:numPr>
          <w:ilvl w:val="0"/>
          <w:numId w:val="0"/>
        </w:numPr>
        <w:ind w:leftChars="200"/>
        <w:rPr>
          <w:rFonts w:hint="default" w:ascii="宋体" w:hAnsi="宋体" w:eastAsia="宋体" w:cs="仿宋"/>
          <w:kern w:val="2"/>
          <w:sz w:val="24"/>
          <w:szCs w:val="24"/>
          <w:lang w:val="en-US" w:eastAsia="zh-CN" w:bidi="ar-SA"/>
        </w:rPr>
      </w:pPr>
    </w:p>
    <w:p w14:paraId="106B460D">
      <w:pPr>
        <w:pStyle w:val="23"/>
        <w:numPr>
          <w:ilvl w:val="0"/>
          <w:numId w:val="0"/>
        </w:numPr>
        <w:topLinePunct w:val="0"/>
        <w:bidi w:val="0"/>
        <w:spacing w:line="480" w:lineRule="exact"/>
        <w:rPr>
          <w:rFonts w:hint="eastAsia" w:asciiTheme="majorEastAsia" w:hAnsiTheme="majorEastAsia" w:eastAsiaTheme="majorEastAsia" w:cstheme="majorEastAsia"/>
          <w:kern w:val="1"/>
          <w:sz w:val="24"/>
          <w:szCs w:val="24"/>
        </w:rPr>
      </w:pPr>
    </w:p>
    <w:p w14:paraId="4371A6E8">
      <w:pPr>
        <w:pStyle w:val="23"/>
        <w:topLinePunct w:val="0"/>
        <w:bidi w:val="0"/>
        <w:spacing w:line="480" w:lineRule="exact"/>
        <w:rPr>
          <w:rFonts w:hint="eastAsia" w:ascii="宋体" w:hAnsi="宋体" w:eastAsia="宋体" w:cs="宋体"/>
          <w:color w:val="auto"/>
        </w:rPr>
      </w:pPr>
    </w:p>
    <w:p w14:paraId="682EEEFA">
      <w:pPr>
        <w:pStyle w:val="23"/>
        <w:topLinePunct w:val="0"/>
        <w:bidi w:val="0"/>
        <w:spacing w:line="480" w:lineRule="exact"/>
        <w:rPr>
          <w:rFonts w:hint="eastAsia" w:ascii="宋体" w:hAnsi="宋体" w:eastAsia="宋体" w:cs="宋体"/>
          <w:color w:val="auto"/>
        </w:rPr>
      </w:pPr>
    </w:p>
    <w:p w14:paraId="5F8A79A8">
      <w:pPr>
        <w:pStyle w:val="23"/>
        <w:topLinePunct w:val="0"/>
        <w:bidi w:val="0"/>
        <w:spacing w:line="480" w:lineRule="exact"/>
        <w:rPr>
          <w:rFonts w:hint="eastAsia" w:ascii="宋体" w:hAnsi="宋体" w:eastAsia="宋体" w:cs="宋体"/>
          <w:color w:val="auto"/>
        </w:rPr>
      </w:pPr>
    </w:p>
    <w:p w14:paraId="769DC9C2">
      <w:pPr>
        <w:widowControl w:val="0"/>
        <w:topLinePunct w:val="0"/>
        <w:bidi w:val="0"/>
        <w:adjustRightInd w:val="0"/>
        <w:snapToGrid w:val="0"/>
        <w:spacing w:line="480" w:lineRule="exact"/>
        <w:jc w:val="left"/>
        <w:rPr>
          <w:rFonts w:hint="default" w:ascii="宋体" w:hAnsi="宋体" w:eastAsia="宋体"/>
          <w:color w:val="auto"/>
          <w:sz w:val="24"/>
          <w:szCs w:val="24"/>
          <w:u w:val="single"/>
          <w:lang w:val="en-US" w:eastAsia="zh-CN"/>
        </w:rPr>
      </w:pPr>
      <w:r>
        <w:rPr>
          <w:rFonts w:hint="eastAsia" w:ascii="宋体" w:hAnsi="宋体" w:eastAsia="宋体" w:cs="宋体"/>
          <w:color w:val="auto"/>
          <w:sz w:val="24"/>
          <w:szCs w:val="24"/>
          <w:lang w:val="en-US" w:eastAsia="zh-CN"/>
        </w:rPr>
        <w:t>供应商（单位名称及公章）：</w:t>
      </w:r>
      <w:r>
        <w:rPr>
          <w:rFonts w:hint="eastAsia" w:ascii="宋体" w:hAnsi="宋体" w:eastAsia="宋体" w:cs="宋体"/>
          <w:color w:val="auto"/>
          <w:sz w:val="24"/>
          <w:szCs w:val="24"/>
          <w:u w:val="single"/>
          <w:lang w:val="en-US" w:eastAsia="zh-CN"/>
        </w:rPr>
        <w:t xml:space="preserve">                                </w:t>
      </w:r>
    </w:p>
    <w:p w14:paraId="5BD80B49">
      <w:pPr>
        <w:widowControl w:val="0"/>
        <w:topLinePunct w:val="0"/>
        <w:bidi w:val="0"/>
        <w:adjustRightInd w:val="0"/>
        <w:snapToGrid w:val="0"/>
        <w:spacing w:line="480" w:lineRule="exact"/>
        <w:jc w:val="left"/>
        <w:rPr>
          <w:rFonts w:hint="eastAsia" w:ascii="宋体" w:hAnsi="宋体" w:eastAsia="宋体" w:cs="宋体"/>
          <w:b/>
          <w:bCs/>
          <w:color w:val="auto"/>
          <w:sz w:val="24"/>
          <w:szCs w:val="24"/>
          <w:u w:val="none"/>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被授权人（签字）：</w:t>
      </w:r>
      <w:r>
        <w:rPr>
          <w:rFonts w:hint="eastAsia" w:ascii="宋体" w:hAnsi="宋体" w:eastAsia="宋体" w:cs="宋体"/>
          <w:b/>
          <w:bCs/>
          <w:color w:val="auto"/>
          <w:sz w:val="24"/>
          <w:szCs w:val="24"/>
          <w:u w:val="none"/>
          <w:lang w:val="en-US" w:eastAsia="zh-CN"/>
        </w:rPr>
        <w:t>_________________</w:t>
      </w:r>
    </w:p>
    <w:p w14:paraId="657E61D8">
      <w:pPr>
        <w:topLinePunct w:val="0"/>
        <w:bidi w:val="0"/>
        <w:adjustRightInd w:val="0"/>
        <w:snapToGrid w:val="0"/>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日 </w:t>
      </w:r>
    </w:p>
    <w:p w14:paraId="6CFCD052">
      <w:pPr>
        <w:pStyle w:val="23"/>
        <w:topLinePunct w:val="0"/>
        <w:bidi w:val="0"/>
        <w:spacing w:line="480" w:lineRule="exact"/>
        <w:rPr>
          <w:rFonts w:hint="eastAsia" w:ascii="宋体" w:hAnsi="宋体" w:eastAsia="宋体" w:cs="宋体"/>
          <w:color w:val="auto"/>
        </w:rPr>
      </w:pPr>
    </w:p>
    <w:p w14:paraId="610ACB32">
      <w:pPr>
        <w:pStyle w:val="23"/>
        <w:topLinePunct w:val="0"/>
        <w:bidi w:val="0"/>
        <w:spacing w:line="480" w:lineRule="exact"/>
        <w:rPr>
          <w:rFonts w:hint="eastAsia" w:ascii="宋体" w:hAnsi="宋体" w:eastAsia="宋体" w:cs="宋体"/>
          <w:color w:val="auto"/>
        </w:rPr>
      </w:pPr>
    </w:p>
    <w:p w14:paraId="6B4D372D">
      <w:pPr>
        <w:pStyle w:val="23"/>
        <w:topLinePunct w:val="0"/>
        <w:bidi w:val="0"/>
        <w:spacing w:line="480" w:lineRule="exact"/>
        <w:rPr>
          <w:rFonts w:hint="eastAsia" w:ascii="宋体" w:hAnsi="宋体" w:eastAsia="宋体" w:cs="宋体"/>
          <w:color w:val="auto"/>
        </w:rPr>
        <w:sectPr>
          <w:pgSz w:w="11905" w:h="16838"/>
          <w:pgMar w:top="1247" w:right="1134" w:bottom="1247" w:left="1134" w:header="964" w:footer="964" w:gutter="0"/>
          <w:pgNumType w:fmt="decimal"/>
          <w:cols w:space="0" w:num="1"/>
          <w:rtlGutter w:val="0"/>
          <w:docGrid w:type="lines" w:linePitch="398" w:charSpace="0"/>
        </w:sectPr>
      </w:pPr>
    </w:p>
    <w:p w14:paraId="685ED127">
      <w:pPr>
        <w:keepNext/>
        <w:keepLines/>
        <w:pageBreakBefore w:val="0"/>
        <w:widowControl/>
        <w:numPr>
          <w:ilvl w:val="0"/>
          <w:numId w:val="0"/>
        </w:numPr>
        <w:kinsoku/>
        <w:wordWrap/>
        <w:overflowPunct/>
        <w:topLinePunct w:val="0"/>
        <w:autoSpaceDE/>
        <w:autoSpaceDN/>
        <w:bidi w:val="0"/>
        <w:adjustRightInd/>
        <w:snapToGrid/>
        <w:spacing w:after="196" w:afterLines="50" w:line="240" w:lineRule="auto"/>
        <w:jc w:val="center"/>
        <w:textAlignment w:val="auto"/>
        <w:outlineLvl w:val="1"/>
        <w:rPr>
          <w:rFonts w:hint="eastAsia" w:ascii="宋体" w:hAnsi="宋体" w:eastAsia="宋体" w:cs="宋体"/>
          <w:b/>
          <w:bCs/>
          <w:color w:val="auto"/>
          <w:kern w:val="2"/>
          <w:sz w:val="24"/>
          <w:szCs w:val="24"/>
          <w:lang w:val="en-US" w:eastAsia="zh-CN" w:bidi="ar-SA"/>
        </w:rPr>
      </w:pPr>
      <w:bookmarkStart w:id="478" w:name="_Toc26659"/>
      <w:bookmarkStart w:id="479" w:name="_Toc18000"/>
      <w:bookmarkStart w:id="480" w:name="_Toc15555"/>
      <w:r>
        <w:rPr>
          <w:rFonts w:hint="eastAsia" w:ascii="宋体" w:hAnsi="宋体" w:eastAsia="宋体" w:cs="宋体"/>
          <w:b/>
          <w:bCs/>
          <w:color w:val="auto"/>
          <w:kern w:val="2"/>
          <w:sz w:val="24"/>
          <w:szCs w:val="24"/>
          <w:lang w:val="en-US" w:eastAsia="zh-CN" w:bidi="ar-SA"/>
        </w:rPr>
        <w:t>4.2 商务响应偏离表</w:t>
      </w:r>
      <w:bookmarkEnd w:id="478"/>
      <w:bookmarkEnd w:id="479"/>
      <w:bookmarkEnd w:id="480"/>
    </w:p>
    <w:tbl>
      <w:tblPr>
        <w:tblStyle w:val="37"/>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23"/>
        <w:gridCol w:w="3167"/>
        <w:gridCol w:w="2177"/>
        <w:gridCol w:w="1369"/>
      </w:tblGrid>
      <w:tr w14:paraId="0B01D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675" w:type="dxa"/>
            <w:vAlign w:val="center"/>
          </w:tcPr>
          <w:p w14:paraId="321E680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2223" w:type="dxa"/>
            <w:vAlign w:val="center"/>
          </w:tcPr>
          <w:p w14:paraId="37D471D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lang w:val="en-US" w:eastAsia="zh-CN"/>
              </w:rPr>
              <w:t>谈判</w:t>
            </w:r>
            <w:r>
              <w:rPr>
                <w:rFonts w:hint="eastAsia" w:ascii="宋体" w:hAnsi="宋体" w:eastAsia="宋体" w:cs="宋体"/>
                <w:b/>
                <w:color w:val="auto"/>
                <w:sz w:val="24"/>
                <w:szCs w:val="20"/>
                <w:highlight w:val="none"/>
              </w:rPr>
              <w:t>文件</w:t>
            </w:r>
            <w:r>
              <w:rPr>
                <w:rFonts w:hint="eastAsia" w:ascii="宋体" w:hAnsi="宋体" w:eastAsia="宋体" w:cs="宋体"/>
                <w:b/>
                <w:color w:val="auto"/>
                <w:sz w:val="24"/>
                <w:szCs w:val="20"/>
                <w:highlight w:val="none"/>
                <w:lang w:val="en-US" w:eastAsia="zh-CN"/>
              </w:rPr>
              <w:t>商务</w:t>
            </w:r>
            <w:r>
              <w:rPr>
                <w:rFonts w:hint="eastAsia" w:ascii="宋体" w:hAnsi="宋体" w:eastAsia="宋体" w:cs="宋体"/>
                <w:b/>
                <w:color w:val="auto"/>
                <w:sz w:val="24"/>
                <w:szCs w:val="20"/>
                <w:highlight w:val="none"/>
              </w:rPr>
              <w:t>要求</w:t>
            </w:r>
          </w:p>
        </w:tc>
        <w:tc>
          <w:tcPr>
            <w:tcW w:w="3167" w:type="dxa"/>
            <w:vAlign w:val="center"/>
          </w:tcPr>
          <w:p w14:paraId="37DEABE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 w:val="24"/>
                <w:szCs w:val="20"/>
                <w:highlight w:val="none"/>
                <w:lang w:val="en-US" w:eastAsia="zh-CN"/>
              </w:rPr>
            </w:pPr>
            <w:r>
              <w:rPr>
                <w:rFonts w:hint="eastAsia" w:ascii="宋体" w:hAnsi="宋体" w:eastAsia="宋体" w:cs="宋体"/>
                <w:b/>
                <w:color w:val="auto"/>
                <w:sz w:val="24"/>
                <w:szCs w:val="20"/>
                <w:highlight w:val="none"/>
                <w:lang w:val="en-US" w:eastAsia="zh-CN"/>
              </w:rPr>
              <w:t>响应</w:t>
            </w:r>
            <w:r>
              <w:rPr>
                <w:rFonts w:hint="eastAsia" w:ascii="宋体" w:hAnsi="宋体" w:eastAsia="宋体" w:cs="宋体"/>
                <w:b/>
                <w:color w:val="auto"/>
                <w:sz w:val="24"/>
                <w:szCs w:val="20"/>
                <w:highlight w:val="none"/>
              </w:rPr>
              <w:t>文件</w:t>
            </w:r>
            <w:r>
              <w:rPr>
                <w:rFonts w:hint="eastAsia" w:ascii="宋体" w:hAnsi="宋体" w:eastAsia="宋体" w:cs="宋体"/>
                <w:b/>
                <w:color w:val="auto"/>
                <w:sz w:val="24"/>
                <w:szCs w:val="20"/>
                <w:highlight w:val="none"/>
                <w:lang w:val="en-US" w:eastAsia="zh-CN"/>
              </w:rPr>
              <w:t>商务应答</w:t>
            </w:r>
          </w:p>
        </w:tc>
        <w:tc>
          <w:tcPr>
            <w:tcW w:w="2177" w:type="dxa"/>
            <w:vAlign w:val="center"/>
          </w:tcPr>
          <w:p w14:paraId="0CAB0197">
            <w:pPr>
              <w:keepNext w:val="0"/>
              <w:keepLines w:val="0"/>
              <w:widowControl/>
              <w:suppressLineNumbers w:val="0"/>
              <w:wordWrap w:val="0"/>
              <w:spacing w:before="0" w:beforeAutospacing="0" w:after="0" w:afterAutospacing="0"/>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偏离</w:t>
            </w:r>
          </w:p>
          <w:p w14:paraId="1BDCDD4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b/>
                <w:color w:val="auto"/>
                <w:sz w:val="24"/>
                <w:szCs w:val="20"/>
                <w:highlight w:val="none"/>
              </w:rPr>
              <w:t>（无/正/负）</w:t>
            </w:r>
          </w:p>
        </w:tc>
        <w:tc>
          <w:tcPr>
            <w:tcW w:w="1369" w:type="dxa"/>
            <w:vAlign w:val="center"/>
          </w:tcPr>
          <w:p w14:paraId="02FC775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偏离简述</w:t>
            </w:r>
          </w:p>
        </w:tc>
      </w:tr>
      <w:tr w14:paraId="6C289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11589C4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p>
        </w:tc>
        <w:tc>
          <w:tcPr>
            <w:tcW w:w="2223" w:type="dxa"/>
          </w:tcPr>
          <w:p w14:paraId="7BE9792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167" w:type="dxa"/>
          </w:tcPr>
          <w:p w14:paraId="6DC8DC1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177" w:type="dxa"/>
          </w:tcPr>
          <w:p w14:paraId="54E648A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69" w:type="dxa"/>
          </w:tcPr>
          <w:p w14:paraId="1851D9B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105B5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1447B79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w:t>
            </w:r>
          </w:p>
        </w:tc>
        <w:tc>
          <w:tcPr>
            <w:tcW w:w="2223" w:type="dxa"/>
          </w:tcPr>
          <w:p w14:paraId="6C0C0AB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167" w:type="dxa"/>
          </w:tcPr>
          <w:p w14:paraId="4D16DAD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177" w:type="dxa"/>
          </w:tcPr>
          <w:p w14:paraId="2F14B39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69" w:type="dxa"/>
          </w:tcPr>
          <w:p w14:paraId="0290325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72178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675" w:type="dxa"/>
          </w:tcPr>
          <w:p w14:paraId="7B782D6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w:t>
            </w:r>
          </w:p>
        </w:tc>
        <w:tc>
          <w:tcPr>
            <w:tcW w:w="2223" w:type="dxa"/>
          </w:tcPr>
          <w:p w14:paraId="69B4033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167" w:type="dxa"/>
          </w:tcPr>
          <w:p w14:paraId="0ED721D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177" w:type="dxa"/>
          </w:tcPr>
          <w:p w14:paraId="1952BF0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69" w:type="dxa"/>
          </w:tcPr>
          <w:p w14:paraId="0ABF131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14FF6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01E5803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w:t>
            </w:r>
          </w:p>
        </w:tc>
        <w:tc>
          <w:tcPr>
            <w:tcW w:w="2223" w:type="dxa"/>
          </w:tcPr>
          <w:p w14:paraId="3036990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167" w:type="dxa"/>
          </w:tcPr>
          <w:p w14:paraId="60AD6D9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177" w:type="dxa"/>
          </w:tcPr>
          <w:p w14:paraId="4E46E75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69" w:type="dxa"/>
          </w:tcPr>
          <w:p w14:paraId="7AD75DA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277D1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2CA67BC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w:t>
            </w:r>
          </w:p>
        </w:tc>
        <w:tc>
          <w:tcPr>
            <w:tcW w:w="2223" w:type="dxa"/>
          </w:tcPr>
          <w:p w14:paraId="65EB446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167" w:type="dxa"/>
          </w:tcPr>
          <w:p w14:paraId="00A6BAA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177" w:type="dxa"/>
          </w:tcPr>
          <w:p w14:paraId="79A92C4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69" w:type="dxa"/>
          </w:tcPr>
          <w:p w14:paraId="6F33C0E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bl>
    <w:p w14:paraId="4191E379">
      <w:pPr>
        <w:spacing w:line="360" w:lineRule="auto"/>
        <w:ind w:firstLine="482" w:firstLineChars="200"/>
        <w:rPr>
          <w:rFonts w:hint="eastAsia" w:ascii="宋体" w:hAnsi="宋体" w:eastAsia="宋体" w:cs="宋体"/>
          <w:b/>
          <w:bCs/>
          <w:color w:val="auto"/>
          <w:sz w:val="24"/>
          <w:szCs w:val="24"/>
          <w:highlight w:val="none"/>
        </w:rPr>
      </w:pPr>
    </w:p>
    <w:p w14:paraId="224B8E7C">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投标人可根据实际情况自行扩展表格细项。</w:t>
      </w:r>
    </w:p>
    <w:p w14:paraId="65477B87">
      <w:pPr>
        <w:pStyle w:val="23"/>
        <w:rPr>
          <w:rFonts w:hint="eastAsia" w:ascii="宋体" w:hAnsi="宋体" w:eastAsia="宋体" w:cs="宋体"/>
          <w:color w:val="auto"/>
          <w:highlight w:val="none"/>
        </w:rPr>
      </w:pPr>
    </w:p>
    <w:p w14:paraId="7095E4C6">
      <w:pPr>
        <w:pStyle w:val="23"/>
        <w:rPr>
          <w:rFonts w:hint="eastAsia" w:ascii="宋体" w:hAnsi="宋体" w:eastAsia="宋体" w:cs="宋体"/>
          <w:color w:val="auto"/>
          <w:highlight w:val="none"/>
        </w:rPr>
      </w:pPr>
    </w:p>
    <w:p w14:paraId="7218E46B">
      <w:pPr>
        <w:pStyle w:val="23"/>
        <w:rPr>
          <w:rFonts w:hint="eastAsia" w:ascii="宋体" w:hAnsi="宋体" w:eastAsia="宋体" w:cs="宋体"/>
          <w:color w:val="auto"/>
          <w:highlight w:val="none"/>
        </w:rPr>
      </w:pPr>
    </w:p>
    <w:p w14:paraId="180EF5EE">
      <w:pPr>
        <w:adjustRightInd w:val="0"/>
        <w:snapToGrid w:val="0"/>
        <w:spacing w:line="48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供应商（单位名称及公章）：____________________________</w:t>
      </w:r>
    </w:p>
    <w:p w14:paraId="4EEC3ED9">
      <w:pPr>
        <w:adjustRightInd w:val="0"/>
        <w:snapToGrid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被授权人（签字）：____________________________</w:t>
      </w:r>
    </w:p>
    <w:p w14:paraId="52E3FC41">
      <w:pPr>
        <w:adjustRightInd w:val="0"/>
        <w:snapToGrid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期：_______年_______月_______日</w:t>
      </w:r>
    </w:p>
    <w:p w14:paraId="6F8827DE">
      <w:pPr>
        <w:spacing w:line="360" w:lineRule="auto"/>
        <w:ind w:firstLine="420" w:firstLineChars="175"/>
        <w:rPr>
          <w:rFonts w:ascii="宋体" w:hAnsi="宋体"/>
          <w:bCs/>
          <w:sz w:val="24"/>
          <w:szCs w:val="24"/>
          <w:highlight w:val="none"/>
        </w:rPr>
      </w:pPr>
    </w:p>
    <w:p w14:paraId="4A70F2FB">
      <w:pPr>
        <w:widowControl/>
        <w:jc w:val="left"/>
        <w:rPr>
          <w:rFonts w:ascii="Calibri Light" w:hAnsi="Calibri Light"/>
          <w:b/>
          <w:bCs/>
          <w:sz w:val="32"/>
          <w:szCs w:val="32"/>
          <w:highlight w:val="none"/>
        </w:rPr>
      </w:pPr>
    </w:p>
    <w:p w14:paraId="0FA42743">
      <w:pPr>
        <w:pStyle w:val="23"/>
        <w:topLinePunct w:val="0"/>
        <w:bidi w:val="0"/>
        <w:spacing w:line="480" w:lineRule="exact"/>
        <w:rPr>
          <w:rFonts w:hint="eastAsia" w:ascii="宋体" w:hAnsi="宋体" w:eastAsia="宋体" w:cs="宋体"/>
          <w:color w:val="auto"/>
        </w:rPr>
      </w:pPr>
    </w:p>
    <w:p w14:paraId="7F785F64">
      <w:pPr>
        <w:pStyle w:val="4"/>
        <w:pageBreakBefore/>
        <w:topLinePunct w:val="0"/>
        <w:bidi w:val="0"/>
        <w:spacing w:line="480" w:lineRule="exact"/>
        <w:jc w:val="center"/>
        <w:rPr>
          <w:rFonts w:hint="default" w:ascii="宋体" w:hAnsi="宋体" w:eastAsia="宋体" w:cs="宋体"/>
          <w:color w:val="auto"/>
          <w:lang w:val="en-US"/>
        </w:rPr>
      </w:pPr>
      <w:bookmarkStart w:id="481" w:name="_Toc9172"/>
      <w:bookmarkStart w:id="482" w:name="_Toc14937"/>
      <w:bookmarkStart w:id="483" w:name="_Toc228"/>
      <w:bookmarkStart w:id="484" w:name="_Toc24893"/>
      <w:bookmarkStart w:id="485" w:name="_Toc19543359"/>
      <w:bookmarkStart w:id="486" w:name="_Toc13418"/>
      <w:bookmarkStart w:id="487" w:name="_Toc536202330"/>
      <w:bookmarkStart w:id="488" w:name="_Toc28798"/>
      <w:bookmarkStart w:id="489" w:name="_Toc536202399"/>
      <w:bookmarkStart w:id="490" w:name="_Toc25501"/>
      <w:bookmarkStart w:id="491" w:name="_Toc933"/>
      <w:bookmarkStart w:id="492" w:name="_Toc536429339"/>
      <w:bookmarkStart w:id="493" w:name="_Toc536429392"/>
      <w:bookmarkStart w:id="494" w:name="_Toc19020"/>
      <w:bookmarkStart w:id="495" w:name="_Toc20560"/>
      <w:r>
        <w:rPr>
          <w:rFonts w:hint="eastAsia" w:ascii="宋体" w:hAnsi="宋体" w:eastAsia="宋体" w:cs="宋体"/>
          <w:color w:val="auto"/>
          <w:lang w:eastAsia="zh-CN"/>
        </w:rPr>
        <w:t>五</w:t>
      </w:r>
      <w:bookmarkEnd w:id="481"/>
      <w:r>
        <w:rPr>
          <w:rFonts w:hint="eastAsia" w:ascii="宋体" w:hAnsi="宋体" w:eastAsia="宋体" w:cs="宋体"/>
          <w:color w:val="auto"/>
          <w:lang w:eastAsia="zh-CN"/>
        </w:rPr>
        <w:t>、</w:t>
      </w:r>
      <w:bookmarkEnd w:id="482"/>
      <w:bookmarkEnd w:id="483"/>
      <w:bookmarkEnd w:id="484"/>
      <w:bookmarkEnd w:id="485"/>
      <w:bookmarkEnd w:id="486"/>
      <w:bookmarkEnd w:id="487"/>
      <w:bookmarkEnd w:id="488"/>
      <w:bookmarkEnd w:id="489"/>
      <w:bookmarkEnd w:id="490"/>
      <w:bookmarkEnd w:id="491"/>
      <w:bookmarkEnd w:id="492"/>
      <w:bookmarkEnd w:id="493"/>
      <w:r>
        <w:rPr>
          <w:rFonts w:hint="eastAsia" w:ascii="宋体" w:hAnsi="宋体" w:eastAsia="宋体" w:cs="宋体"/>
          <w:color w:val="auto"/>
          <w:lang w:val="en-US" w:eastAsia="zh-CN"/>
        </w:rPr>
        <w:t>响应方案</w:t>
      </w:r>
      <w:bookmarkEnd w:id="494"/>
      <w:bookmarkEnd w:id="495"/>
    </w:p>
    <w:p w14:paraId="653398A7">
      <w:pPr>
        <w:topLinePunct w:val="0"/>
        <w:bidi w:val="0"/>
        <w:spacing w:line="480" w:lineRule="exact"/>
        <w:ind w:firstLine="482" w:firstLineChars="200"/>
        <w:rPr>
          <w:rFonts w:hint="eastAsia" w:ascii="宋体" w:hAnsi="宋体" w:eastAsia="宋体" w:cs="宋体"/>
          <w:b/>
          <w:bCs/>
          <w:color w:val="auto"/>
          <w:sz w:val="28"/>
          <w:szCs w:val="24"/>
        </w:rPr>
      </w:pPr>
      <w:r>
        <w:rPr>
          <w:rFonts w:hint="eastAsia" w:ascii="宋体" w:hAnsi="宋体" w:eastAsia="宋体" w:cs="宋体"/>
          <w:b/>
          <w:bCs/>
          <w:color w:val="auto"/>
          <w:sz w:val="24"/>
          <w:szCs w:val="24"/>
        </w:rPr>
        <w:t>供应商按照</w:t>
      </w:r>
      <w:r>
        <w:rPr>
          <w:rFonts w:hint="eastAsia" w:ascii="宋体" w:hAnsi="宋体" w:eastAsia="宋体" w:cs="宋体"/>
          <w:b/>
          <w:bCs/>
          <w:color w:val="auto"/>
          <w:sz w:val="24"/>
          <w:szCs w:val="24"/>
          <w:lang w:val="en-US" w:eastAsia="zh-CN"/>
        </w:rPr>
        <w:t>谈判</w:t>
      </w:r>
      <w:r>
        <w:rPr>
          <w:rFonts w:hint="eastAsia" w:ascii="宋体" w:hAnsi="宋体" w:eastAsia="宋体" w:cs="宋体"/>
          <w:b/>
          <w:bCs/>
          <w:color w:val="auto"/>
          <w:sz w:val="24"/>
          <w:szCs w:val="24"/>
        </w:rPr>
        <w:t>文件的要求编制</w:t>
      </w:r>
      <w:r>
        <w:rPr>
          <w:rFonts w:hint="eastAsia" w:ascii="宋体" w:hAnsi="宋体" w:eastAsia="宋体" w:cs="宋体"/>
          <w:b/>
          <w:bCs/>
          <w:color w:val="auto"/>
          <w:sz w:val="24"/>
          <w:szCs w:val="24"/>
          <w:lang w:val="en-US" w:eastAsia="zh-CN"/>
        </w:rPr>
        <w:t>响应</w:t>
      </w:r>
      <w:r>
        <w:rPr>
          <w:rFonts w:hint="eastAsia" w:ascii="宋体" w:hAnsi="宋体" w:eastAsia="宋体" w:cs="宋体"/>
          <w:b/>
          <w:bCs/>
          <w:color w:val="auto"/>
          <w:sz w:val="24"/>
          <w:szCs w:val="24"/>
        </w:rPr>
        <w:t>方案，</w:t>
      </w:r>
      <w:r>
        <w:rPr>
          <w:rFonts w:hint="eastAsia" w:ascii="宋体" w:hAnsi="宋体" w:eastAsia="宋体" w:cs="宋体"/>
          <w:b/>
          <w:bCs/>
          <w:color w:val="auto"/>
          <w:sz w:val="24"/>
          <w:szCs w:val="24"/>
          <w:lang w:val="en-US" w:eastAsia="zh-CN"/>
        </w:rPr>
        <w:t>响应</w:t>
      </w:r>
      <w:r>
        <w:rPr>
          <w:rFonts w:hint="eastAsia" w:ascii="宋体" w:hAnsi="宋体" w:eastAsia="宋体" w:cs="宋体"/>
          <w:b/>
          <w:bCs/>
          <w:color w:val="auto"/>
          <w:sz w:val="24"/>
          <w:szCs w:val="24"/>
        </w:rPr>
        <w:t>方案由供应商自行编写，无具体格式，包含但不限于以下内容：</w:t>
      </w:r>
    </w:p>
    <w:p w14:paraId="6DF8DB80">
      <w:pPr>
        <w:pStyle w:val="31"/>
        <w:rPr>
          <w:rFonts w:hint="eastAsia"/>
          <w:lang w:val="en-US" w:eastAsia="zh-CN"/>
        </w:rPr>
      </w:pPr>
      <w:bookmarkStart w:id="496" w:name="_Toc19543360"/>
    </w:p>
    <w:p w14:paraId="505F89F4">
      <w:pPr>
        <w:spacing w:line="640" w:lineRule="exact"/>
        <w:ind w:left="1049"/>
        <w:rPr>
          <w:rFonts w:hint="eastAsia" w:ascii="宋体" w:hAnsi="宋体" w:eastAsia="宋体" w:cs="宋体"/>
          <w:sz w:val="24"/>
        </w:rPr>
      </w:pPr>
      <w:bookmarkStart w:id="497" w:name="_Toc27896"/>
      <w:bookmarkStart w:id="498" w:name="_Toc27089"/>
      <w:bookmarkStart w:id="499" w:name="_Toc18935"/>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供应商针对本项目的总体方案说明；</w:t>
      </w:r>
    </w:p>
    <w:p w14:paraId="1CD209FF">
      <w:pPr>
        <w:spacing w:line="640" w:lineRule="exact"/>
        <w:ind w:left="1049"/>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设备供货、安装</w:t>
      </w:r>
      <w:r>
        <w:rPr>
          <w:rFonts w:hint="eastAsia" w:ascii="宋体" w:hAnsi="宋体" w:eastAsia="宋体" w:cs="宋体"/>
          <w:sz w:val="24"/>
          <w:lang w:eastAsia="zh-CN"/>
        </w:rPr>
        <w:t>、</w:t>
      </w:r>
      <w:r>
        <w:rPr>
          <w:rFonts w:hint="eastAsia" w:ascii="宋体" w:hAnsi="宋体" w:eastAsia="宋体" w:cs="宋体"/>
          <w:sz w:val="24"/>
        </w:rPr>
        <w:t>调试的组织措施；</w:t>
      </w:r>
    </w:p>
    <w:p w14:paraId="0D5387DC">
      <w:pPr>
        <w:spacing w:line="640" w:lineRule="exact"/>
        <w:ind w:left="1049"/>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售后服务方案</w:t>
      </w:r>
      <w:r>
        <w:rPr>
          <w:rFonts w:hint="eastAsia" w:ascii="宋体" w:hAnsi="宋体" w:eastAsia="宋体" w:cs="宋体"/>
          <w:sz w:val="24"/>
          <w:lang w:val="en-US" w:eastAsia="zh-CN"/>
        </w:rPr>
        <w:t>及承诺</w:t>
      </w:r>
      <w:r>
        <w:rPr>
          <w:rFonts w:hint="eastAsia" w:ascii="宋体" w:hAnsi="宋体" w:eastAsia="宋体" w:cs="宋体"/>
          <w:sz w:val="24"/>
        </w:rPr>
        <w:t>；</w:t>
      </w:r>
    </w:p>
    <w:p w14:paraId="36060A8B">
      <w:pPr>
        <w:spacing w:line="640" w:lineRule="exact"/>
        <w:ind w:left="1049"/>
        <w:rPr>
          <w:rFonts w:hint="eastAsia" w:ascii="宋体" w:hAnsi="宋体" w:eastAsia="宋体" w:cs="宋体"/>
          <w:sz w:val="24"/>
          <w:lang w:eastAsia="zh-CN"/>
        </w:rPr>
      </w:pPr>
      <w:r>
        <w:rPr>
          <w:rFonts w:hint="eastAsia" w:ascii="宋体" w:hAnsi="宋体" w:eastAsia="宋体" w:cs="宋体"/>
          <w:sz w:val="24"/>
          <w:lang w:val="en-US" w:eastAsia="zh-CN"/>
        </w:rPr>
        <w:t>4.</w:t>
      </w:r>
      <w:r>
        <w:rPr>
          <w:rFonts w:hint="eastAsia" w:ascii="宋体" w:hAnsi="宋体" w:eastAsia="宋体" w:cs="宋体"/>
          <w:sz w:val="24"/>
        </w:rPr>
        <w:t>质量保证标准</w:t>
      </w:r>
      <w:r>
        <w:rPr>
          <w:rFonts w:hint="eastAsia" w:ascii="宋体" w:hAnsi="宋体" w:eastAsia="宋体" w:cs="宋体"/>
          <w:sz w:val="24"/>
          <w:lang w:eastAsia="zh-CN"/>
        </w:rPr>
        <w:t>；</w:t>
      </w:r>
    </w:p>
    <w:p w14:paraId="3FB3D4AD">
      <w:pPr>
        <w:spacing w:line="640" w:lineRule="exact"/>
        <w:ind w:left="1049"/>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类似项目业绩；</w:t>
      </w:r>
    </w:p>
    <w:p w14:paraId="61E05C80">
      <w:pPr>
        <w:spacing w:line="640" w:lineRule="exact"/>
        <w:ind w:left="1049"/>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供应商认为有必要说明的问题。</w:t>
      </w:r>
    </w:p>
    <w:p w14:paraId="6FD80DDD">
      <w:pPr>
        <w:spacing w:line="360" w:lineRule="auto"/>
        <w:ind w:firstLine="640" w:firstLineChars="200"/>
        <w:rPr>
          <w:rFonts w:hint="default" w:ascii="宋体" w:hAnsi="宋体" w:eastAsia="宋体"/>
          <w:color w:val="auto"/>
          <w:sz w:val="32"/>
          <w:szCs w:val="32"/>
          <w:lang w:val="en-US" w:eastAsia="zh-CN"/>
        </w:rPr>
      </w:pPr>
      <w:r>
        <w:rPr>
          <w:rFonts w:hint="eastAsia" w:ascii="宋体" w:hAnsi="宋体"/>
          <w:color w:val="auto"/>
          <w:sz w:val="32"/>
          <w:szCs w:val="32"/>
          <w:lang w:val="en-US" w:eastAsia="zh-CN"/>
        </w:rPr>
        <w:t>……</w:t>
      </w:r>
    </w:p>
    <w:p w14:paraId="24CC90D3">
      <w:pPr>
        <w:pStyle w:val="12"/>
        <w:rPr>
          <w:rFonts w:hint="eastAsia"/>
        </w:rPr>
      </w:pPr>
    </w:p>
    <w:p w14:paraId="2B788261">
      <w:pPr>
        <w:keepNext/>
        <w:keepLines/>
        <w:topLinePunct w:val="0"/>
        <w:bidi w:val="0"/>
        <w:spacing w:before="260" w:after="260" w:line="480" w:lineRule="exact"/>
        <w:ind w:firstLine="482" w:firstLineChars="150"/>
        <w:jc w:val="center"/>
        <w:outlineLvl w:val="1"/>
        <w:rPr>
          <w:rFonts w:hint="eastAsia" w:ascii="宋体" w:hAnsi="宋体" w:eastAsia="宋体" w:cs="宋体"/>
          <w:b/>
          <w:bCs/>
          <w:color w:val="auto"/>
          <w:sz w:val="32"/>
          <w:szCs w:val="32"/>
        </w:rPr>
      </w:pPr>
    </w:p>
    <w:p w14:paraId="633710EB">
      <w:pPr>
        <w:pStyle w:val="58"/>
        <w:rPr>
          <w:rFonts w:hint="eastAsia" w:ascii="宋体" w:hAnsi="宋体" w:eastAsia="宋体" w:cs="宋体"/>
          <w:b/>
          <w:bCs/>
          <w:color w:val="auto"/>
          <w:sz w:val="32"/>
          <w:szCs w:val="32"/>
        </w:rPr>
      </w:pPr>
    </w:p>
    <w:p w14:paraId="58BCE88F">
      <w:pPr>
        <w:pStyle w:val="58"/>
        <w:rPr>
          <w:rFonts w:hint="eastAsia" w:ascii="宋体" w:hAnsi="宋体" w:eastAsia="宋体" w:cs="宋体"/>
          <w:b/>
          <w:bCs/>
          <w:color w:val="auto"/>
          <w:sz w:val="32"/>
          <w:szCs w:val="32"/>
        </w:rPr>
      </w:pPr>
    </w:p>
    <w:p w14:paraId="6418773B">
      <w:pPr>
        <w:pStyle w:val="58"/>
        <w:rPr>
          <w:rFonts w:hint="eastAsia" w:ascii="宋体" w:hAnsi="宋体" w:eastAsia="宋体" w:cs="宋体"/>
          <w:b/>
          <w:bCs/>
          <w:color w:val="auto"/>
          <w:sz w:val="32"/>
          <w:szCs w:val="32"/>
        </w:rPr>
      </w:pPr>
    </w:p>
    <w:p w14:paraId="3BE3357B">
      <w:pPr>
        <w:pStyle w:val="58"/>
        <w:rPr>
          <w:rFonts w:hint="eastAsia" w:ascii="宋体" w:hAnsi="宋体" w:eastAsia="宋体" w:cs="宋体"/>
          <w:b/>
          <w:bCs/>
          <w:color w:val="auto"/>
          <w:sz w:val="32"/>
          <w:szCs w:val="32"/>
        </w:rPr>
      </w:pPr>
    </w:p>
    <w:p w14:paraId="5F09E00B">
      <w:pPr>
        <w:pStyle w:val="58"/>
        <w:rPr>
          <w:rFonts w:hint="eastAsia" w:ascii="宋体" w:hAnsi="宋体" w:eastAsia="宋体" w:cs="宋体"/>
          <w:b/>
          <w:bCs/>
          <w:color w:val="auto"/>
          <w:sz w:val="32"/>
          <w:szCs w:val="32"/>
        </w:rPr>
      </w:pPr>
    </w:p>
    <w:p w14:paraId="692EBA38">
      <w:pPr>
        <w:pStyle w:val="58"/>
        <w:rPr>
          <w:rFonts w:hint="eastAsia" w:ascii="宋体" w:hAnsi="宋体" w:eastAsia="宋体" w:cs="宋体"/>
          <w:b/>
          <w:bCs/>
          <w:color w:val="auto"/>
          <w:sz w:val="32"/>
          <w:szCs w:val="32"/>
        </w:rPr>
      </w:pPr>
    </w:p>
    <w:bookmarkEnd w:id="497"/>
    <w:bookmarkEnd w:id="498"/>
    <w:bookmarkEnd w:id="499"/>
    <w:p w14:paraId="4B05E154">
      <w:pPr>
        <w:keepNext/>
        <w:keepLines/>
        <w:spacing w:before="260" w:after="260" w:line="416" w:lineRule="auto"/>
        <w:jc w:val="center"/>
        <w:outlineLvl w:val="1"/>
        <w:rPr>
          <w:rFonts w:hint="eastAsia" w:ascii="宋体" w:hAnsi="宋体" w:eastAsia="宋体" w:cs="宋体"/>
          <w:b/>
          <w:bCs/>
          <w:color w:val="auto"/>
          <w:sz w:val="36"/>
          <w:szCs w:val="36"/>
        </w:rPr>
      </w:pPr>
      <w:bookmarkStart w:id="500" w:name="_Toc12701"/>
      <w:bookmarkStart w:id="501" w:name="_Toc32100"/>
      <w:bookmarkStart w:id="502" w:name="_Toc23830"/>
      <w:bookmarkStart w:id="503" w:name="_Toc25004"/>
      <w:bookmarkStart w:id="504" w:name="_Toc7769"/>
      <w:bookmarkStart w:id="505" w:name="_Toc484890091"/>
      <w:bookmarkStart w:id="506" w:name="_Toc528240836"/>
      <w:r>
        <w:rPr>
          <w:rFonts w:hint="eastAsia" w:ascii="宋体" w:hAnsi="宋体" w:eastAsia="宋体" w:cs="宋体"/>
          <w:b/>
          <w:bCs/>
          <w:color w:val="auto"/>
          <w:sz w:val="28"/>
          <w:szCs w:val="28"/>
          <w:lang w:val="en-US" w:eastAsia="zh-CN"/>
        </w:rPr>
        <w:t>业  绩</w:t>
      </w:r>
      <w:bookmarkEnd w:id="500"/>
      <w:bookmarkEnd w:id="501"/>
      <w:bookmarkEnd w:id="502"/>
      <w:bookmarkEnd w:id="503"/>
      <w:bookmarkEnd w:id="504"/>
    </w:p>
    <w:tbl>
      <w:tblPr>
        <w:tblStyle w:val="3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40"/>
        <w:gridCol w:w="1404"/>
        <w:gridCol w:w="2069"/>
        <w:gridCol w:w="1244"/>
        <w:gridCol w:w="1820"/>
        <w:gridCol w:w="1820"/>
      </w:tblGrid>
      <w:tr w14:paraId="2F829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jc w:val="center"/>
        </w:trPr>
        <w:tc>
          <w:tcPr>
            <w:tcW w:w="740" w:type="dxa"/>
            <w:vAlign w:val="center"/>
          </w:tcPr>
          <w:p w14:paraId="0DFA7E9E">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404" w:type="dxa"/>
            <w:vAlign w:val="center"/>
          </w:tcPr>
          <w:p w14:paraId="142679EC">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项目名称</w:t>
            </w:r>
          </w:p>
        </w:tc>
        <w:tc>
          <w:tcPr>
            <w:tcW w:w="2069" w:type="dxa"/>
            <w:vAlign w:val="center"/>
          </w:tcPr>
          <w:p w14:paraId="3CDA8942">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合同标的产品</w:t>
            </w:r>
          </w:p>
        </w:tc>
        <w:tc>
          <w:tcPr>
            <w:tcW w:w="1244" w:type="dxa"/>
            <w:vAlign w:val="center"/>
          </w:tcPr>
          <w:p w14:paraId="3BBE836A">
            <w:pPr>
              <w:keepNext w:val="0"/>
              <w:keepLines w:val="0"/>
              <w:widowControl/>
              <w:suppressLineNumbers w:val="0"/>
              <w:wordWrap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合同签订</w:t>
            </w:r>
          </w:p>
          <w:p w14:paraId="219256D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时间</w:t>
            </w:r>
          </w:p>
        </w:tc>
        <w:tc>
          <w:tcPr>
            <w:tcW w:w="1820" w:type="dxa"/>
            <w:vAlign w:val="center"/>
          </w:tcPr>
          <w:p w14:paraId="5352234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w:t>
            </w:r>
            <w:r>
              <w:rPr>
                <w:rFonts w:hint="eastAsia" w:ascii="宋体" w:hAnsi="宋体" w:eastAsia="宋体" w:cs="宋体"/>
                <w:b/>
                <w:bCs/>
                <w:color w:val="auto"/>
                <w:sz w:val="24"/>
                <w:szCs w:val="24"/>
                <w:lang w:val="en-US" w:eastAsia="zh-CN"/>
              </w:rPr>
              <w:t>单位</w:t>
            </w:r>
            <w:r>
              <w:rPr>
                <w:rFonts w:hint="eastAsia" w:ascii="宋体" w:hAnsi="宋体" w:eastAsia="宋体" w:cs="宋体"/>
                <w:b/>
                <w:bCs/>
                <w:color w:val="auto"/>
                <w:sz w:val="24"/>
                <w:szCs w:val="24"/>
              </w:rPr>
              <w:t>名称</w:t>
            </w:r>
          </w:p>
        </w:tc>
        <w:tc>
          <w:tcPr>
            <w:tcW w:w="1820" w:type="dxa"/>
            <w:vAlign w:val="center"/>
          </w:tcPr>
          <w:p w14:paraId="75C2653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联系人及电话</w:t>
            </w:r>
          </w:p>
        </w:tc>
      </w:tr>
      <w:tr w14:paraId="30817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jc w:val="center"/>
        </w:trPr>
        <w:tc>
          <w:tcPr>
            <w:tcW w:w="740" w:type="dxa"/>
            <w:vAlign w:val="center"/>
          </w:tcPr>
          <w:p w14:paraId="7B76ADDF">
            <w:pPr>
              <w:keepNext w:val="0"/>
              <w:keepLines w:val="0"/>
              <w:widowControl/>
              <w:suppressLineNumbers w:val="0"/>
              <w:spacing w:before="0" w:beforeAutospacing="0" w:after="0" w:afterAutospacing="0"/>
              <w:ind w:left="120" w:right="0"/>
              <w:jc w:val="center"/>
              <w:rPr>
                <w:rFonts w:hint="default" w:ascii="宋体" w:hAnsi="宋体"/>
                <w:color w:val="auto"/>
                <w:sz w:val="24"/>
                <w:szCs w:val="24"/>
              </w:rPr>
            </w:pPr>
            <w:r>
              <w:rPr>
                <w:rFonts w:hint="eastAsia" w:ascii="宋体" w:hAnsi="宋体"/>
                <w:color w:val="auto"/>
                <w:sz w:val="24"/>
                <w:szCs w:val="24"/>
              </w:rPr>
              <w:t>1</w:t>
            </w:r>
          </w:p>
        </w:tc>
        <w:tc>
          <w:tcPr>
            <w:tcW w:w="1404" w:type="dxa"/>
            <w:vAlign w:val="center"/>
          </w:tcPr>
          <w:p w14:paraId="52A300AC">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26E121E2">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101944A9">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6BFBF7DD">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1B6C6600">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r>
      <w:tr w14:paraId="564BE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jc w:val="center"/>
        </w:trPr>
        <w:tc>
          <w:tcPr>
            <w:tcW w:w="740" w:type="dxa"/>
            <w:vAlign w:val="center"/>
          </w:tcPr>
          <w:p w14:paraId="02E587AD">
            <w:pPr>
              <w:keepNext w:val="0"/>
              <w:keepLines w:val="0"/>
              <w:widowControl/>
              <w:suppressLineNumbers w:val="0"/>
              <w:spacing w:before="0" w:beforeAutospacing="0" w:after="0" w:afterAutospacing="0"/>
              <w:ind w:left="120" w:right="0"/>
              <w:jc w:val="center"/>
              <w:rPr>
                <w:rFonts w:hint="default" w:ascii="宋体" w:hAnsi="宋体"/>
                <w:color w:val="auto"/>
                <w:sz w:val="24"/>
                <w:szCs w:val="24"/>
              </w:rPr>
            </w:pPr>
            <w:r>
              <w:rPr>
                <w:rFonts w:hint="eastAsia" w:ascii="宋体" w:hAnsi="宋体"/>
                <w:color w:val="auto"/>
                <w:sz w:val="24"/>
                <w:szCs w:val="24"/>
              </w:rPr>
              <w:t>2</w:t>
            </w:r>
          </w:p>
        </w:tc>
        <w:tc>
          <w:tcPr>
            <w:tcW w:w="1404" w:type="dxa"/>
            <w:vAlign w:val="center"/>
          </w:tcPr>
          <w:p w14:paraId="1A15D30B">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1A16DC8A">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7D3C5D88">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05D235E1">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12C7D8A4">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r>
      <w:tr w14:paraId="5BC41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jc w:val="center"/>
        </w:trPr>
        <w:tc>
          <w:tcPr>
            <w:tcW w:w="740" w:type="dxa"/>
            <w:vAlign w:val="center"/>
          </w:tcPr>
          <w:p w14:paraId="14681E6B">
            <w:pPr>
              <w:keepNext w:val="0"/>
              <w:keepLines w:val="0"/>
              <w:widowControl/>
              <w:suppressLineNumbers w:val="0"/>
              <w:spacing w:before="0" w:beforeAutospacing="0" w:after="0" w:afterAutospacing="0"/>
              <w:ind w:left="120" w:right="0"/>
              <w:jc w:val="center"/>
              <w:rPr>
                <w:rFonts w:hint="default" w:ascii="宋体" w:hAnsi="宋体"/>
                <w:color w:val="auto"/>
                <w:sz w:val="24"/>
                <w:szCs w:val="24"/>
              </w:rPr>
            </w:pPr>
            <w:r>
              <w:rPr>
                <w:rFonts w:hint="eastAsia" w:ascii="宋体" w:hAnsi="宋体"/>
                <w:color w:val="auto"/>
                <w:sz w:val="24"/>
                <w:szCs w:val="24"/>
              </w:rPr>
              <w:t>3</w:t>
            </w:r>
          </w:p>
        </w:tc>
        <w:tc>
          <w:tcPr>
            <w:tcW w:w="1404" w:type="dxa"/>
            <w:vAlign w:val="center"/>
          </w:tcPr>
          <w:p w14:paraId="3011D963">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01563834">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4C6C89D0">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58FEA14D">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6C0F3231">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r>
      <w:tr w14:paraId="794CE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jc w:val="center"/>
        </w:trPr>
        <w:tc>
          <w:tcPr>
            <w:tcW w:w="740" w:type="dxa"/>
            <w:vAlign w:val="center"/>
          </w:tcPr>
          <w:p w14:paraId="25182E53">
            <w:pPr>
              <w:keepNext w:val="0"/>
              <w:keepLines w:val="0"/>
              <w:widowControl/>
              <w:suppressLineNumbers w:val="0"/>
              <w:spacing w:before="0" w:beforeAutospacing="0" w:after="0" w:afterAutospacing="0"/>
              <w:ind w:left="120" w:right="0"/>
              <w:jc w:val="center"/>
              <w:rPr>
                <w:rFonts w:hint="default" w:ascii="宋体" w:hAnsi="宋体"/>
                <w:color w:val="auto"/>
                <w:sz w:val="24"/>
                <w:szCs w:val="24"/>
              </w:rPr>
            </w:pPr>
            <w:r>
              <w:rPr>
                <w:rFonts w:hint="eastAsia" w:ascii="宋体" w:hAnsi="宋体"/>
                <w:color w:val="auto"/>
                <w:sz w:val="24"/>
                <w:szCs w:val="24"/>
              </w:rPr>
              <w:t>4</w:t>
            </w:r>
          </w:p>
        </w:tc>
        <w:tc>
          <w:tcPr>
            <w:tcW w:w="1404" w:type="dxa"/>
            <w:vAlign w:val="center"/>
          </w:tcPr>
          <w:p w14:paraId="4A5C89AC">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7F79CBFA">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20F16EBE">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5D925F5B">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0800D8DA">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r>
      <w:tr w14:paraId="34CB6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jc w:val="center"/>
        </w:trPr>
        <w:tc>
          <w:tcPr>
            <w:tcW w:w="740" w:type="dxa"/>
            <w:vAlign w:val="center"/>
          </w:tcPr>
          <w:p w14:paraId="2B199FE8">
            <w:pPr>
              <w:keepNext w:val="0"/>
              <w:keepLines w:val="0"/>
              <w:widowControl/>
              <w:suppressLineNumbers w:val="0"/>
              <w:spacing w:before="0" w:beforeAutospacing="0" w:after="0" w:afterAutospacing="0"/>
              <w:ind w:left="120" w:right="0"/>
              <w:jc w:val="center"/>
              <w:rPr>
                <w:rFonts w:hint="default" w:ascii="宋体" w:hAnsi="宋体"/>
                <w:color w:val="auto"/>
                <w:sz w:val="24"/>
                <w:szCs w:val="24"/>
              </w:rPr>
            </w:pPr>
            <w:r>
              <w:rPr>
                <w:rFonts w:hint="eastAsia" w:ascii="宋体" w:hAnsi="宋体"/>
                <w:color w:val="auto"/>
                <w:sz w:val="24"/>
                <w:szCs w:val="24"/>
              </w:rPr>
              <w:t>5</w:t>
            </w:r>
          </w:p>
        </w:tc>
        <w:tc>
          <w:tcPr>
            <w:tcW w:w="1404" w:type="dxa"/>
            <w:vAlign w:val="center"/>
          </w:tcPr>
          <w:p w14:paraId="7F4BFACF">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72C49CBE">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385F60CC">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0801C2DF">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46593359">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r>
      <w:tr w14:paraId="34FC2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98" w:hRule="atLeast"/>
          <w:jc w:val="center"/>
        </w:trPr>
        <w:tc>
          <w:tcPr>
            <w:tcW w:w="740" w:type="dxa"/>
            <w:vAlign w:val="center"/>
          </w:tcPr>
          <w:p w14:paraId="07606012">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r>
              <w:rPr>
                <w:rFonts w:hint="eastAsia" w:ascii="宋体" w:hAnsi="宋体"/>
                <w:color w:val="auto"/>
                <w:sz w:val="24"/>
                <w:szCs w:val="24"/>
              </w:rPr>
              <w:t>…</w:t>
            </w:r>
          </w:p>
        </w:tc>
        <w:tc>
          <w:tcPr>
            <w:tcW w:w="1404" w:type="dxa"/>
            <w:vAlign w:val="center"/>
          </w:tcPr>
          <w:p w14:paraId="6F81ECBE">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2A410D02">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51771E0C">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299447B4">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2BDBDCE8">
            <w:pPr>
              <w:keepNext w:val="0"/>
              <w:keepLines w:val="0"/>
              <w:widowControl/>
              <w:suppressLineNumbers w:val="0"/>
              <w:spacing w:before="0" w:beforeAutospacing="0" w:after="0" w:afterAutospacing="0"/>
              <w:ind w:left="0" w:right="0"/>
              <w:jc w:val="center"/>
              <w:rPr>
                <w:rFonts w:hint="default" w:ascii="宋体" w:hAnsi="宋体"/>
                <w:color w:val="auto"/>
                <w:sz w:val="24"/>
                <w:szCs w:val="24"/>
              </w:rPr>
            </w:pPr>
          </w:p>
        </w:tc>
      </w:tr>
    </w:tbl>
    <w:p w14:paraId="7AC34044">
      <w:pPr>
        <w:widowControl w:val="0"/>
        <w:topLinePunct w:val="0"/>
        <w:bidi w:val="0"/>
        <w:adjustRightInd w:val="0"/>
        <w:snapToGrid w:val="0"/>
        <w:spacing w:line="48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注：1.投标人应如实列出以上情况，如有隐瞒，一经查实将导致其报价申请被拒绝。</w:t>
      </w:r>
    </w:p>
    <w:p w14:paraId="14E3A6A2">
      <w:pPr>
        <w:widowControl w:val="0"/>
        <w:topLinePunct w:val="0"/>
        <w:bidi w:val="0"/>
        <w:adjustRightInd w:val="0"/>
        <w:snapToGrid w:val="0"/>
        <w:spacing w:line="48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2.投标人应提供双方签订的合同（合同复印件加盖公章附在响应文件中）。 </w:t>
      </w:r>
    </w:p>
    <w:p w14:paraId="7E049C24">
      <w:pPr>
        <w:topLinePunct w:val="0"/>
        <w:autoSpaceDE w:val="0"/>
        <w:autoSpaceDN w:val="0"/>
        <w:bidi w:val="0"/>
        <w:adjustRightInd w:val="0"/>
        <w:spacing w:line="480" w:lineRule="exact"/>
        <w:jc w:val="both"/>
        <w:textAlignment w:val="baseline"/>
        <w:rPr>
          <w:rFonts w:hint="eastAsia" w:ascii="宋体" w:hAnsi="宋体" w:eastAsia="宋体" w:cs="宋体"/>
          <w:b w:val="0"/>
          <w:bCs w:val="0"/>
          <w:color w:val="auto"/>
          <w:kern w:val="20"/>
          <w:sz w:val="24"/>
          <w:szCs w:val="24"/>
        </w:rPr>
      </w:pPr>
      <w:r>
        <w:rPr>
          <w:rFonts w:hint="eastAsia" w:ascii="宋体" w:hAnsi="宋体"/>
          <w:color w:val="auto"/>
          <w:sz w:val="24"/>
          <w:szCs w:val="24"/>
        </w:rPr>
        <w:t xml:space="preserve">  </w:t>
      </w:r>
    </w:p>
    <w:bookmarkEnd w:id="496"/>
    <w:bookmarkEnd w:id="505"/>
    <w:bookmarkEnd w:id="506"/>
    <w:p w14:paraId="11EFBFDA">
      <w:pPr>
        <w:pStyle w:val="23"/>
        <w:topLinePunct w:val="0"/>
        <w:bidi w:val="0"/>
        <w:spacing w:line="480" w:lineRule="exact"/>
        <w:rPr>
          <w:rFonts w:hint="eastAsia" w:ascii="宋体" w:hAnsi="宋体" w:eastAsia="宋体" w:cs="宋体"/>
          <w:color w:val="auto"/>
        </w:rPr>
      </w:pPr>
    </w:p>
    <w:p w14:paraId="11ED6866">
      <w:pPr>
        <w:pStyle w:val="23"/>
        <w:topLinePunct w:val="0"/>
        <w:bidi w:val="0"/>
        <w:spacing w:line="480" w:lineRule="exact"/>
        <w:rPr>
          <w:rFonts w:hint="eastAsia" w:ascii="宋体" w:hAnsi="宋体" w:eastAsia="宋体" w:cs="宋体"/>
          <w:color w:val="auto"/>
        </w:rPr>
      </w:pPr>
    </w:p>
    <w:p w14:paraId="4F155260">
      <w:pPr>
        <w:pStyle w:val="23"/>
        <w:topLinePunct w:val="0"/>
        <w:bidi w:val="0"/>
        <w:spacing w:line="480" w:lineRule="exact"/>
        <w:rPr>
          <w:rFonts w:hint="eastAsia" w:ascii="宋体" w:hAnsi="宋体" w:eastAsia="宋体" w:cs="宋体"/>
          <w:color w:val="auto"/>
        </w:rPr>
      </w:pPr>
    </w:p>
    <w:p w14:paraId="79592304">
      <w:pPr>
        <w:widowControl w:val="0"/>
        <w:topLinePunct w:val="0"/>
        <w:bidi w:val="0"/>
        <w:adjustRightInd w:val="0"/>
        <w:snapToGrid w:val="0"/>
        <w:spacing w:line="480" w:lineRule="exact"/>
        <w:ind w:firstLine="240" w:firstLineChars="100"/>
        <w:jc w:val="left"/>
        <w:rPr>
          <w:rFonts w:hint="default" w:ascii="宋体" w:hAnsi="宋体" w:eastAsia="宋体"/>
          <w:color w:val="auto"/>
          <w:sz w:val="24"/>
          <w:szCs w:val="24"/>
          <w:u w:val="single"/>
          <w:lang w:val="en-US" w:eastAsia="zh-CN"/>
        </w:rPr>
      </w:pPr>
      <w:r>
        <w:rPr>
          <w:rFonts w:hint="eastAsia" w:ascii="宋体" w:hAnsi="宋体" w:eastAsia="宋体" w:cs="宋体"/>
          <w:color w:val="auto"/>
          <w:sz w:val="24"/>
          <w:szCs w:val="24"/>
          <w:lang w:val="en-US" w:eastAsia="zh-CN"/>
        </w:rPr>
        <w:t>供应商（单位名称及公章）：</w:t>
      </w:r>
      <w:r>
        <w:rPr>
          <w:rFonts w:hint="eastAsia" w:ascii="宋体" w:hAnsi="宋体" w:eastAsia="宋体" w:cs="宋体"/>
          <w:color w:val="auto"/>
          <w:sz w:val="24"/>
          <w:szCs w:val="24"/>
          <w:u w:val="single"/>
          <w:lang w:val="en-US" w:eastAsia="zh-CN"/>
        </w:rPr>
        <w:t xml:space="preserve">                                </w:t>
      </w:r>
    </w:p>
    <w:p w14:paraId="2376333C">
      <w:pPr>
        <w:widowControl w:val="0"/>
        <w:topLinePunct w:val="0"/>
        <w:bidi w:val="0"/>
        <w:adjustRightInd w:val="0"/>
        <w:snapToGrid w:val="0"/>
        <w:spacing w:line="480" w:lineRule="exact"/>
        <w:ind w:firstLine="240" w:firstLineChars="100"/>
        <w:jc w:val="left"/>
        <w:rPr>
          <w:rFonts w:hint="eastAsia" w:ascii="宋体" w:hAnsi="宋体" w:eastAsia="宋体" w:cs="宋体"/>
          <w:b/>
          <w:bCs/>
          <w:color w:val="auto"/>
          <w:sz w:val="24"/>
          <w:szCs w:val="24"/>
          <w:u w:val="none"/>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被授权人（签字）：</w:t>
      </w:r>
      <w:r>
        <w:rPr>
          <w:rFonts w:hint="eastAsia" w:ascii="宋体" w:hAnsi="宋体" w:eastAsia="宋体" w:cs="宋体"/>
          <w:b/>
          <w:bCs/>
          <w:color w:val="auto"/>
          <w:sz w:val="24"/>
          <w:szCs w:val="24"/>
          <w:u w:val="none"/>
          <w:lang w:val="en-US" w:eastAsia="zh-CN"/>
        </w:rPr>
        <w:t>_________________</w:t>
      </w:r>
    </w:p>
    <w:p w14:paraId="7301AE36">
      <w:pPr>
        <w:topLinePunct w:val="0"/>
        <w:bidi w:val="0"/>
        <w:adjustRightInd w:val="0"/>
        <w:snapToGrid w:val="0"/>
        <w:spacing w:line="48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日 </w:t>
      </w:r>
    </w:p>
    <w:p w14:paraId="67D1048D">
      <w:pPr>
        <w:pStyle w:val="4"/>
        <w:topLinePunct w:val="0"/>
        <w:bidi w:val="0"/>
        <w:spacing w:line="480" w:lineRule="exact"/>
        <w:jc w:val="center"/>
        <w:rPr>
          <w:rFonts w:ascii="宋体" w:hAnsi="宋体" w:eastAsia="宋体" w:cs="宋体"/>
          <w:b w:val="0"/>
          <w:bCs w:val="0"/>
          <w:color w:val="auto"/>
        </w:rPr>
      </w:pPr>
      <w:r>
        <w:rPr>
          <w:rFonts w:ascii="宋体" w:hAnsi="Arial" w:eastAsia="宋体"/>
          <w:color w:val="auto"/>
          <w:sz w:val="22"/>
          <w:szCs w:val="24"/>
        </w:rPr>
        <w:br w:type="page"/>
      </w:r>
      <w:bookmarkEnd w:id="387"/>
      <w:bookmarkStart w:id="507" w:name="_Toc19383"/>
      <w:bookmarkStart w:id="508" w:name="_Toc19683"/>
      <w:bookmarkStart w:id="509" w:name="_Toc23316704"/>
      <w:bookmarkStart w:id="510" w:name="_Toc26359"/>
      <w:bookmarkStart w:id="511" w:name="_Toc14401"/>
      <w:bookmarkStart w:id="512" w:name="_Toc11270"/>
      <w:bookmarkStart w:id="513" w:name="_Toc20234"/>
      <w:bookmarkStart w:id="514" w:name="_Toc18076"/>
      <w:bookmarkStart w:id="515" w:name="_Toc35335277"/>
      <w:bookmarkStart w:id="516" w:name="_Toc23316606"/>
      <w:bookmarkStart w:id="517" w:name="_Toc5318"/>
      <w:bookmarkStart w:id="518" w:name="_Toc8024"/>
      <w:bookmarkStart w:id="519" w:name="_Toc23315693"/>
      <w:bookmarkStart w:id="520" w:name="_Toc23316542"/>
      <w:r>
        <w:rPr>
          <w:rFonts w:hint="eastAsia" w:ascii="宋体" w:hAnsi="宋体" w:eastAsia="宋体"/>
          <w:b/>
          <w:bCs w:val="0"/>
          <w:color w:val="auto"/>
          <w:lang w:eastAsia="zh-CN"/>
        </w:rPr>
        <w:t>六</w:t>
      </w:r>
      <w:r>
        <w:rPr>
          <w:rFonts w:hint="eastAsia" w:ascii="宋体" w:hAnsi="宋体" w:eastAsia="宋体"/>
          <w:b/>
          <w:bCs w:val="0"/>
          <w:color w:val="auto"/>
        </w:rPr>
        <w:t>、投标单位拒绝政府采购领域商业贿赂承诺书</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14:paraId="12A00B82">
      <w:pPr>
        <w:topLinePunct w:val="0"/>
        <w:bidi w:val="0"/>
        <w:spacing w:line="480" w:lineRule="exact"/>
        <w:ind w:firstLine="480" w:firstLineChars="200"/>
        <w:jc w:val="center"/>
        <w:rPr>
          <w:rFonts w:hint="eastAsia" w:ascii="宋体" w:hAnsi="宋体" w:eastAsia="宋体" w:cs="仿宋"/>
          <w:bCs/>
          <w:color w:val="auto"/>
          <w:kern w:val="0"/>
          <w:sz w:val="24"/>
        </w:rPr>
      </w:pPr>
      <w:r>
        <w:rPr>
          <w:rFonts w:hint="eastAsia" w:ascii="宋体" w:hAnsi="宋体" w:eastAsia="宋体" w:cs="仿宋"/>
          <w:bCs/>
          <w:color w:val="auto"/>
          <w:kern w:val="0"/>
          <w:sz w:val="24"/>
        </w:rPr>
        <w:t>政府采购供应商拒绝政府采购领域商业贿赂承诺书</w:t>
      </w:r>
    </w:p>
    <w:p w14:paraId="40DD46AC">
      <w:pPr>
        <w:topLinePunct w:val="0"/>
        <w:bidi w:val="0"/>
        <w:spacing w:line="480" w:lineRule="exact"/>
        <w:ind w:firstLine="420" w:firstLineChars="200"/>
        <w:jc w:val="left"/>
        <w:rPr>
          <w:rFonts w:ascii="宋体" w:hAnsi="宋体" w:eastAsia="宋体" w:cs="仿宋"/>
          <w:bCs/>
          <w:color w:val="auto"/>
          <w:kern w:val="0"/>
          <w:sz w:val="21"/>
          <w:szCs w:val="21"/>
        </w:rPr>
      </w:pPr>
    </w:p>
    <w:p w14:paraId="305AE1C7">
      <w:pPr>
        <w:topLinePunct w:val="0"/>
        <w:bidi w:val="0"/>
        <w:spacing w:line="480" w:lineRule="exact"/>
        <w:ind w:firstLine="480" w:firstLineChars="200"/>
        <w:rPr>
          <w:rFonts w:hint="eastAsia" w:ascii="宋体" w:hAnsi="宋体" w:eastAsia="宋体" w:cs="仿宋"/>
          <w:bCs/>
          <w:color w:val="auto"/>
          <w:kern w:val="0"/>
          <w:sz w:val="24"/>
          <w:lang w:eastAsia="zh-CN"/>
        </w:rPr>
      </w:pPr>
      <w:r>
        <w:rPr>
          <w:rFonts w:hint="eastAsia" w:ascii="宋体" w:hAnsi="宋体" w:eastAsia="宋体" w:cs="仿宋"/>
          <w:bCs/>
          <w:color w:val="auto"/>
          <w:kern w:val="0"/>
          <w:sz w:val="24"/>
        </w:rPr>
        <w:t xml:space="preserve">为响应党中央、国务院关于治理政府采购领域商业贿赂行为的号召，我单位在此庄严承诺： </w:t>
      </w:r>
    </w:p>
    <w:p w14:paraId="6AEFE5D3">
      <w:pPr>
        <w:topLinePunct w:val="0"/>
        <w:bidi w:val="0"/>
        <w:spacing w:line="480" w:lineRule="exact"/>
        <w:ind w:firstLine="480" w:firstLineChars="200"/>
        <w:rPr>
          <w:rFonts w:hint="eastAsia" w:ascii="宋体" w:hAnsi="宋体" w:eastAsia="宋体" w:cs="仿宋"/>
          <w:bCs/>
          <w:color w:val="auto"/>
          <w:kern w:val="0"/>
          <w:sz w:val="24"/>
          <w:lang w:eastAsia="zh-CN"/>
        </w:rPr>
      </w:pPr>
      <w:r>
        <w:rPr>
          <w:rFonts w:hint="eastAsia" w:ascii="宋体" w:hAnsi="宋体" w:eastAsia="宋体" w:cs="仿宋"/>
          <w:bCs/>
          <w:color w:val="auto"/>
          <w:kern w:val="0"/>
          <w:sz w:val="24"/>
        </w:rPr>
        <w:t>1</w:t>
      </w:r>
      <w:r>
        <w:rPr>
          <w:rFonts w:hint="eastAsia" w:ascii="宋体" w:hAnsi="宋体" w:eastAsia="宋体" w:cs="仿宋"/>
          <w:bCs/>
          <w:color w:val="auto"/>
          <w:kern w:val="0"/>
          <w:sz w:val="24"/>
          <w:lang w:val="en-US" w:eastAsia="zh-CN"/>
        </w:rPr>
        <w:t>.</w:t>
      </w:r>
      <w:r>
        <w:rPr>
          <w:rFonts w:hint="eastAsia" w:ascii="宋体" w:hAnsi="宋体" w:eastAsia="宋体" w:cs="仿宋"/>
          <w:bCs/>
          <w:color w:val="auto"/>
          <w:kern w:val="0"/>
          <w:sz w:val="24"/>
        </w:rPr>
        <w:t xml:space="preserve">在参与政府采购活动中遵纪守法、诚信经营、公平竞标。 </w:t>
      </w:r>
    </w:p>
    <w:p w14:paraId="68430BBF">
      <w:pPr>
        <w:topLinePunct w:val="0"/>
        <w:bidi w:val="0"/>
        <w:spacing w:line="480" w:lineRule="exact"/>
        <w:rPr>
          <w:rFonts w:hint="eastAsia" w:ascii="宋体" w:hAnsi="宋体" w:eastAsia="宋体" w:cs="仿宋"/>
          <w:bCs/>
          <w:color w:val="auto"/>
          <w:kern w:val="0"/>
          <w:sz w:val="24"/>
          <w:lang w:eastAsia="zh-CN"/>
        </w:rPr>
      </w:pPr>
      <w:r>
        <w:rPr>
          <w:rFonts w:hint="eastAsia" w:ascii="宋体" w:hAnsi="宋体" w:eastAsia="宋体" w:cs="仿宋"/>
          <w:bCs/>
          <w:color w:val="auto"/>
          <w:kern w:val="0"/>
          <w:sz w:val="24"/>
        </w:rPr>
        <w:t>　　2</w:t>
      </w:r>
      <w:r>
        <w:rPr>
          <w:rFonts w:hint="eastAsia" w:ascii="宋体" w:hAnsi="宋体" w:eastAsia="宋体" w:cs="仿宋"/>
          <w:bCs/>
          <w:color w:val="auto"/>
          <w:kern w:val="0"/>
          <w:sz w:val="24"/>
          <w:lang w:val="en-US" w:eastAsia="zh-CN"/>
        </w:rPr>
        <w:t>.</w:t>
      </w:r>
      <w:r>
        <w:rPr>
          <w:rFonts w:hint="eastAsia" w:ascii="宋体" w:hAnsi="宋体" w:eastAsia="宋体" w:cs="仿宋"/>
          <w:bCs/>
          <w:color w:val="auto"/>
          <w:kern w:val="0"/>
          <w:sz w:val="24"/>
        </w:rPr>
        <w:t xml:space="preserve">不向采购人、招标代理机构和政府采购评审专家进行任何形式的商业贿赂以谋取交易机会。 </w:t>
      </w:r>
    </w:p>
    <w:p w14:paraId="5719BAA1">
      <w:pPr>
        <w:topLinePunct w:val="0"/>
        <w:bidi w:val="0"/>
        <w:spacing w:line="480" w:lineRule="exact"/>
        <w:rPr>
          <w:rFonts w:hint="eastAsia" w:ascii="宋体" w:hAnsi="宋体" w:eastAsia="宋体" w:cs="仿宋"/>
          <w:bCs/>
          <w:color w:val="auto"/>
          <w:kern w:val="0"/>
          <w:sz w:val="24"/>
          <w:lang w:eastAsia="zh-CN"/>
        </w:rPr>
      </w:pPr>
      <w:r>
        <w:rPr>
          <w:rFonts w:hint="eastAsia" w:ascii="宋体" w:hAnsi="宋体" w:eastAsia="宋体" w:cs="仿宋"/>
          <w:bCs/>
          <w:color w:val="auto"/>
          <w:kern w:val="0"/>
          <w:sz w:val="24"/>
        </w:rPr>
        <w:t>   3</w:t>
      </w:r>
      <w:r>
        <w:rPr>
          <w:rFonts w:hint="eastAsia" w:ascii="宋体" w:hAnsi="宋体" w:eastAsia="宋体" w:cs="仿宋"/>
          <w:bCs/>
          <w:color w:val="auto"/>
          <w:kern w:val="0"/>
          <w:sz w:val="24"/>
          <w:lang w:val="en-US" w:eastAsia="zh-CN"/>
        </w:rPr>
        <w:t>.</w:t>
      </w:r>
      <w:r>
        <w:rPr>
          <w:rFonts w:hint="eastAsia" w:ascii="宋体" w:hAnsi="宋体" w:eastAsia="宋体" w:cs="仿宋"/>
          <w:bCs/>
          <w:color w:val="auto"/>
          <w:kern w:val="0"/>
          <w:sz w:val="24"/>
        </w:rPr>
        <w:t xml:space="preserve">不向政府采购招标代理机构和采购人提供虚假资质文件或采用虚假应标方式参与政府采购市场竞争并谋取成交、成交。 </w:t>
      </w:r>
    </w:p>
    <w:p w14:paraId="537FEAEB">
      <w:pPr>
        <w:topLinePunct w:val="0"/>
        <w:bidi w:val="0"/>
        <w:spacing w:line="480" w:lineRule="exact"/>
        <w:rPr>
          <w:rFonts w:hint="eastAsia" w:ascii="宋体" w:hAnsi="宋体" w:eastAsia="宋体" w:cs="仿宋"/>
          <w:bCs/>
          <w:color w:val="auto"/>
          <w:kern w:val="0"/>
          <w:sz w:val="24"/>
          <w:lang w:eastAsia="zh-CN"/>
        </w:rPr>
      </w:pPr>
      <w:r>
        <w:rPr>
          <w:rFonts w:hint="eastAsia" w:ascii="宋体" w:hAnsi="宋体" w:eastAsia="宋体" w:cs="仿宋"/>
          <w:bCs/>
          <w:color w:val="auto"/>
          <w:kern w:val="0"/>
          <w:sz w:val="24"/>
        </w:rPr>
        <w:t>   4</w:t>
      </w:r>
      <w:r>
        <w:rPr>
          <w:rFonts w:hint="eastAsia" w:ascii="宋体" w:hAnsi="宋体" w:eastAsia="宋体" w:cs="仿宋"/>
          <w:bCs/>
          <w:color w:val="auto"/>
          <w:kern w:val="0"/>
          <w:sz w:val="24"/>
          <w:lang w:val="en-US" w:eastAsia="zh-CN"/>
        </w:rPr>
        <w:t>.</w:t>
      </w:r>
      <w:r>
        <w:rPr>
          <w:rFonts w:hint="eastAsia" w:ascii="宋体" w:hAnsi="宋体" w:eastAsia="宋体" w:cs="仿宋"/>
          <w:bCs/>
          <w:color w:val="auto"/>
          <w:kern w:val="0"/>
          <w:sz w:val="24"/>
        </w:rPr>
        <w:t xml:space="preserve">不采取“围标、陪标”等商业欺诈手段获得政府采购定单。 </w:t>
      </w:r>
    </w:p>
    <w:p w14:paraId="4736D0FE">
      <w:pPr>
        <w:topLinePunct w:val="0"/>
        <w:bidi w:val="0"/>
        <w:spacing w:line="480" w:lineRule="exact"/>
        <w:rPr>
          <w:rFonts w:hint="eastAsia" w:ascii="宋体" w:hAnsi="宋体" w:eastAsia="宋体" w:cs="仿宋"/>
          <w:bCs/>
          <w:color w:val="auto"/>
          <w:kern w:val="0"/>
          <w:sz w:val="24"/>
          <w:lang w:eastAsia="zh-CN"/>
        </w:rPr>
      </w:pPr>
      <w:r>
        <w:rPr>
          <w:rFonts w:hint="eastAsia" w:ascii="宋体" w:hAnsi="宋体" w:eastAsia="宋体" w:cs="仿宋"/>
          <w:bCs/>
          <w:color w:val="auto"/>
          <w:kern w:val="0"/>
          <w:sz w:val="24"/>
        </w:rPr>
        <w:t xml:space="preserve">   5</w:t>
      </w:r>
      <w:r>
        <w:rPr>
          <w:rFonts w:hint="eastAsia" w:ascii="宋体" w:hAnsi="宋体" w:eastAsia="宋体" w:cs="仿宋"/>
          <w:bCs/>
          <w:color w:val="auto"/>
          <w:kern w:val="0"/>
          <w:sz w:val="24"/>
          <w:lang w:val="en-US" w:eastAsia="zh-CN"/>
        </w:rPr>
        <w:t>.</w:t>
      </w:r>
      <w:r>
        <w:rPr>
          <w:rFonts w:hint="eastAsia" w:ascii="宋体" w:hAnsi="宋体" w:eastAsia="宋体" w:cs="仿宋"/>
          <w:bCs/>
          <w:color w:val="auto"/>
          <w:kern w:val="0"/>
          <w:sz w:val="24"/>
        </w:rPr>
        <w:t xml:space="preserve">不采取不正当手段低毁、排挤其他供应商。 </w:t>
      </w:r>
    </w:p>
    <w:p w14:paraId="28C1FB89">
      <w:pPr>
        <w:topLinePunct w:val="0"/>
        <w:bidi w:val="0"/>
        <w:spacing w:line="480" w:lineRule="exact"/>
        <w:rPr>
          <w:rFonts w:hint="eastAsia" w:ascii="宋体" w:hAnsi="宋体" w:eastAsia="宋体" w:cs="仿宋"/>
          <w:bCs/>
          <w:color w:val="auto"/>
          <w:kern w:val="0"/>
          <w:sz w:val="24"/>
          <w:lang w:eastAsia="zh-CN"/>
        </w:rPr>
      </w:pPr>
      <w:r>
        <w:rPr>
          <w:rFonts w:hint="eastAsia" w:ascii="宋体" w:hAnsi="宋体" w:eastAsia="宋体" w:cs="仿宋"/>
          <w:bCs/>
          <w:color w:val="auto"/>
          <w:kern w:val="0"/>
          <w:sz w:val="24"/>
        </w:rPr>
        <w:t xml:space="preserve">   6</w:t>
      </w:r>
      <w:r>
        <w:rPr>
          <w:rFonts w:hint="eastAsia" w:ascii="宋体" w:hAnsi="宋体" w:eastAsia="宋体" w:cs="仿宋"/>
          <w:bCs/>
          <w:color w:val="auto"/>
          <w:kern w:val="0"/>
          <w:sz w:val="24"/>
          <w:lang w:val="en-US" w:eastAsia="zh-CN"/>
        </w:rPr>
        <w:t>.</w:t>
      </w:r>
      <w:r>
        <w:rPr>
          <w:rFonts w:hint="eastAsia" w:ascii="宋体" w:hAnsi="宋体" w:eastAsia="宋体" w:cs="仿宋"/>
          <w:bCs/>
          <w:color w:val="auto"/>
          <w:kern w:val="0"/>
          <w:sz w:val="24"/>
        </w:rPr>
        <w:t xml:space="preserve">不在提供商品和服务时“偷梁换柱、以次充好”损害采购人的合法权益。 </w:t>
      </w:r>
    </w:p>
    <w:p w14:paraId="6572B2A7">
      <w:pPr>
        <w:topLinePunct w:val="0"/>
        <w:bidi w:val="0"/>
        <w:spacing w:line="480" w:lineRule="exact"/>
        <w:rPr>
          <w:rFonts w:hint="eastAsia" w:ascii="宋体" w:hAnsi="宋体" w:eastAsia="宋体" w:cs="仿宋"/>
          <w:bCs/>
          <w:color w:val="auto"/>
          <w:kern w:val="0"/>
          <w:sz w:val="24"/>
          <w:lang w:eastAsia="zh-CN"/>
        </w:rPr>
      </w:pPr>
      <w:r>
        <w:rPr>
          <w:rFonts w:hint="eastAsia" w:ascii="宋体" w:hAnsi="宋体" w:eastAsia="宋体" w:cs="仿宋"/>
          <w:bCs/>
          <w:color w:val="auto"/>
          <w:kern w:val="0"/>
          <w:sz w:val="24"/>
        </w:rPr>
        <w:t xml:space="preserve">   7</w:t>
      </w:r>
      <w:r>
        <w:rPr>
          <w:rFonts w:hint="eastAsia" w:ascii="宋体" w:hAnsi="宋体" w:eastAsia="宋体" w:cs="仿宋"/>
          <w:bCs/>
          <w:color w:val="auto"/>
          <w:kern w:val="0"/>
          <w:sz w:val="24"/>
          <w:lang w:val="en-US" w:eastAsia="zh-CN"/>
        </w:rPr>
        <w:t>.</w:t>
      </w:r>
      <w:r>
        <w:rPr>
          <w:rFonts w:hint="eastAsia" w:ascii="宋体" w:hAnsi="宋体" w:eastAsia="宋体" w:cs="仿宋"/>
          <w:bCs/>
          <w:color w:val="auto"/>
          <w:kern w:val="0"/>
          <w:sz w:val="24"/>
        </w:rPr>
        <w:t xml:space="preserve">不与采购人、招标代理机构政府采购评审专家或其它供应商恶意串通，进行质疑和投诉，维护政府采购市场秩序。 </w:t>
      </w:r>
    </w:p>
    <w:p w14:paraId="7A821251">
      <w:pPr>
        <w:topLinePunct w:val="0"/>
        <w:bidi w:val="0"/>
        <w:spacing w:line="480" w:lineRule="exact"/>
        <w:rPr>
          <w:rFonts w:hint="eastAsia" w:ascii="宋体" w:hAnsi="宋体" w:eastAsia="宋体" w:cs="仿宋"/>
          <w:bCs/>
          <w:color w:val="auto"/>
          <w:kern w:val="0"/>
          <w:sz w:val="24"/>
          <w:lang w:eastAsia="zh-CN"/>
        </w:rPr>
      </w:pPr>
      <w:r>
        <w:rPr>
          <w:rFonts w:hint="eastAsia" w:ascii="宋体" w:hAnsi="宋体" w:eastAsia="宋体" w:cs="仿宋"/>
          <w:bCs/>
          <w:color w:val="auto"/>
          <w:kern w:val="0"/>
          <w:sz w:val="24"/>
        </w:rPr>
        <w:t>   8</w:t>
      </w:r>
      <w:r>
        <w:rPr>
          <w:rFonts w:hint="eastAsia" w:ascii="宋体" w:hAnsi="宋体" w:eastAsia="宋体" w:cs="仿宋"/>
          <w:bCs/>
          <w:color w:val="auto"/>
          <w:kern w:val="0"/>
          <w:sz w:val="24"/>
          <w:lang w:val="en-US" w:eastAsia="zh-CN"/>
        </w:rPr>
        <w:t>.</w:t>
      </w:r>
      <w:r>
        <w:rPr>
          <w:rFonts w:hint="eastAsia" w:ascii="宋体" w:hAnsi="宋体" w:eastAsia="宋体" w:cs="仿宋"/>
          <w:bCs/>
          <w:color w:val="auto"/>
          <w:kern w:val="0"/>
          <w:sz w:val="24"/>
        </w:rPr>
        <w:t xml:space="preserve">尊重和接受政府采购监督管理部门的监督和政府招标代理机构招标要求，承担因违约行为给采购人造成的损失。 </w:t>
      </w:r>
    </w:p>
    <w:p w14:paraId="1C48D25A">
      <w:pPr>
        <w:topLinePunct w:val="0"/>
        <w:bidi w:val="0"/>
        <w:spacing w:line="480" w:lineRule="exact"/>
        <w:rPr>
          <w:rFonts w:ascii="宋体" w:hAnsi="宋体" w:eastAsia="宋体" w:cs="仿宋"/>
          <w:bCs/>
          <w:color w:val="auto"/>
          <w:kern w:val="0"/>
          <w:sz w:val="22"/>
          <w:szCs w:val="24"/>
        </w:rPr>
      </w:pPr>
      <w:r>
        <w:rPr>
          <w:rFonts w:hint="eastAsia" w:ascii="宋体" w:hAnsi="宋体" w:eastAsia="宋体" w:cs="仿宋"/>
          <w:bCs/>
          <w:color w:val="auto"/>
          <w:kern w:val="0"/>
          <w:sz w:val="24"/>
        </w:rPr>
        <w:t>　　9</w:t>
      </w:r>
      <w:r>
        <w:rPr>
          <w:rFonts w:hint="eastAsia" w:ascii="宋体" w:hAnsi="宋体" w:eastAsia="宋体" w:cs="仿宋"/>
          <w:bCs/>
          <w:color w:val="auto"/>
          <w:kern w:val="0"/>
          <w:sz w:val="24"/>
          <w:lang w:val="en-US" w:eastAsia="zh-CN"/>
        </w:rPr>
        <w:t>.</w:t>
      </w:r>
      <w:r>
        <w:rPr>
          <w:rFonts w:hint="eastAsia" w:ascii="宋体" w:hAnsi="宋体" w:eastAsia="宋体" w:cs="仿宋"/>
          <w:bCs/>
          <w:color w:val="auto"/>
          <w:kern w:val="0"/>
          <w:sz w:val="24"/>
        </w:rPr>
        <w:t xml:space="preserve">不发生其他有悖于政府采购公开、公平、公正和诚信原则的行为。 </w:t>
      </w:r>
    </w:p>
    <w:p w14:paraId="51E572AA">
      <w:pPr>
        <w:topLinePunct w:val="0"/>
        <w:bidi w:val="0"/>
        <w:spacing w:line="480" w:lineRule="exact"/>
        <w:ind w:firstLine="960" w:firstLineChars="400"/>
        <w:rPr>
          <w:rFonts w:ascii="宋体" w:hAnsi="宋体" w:eastAsia="宋体" w:cs="仿宋"/>
          <w:bCs/>
          <w:color w:val="auto"/>
          <w:kern w:val="0"/>
          <w:sz w:val="24"/>
        </w:rPr>
      </w:pPr>
    </w:p>
    <w:p w14:paraId="38F9FC66">
      <w:pPr>
        <w:topLinePunct w:val="0"/>
        <w:bidi w:val="0"/>
        <w:spacing w:line="480" w:lineRule="exact"/>
        <w:ind w:firstLine="960" w:firstLineChars="400"/>
        <w:rPr>
          <w:rFonts w:ascii="宋体" w:hAnsi="宋体" w:eastAsia="宋体" w:cs="仿宋"/>
          <w:bCs/>
          <w:color w:val="auto"/>
          <w:kern w:val="0"/>
          <w:sz w:val="24"/>
        </w:rPr>
      </w:pPr>
    </w:p>
    <w:p w14:paraId="7936546E">
      <w:pPr>
        <w:topLinePunct w:val="0"/>
        <w:bidi w:val="0"/>
        <w:spacing w:line="480" w:lineRule="exact"/>
        <w:ind w:firstLine="480" w:firstLineChars="200"/>
        <w:rPr>
          <w:rFonts w:ascii="宋体" w:hAnsi="宋体" w:eastAsia="宋体" w:cs="仿宋"/>
          <w:bCs/>
          <w:color w:val="auto"/>
          <w:kern w:val="0"/>
          <w:sz w:val="24"/>
        </w:rPr>
      </w:pPr>
      <w:r>
        <w:rPr>
          <w:rFonts w:hint="eastAsia" w:ascii="宋体" w:hAnsi="宋体" w:eastAsia="宋体" w:cs="仿宋"/>
          <w:bCs/>
          <w:color w:val="auto"/>
          <w:kern w:val="0"/>
          <w:sz w:val="24"/>
        </w:rPr>
        <w:t>承诺单位：</w:t>
      </w:r>
      <w:r>
        <w:rPr>
          <w:rFonts w:hint="eastAsia" w:ascii="宋体" w:hAnsi="宋体" w:eastAsia="宋体" w:cs="仿宋"/>
          <w:bCs/>
          <w:color w:val="auto"/>
          <w:kern w:val="0"/>
          <w:sz w:val="24"/>
          <w:u w:val="single"/>
        </w:rPr>
        <w:t>　　                 　</w:t>
      </w:r>
      <w:r>
        <w:rPr>
          <w:rFonts w:hint="eastAsia" w:ascii="宋体" w:hAnsi="宋体" w:eastAsia="宋体" w:cs="仿宋"/>
          <w:bCs/>
          <w:color w:val="auto"/>
          <w:kern w:val="0"/>
          <w:sz w:val="24"/>
        </w:rPr>
        <w:t>（盖章）</w:t>
      </w:r>
    </w:p>
    <w:p w14:paraId="6B9DB34B">
      <w:pPr>
        <w:topLinePunct w:val="0"/>
        <w:bidi w:val="0"/>
        <w:spacing w:line="480" w:lineRule="exact"/>
        <w:rPr>
          <w:rFonts w:ascii="宋体" w:hAnsi="宋体" w:eastAsia="宋体" w:cs="仿宋"/>
          <w:bCs/>
          <w:color w:val="auto"/>
          <w:kern w:val="0"/>
          <w:sz w:val="24"/>
        </w:rPr>
      </w:pPr>
      <w:r>
        <w:rPr>
          <w:rFonts w:hint="eastAsia" w:ascii="宋体" w:hAnsi="宋体" w:eastAsia="宋体" w:cs="仿宋"/>
          <w:bCs/>
          <w:color w:val="auto"/>
          <w:kern w:val="0"/>
          <w:sz w:val="24"/>
        </w:rPr>
        <w:t>  全权代表：</w:t>
      </w:r>
      <w:r>
        <w:rPr>
          <w:rFonts w:hint="eastAsia" w:ascii="宋体" w:hAnsi="宋体" w:eastAsia="宋体" w:cs="仿宋"/>
          <w:bCs/>
          <w:color w:val="auto"/>
          <w:kern w:val="0"/>
          <w:sz w:val="24"/>
          <w:u w:val="single"/>
        </w:rPr>
        <w:t>　　　　　     　　　　</w:t>
      </w:r>
      <w:r>
        <w:rPr>
          <w:rFonts w:hint="eastAsia" w:ascii="宋体" w:hAnsi="宋体" w:eastAsia="宋体" w:cs="仿宋"/>
          <w:bCs/>
          <w:color w:val="auto"/>
          <w:kern w:val="0"/>
          <w:sz w:val="24"/>
        </w:rPr>
        <w:t xml:space="preserve">（签字） </w:t>
      </w:r>
    </w:p>
    <w:p w14:paraId="23438F3E">
      <w:pPr>
        <w:topLinePunct w:val="0"/>
        <w:bidi w:val="0"/>
        <w:spacing w:line="480" w:lineRule="exact"/>
        <w:rPr>
          <w:rFonts w:ascii="宋体" w:hAnsi="宋体" w:eastAsia="宋体" w:cs="仿宋"/>
          <w:bCs/>
          <w:color w:val="auto"/>
          <w:kern w:val="0"/>
          <w:sz w:val="24"/>
          <w:u w:val="single"/>
        </w:rPr>
      </w:pPr>
      <w:r>
        <w:rPr>
          <w:rFonts w:hint="eastAsia" w:ascii="宋体" w:hAnsi="宋体" w:eastAsia="宋体" w:cs="仿宋"/>
          <w:bCs/>
          <w:color w:val="auto"/>
          <w:kern w:val="0"/>
          <w:sz w:val="24"/>
        </w:rPr>
        <w:t xml:space="preserve">    地　　址：</w:t>
      </w:r>
      <w:r>
        <w:rPr>
          <w:rFonts w:hint="eastAsia" w:ascii="宋体" w:hAnsi="宋体" w:eastAsia="宋体" w:cs="仿宋"/>
          <w:bCs/>
          <w:color w:val="auto"/>
          <w:kern w:val="0"/>
          <w:sz w:val="24"/>
          <w:u w:val="single"/>
        </w:rPr>
        <w:t xml:space="preserve">                              </w:t>
      </w:r>
    </w:p>
    <w:p w14:paraId="1C2DF7EE">
      <w:pPr>
        <w:topLinePunct w:val="0"/>
        <w:bidi w:val="0"/>
        <w:spacing w:line="480" w:lineRule="exact"/>
        <w:rPr>
          <w:rFonts w:ascii="宋体" w:hAnsi="宋体" w:eastAsia="宋体" w:cs="仿宋"/>
          <w:bCs/>
          <w:color w:val="auto"/>
          <w:kern w:val="0"/>
          <w:sz w:val="24"/>
        </w:rPr>
      </w:pPr>
      <w:r>
        <w:rPr>
          <w:rFonts w:hint="eastAsia" w:ascii="宋体" w:hAnsi="宋体" w:eastAsia="宋体" w:cs="仿宋"/>
          <w:bCs/>
          <w:color w:val="auto"/>
          <w:kern w:val="0"/>
          <w:sz w:val="24"/>
        </w:rPr>
        <w:t xml:space="preserve">    邮    编：</w:t>
      </w:r>
      <w:r>
        <w:rPr>
          <w:rFonts w:hint="eastAsia" w:ascii="宋体" w:hAnsi="宋体" w:eastAsia="宋体" w:cs="仿宋"/>
          <w:bCs/>
          <w:color w:val="auto"/>
          <w:kern w:val="0"/>
          <w:sz w:val="24"/>
          <w:u w:val="single"/>
        </w:rPr>
        <w:t>　　                     　　</w:t>
      </w:r>
      <w:r>
        <w:rPr>
          <w:rFonts w:hint="eastAsia" w:ascii="宋体" w:hAnsi="宋体" w:eastAsia="宋体" w:cs="仿宋"/>
          <w:bCs/>
          <w:color w:val="auto"/>
          <w:kern w:val="0"/>
          <w:sz w:val="24"/>
        </w:rPr>
        <w:t>   </w:t>
      </w:r>
    </w:p>
    <w:p w14:paraId="1FBD99B4">
      <w:pPr>
        <w:topLinePunct w:val="0"/>
        <w:bidi w:val="0"/>
        <w:spacing w:line="480" w:lineRule="exact"/>
        <w:ind w:firstLine="240" w:firstLineChars="100"/>
        <w:rPr>
          <w:rFonts w:ascii="宋体" w:hAnsi="宋体" w:eastAsia="宋体" w:cs="仿宋"/>
          <w:bCs/>
          <w:color w:val="auto"/>
          <w:kern w:val="0"/>
          <w:sz w:val="24"/>
        </w:rPr>
      </w:pPr>
      <w:r>
        <w:rPr>
          <w:rFonts w:hint="eastAsia" w:ascii="宋体" w:hAnsi="宋体" w:eastAsia="宋体" w:cs="仿宋"/>
          <w:bCs/>
          <w:color w:val="auto"/>
          <w:kern w:val="0"/>
          <w:sz w:val="24"/>
        </w:rPr>
        <w:t> 电　　话：</w:t>
      </w:r>
      <w:r>
        <w:rPr>
          <w:rFonts w:hint="eastAsia" w:ascii="宋体" w:hAnsi="宋体" w:eastAsia="宋体" w:cs="仿宋"/>
          <w:bCs/>
          <w:color w:val="auto"/>
          <w:kern w:val="0"/>
          <w:sz w:val="24"/>
          <w:u w:val="single"/>
        </w:rPr>
        <w:t>　　　                　　　　</w:t>
      </w:r>
      <w:r>
        <w:rPr>
          <w:rFonts w:hint="eastAsia" w:ascii="宋体" w:hAnsi="宋体" w:eastAsia="宋体" w:cs="仿宋"/>
          <w:bCs/>
          <w:color w:val="auto"/>
          <w:kern w:val="0"/>
          <w:sz w:val="24"/>
        </w:rPr>
        <w:t xml:space="preserve">　　 </w:t>
      </w:r>
    </w:p>
    <w:p w14:paraId="0F8AE6D3">
      <w:pPr>
        <w:topLinePunct w:val="0"/>
        <w:bidi w:val="0"/>
        <w:spacing w:line="480" w:lineRule="exact"/>
        <w:rPr>
          <w:rFonts w:ascii="宋体" w:hAnsi="宋体" w:eastAsia="宋体" w:cs="仿宋"/>
          <w:bCs/>
          <w:color w:val="auto"/>
          <w:kern w:val="0"/>
          <w:sz w:val="24"/>
        </w:rPr>
      </w:pPr>
    </w:p>
    <w:p w14:paraId="2C9CA636">
      <w:pPr>
        <w:topLinePunct w:val="0"/>
        <w:bidi w:val="0"/>
        <w:spacing w:line="480" w:lineRule="exact"/>
        <w:ind w:firstLine="3600" w:firstLineChars="1500"/>
        <w:rPr>
          <w:rFonts w:hint="eastAsia" w:ascii="宋体" w:hAnsi="宋体" w:eastAsia="宋体" w:cs="仿宋"/>
          <w:bCs/>
          <w:color w:val="auto"/>
          <w:kern w:val="0"/>
          <w:sz w:val="24"/>
        </w:rPr>
      </w:pPr>
      <w:r>
        <w:rPr>
          <w:rFonts w:hint="eastAsia" w:ascii="宋体" w:hAnsi="宋体" w:eastAsia="宋体" w:cs="仿宋"/>
          <w:bCs/>
          <w:color w:val="auto"/>
          <w:kern w:val="0"/>
          <w:sz w:val="24"/>
        </w:rPr>
        <w:t>年　　月　　日</w:t>
      </w:r>
    </w:p>
    <w:p w14:paraId="14C635E5">
      <w:pPr>
        <w:topLinePunct w:val="0"/>
        <w:bidi w:val="0"/>
        <w:spacing w:line="480" w:lineRule="exact"/>
        <w:ind w:firstLine="6000" w:firstLineChars="1500"/>
        <w:rPr>
          <w:rFonts w:hint="eastAsia" w:ascii="宋体" w:hAnsi="宋体" w:eastAsia="宋体" w:cs="仿宋"/>
          <w:bCs/>
          <w:color w:val="auto"/>
          <w:sz w:val="40"/>
          <w:szCs w:val="40"/>
        </w:rPr>
      </w:pPr>
      <w:r>
        <w:rPr>
          <w:rFonts w:hint="eastAsia" w:ascii="宋体" w:hAnsi="宋体" w:eastAsia="宋体" w:cs="仿宋"/>
          <w:bCs/>
          <w:color w:val="auto"/>
          <w:sz w:val="40"/>
          <w:szCs w:val="40"/>
        </w:rPr>
        <w:tab/>
      </w:r>
    </w:p>
    <w:p w14:paraId="5BE71191">
      <w:pPr>
        <w:pStyle w:val="57"/>
        <w:tabs>
          <w:tab w:val="left" w:pos="957"/>
        </w:tabs>
        <w:rPr>
          <w:rFonts w:hint="eastAsia"/>
          <w:color w:val="auto"/>
          <w:lang w:eastAsia="zh-CN"/>
        </w:rPr>
      </w:pPr>
      <w:r>
        <w:rPr>
          <w:rFonts w:hint="eastAsia"/>
          <w:color w:val="auto"/>
          <w:lang w:eastAsia="zh-CN"/>
        </w:rPr>
        <w:tab/>
      </w:r>
    </w:p>
    <w:p w14:paraId="64C86AD7">
      <w:pPr>
        <w:pStyle w:val="2"/>
        <w:topLinePunct w:val="0"/>
        <w:bidi w:val="0"/>
        <w:spacing w:line="480" w:lineRule="exact"/>
        <w:ind w:left="560"/>
        <w:jc w:val="center"/>
        <w:rPr>
          <w:color w:val="auto"/>
          <w:sz w:val="40"/>
          <w:szCs w:val="24"/>
        </w:rPr>
      </w:pPr>
      <w:bookmarkStart w:id="521" w:name="_Toc11224"/>
      <w:bookmarkStart w:id="522" w:name="_Toc23315694"/>
      <w:r>
        <w:rPr>
          <w:rFonts w:hint="eastAsia"/>
          <w:color w:val="auto"/>
          <w:sz w:val="32"/>
        </w:rPr>
        <w:t>承诺书Ⅱ</w:t>
      </w:r>
      <w:bookmarkEnd w:id="521"/>
      <w:bookmarkEnd w:id="522"/>
    </w:p>
    <w:p w14:paraId="4BEAF35C">
      <w:pPr>
        <w:topLinePunct w:val="0"/>
        <w:bidi w:val="0"/>
        <w:spacing w:line="480" w:lineRule="exact"/>
        <w:rPr>
          <w:rFonts w:ascii="宋体" w:hAnsi="宋体" w:eastAsia="宋体"/>
          <w:color w:val="auto"/>
          <w:sz w:val="24"/>
        </w:rPr>
      </w:pPr>
      <w:r>
        <w:rPr>
          <w:rFonts w:hint="eastAsia" w:ascii="宋体" w:hAnsi="宋体" w:eastAsia="宋体"/>
          <w:color w:val="auto"/>
          <w:sz w:val="24"/>
        </w:rPr>
        <w:t>致：安康尚昊招标代理有限公司</w:t>
      </w:r>
    </w:p>
    <w:p w14:paraId="0BA5F36E">
      <w:pPr>
        <w:topLinePunct w:val="0"/>
        <w:bidi w:val="0"/>
        <w:spacing w:line="480" w:lineRule="exact"/>
        <w:ind w:firstLine="472" w:firstLineChars="197"/>
        <w:rPr>
          <w:rFonts w:ascii="宋体" w:hAnsi="宋体" w:eastAsia="宋体"/>
          <w:color w:val="auto"/>
          <w:sz w:val="24"/>
        </w:rPr>
      </w:pPr>
      <w:r>
        <w:rPr>
          <w:rFonts w:hint="eastAsia" w:ascii="宋体" w:hAnsi="宋体" w:eastAsia="宋体"/>
          <w:color w:val="auto"/>
          <w:sz w:val="24"/>
        </w:rPr>
        <w:t>为了诚实、客观、有序地参与政府采购活动，愿就以下内容作出承诺：</w:t>
      </w:r>
    </w:p>
    <w:p w14:paraId="38EB93C2">
      <w:pPr>
        <w:topLinePunct w:val="0"/>
        <w:bidi w:val="0"/>
        <w:spacing w:line="480" w:lineRule="exact"/>
        <w:ind w:firstLine="472" w:firstLineChars="197"/>
        <w:rPr>
          <w:rFonts w:ascii="宋体" w:hAnsi="宋体" w:eastAsia="宋体"/>
          <w:color w:val="auto"/>
          <w:sz w:val="24"/>
        </w:rPr>
      </w:pPr>
      <w:r>
        <w:rPr>
          <w:rFonts w:hint="eastAsia" w:ascii="宋体" w:hAnsi="宋体" w:eastAsia="宋体"/>
          <w:color w:val="auto"/>
          <w:sz w:val="24"/>
          <w:lang w:eastAsia="zh-CN"/>
        </w:rPr>
        <w:t>1.</w:t>
      </w:r>
      <w:r>
        <w:rPr>
          <w:rFonts w:hint="eastAsia" w:ascii="宋体" w:hAnsi="宋体" w:eastAsia="宋体"/>
          <w:color w:val="auto"/>
          <w:sz w:val="24"/>
        </w:rPr>
        <w:t>参加采购代理机构组织的政府采购活动时，严格按照谈判文件的规定和要求提供所需的相关材料，并对所提供的各类资料的真实性负责，不虚假应标，不虚列业绩。</w:t>
      </w:r>
    </w:p>
    <w:p w14:paraId="4EB51A90">
      <w:pPr>
        <w:shd w:val="clear" w:color="auto" w:fill="FFFFFF"/>
        <w:topLinePunct w:val="0"/>
        <w:bidi w:val="0"/>
        <w:spacing w:line="480" w:lineRule="exact"/>
        <w:ind w:firstLine="480"/>
        <w:rPr>
          <w:rFonts w:ascii="宋体" w:hAnsi="宋体" w:eastAsia="宋体" w:cs="仿宋"/>
          <w:bCs/>
          <w:color w:val="auto"/>
          <w:kern w:val="0"/>
          <w:sz w:val="24"/>
        </w:rPr>
      </w:pPr>
      <w:r>
        <w:rPr>
          <w:rFonts w:hint="eastAsia" w:ascii="宋体" w:hAnsi="宋体" w:eastAsia="宋体" w:cs="仿宋"/>
          <w:bCs/>
          <w:color w:val="auto"/>
          <w:kern w:val="0"/>
          <w:sz w:val="24"/>
          <w:lang w:eastAsia="zh-CN"/>
        </w:rPr>
        <w:t>2.</w:t>
      </w:r>
      <w:r>
        <w:rPr>
          <w:rFonts w:hint="eastAsia" w:ascii="宋体" w:hAnsi="宋体" w:eastAsia="宋体" w:cs="仿宋"/>
          <w:bCs/>
          <w:color w:val="auto"/>
          <w:kern w:val="0"/>
          <w:sz w:val="24"/>
        </w:rPr>
        <w:t>尊重参与政府采购活动各相关方的合法行为，接受政府采购活动依法形成的意见、结果。</w:t>
      </w:r>
    </w:p>
    <w:p w14:paraId="65AA6540">
      <w:pPr>
        <w:shd w:val="clear" w:color="auto" w:fill="FFFFFF"/>
        <w:topLinePunct w:val="0"/>
        <w:bidi w:val="0"/>
        <w:spacing w:line="480" w:lineRule="exact"/>
        <w:ind w:firstLine="480"/>
        <w:rPr>
          <w:rFonts w:ascii="宋体" w:hAnsi="宋体" w:eastAsia="宋体" w:cs="仿宋"/>
          <w:bCs/>
          <w:color w:val="auto"/>
          <w:kern w:val="0"/>
          <w:sz w:val="24"/>
        </w:rPr>
      </w:pPr>
      <w:r>
        <w:rPr>
          <w:rFonts w:hint="eastAsia" w:ascii="宋体" w:hAnsi="宋体" w:eastAsia="宋体" w:cs="仿宋"/>
          <w:bCs/>
          <w:color w:val="auto"/>
          <w:kern w:val="0"/>
          <w:sz w:val="24"/>
          <w:lang w:eastAsia="zh-CN"/>
        </w:rPr>
        <w:t>3.</w:t>
      </w:r>
      <w:r>
        <w:rPr>
          <w:rFonts w:hint="eastAsia" w:ascii="宋体" w:hAnsi="宋体" w:eastAsia="宋体" w:cs="仿宋"/>
          <w:bCs/>
          <w:color w:val="auto"/>
          <w:kern w:val="0"/>
          <w:sz w:val="24"/>
        </w:rPr>
        <w:t>依法参加政府采购活动，不围标、串标，维护市场秩序。近三年因项目质量问题的不法行为记录为</w:t>
      </w:r>
      <w:r>
        <w:rPr>
          <w:rFonts w:hint="eastAsia" w:ascii="宋体" w:hAnsi="宋体" w:eastAsia="宋体" w:cs="仿宋"/>
          <w:bCs/>
          <w:color w:val="auto"/>
          <w:kern w:val="0"/>
          <w:sz w:val="24"/>
          <w:u w:val="single"/>
        </w:rPr>
        <w:t>   </w:t>
      </w:r>
      <w:r>
        <w:rPr>
          <w:rFonts w:hint="eastAsia" w:ascii="宋体" w:hAnsi="宋体" w:eastAsia="宋体" w:cs="仿宋"/>
          <w:bCs/>
          <w:color w:val="auto"/>
          <w:kern w:val="0"/>
          <w:sz w:val="24"/>
        </w:rPr>
        <w:t>次（没有填零），如有隐瞒实情，愿承担一切责任及后果。</w:t>
      </w:r>
    </w:p>
    <w:p w14:paraId="17D1F502">
      <w:pPr>
        <w:shd w:val="clear" w:color="auto" w:fill="FFFFFF"/>
        <w:topLinePunct w:val="0"/>
        <w:bidi w:val="0"/>
        <w:spacing w:line="480" w:lineRule="exact"/>
        <w:ind w:firstLine="480"/>
        <w:rPr>
          <w:rFonts w:ascii="宋体" w:hAnsi="宋体" w:eastAsia="宋体" w:cs="仿宋"/>
          <w:bCs/>
          <w:color w:val="auto"/>
          <w:kern w:val="0"/>
          <w:sz w:val="24"/>
        </w:rPr>
      </w:pPr>
      <w:r>
        <w:rPr>
          <w:rFonts w:hint="eastAsia" w:ascii="宋体" w:hAnsi="宋体" w:eastAsia="宋体" w:cs="仿宋"/>
          <w:bCs/>
          <w:color w:val="auto"/>
          <w:kern w:val="0"/>
          <w:sz w:val="24"/>
          <w:lang w:eastAsia="zh-CN"/>
        </w:rPr>
        <w:t>4.</w:t>
      </w:r>
      <w:r>
        <w:rPr>
          <w:rFonts w:hint="eastAsia" w:ascii="宋体" w:hAnsi="宋体" w:eastAsia="宋体" w:cs="仿宋"/>
          <w:bCs/>
          <w:color w:val="auto"/>
          <w:kern w:val="0"/>
          <w:sz w:val="24"/>
        </w:rPr>
        <w:t>作为参加贵公司组织的采购项目的响应单位，本公司承诺：在参加本项目谈判之前不存在被依法禁止经营行为、财产被接管或冻结的情况，如有隐瞒实情，愿承担一切责任及后果。</w:t>
      </w:r>
    </w:p>
    <w:p w14:paraId="0DF42B54">
      <w:pPr>
        <w:shd w:val="clear" w:color="auto" w:fill="FFFFFF"/>
        <w:topLinePunct w:val="0"/>
        <w:bidi w:val="0"/>
        <w:spacing w:line="480" w:lineRule="exact"/>
        <w:ind w:firstLine="480"/>
        <w:rPr>
          <w:rFonts w:ascii="宋体" w:hAnsi="宋体" w:eastAsia="宋体" w:cs="仿宋"/>
          <w:bCs/>
          <w:color w:val="auto"/>
          <w:kern w:val="0"/>
          <w:sz w:val="24"/>
        </w:rPr>
      </w:pPr>
      <w:r>
        <w:rPr>
          <w:rFonts w:hint="eastAsia" w:ascii="宋体" w:hAnsi="宋体" w:eastAsia="宋体" w:cs="仿宋"/>
          <w:bCs/>
          <w:color w:val="auto"/>
          <w:kern w:val="0"/>
          <w:sz w:val="24"/>
          <w:lang w:eastAsia="zh-CN"/>
        </w:rPr>
        <w:t>5.</w:t>
      </w:r>
      <w:r>
        <w:rPr>
          <w:rFonts w:hint="eastAsia" w:ascii="宋体" w:hAnsi="宋体" w:eastAsia="宋体" w:cs="仿宋"/>
          <w:bCs/>
          <w:color w:val="auto"/>
          <w:kern w:val="0"/>
          <w:sz w:val="24"/>
        </w:rPr>
        <w:t>近三年受到有关行政主管部门的行政处理、不良行为记录为</w:t>
      </w:r>
      <w:r>
        <w:rPr>
          <w:rFonts w:hint="eastAsia" w:ascii="宋体" w:hAnsi="宋体" w:eastAsia="宋体" w:cs="仿宋"/>
          <w:bCs/>
          <w:color w:val="auto"/>
          <w:kern w:val="0"/>
          <w:sz w:val="24"/>
          <w:u w:val="single"/>
        </w:rPr>
        <w:t>    </w:t>
      </w:r>
      <w:r>
        <w:rPr>
          <w:rFonts w:hint="eastAsia" w:ascii="宋体" w:hAnsi="宋体" w:eastAsia="宋体" w:cs="仿宋"/>
          <w:bCs/>
          <w:color w:val="auto"/>
          <w:kern w:val="0"/>
          <w:sz w:val="24"/>
        </w:rPr>
        <w:t>次（没有填零），如有隐瞒实情，愿承担一切责任及后果。</w:t>
      </w:r>
    </w:p>
    <w:p w14:paraId="0CFDC500">
      <w:pPr>
        <w:shd w:val="clear" w:color="auto" w:fill="FFFFFF"/>
        <w:topLinePunct w:val="0"/>
        <w:bidi w:val="0"/>
        <w:spacing w:line="480" w:lineRule="exact"/>
        <w:ind w:firstLine="480"/>
        <w:rPr>
          <w:rFonts w:ascii="宋体" w:hAnsi="宋体" w:eastAsia="宋体" w:cs="仿宋"/>
          <w:bCs/>
          <w:color w:val="auto"/>
          <w:kern w:val="0"/>
          <w:sz w:val="24"/>
        </w:rPr>
      </w:pPr>
      <w:r>
        <w:rPr>
          <w:rFonts w:hint="eastAsia" w:ascii="宋体" w:hAnsi="宋体" w:eastAsia="宋体" w:cs="仿宋"/>
          <w:bCs/>
          <w:color w:val="auto"/>
          <w:kern w:val="0"/>
          <w:sz w:val="24"/>
          <w:lang w:eastAsia="zh-CN"/>
        </w:rPr>
        <w:t>6.</w:t>
      </w:r>
      <w:r>
        <w:rPr>
          <w:rFonts w:hint="eastAsia" w:ascii="宋体" w:hAnsi="宋体" w:eastAsia="宋体" w:cs="仿宋"/>
          <w:bCs/>
          <w:color w:val="auto"/>
          <w:kern w:val="0"/>
          <w:sz w:val="24"/>
        </w:rPr>
        <w:t>参加本次谈判提交的所有资质证明文件及业绩证明是真实的、有效的，如有隐瞒实情，愿承担一切责任及后果。</w:t>
      </w:r>
    </w:p>
    <w:p w14:paraId="25660B2B">
      <w:pPr>
        <w:shd w:val="clear" w:color="auto" w:fill="FFFFFF"/>
        <w:topLinePunct w:val="0"/>
        <w:bidi w:val="0"/>
        <w:spacing w:line="480" w:lineRule="exact"/>
        <w:ind w:firstLine="480"/>
        <w:rPr>
          <w:rFonts w:ascii="宋体" w:hAnsi="宋体" w:eastAsia="宋体" w:cs="仿宋"/>
          <w:bCs/>
          <w:color w:val="auto"/>
          <w:kern w:val="0"/>
          <w:sz w:val="24"/>
        </w:rPr>
      </w:pPr>
      <w:r>
        <w:rPr>
          <w:rFonts w:hint="eastAsia" w:ascii="宋体" w:hAnsi="宋体" w:eastAsia="宋体" w:cs="仿宋"/>
          <w:bCs/>
          <w:color w:val="auto"/>
          <w:kern w:val="0"/>
          <w:sz w:val="24"/>
          <w:lang w:eastAsia="zh-CN"/>
        </w:rPr>
        <w:t>7.</w:t>
      </w:r>
      <w:r>
        <w:rPr>
          <w:rFonts w:hint="eastAsia" w:ascii="宋体" w:hAnsi="宋体" w:eastAsia="宋体" w:cs="仿宋"/>
          <w:bCs/>
          <w:color w:val="auto"/>
          <w:kern w:val="0"/>
          <w:sz w:val="24"/>
        </w:rPr>
        <w:t>积极推动政府采购活动健康开展，对采购活动有疑问、异议时，按法律规定的程序实名（加盖单位章和法定代表人签名）反映情况，不恶意中伤、无事生非，以和谐、平等的心态参加政府采购活动。</w:t>
      </w:r>
    </w:p>
    <w:p w14:paraId="1280BFEF">
      <w:pPr>
        <w:shd w:val="clear" w:color="auto" w:fill="FFFFFF"/>
        <w:topLinePunct w:val="0"/>
        <w:bidi w:val="0"/>
        <w:spacing w:line="480" w:lineRule="exact"/>
        <w:ind w:firstLine="480"/>
        <w:rPr>
          <w:rFonts w:ascii="宋体" w:hAnsi="宋体" w:eastAsia="宋体" w:cs="仿宋"/>
          <w:bCs/>
          <w:color w:val="auto"/>
          <w:kern w:val="0"/>
          <w:sz w:val="24"/>
        </w:rPr>
      </w:pPr>
      <w:r>
        <w:rPr>
          <w:rFonts w:hint="eastAsia" w:ascii="宋体" w:hAnsi="宋体" w:eastAsia="宋体" w:cs="仿宋"/>
          <w:bCs/>
          <w:color w:val="auto"/>
          <w:kern w:val="0"/>
          <w:sz w:val="24"/>
          <w:lang w:eastAsia="zh-CN"/>
        </w:rPr>
        <w:t>8.</w:t>
      </w:r>
      <w:r>
        <w:rPr>
          <w:rFonts w:hint="eastAsia" w:ascii="宋体" w:hAnsi="宋体" w:eastAsia="宋体" w:cs="仿宋"/>
          <w:bCs/>
          <w:color w:val="auto"/>
          <w:kern w:val="0"/>
          <w:sz w:val="24"/>
        </w:rPr>
        <w:t>认真履行成交单位应承担的责任和义务，全面执行采购合同规定的各项内容，保质保量地按时提供采购物品。</w:t>
      </w:r>
    </w:p>
    <w:p w14:paraId="694E3F77">
      <w:pPr>
        <w:shd w:val="clear" w:color="auto" w:fill="FFFFFF"/>
        <w:topLinePunct w:val="0"/>
        <w:bidi w:val="0"/>
        <w:spacing w:line="480" w:lineRule="exact"/>
        <w:ind w:firstLine="480"/>
        <w:rPr>
          <w:rFonts w:ascii="宋体" w:hAnsi="宋体" w:eastAsia="宋体" w:cs="仿宋"/>
          <w:bCs/>
          <w:color w:val="auto"/>
          <w:kern w:val="0"/>
          <w:sz w:val="24"/>
        </w:rPr>
      </w:pPr>
      <w:r>
        <w:rPr>
          <w:rFonts w:hint="eastAsia" w:ascii="宋体" w:hAnsi="宋体" w:eastAsia="宋体" w:cs="仿宋"/>
          <w:bCs/>
          <w:color w:val="auto"/>
          <w:kern w:val="0"/>
          <w:sz w:val="24"/>
        </w:rPr>
        <w:t>若本企业（单位）发生有悖于上述承诺的行为，愿意接受《中华人民共和国政府采购法》和《中华人民共和国政府采购法实施条例》中对响应单位的相关处理。</w:t>
      </w:r>
    </w:p>
    <w:p w14:paraId="10565EC0">
      <w:pPr>
        <w:shd w:val="clear" w:color="auto" w:fill="FFFFFF"/>
        <w:topLinePunct w:val="0"/>
        <w:bidi w:val="0"/>
        <w:spacing w:line="480" w:lineRule="exact"/>
        <w:ind w:firstLine="480"/>
        <w:rPr>
          <w:rFonts w:ascii="宋体" w:hAnsi="宋体" w:eastAsia="宋体" w:cs="仿宋"/>
          <w:bCs/>
          <w:color w:val="auto"/>
          <w:kern w:val="0"/>
          <w:sz w:val="24"/>
        </w:rPr>
      </w:pPr>
      <w:r>
        <w:rPr>
          <w:rFonts w:hint="eastAsia" w:ascii="宋体" w:hAnsi="宋体" w:eastAsia="宋体" w:cs="仿宋"/>
          <w:bCs/>
          <w:color w:val="auto"/>
          <w:kern w:val="0"/>
          <w:sz w:val="24"/>
        </w:rPr>
        <w:t>本承诺是采购项目响应文件的组成部分。</w:t>
      </w:r>
    </w:p>
    <w:p w14:paraId="1EA98C18">
      <w:pPr>
        <w:shd w:val="clear" w:color="auto" w:fill="FFFFFF"/>
        <w:topLinePunct w:val="0"/>
        <w:bidi w:val="0"/>
        <w:spacing w:line="480" w:lineRule="exact"/>
        <w:ind w:firstLine="4310" w:firstLineChars="1796"/>
        <w:rPr>
          <w:rFonts w:hint="eastAsia" w:ascii="宋体" w:hAnsi="宋体" w:eastAsia="宋体" w:cs="仿宋"/>
          <w:bCs/>
          <w:color w:val="auto"/>
          <w:kern w:val="0"/>
          <w:sz w:val="24"/>
        </w:rPr>
      </w:pPr>
    </w:p>
    <w:p w14:paraId="59291753">
      <w:pPr>
        <w:shd w:val="clear" w:color="auto" w:fill="FFFFFF"/>
        <w:topLinePunct w:val="0"/>
        <w:bidi w:val="0"/>
        <w:spacing w:line="480" w:lineRule="exact"/>
        <w:ind w:firstLine="4310" w:firstLineChars="1796"/>
        <w:rPr>
          <w:rFonts w:ascii="宋体" w:hAnsi="宋体" w:eastAsia="宋体" w:cs="仿宋"/>
          <w:bCs/>
          <w:color w:val="auto"/>
          <w:kern w:val="0"/>
          <w:sz w:val="24"/>
        </w:rPr>
      </w:pPr>
      <w:r>
        <w:rPr>
          <w:rFonts w:hint="eastAsia" w:ascii="宋体" w:hAnsi="宋体" w:eastAsia="宋体" w:cs="仿宋"/>
          <w:bCs/>
          <w:color w:val="auto"/>
          <w:kern w:val="0"/>
          <w:sz w:val="24"/>
        </w:rPr>
        <w:t>承诺单位：</w:t>
      </w:r>
      <w:r>
        <w:rPr>
          <w:rFonts w:hint="eastAsia" w:ascii="宋体" w:hAnsi="宋体" w:eastAsia="宋体" w:cs="仿宋"/>
          <w:bCs/>
          <w:color w:val="auto"/>
          <w:kern w:val="0"/>
          <w:sz w:val="24"/>
          <w:u w:val="single"/>
        </w:rPr>
        <w:t xml:space="preserve">                    </w:t>
      </w:r>
      <w:r>
        <w:rPr>
          <w:rFonts w:hint="eastAsia" w:ascii="宋体" w:hAnsi="宋体" w:eastAsia="宋体" w:cs="仿宋"/>
          <w:bCs/>
          <w:color w:val="auto"/>
          <w:kern w:val="0"/>
          <w:sz w:val="24"/>
        </w:rPr>
        <w:t>（盖章）</w:t>
      </w:r>
    </w:p>
    <w:p w14:paraId="5F387A85">
      <w:pPr>
        <w:shd w:val="clear" w:color="auto" w:fill="FFFFFF"/>
        <w:topLinePunct w:val="0"/>
        <w:bidi w:val="0"/>
        <w:spacing w:line="480" w:lineRule="exact"/>
        <w:ind w:firstLine="4310" w:firstLineChars="1796"/>
        <w:rPr>
          <w:rFonts w:ascii="宋体" w:hAnsi="宋体" w:eastAsia="宋体" w:cs="仿宋"/>
          <w:bCs/>
          <w:color w:val="auto"/>
          <w:kern w:val="0"/>
          <w:sz w:val="24"/>
        </w:rPr>
      </w:pPr>
      <w:r>
        <w:rPr>
          <w:rFonts w:hint="eastAsia" w:ascii="宋体" w:hAnsi="宋体" w:eastAsia="宋体" w:cs="仿宋"/>
          <w:bCs/>
          <w:color w:val="auto"/>
          <w:kern w:val="0"/>
          <w:sz w:val="24"/>
        </w:rPr>
        <w:t>全权代表：</w:t>
      </w:r>
      <w:r>
        <w:rPr>
          <w:rFonts w:hint="eastAsia" w:ascii="宋体" w:hAnsi="宋体" w:eastAsia="宋体" w:cs="仿宋"/>
          <w:bCs/>
          <w:color w:val="auto"/>
          <w:kern w:val="0"/>
          <w:sz w:val="24"/>
          <w:u w:val="single"/>
        </w:rPr>
        <w:t xml:space="preserve">                    </w:t>
      </w:r>
      <w:r>
        <w:rPr>
          <w:rFonts w:hint="eastAsia" w:ascii="宋体" w:hAnsi="宋体" w:eastAsia="宋体" w:cs="仿宋"/>
          <w:bCs/>
          <w:color w:val="auto"/>
          <w:kern w:val="0"/>
          <w:sz w:val="24"/>
        </w:rPr>
        <w:t>（签字）</w:t>
      </w:r>
    </w:p>
    <w:p w14:paraId="4721F15E">
      <w:pPr>
        <w:shd w:val="clear" w:color="auto" w:fill="FFFFFF"/>
        <w:topLinePunct w:val="0"/>
        <w:bidi w:val="0"/>
        <w:spacing w:line="480" w:lineRule="exact"/>
        <w:ind w:firstLine="4310" w:firstLineChars="1796"/>
        <w:rPr>
          <w:rFonts w:ascii="宋体" w:hAnsi="宋体" w:eastAsia="宋体" w:cs="仿宋"/>
          <w:bCs/>
          <w:color w:val="auto"/>
          <w:sz w:val="24"/>
        </w:rPr>
      </w:pPr>
      <w:r>
        <w:rPr>
          <w:rFonts w:hint="eastAsia" w:ascii="宋体" w:hAnsi="宋体" w:eastAsia="宋体" w:cs="仿宋"/>
          <w:bCs/>
          <w:color w:val="auto"/>
          <w:kern w:val="0"/>
          <w:sz w:val="24"/>
        </w:rPr>
        <w:t>日    期：</w:t>
      </w:r>
      <w:r>
        <w:rPr>
          <w:rFonts w:hint="eastAsia" w:ascii="宋体" w:hAnsi="宋体" w:eastAsia="宋体" w:cs="仿宋"/>
          <w:bCs/>
          <w:color w:val="auto"/>
          <w:kern w:val="0"/>
          <w:sz w:val="24"/>
          <w:u w:val="single"/>
        </w:rPr>
        <w:t xml:space="preserve">      </w:t>
      </w:r>
      <w:r>
        <w:rPr>
          <w:rFonts w:hint="eastAsia" w:ascii="宋体" w:hAnsi="宋体" w:eastAsia="宋体" w:cs="仿宋"/>
          <w:bCs/>
          <w:color w:val="auto"/>
          <w:kern w:val="0"/>
          <w:sz w:val="24"/>
        </w:rPr>
        <w:t>年</w:t>
      </w:r>
      <w:r>
        <w:rPr>
          <w:rFonts w:hint="eastAsia" w:ascii="宋体" w:hAnsi="宋体" w:eastAsia="宋体" w:cs="仿宋"/>
          <w:bCs/>
          <w:color w:val="auto"/>
          <w:kern w:val="0"/>
          <w:sz w:val="24"/>
          <w:u w:val="single"/>
        </w:rPr>
        <w:t xml:space="preserve">     </w:t>
      </w:r>
      <w:r>
        <w:rPr>
          <w:rFonts w:hint="eastAsia" w:ascii="宋体" w:hAnsi="宋体" w:eastAsia="宋体" w:cs="仿宋"/>
          <w:bCs/>
          <w:color w:val="auto"/>
          <w:kern w:val="0"/>
          <w:sz w:val="24"/>
        </w:rPr>
        <w:t>月</w:t>
      </w:r>
      <w:r>
        <w:rPr>
          <w:rFonts w:hint="eastAsia" w:ascii="宋体" w:hAnsi="宋体" w:eastAsia="宋体" w:cs="仿宋"/>
          <w:bCs/>
          <w:color w:val="auto"/>
          <w:szCs w:val="32"/>
          <w:u w:val="single"/>
        </w:rPr>
        <w:t xml:space="preserve">    </w:t>
      </w:r>
      <w:r>
        <w:rPr>
          <w:rFonts w:hint="eastAsia" w:ascii="宋体" w:hAnsi="宋体" w:eastAsia="宋体" w:cs="仿宋"/>
          <w:bCs/>
          <w:color w:val="auto"/>
          <w:sz w:val="24"/>
        </w:rPr>
        <w:t>日</w:t>
      </w:r>
    </w:p>
    <w:p w14:paraId="762FE5BE">
      <w:pPr>
        <w:spacing w:line="240" w:lineRule="auto"/>
        <w:jc w:val="left"/>
        <w:rPr>
          <w:rFonts w:ascii="宋体" w:hAnsi="宋体" w:eastAsia="宋体" w:cs="宋体"/>
          <w:b/>
          <w:bCs/>
          <w:color w:val="auto"/>
        </w:rPr>
        <w:sectPr>
          <w:pgSz w:w="11905" w:h="16838"/>
          <w:pgMar w:top="1247" w:right="1134" w:bottom="1247" w:left="1134" w:header="964" w:footer="964" w:gutter="0"/>
          <w:pgNumType w:fmt="decimal"/>
          <w:cols w:space="0" w:num="1"/>
          <w:rtlGutter w:val="0"/>
          <w:docGrid w:type="lines" w:linePitch="398" w:charSpace="0"/>
        </w:sectPr>
      </w:pPr>
      <w:bookmarkStart w:id="523" w:name="_Toc536429396"/>
      <w:bookmarkStart w:id="524" w:name="_Toc536202403"/>
      <w:bookmarkStart w:id="525" w:name="_Toc536429343"/>
      <w:bookmarkStart w:id="526" w:name="_Toc25514"/>
      <w:bookmarkStart w:id="527" w:name="_Toc536202334"/>
      <w:bookmarkStart w:id="528" w:name="_GoBack"/>
      <w:bookmarkEnd w:id="528"/>
    </w:p>
    <w:p w14:paraId="78351FA6">
      <w:pPr>
        <w:spacing w:line="240" w:lineRule="auto"/>
        <w:jc w:val="left"/>
        <w:rPr>
          <w:rFonts w:ascii="宋体" w:hAnsi="宋体" w:eastAsia="宋体" w:cs="宋体"/>
          <w:b/>
          <w:bCs/>
          <w:color w:val="auto"/>
        </w:rPr>
      </w:pPr>
    </w:p>
    <w:p w14:paraId="058B30C5">
      <w:pPr>
        <w:spacing w:line="240" w:lineRule="auto"/>
        <w:jc w:val="left"/>
        <w:rPr>
          <w:rFonts w:ascii="宋体" w:hAnsi="宋体" w:eastAsia="宋体" w:cs="宋体"/>
          <w:b/>
          <w:bCs/>
          <w:color w:val="auto"/>
        </w:rPr>
      </w:pPr>
    </w:p>
    <w:p w14:paraId="520001C9">
      <w:pPr>
        <w:spacing w:line="240" w:lineRule="auto"/>
        <w:jc w:val="left"/>
        <w:rPr>
          <w:rFonts w:ascii="宋体" w:hAnsi="宋体" w:eastAsia="宋体" w:cs="宋体"/>
          <w:b/>
          <w:bCs/>
          <w:color w:val="auto"/>
        </w:rPr>
      </w:pPr>
    </w:p>
    <w:p w14:paraId="750FC604">
      <w:pPr>
        <w:spacing w:line="240" w:lineRule="auto"/>
        <w:jc w:val="left"/>
        <w:rPr>
          <w:rFonts w:ascii="宋体" w:hAnsi="宋体" w:eastAsia="宋体" w:cs="宋体"/>
          <w:b/>
          <w:bCs/>
          <w:color w:val="auto"/>
        </w:rPr>
      </w:pPr>
    </w:p>
    <w:p w14:paraId="6C0A148B">
      <w:pPr>
        <w:spacing w:line="240" w:lineRule="auto"/>
        <w:jc w:val="left"/>
        <w:rPr>
          <w:rFonts w:ascii="宋体" w:hAnsi="宋体" w:eastAsia="宋体" w:cs="宋体"/>
          <w:b/>
          <w:bCs/>
          <w:color w:val="auto"/>
        </w:rPr>
      </w:pPr>
    </w:p>
    <w:p w14:paraId="6E992A3C">
      <w:pPr>
        <w:spacing w:line="240" w:lineRule="auto"/>
        <w:jc w:val="left"/>
        <w:rPr>
          <w:rFonts w:ascii="宋体" w:hAnsi="宋体" w:eastAsia="宋体" w:cs="宋体"/>
          <w:b/>
          <w:bCs/>
          <w:color w:val="auto"/>
        </w:rPr>
      </w:pPr>
    </w:p>
    <w:p w14:paraId="341275F2">
      <w:pPr>
        <w:spacing w:line="240" w:lineRule="auto"/>
        <w:jc w:val="left"/>
        <w:rPr>
          <w:rFonts w:ascii="宋体" w:hAnsi="宋体" w:eastAsia="宋体" w:cs="宋体"/>
          <w:b/>
          <w:bCs/>
          <w:color w:val="auto"/>
        </w:rPr>
      </w:pPr>
    </w:p>
    <w:p w14:paraId="5F8FD060">
      <w:pPr>
        <w:spacing w:line="240" w:lineRule="auto"/>
        <w:jc w:val="left"/>
        <w:rPr>
          <w:rFonts w:ascii="宋体" w:hAnsi="宋体" w:eastAsia="宋体" w:cs="宋体"/>
          <w:b/>
          <w:bCs/>
          <w:color w:val="auto"/>
        </w:rPr>
      </w:pPr>
    </w:p>
    <w:p w14:paraId="099332C1">
      <w:pPr>
        <w:spacing w:line="240" w:lineRule="auto"/>
        <w:jc w:val="left"/>
        <w:rPr>
          <w:rFonts w:ascii="宋体" w:hAnsi="宋体" w:eastAsia="宋体" w:cs="宋体"/>
          <w:b/>
          <w:bCs/>
          <w:color w:val="auto"/>
        </w:rPr>
      </w:pPr>
    </w:p>
    <w:p w14:paraId="00682C56">
      <w:pPr>
        <w:spacing w:line="240" w:lineRule="auto"/>
        <w:jc w:val="left"/>
        <w:rPr>
          <w:rFonts w:ascii="宋体" w:hAnsi="宋体" w:eastAsia="宋体" w:cs="宋体"/>
          <w:b/>
          <w:bCs/>
          <w:color w:val="auto"/>
        </w:rPr>
      </w:pPr>
    </w:p>
    <w:p w14:paraId="4DE16C4B">
      <w:pPr>
        <w:spacing w:line="240" w:lineRule="auto"/>
        <w:jc w:val="left"/>
        <w:rPr>
          <w:rFonts w:ascii="宋体" w:hAnsi="宋体" w:eastAsia="宋体" w:cs="宋体"/>
          <w:b/>
          <w:bCs/>
          <w:color w:val="auto"/>
        </w:rPr>
      </w:pPr>
    </w:p>
    <w:p w14:paraId="17EC8F85">
      <w:pPr>
        <w:spacing w:line="240" w:lineRule="auto"/>
        <w:jc w:val="left"/>
        <w:rPr>
          <w:rFonts w:ascii="宋体" w:hAnsi="宋体" w:eastAsia="宋体" w:cs="宋体"/>
          <w:b/>
          <w:bCs/>
          <w:color w:val="auto"/>
        </w:rPr>
      </w:pPr>
    </w:p>
    <w:p w14:paraId="311950EE">
      <w:pPr>
        <w:spacing w:line="240" w:lineRule="auto"/>
        <w:jc w:val="left"/>
        <w:rPr>
          <w:rFonts w:ascii="宋体" w:hAnsi="宋体" w:eastAsia="宋体" w:cs="宋体"/>
          <w:b/>
          <w:bCs/>
          <w:color w:val="auto"/>
        </w:rPr>
      </w:pPr>
    </w:p>
    <w:p w14:paraId="17CBC3D8">
      <w:pPr>
        <w:spacing w:line="240" w:lineRule="auto"/>
        <w:jc w:val="left"/>
        <w:rPr>
          <w:rFonts w:ascii="宋体" w:hAnsi="宋体" w:eastAsia="宋体" w:cs="宋体"/>
          <w:b/>
          <w:bCs/>
          <w:color w:val="auto"/>
        </w:rPr>
      </w:pPr>
    </w:p>
    <w:p w14:paraId="32503895">
      <w:pPr>
        <w:spacing w:line="240" w:lineRule="auto"/>
        <w:jc w:val="left"/>
        <w:rPr>
          <w:rFonts w:ascii="宋体" w:hAnsi="宋体" w:eastAsia="宋体" w:cs="宋体"/>
          <w:b/>
          <w:bCs/>
          <w:color w:val="auto"/>
        </w:rPr>
      </w:pPr>
    </w:p>
    <w:p w14:paraId="59AE6F73">
      <w:pPr>
        <w:spacing w:line="240" w:lineRule="auto"/>
        <w:jc w:val="left"/>
        <w:rPr>
          <w:rFonts w:ascii="宋体" w:hAnsi="宋体" w:eastAsia="宋体" w:cs="宋体"/>
          <w:b/>
          <w:bCs/>
          <w:color w:val="auto"/>
        </w:rPr>
      </w:pPr>
    </w:p>
    <w:p w14:paraId="4263C6AE">
      <w:pPr>
        <w:spacing w:line="240" w:lineRule="auto"/>
        <w:jc w:val="left"/>
        <w:rPr>
          <w:rFonts w:ascii="宋体" w:hAnsi="宋体" w:eastAsia="宋体" w:cs="宋体"/>
          <w:b/>
          <w:bCs/>
          <w:color w:val="auto"/>
        </w:rPr>
      </w:pPr>
    </w:p>
    <w:p w14:paraId="72C2C019">
      <w:pPr>
        <w:spacing w:line="240" w:lineRule="auto"/>
        <w:jc w:val="left"/>
        <w:rPr>
          <w:rFonts w:ascii="宋体" w:hAnsi="宋体" w:eastAsia="宋体" w:cs="宋体"/>
          <w:b/>
          <w:bCs/>
          <w:color w:val="auto"/>
        </w:rPr>
      </w:pPr>
    </w:p>
    <w:p w14:paraId="47893DBA">
      <w:pPr>
        <w:spacing w:line="240" w:lineRule="auto"/>
        <w:jc w:val="left"/>
        <w:rPr>
          <w:rFonts w:ascii="宋体" w:hAnsi="宋体" w:eastAsia="宋体" w:cs="宋体"/>
          <w:b/>
          <w:bCs/>
          <w:color w:val="auto"/>
        </w:rPr>
      </w:pPr>
    </w:p>
    <w:p w14:paraId="2CC6BEA9">
      <w:pPr>
        <w:spacing w:line="240" w:lineRule="auto"/>
        <w:jc w:val="left"/>
        <w:rPr>
          <w:rFonts w:ascii="宋体" w:hAnsi="宋体" w:eastAsia="宋体" w:cs="宋体"/>
          <w:b/>
          <w:bCs/>
          <w:color w:val="auto"/>
        </w:rPr>
      </w:pPr>
    </w:p>
    <w:p w14:paraId="7646D7A8">
      <w:pPr>
        <w:spacing w:line="240" w:lineRule="auto"/>
        <w:jc w:val="left"/>
        <w:rPr>
          <w:rFonts w:ascii="宋体" w:hAnsi="宋体" w:eastAsia="宋体" w:cs="宋体"/>
          <w:b/>
          <w:bCs/>
          <w:color w:val="auto"/>
        </w:rPr>
      </w:pPr>
    </w:p>
    <w:p w14:paraId="3390BCF3">
      <w:pPr>
        <w:spacing w:line="240" w:lineRule="auto"/>
        <w:jc w:val="left"/>
        <w:rPr>
          <w:rFonts w:ascii="宋体" w:hAnsi="宋体" w:eastAsia="宋体" w:cs="宋体"/>
          <w:b/>
          <w:bCs/>
          <w:color w:val="auto"/>
        </w:rPr>
      </w:pPr>
    </w:p>
    <w:p w14:paraId="7BD5AC2D">
      <w:pPr>
        <w:spacing w:line="240" w:lineRule="auto"/>
        <w:jc w:val="left"/>
        <w:rPr>
          <w:rFonts w:ascii="宋体" w:hAnsi="宋体" w:eastAsia="宋体" w:cs="宋体"/>
          <w:b/>
          <w:bCs/>
          <w:color w:val="auto"/>
        </w:rPr>
      </w:pPr>
    </w:p>
    <w:p w14:paraId="701E8276">
      <w:pPr>
        <w:spacing w:line="240" w:lineRule="auto"/>
        <w:jc w:val="left"/>
        <w:rPr>
          <w:rFonts w:ascii="宋体" w:hAnsi="宋体" w:eastAsia="宋体" w:cs="宋体"/>
          <w:b/>
          <w:bCs/>
          <w:color w:val="auto"/>
        </w:rPr>
      </w:pPr>
    </w:p>
    <w:bookmarkEnd w:id="523"/>
    <w:bookmarkEnd w:id="524"/>
    <w:bookmarkEnd w:id="525"/>
    <w:bookmarkEnd w:id="526"/>
    <w:bookmarkEnd w:id="527"/>
    <w:p w14:paraId="5234E970">
      <w:pPr>
        <w:rPr>
          <w:color w:val="auto"/>
        </w:rPr>
      </w:pPr>
    </w:p>
    <w:p w14:paraId="439DC977">
      <w:pPr>
        <w:spacing w:line="440" w:lineRule="exact"/>
        <w:jc w:val="both"/>
        <w:rPr>
          <w:rFonts w:hint="eastAsia" w:ascii="宋体" w:hAnsi="宋体" w:eastAsia="宋体" w:cs="宋体"/>
          <w:color w:val="auto"/>
          <w:sz w:val="32"/>
          <w:szCs w:val="32"/>
        </w:rPr>
      </w:pPr>
      <w:r>
        <w:rPr>
          <w:rFonts w:hint="eastAsia"/>
          <w:color w:val="auto"/>
        </w:rPr>
        <w:drawing>
          <wp:anchor distT="0" distB="0" distL="114300" distR="114300" simplePos="0" relativeHeight="251665408" behindDoc="0" locked="0" layoutInCell="1" allowOverlap="1">
            <wp:simplePos x="0" y="0"/>
            <wp:positionH relativeFrom="column">
              <wp:posOffset>2533015</wp:posOffset>
            </wp:positionH>
            <wp:positionV relativeFrom="paragraph">
              <wp:posOffset>13335</wp:posOffset>
            </wp:positionV>
            <wp:extent cx="353060" cy="255905"/>
            <wp:effectExtent l="0" t="0" r="8890" b="10795"/>
            <wp:wrapNone/>
            <wp:docPr id="15" name="图片 15"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_尚昊 标"/>
                    <pic:cNvPicPr>
                      <a:picLocks noChangeAspect="1"/>
                    </pic:cNvPicPr>
                  </pic:nvPicPr>
                  <pic:blipFill>
                    <a:blip r:embed="rId22"/>
                    <a:stretch>
                      <a:fillRect/>
                    </a:stretch>
                  </pic:blipFill>
                  <pic:spPr>
                    <a:xfrm>
                      <a:off x="0" y="0"/>
                      <a:ext cx="353060" cy="255905"/>
                    </a:xfrm>
                    <a:prstGeom prst="rect">
                      <a:avLst/>
                    </a:prstGeom>
                  </pic:spPr>
                </pic:pic>
              </a:graphicData>
            </a:graphic>
          </wp:anchor>
        </w:drawing>
      </w:r>
      <w:r>
        <w:rPr>
          <w:rFonts w:hint="eastAsia" w:ascii="宋体" w:hAnsi="宋体" w:eastAsia="宋体" w:cs="宋体"/>
          <w:color w:val="auto"/>
          <w:sz w:val="32"/>
          <w:szCs w:val="32"/>
        </w:rPr>
        <w:t>安康尚昊招标代理有限公司</w:t>
      </w:r>
    </w:p>
    <w:p w14:paraId="28851966">
      <w:pPr>
        <w:spacing w:line="44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13" name="直接连接符 13"/>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pt;height:0pt;width:423pt;z-index:251664384;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cKp9jTAAAABgEAAA8AAAAAAAAAAQAgAAAAIgAAAGRycy9kb3ducmV2LnhtbFBLAQIUABQA&#10;AAAIAIdO4kDV0PR09QEAAOcDAAAOAAAAAAAAAAEAIAAAACIBAABkcnMvZTJvRG9jLnhtbFBLBQYA&#10;AAAABgAGAFkBAACJBQAAAAA=&#10;">
                <v:fill on="f" focussize="0,0"/>
                <v:stroke weight="1.5pt" color="#000000" joinstyle="round"/>
                <v:imagedata o:title=""/>
                <o:lock v:ext="edit" aspectratio="f"/>
              </v:line>
            </w:pict>
          </mc:Fallback>
        </mc:AlternateContent>
      </w:r>
    </w:p>
    <w:p w14:paraId="13A2F262">
      <w:pPr>
        <w:autoSpaceDE w:val="0"/>
        <w:autoSpaceDN w:val="0"/>
        <w:spacing w:line="440" w:lineRule="exact"/>
        <w:ind w:firstLine="131" w:firstLineChars="50"/>
        <w:rPr>
          <w:rFonts w:hint="eastAsia" w:ascii="宋体" w:hAnsi="宋体" w:eastAsia="宋体" w:cs="宋体"/>
          <w:color w:val="auto"/>
          <w:sz w:val="28"/>
          <w:szCs w:val="28"/>
          <w:lang w:eastAsia="zh-CN"/>
        </w:rPr>
      </w:pPr>
      <w:r>
        <w:rPr>
          <w:rFonts w:hint="eastAsia" w:ascii="宋体" w:hAnsi="宋体" w:eastAsia="宋体" w:cs="宋体"/>
          <w:color w:val="auto"/>
          <w:spacing w:val="1"/>
          <w:w w:val="93"/>
          <w:kern w:val="0"/>
          <w:sz w:val="28"/>
          <w:szCs w:val="28"/>
          <w:fitText w:val="1050" w:id="1031166653"/>
        </w:rPr>
        <w:t xml:space="preserve">地    </w:t>
      </w:r>
      <w:r>
        <w:rPr>
          <w:rFonts w:hint="eastAsia" w:ascii="宋体" w:hAnsi="宋体" w:eastAsia="宋体" w:cs="宋体"/>
          <w:color w:val="auto"/>
          <w:spacing w:val="0"/>
          <w:w w:val="93"/>
          <w:kern w:val="0"/>
          <w:sz w:val="28"/>
          <w:szCs w:val="28"/>
          <w:fitText w:val="1050" w:id="1031166653"/>
        </w:rPr>
        <w:t>址</w:t>
      </w:r>
      <w:r>
        <w:rPr>
          <w:rFonts w:hint="eastAsia" w:ascii="宋体" w:hAnsi="宋体" w:eastAsia="宋体" w:cs="宋体"/>
          <w:color w:val="auto"/>
          <w:spacing w:val="-6"/>
          <w:sz w:val="28"/>
          <w:szCs w:val="28"/>
        </w:rPr>
        <w:t>：</w:t>
      </w:r>
      <w:r>
        <w:rPr>
          <w:rFonts w:hint="eastAsia" w:ascii="宋体" w:hAnsi="宋体" w:eastAsia="宋体" w:cs="宋体"/>
          <w:color w:val="auto"/>
          <w:spacing w:val="-6"/>
          <w:sz w:val="28"/>
          <w:szCs w:val="28"/>
          <w:lang w:eastAsia="zh-CN"/>
        </w:rPr>
        <w:t>安康市高新区高新观澜8栋二单元801室</w:t>
      </w:r>
    </w:p>
    <w:p w14:paraId="7E02F813">
      <w:pPr>
        <w:autoSpaceDE w:val="0"/>
        <w:autoSpaceDN w:val="0"/>
        <w:spacing w:line="440" w:lineRule="exact"/>
        <w:ind w:firstLine="131" w:firstLineChars="50"/>
        <w:rPr>
          <w:rFonts w:hint="eastAsia" w:ascii="宋体" w:hAnsi="宋体" w:eastAsia="宋体" w:cs="宋体"/>
          <w:color w:val="auto"/>
          <w:sz w:val="28"/>
          <w:szCs w:val="28"/>
        </w:rPr>
      </w:pPr>
      <w:r>
        <w:rPr>
          <w:rFonts w:hint="eastAsia" w:ascii="宋体" w:hAnsi="宋体" w:eastAsia="宋体" w:cs="宋体"/>
          <w:color w:val="auto"/>
          <w:spacing w:val="1"/>
          <w:w w:val="93"/>
          <w:kern w:val="0"/>
          <w:sz w:val="28"/>
          <w:szCs w:val="28"/>
          <w:fitText w:val="1050" w:id="872365309"/>
        </w:rPr>
        <w:t xml:space="preserve">邮    </w:t>
      </w:r>
      <w:r>
        <w:rPr>
          <w:rFonts w:hint="eastAsia" w:ascii="宋体" w:hAnsi="宋体" w:eastAsia="宋体" w:cs="宋体"/>
          <w:color w:val="auto"/>
          <w:spacing w:val="0"/>
          <w:w w:val="93"/>
          <w:kern w:val="0"/>
          <w:sz w:val="28"/>
          <w:szCs w:val="28"/>
          <w:fitText w:val="1050" w:id="872365309"/>
        </w:rPr>
        <w:t>编</w:t>
      </w:r>
      <w:r>
        <w:rPr>
          <w:rFonts w:hint="eastAsia" w:ascii="宋体" w:hAnsi="宋体" w:eastAsia="宋体" w:cs="宋体"/>
          <w:color w:val="auto"/>
          <w:sz w:val="28"/>
          <w:szCs w:val="28"/>
        </w:rPr>
        <w:t>：725000</w:t>
      </w:r>
    </w:p>
    <w:p w14:paraId="6B0CE649">
      <w:pPr>
        <w:autoSpaceDE w:val="0"/>
        <w:autoSpaceDN w:val="0"/>
        <w:spacing w:line="440" w:lineRule="exact"/>
        <w:ind w:firstLine="131" w:firstLineChars="50"/>
        <w:rPr>
          <w:rFonts w:hint="eastAsia" w:ascii="宋体" w:hAnsi="宋体" w:eastAsia="宋体" w:cs="宋体"/>
          <w:color w:val="auto"/>
          <w:sz w:val="28"/>
          <w:szCs w:val="28"/>
          <w:lang w:val="en-US" w:eastAsia="zh-CN"/>
        </w:rPr>
      </w:pPr>
      <w:r>
        <w:rPr>
          <w:rFonts w:hint="eastAsia" w:ascii="宋体" w:hAnsi="宋体" w:eastAsia="宋体" w:cs="宋体"/>
          <w:color w:val="auto"/>
          <w:spacing w:val="1"/>
          <w:w w:val="93"/>
          <w:kern w:val="0"/>
          <w:sz w:val="28"/>
          <w:szCs w:val="28"/>
          <w:fitText w:val="1050" w:id="1381066792"/>
        </w:rPr>
        <w:t xml:space="preserve">电    </w:t>
      </w:r>
      <w:r>
        <w:rPr>
          <w:rFonts w:hint="eastAsia" w:ascii="宋体" w:hAnsi="宋体" w:eastAsia="宋体" w:cs="宋体"/>
          <w:color w:val="auto"/>
          <w:spacing w:val="0"/>
          <w:w w:val="93"/>
          <w:kern w:val="0"/>
          <w:sz w:val="28"/>
          <w:szCs w:val="28"/>
          <w:fitText w:val="1050" w:id="1381066792"/>
        </w:rPr>
        <w:t>话</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13991519725</w:t>
      </w:r>
    </w:p>
    <w:p w14:paraId="61861F3A">
      <w:pPr>
        <w:autoSpaceDE w:val="0"/>
        <w:autoSpaceDN w:val="0"/>
        <w:spacing w:line="440" w:lineRule="exact"/>
        <w:ind w:firstLine="131" w:firstLineChars="50"/>
        <w:rPr>
          <w:rFonts w:hint="eastAsia" w:ascii="宋体" w:hAnsi="宋体" w:eastAsia="宋体" w:cs="宋体"/>
          <w:color w:val="auto"/>
          <w:sz w:val="28"/>
          <w:szCs w:val="28"/>
        </w:rPr>
      </w:pPr>
      <w:r>
        <w:rPr>
          <w:rFonts w:hint="eastAsia" w:ascii="宋体" w:hAnsi="宋体" w:eastAsia="宋体" w:cs="宋体"/>
          <w:color w:val="auto"/>
          <w:spacing w:val="1"/>
          <w:w w:val="93"/>
          <w:kern w:val="0"/>
          <w:sz w:val="28"/>
          <w:szCs w:val="28"/>
          <w:fitText w:val="1050" w:id="660621658"/>
          <w:lang w:eastAsia="zh-CN"/>
        </w:rPr>
        <w:t>公司名称</w:t>
      </w:r>
      <w:r>
        <w:rPr>
          <w:rFonts w:hint="eastAsia" w:ascii="宋体" w:hAnsi="宋体" w:eastAsia="宋体" w:cs="宋体"/>
          <w:color w:val="auto"/>
          <w:sz w:val="28"/>
          <w:szCs w:val="28"/>
        </w:rPr>
        <w:t>：安康尚昊招标代理有限公司</w:t>
      </w:r>
    </w:p>
    <w:p w14:paraId="67828402">
      <w:pPr>
        <w:autoSpaceDE w:val="0"/>
        <w:autoSpaceDN w:val="0"/>
        <w:spacing w:line="440" w:lineRule="exact"/>
        <w:ind w:firstLine="131" w:firstLineChars="50"/>
        <w:rPr>
          <w:rFonts w:hint="eastAsia" w:ascii="宋体" w:hAnsi="宋体" w:eastAsia="宋体" w:cs="宋体"/>
          <w:color w:val="auto"/>
          <w:sz w:val="28"/>
          <w:szCs w:val="28"/>
        </w:rPr>
      </w:pPr>
      <w:r>
        <w:rPr>
          <w:rFonts w:hint="eastAsia" w:ascii="宋体" w:hAnsi="宋体" w:eastAsia="宋体" w:cs="宋体"/>
          <w:color w:val="auto"/>
          <w:spacing w:val="1"/>
          <w:w w:val="93"/>
          <w:kern w:val="0"/>
          <w:sz w:val="28"/>
          <w:szCs w:val="28"/>
          <w:fitText w:val="1050" w:id="1659459805"/>
        </w:rPr>
        <w:t>开户银行</w:t>
      </w:r>
      <w:r>
        <w:rPr>
          <w:rFonts w:hint="eastAsia" w:ascii="宋体" w:hAnsi="宋体" w:eastAsia="宋体" w:cs="宋体"/>
          <w:color w:val="auto"/>
          <w:sz w:val="28"/>
          <w:szCs w:val="28"/>
        </w:rPr>
        <w:t>：中国建设银行股份有限公司安康分行营业部</w:t>
      </w:r>
    </w:p>
    <w:p w14:paraId="64149FE7">
      <w:pPr>
        <w:autoSpaceDE w:val="0"/>
        <w:autoSpaceDN w:val="0"/>
        <w:spacing w:line="440" w:lineRule="exact"/>
        <w:ind w:firstLine="131" w:firstLineChars="50"/>
        <w:rPr>
          <w:rFonts w:hint="eastAsia"/>
          <w:color w:val="auto"/>
          <w:lang w:val="en-US" w:eastAsia="zh-CN"/>
        </w:rPr>
      </w:pPr>
      <w:r>
        <w:rPr>
          <w:rFonts w:hint="eastAsia" w:ascii="宋体" w:hAnsi="宋体" w:eastAsia="宋体" w:cs="宋体"/>
          <w:color w:val="auto"/>
          <w:spacing w:val="1"/>
          <w:w w:val="93"/>
          <w:kern w:val="0"/>
          <w:sz w:val="28"/>
          <w:szCs w:val="28"/>
          <w:fitText w:val="1050" w:id="1164780970"/>
        </w:rPr>
        <w:t xml:space="preserve">账    </w:t>
      </w:r>
      <w:r>
        <w:rPr>
          <w:rFonts w:hint="eastAsia" w:ascii="宋体" w:hAnsi="宋体" w:eastAsia="宋体" w:cs="宋体"/>
          <w:color w:val="auto"/>
          <w:spacing w:val="0"/>
          <w:w w:val="93"/>
          <w:kern w:val="0"/>
          <w:sz w:val="28"/>
          <w:szCs w:val="28"/>
          <w:fitText w:val="1050" w:id="1164780970"/>
        </w:rPr>
        <w:t>号</w:t>
      </w:r>
      <w:r>
        <w:rPr>
          <w:rFonts w:hint="eastAsia" w:ascii="宋体" w:hAnsi="宋体" w:eastAsia="宋体" w:cs="宋体"/>
          <w:color w:val="auto"/>
          <w:sz w:val="28"/>
          <w:szCs w:val="28"/>
        </w:rPr>
        <w:t>：</w:t>
      </w:r>
      <w:r>
        <w:rPr>
          <w:rFonts w:hint="eastAsia" w:ascii="宋体" w:hAnsi="宋体" w:eastAsia="宋体" w:cs="宋体"/>
          <w:color w:val="auto"/>
          <w:sz w:val="28"/>
          <w:szCs w:val="32"/>
        </w:rPr>
        <w:t>6105016637110000049</w:t>
      </w:r>
      <w:r>
        <w:rPr>
          <w:rFonts w:hint="eastAsia" w:ascii="宋体" w:hAnsi="宋体" w:eastAsia="宋体" w:cs="宋体"/>
          <w:color w:val="auto"/>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480060</wp:posOffset>
                </wp:positionV>
                <wp:extent cx="5372100" cy="0"/>
                <wp:effectExtent l="0" t="9525" r="0" b="9525"/>
                <wp:wrapNone/>
                <wp:docPr id="14" name="直接连接符 14"/>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7.8pt;height:0pt;width:423pt;z-index:251663360;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i+1gLTAAAABgEAAA8AAAAAAAAAAQAgAAAAIgAAAGRycy9kb3ducmV2LnhtbFBLAQIUABQA&#10;AAAIAIdO4kCYjm9p9QEAAOcDAAAOAAAAAAAAAAEAIAAAACIBAABkcnMvZTJvRG9jLnhtbFBLBQYA&#10;AAAABgAGAFkBAACJBQAAAAA=&#10;">
                <v:fill on="f" focussize="0,0"/>
                <v:stroke weight="1.5pt" color="#000000" joinstyle="round"/>
                <v:imagedata o:title=""/>
                <o:lock v:ext="edit" aspectratio="f"/>
              </v:line>
            </w:pict>
          </mc:Fallback>
        </mc:AlternateContent>
      </w:r>
    </w:p>
    <w:sectPr>
      <w:footerReference r:id="rId20" w:type="default"/>
      <w:pgSz w:w="11905" w:h="16838"/>
      <w:pgMar w:top="1247" w:right="1134" w:bottom="1247" w:left="1134" w:header="964" w:footer="964" w:gutter="0"/>
      <w:pgNumType w:fmt="decimal"/>
      <w:cols w:space="0" w:num="1"/>
      <w:rtlGutter w:val="0"/>
      <w:docGrid w:type="lines" w:linePitch="39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6888F">
    <w:pPr>
      <w:pStyle w:val="23"/>
      <w:tabs>
        <w:tab w:val="left" w:pos="2431"/>
        <w:tab w:val="center" w:pos="4253"/>
        <w:tab w:val="left" w:pos="5055"/>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466F6">
    <w:pPr>
      <w:pStyle w:val="23"/>
      <w:tabs>
        <w:tab w:val="left" w:pos="5567"/>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posOffset>2289175</wp:posOffset>
              </wp:positionH>
              <wp:positionV relativeFrom="paragraph">
                <wp:posOffset>0</wp:posOffset>
              </wp:positionV>
              <wp:extent cx="962025"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9620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789DA0">
                          <w:pPr>
                            <w:pStyle w:val="23"/>
                            <w:rPr>
                              <w:rFonts w:hint="eastAsia" w:ascii="宋体" w:hAnsi="宋体" w:eastAsia="宋体" w:cs="宋体"/>
                              <w:lang w:eastAsia="zh-CN"/>
                            </w:rPr>
                          </w:pPr>
                          <w:r>
                            <w:rPr>
                              <w:rFonts w:hint="eastAsia" w:ascii="宋体" w:hAnsi="宋体" w:eastAsia="宋体" w:cs="宋体"/>
                              <w:lang w:eastAsia="zh-CN"/>
                            </w:rPr>
                            <w:t xml:space="preserve">第 </w:t>
                          </w: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1</w:t>
                          </w:r>
                          <w:r>
                            <w:rPr>
                              <w:rFonts w:hint="eastAsia" w:ascii="宋体" w:hAnsi="宋体" w:eastAsia="宋体" w:cs="宋体"/>
                              <w:lang w:eastAsia="zh-CN"/>
                            </w:rPr>
                            <w:fldChar w:fldCharType="end"/>
                          </w:r>
                          <w:r>
                            <w:rPr>
                              <w:rFonts w:hint="eastAsia" w:ascii="宋体" w:hAnsi="宋体" w:eastAsia="宋体" w:cs="宋体"/>
                              <w:lang w:eastAsia="zh-CN"/>
                            </w:rPr>
                            <w:t xml:space="preserve"> 页 共 </w:t>
                          </w:r>
                          <w:r>
                            <w:rPr>
                              <w:rFonts w:hint="eastAsia" w:ascii="宋体" w:hAnsi="宋体" w:eastAsia="宋体" w:cs="宋体"/>
                              <w:lang w:val="en-US" w:eastAsia="zh-CN"/>
                            </w:rPr>
                            <w:t>54</w:t>
                          </w:r>
                          <w:r>
                            <w:rPr>
                              <w:rFonts w:hint="eastAsia" w:ascii="宋体" w:hAnsi="宋体" w:eastAsia="宋体" w:cs="宋体"/>
                              <w:lang w:eastAsia="zh-CN"/>
                            </w:rPr>
                            <w:t>页</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0.25pt;margin-top:0pt;height:144pt;width:75.75pt;mso-position-horizontal-relative:margin;z-index:251661312;mso-width-relative:page;mso-height-relative:page;" filled="f" stroked="f" coordsize="21600,21600" o:gfxdata="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402cRdYAAAAIAQAADwAAAAAAAAABACAAAAAiAAAAZHJzL2Rvd25y&#10;ZXYueG1sUEsBAhQAFAAAAAgAh07iQGqZr/Q5AgAAYgQAAA4AAAAAAAAAAQAgAAAAJQEAAGRycy9l&#10;Mm9Eb2MueG1sUEsFBgAAAAAGAAYAWQEAANAFAAAAAA==&#10;">
              <v:fill on="f" focussize="0,0"/>
              <v:stroke on="f" weight="0.5pt"/>
              <v:imagedata o:title=""/>
              <o:lock v:ext="edit" aspectratio="f"/>
              <v:textbox inset="0mm,0mm,0mm,0mm" style="mso-fit-shape-to-text:t;">
                <w:txbxContent>
                  <w:p w14:paraId="2F789DA0">
                    <w:pPr>
                      <w:pStyle w:val="23"/>
                      <w:rPr>
                        <w:rFonts w:hint="eastAsia" w:ascii="宋体" w:hAnsi="宋体" w:eastAsia="宋体" w:cs="宋体"/>
                        <w:lang w:eastAsia="zh-CN"/>
                      </w:rPr>
                    </w:pPr>
                    <w:r>
                      <w:rPr>
                        <w:rFonts w:hint="eastAsia" w:ascii="宋体" w:hAnsi="宋体" w:eastAsia="宋体" w:cs="宋体"/>
                        <w:lang w:eastAsia="zh-CN"/>
                      </w:rPr>
                      <w:t xml:space="preserve">第 </w:t>
                    </w: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1</w:t>
                    </w:r>
                    <w:r>
                      <w:rPr>
                        <w:rFonts w:hint="eastAsia" w:ascii="宋体" w:hAnsi="宋体" w:eastAsia="宋体" w:cs="宋体"/>
                        <w:lang w:eastAsia="zh-CN"/>
                      </w:rPr>
                      <w:fldChar w:fldCharType="end"/>
                    </w:r>
                    <w:r>
                      <w:rPr>
                        <w:rFonts w:hint="eastAsia" w:ascii="宋体" w:hAnsi="宋体" w:eastAsia="宋体" w:cs="宋体"/>
                        <w:lang w:eastAsia="zh-CN"/>
                      </w:rPr>
                      <w:t xml:space="preserve"> 页 共 </w:t>
                    </w:r>
                    <w:r>
                      <w:rPr>
                        <w:rFonts w:hint="eastAsia" w:ascii="宋体" w:hAnsi="宋体" w:eastAsia="宋体" w:cs="宋体"/>
                        <w:lang w:val="en-US" w:eastAsia="zh-CN"/>
                      </w:rPr>
                      <w:t>54</w:t>
                    </w:r>
                    <w:r>
                      <w:rPr>
                        <w:rFonts w:hint="eastAsia" w:ascii="宋体" w:hAnsi="宋体" w:eastAsia="宋体" w:cs="宋体"/>
                        <w:lang w:eastAsia="zh-CN"/>
                      </w:rPr>
                      <w:t>页</w:t>
                    </w:r>
                  </w:p>
                </w:txbxContent>
              </v:textbox>
            </v:shape>
          </w:pict>
        </mc:Fallback>
      </mc:AlternateContent>
    </w:r>
    <w:r>
      <w:rPr>
        <w:rFonts w:hint="eastAsia"/>
        <w:lang w:eastAsia="zh-CN"/>
      </w:rPr>
      <w:tab/>
    </w:r>
    <w:r>
      <w:rPr>
        <w:rFonts w:hint="eastAsia"/>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2134E">
    <w:pPr>
      <w:pStyle w:val="23"/>
      <w:tabs>
        <w:tab w:val="left" w:pos="2431"/>
        <w:tab w:val="center" w:pos="4253"/>
        <w:tab w:val="left" w:pos="5055"/>
        <w:tab w:val="clear" w:pos="4153"/>
        <w:tab w:val="clear" w:pos="8306"/>
      </w:tabs>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A96647">
                          <w:pPr>
                            <w:pStyle w:val="23"/>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lang w:val="en-US" w:eastAsia="zh-CN"/>
                            </w:rPr>
                            <w:t>54</w:t>
                          </w:r>
                          <w:r>
                            <w:rPr>
                              <w:rFonts w:hint="eastAsia" w:ascii="宋体" w:hAnsi="宋体" w:eastAsia="宋体" w:cs="宋体"/>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FA96647">
                    <w:pPr>
                      <w:pStyle w:val="23"/>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lang w:val="en-US" w:eastAsia="zh-CN"/>
                      </w:rPr>
                      <w:t>54</w:t>
                    </w:r>
                    <w:r>
                      <w:rPr>
                        <w:rFonts w:hint="eastAsia" w:ascii="宋体" w:hAnsi="宋体" w:eastAsia="宋体" w:cs="宋体"/>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B48DF">
    <w:pPr>
      <w:pStyle w:val="2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DFB0E2">
                          <w:pPr>
                            <w:pStyle w:val="23"/>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lang w:val="en-US" w:eastAsia="zh-CN"/>
                            </w:rPr>
                            <w:t>54</w:t>
                          </w:r>
                          <w:r>
                            <w:rPr>
                              <w:rFonts w:hint="eastAsia" w:ascii="宋体" w:hAnsi="宋体" w:eastAsia="宋体" w:cs="宋体"/>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4DFB0E2">
                    <w:pPr>
                      <w:pStyle w:val="23"/>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lang w:val="en-US" w:eastAsia="zh-CN"/>
                      </w:rPr>
                      <w:t>54</w:t>
                    </w:r>
                    <w:r>
                      <w:rPr>
                        <w:rFonts w:hint="eastAsia" w:ascii="宋体" w:hAnsi="宋体" w:eastAsia="宋体" w:cs="宋体"/>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8DFCB">
    <w:pPr>
      <w:pStyle w:val="2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968C2F">
                          <w:pPr>
                            <w:pStyle w:val="23"/>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w:t>
                          </w:r>
                          <w:r>
                            <w:rPr>
                              <w:rFonts w:hint="eastAsia" w:ascii="宋体" w:hAnsi="宋体" w:eastAsia="宋体" w:cs="宋体"/>
                              <w:lang w:val="en-US" w:eastAsia="zh-CN"/>
                            </w:rPr>
                            <w:t>54</w:t>
                          </w:r>
                          <w:r>
                            <w:rPr>
                              <w:rFonts w:hint="eastAsia" w:ascii="宋体" w:hAnsi="宋体" w:eastAsia="宋体" w:cs="宋体"/>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3968C2F">
                    <w:pPr>
                      <w:pStyle w:val="23"/>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w:t>
                    </w:r>
                    <w:r>
                      <w:rPr>
                        <w:rFonts w:hint="eastAsia" w:ascii="宋体" w:hAnsi="宋体" w:eastAsia="宋体" w:cs="宋体"/>
                        <w:lang w:val="en-US" w:eastAsia="zh-CN"/>
                      </w:rPr>
                      <w:t>54</w:t>
                    </w:r>
                    <w:r>
                      <w:rPr>
                        <w:rFonts w:hint="eastAsia" w:ascii="宋体" w:hAnsi="宋体" w:eastAsia="宋体" w:cs="宋体"/>
                      </w:rP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D45FF">
    <w:pPr>
      <w:pStyle w:val="23"/>
      <w:wordWrap w:val="0"/>
      <w:jc w:val="right"/>
      <w:rPr>
        <w:rFonts w:hint="eastAsia" w:ascii="宋体" w:hAnsi="宋体" w:eastAsia="宋体" w:cs="宋体"/>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16DEA">
                          <w:pPr>
                            <w:pStyle w:val="23"/>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43</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lang w:val="en-US" w:eastAsia="zh-CN"/>
                            </w:rPr>
                            <w:t>54</w:t>
                          </w:r>
                          <w:r>
                            <w:rPr>
                              <w:rFonts w:hint="eastAsia" w:ascii="宋体" w:hAnsi="宋体" w:eastAsia="宋体" w:cs="宋体"/>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DB16DEA">
                    <w:pPr>
                      <w:pStyle w:val="23"/>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43</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lang w:val="en-US" w:eastAsia="zh-CN"/>
                      </w:rPr>
                      <w:t>54</w:t>
                    </w:r>
                    <w:r>
                      <w:rPr>
                        <w:rFonts w:hint="eastAsia" w:ascii="宋体" w:hAnsi="宋体" w:eastAsia="宋体" w:cs="宋体"/>
                      </w:rPr>
                      <w:t>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68B61">
    <w:pPr>
      <w:pStyle w:val="23"/>
      <w:tabs>
        <w:tab w:val="left" w:pos="2431"/>
        <w:tab w:val="clear" w:pos="4153"/>
        <w:tab w:val="clear" w:pos="8306"/>
      </w:tabs>
      <w:wordWrap w:val="0"/>
      <w:ind w:right="360"/>
      <w:jc w:val="right"/>
      <w:rPr>
        <w:rFonts w:hint="eastAsia" w:ascii="宋体" w:hAnsi="宋体" w:eastAsia="宋体" w:cs="宋体"/>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5F99AF">
                          <w:pPr>
                            <w:pStyle w:val="23"/>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52</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lang w:val="en-US" w:eastAsia="zh-CN"/>
                            </w:rPr>
                            <w:t>54</w:t>
                          </w:r>
                          <w:r>
                            <w:rPr>
                              <w:rFonts w:hint="eastAsia" w:ascii="宋体" w:hAnsi="宋体" w:eastAsia="宋体" w:cs="宋体"/>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C5F99AF">
                    <w:pPr>
                      <w:pStyle w:val="23"/>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52</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lang w:val="en-US" w:eastAsia="zh-CN"/>
                      </w:rPr>
                      <w:t>54</w:t>
                    </w:r>
                    <w:r>
                      <w:rPr>
                        <w:rFonts w:hint="eastAsia" w:ascii="宋体" w:hAnsi="宋体" w:eastAsia="宋体" w:cs="宋体"/>
                      </w:rPr>
                      <w:t>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1F531">
    <w:pPr>
      <w:pStyle w:val="23"/>
      <w:tabs>
        <w:tab w:val="left" w:pos="2431"/>
        <w:tab w:val="clear" w:pos="4153"/>
        <w:tab w:val="clear" w:pos="8306"/>
      </w:tabs>
      <w:wordWrap w:val="0"/>
      <w:ind w:right="360"/>
      <w:jc w:val="right"/>
      <w:rPr>
        <w:rFonts w:hint="eastAsia" w:ascii="宋体" w:hAnsi="宋体" w:eastAsia="宋体" w:cs="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70BA4">
    <w:pPr>
      <w:pStyle w:val="2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61629">
    <w:pPr>
      <w:pStyle w:val="25"/>
      <w:rPr>
        <w:rFonts w:hint="default"/>
        <w:lang w:val="en-US" w:eastAsia="zh-CN"/>
      </w:rPr>
    </w:pPr>
    <w:r>
      <w:rPr>
        <w:rFonts w:hint="eastAsia" w:ascii="宋体" w:hAnsi="宋体" w:eastAsia="宋体" w:cs="宋体"/>
        <w:kern w:val="0"/>
        <w:sz w:val="20"/>
        <w:szCs w:val="20"/>
        <w:lang w:val="en-US" w:eastAsia="zh-CN"/>
      </w:rPr>
      <w:t>项目名</w:t>
    </w:r>
    <w:r>
      <w:rPr>
        <w:rFonts w:hint="eastAsia" w:ascii="宋体" w:hAnsi="宋体" w:eastAsia="宋体" w:cs="宋体"/>
        <w:kern w:val="0"/>
        <w:sz w:val="20"/>
        <w:szCs w:val="20"/>
        <w:lang w:val="en-US" w:eastAsia="zh-CN" w:bidi="ar-SA"/>
      </w:rPr>
      <w:t>称：挂式污泥脱水设备采购项目（三次）                     项目编号：AKSH2025-ZTP-050-3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F22DD">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4C93D">
    <w:pPr>
      <w:pStyle w:val="25"/>
      <w:jc w:val="both"/>
    </w:pPr>
    <w:r>
      <w:rPr>
        <w:rFonts w:hint="eastAsia" w:ascii="宋体" w:hAnsi="宋体" w:eastAsia="宋体" w:cs="宋体"/>
        <w:kern w:val="0"/>
        <w:sz w:val="20"/>
        <w:szCs w:val="20"/>
        <w:lang w:val="en-US" w:eastAsia="zh-CN"/>
      </w:rPr>
      <w:t>项目名</w:t>
    </w:r>
    <w:r>
      <w:rPr>
        <w:rFonts w:hint="eastAsia" w:ascii="宋体" w:hAnsi="宋体" w:eastAsia="宋体" w:cs="宋体"/>
        <w:kern w:val="0"/>
        <w:sz w:val="20"/>
        <w:szCs w:val="20"/>
        <w:lang w:val="en-US" w:eastAsia="zh-CN" w:bidi="ar-SA"/>
      </w:rPr>
      <w:t>称：挂式污泥脱水设备采购项目（三次）                              项目编号：AKSH2025-ZTP-050-3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67ACD">
    <w:pPr>
      <w:pStyle w:val="25"/>
      <w:jc w:val="both"/>
    </w:pPr>
    <w:r>
      <w:rPr>
        <w:rFonts w:hint="eastAsia" w:ascii="宋体" w:hAnsi="宋体" w:eastAsia="宋体" w:cs="宋体"/>
        <w:kern w:val="0"/>
        <w:sz w:val="20"/>
        <w:szCs w:val="20"/>
        <w:lang w:val="en-US" w:eastAsia="zh-CN"/>
      </w:rPr>
      <w:t>项目名</w:t>
    </w:r>
    <w:r>
      <w:rPr>
        <w:rFonts w:hint="eastAsia" w:ascii="宋体" w:hAnsi="宋体" w:eastAsia="宋体" w:cs="宋体"/>
        <w:kern w:val="0"/>
        <w:sz w:val="20"/>
        <w:szCs w:val="20"/>
        <w:lang w:val="en-US" w:eastAsia="zh-CN" w:bidi="ar-SA"/>
      </w:rPr>
      <w:t>称：挂式污泥脱水设备采购项目（三次）                              项目编号：AKSH2025-ZTP-050-3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C112F">
    <w:pPr>
      <w:pStyle w:val="25"/>
      <w:jc w:val="both"/>
      <w:rPr>
        <w:rFonts w:hint="default"/>
        <w:lang w:val="en-US"/>
      </w:rPr>
    </w:pPr>
    <w:r>
      <w:rPr>
        <w:rFonts w:hint="eastAsia" w:ascii="宋体" w:hAnsi="宋体" w:eastAsia="宋体" w:cs="宋体"/>
        <w:kern w:val="0"/>
        <w:sz w:val="20"/>
        <w:szCs w:val="20"/>
        <w:lang w:val="en-US" w:eastAsia="zh-CN"/>
      </w:rPr>
      <w:t>项目名</w:t>
    </w:r>
    <w:r>
      <w:rPr>
        <w:rFonts w:hint="eastAsia" w:ascii="宋体" w:hAnsi="宋体" w:eastAsia="宋体" w:cs="宋体"/>
        <w:kern w:val="0"/>
        <w:sz w:val="20"/>
        <w:szCs w:val="20"/>
        <w:lang w:val="en-US" w:eastAsia="zh-CN" w:bidi="ar-SA"/>
      </w:rPr>
      <w:t>称：挂式污泥脱水设备采购项目（三次）                          项目编号：AKSH2025-ZTP-050-3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4189E">
    <w:pPr>
      <w:pStyle w:val="25"/>
      <w:jc w:val="both"/>
      <w:rPr>
        <w:rFonts w:hint="default"/>
        <w:lang w:val="en-US"/>
      </w:rPr>
    </w:pPr>
    <w:r>
      <w:rPr>
        <w:rFonts w:hint="eastAsia" w:ascii="宋体" w:hAnsi="宋体" w:eastAsia="宋体" w:cs="宋体"/>
        <w:kern w:val="0"/>
        <w:sz w:val="20"/>
        <w:szCs w:val="20"/>
        <w:lang w:val="en-US" w:eastAsia="zh-CN"/>
      </w:rPr>
      <w:t>项目名</w:t>
    </w:r>
    <w:r>
      <w:rPr>
        <w:rFonts w:hint="eastAsia" w:ascii="宋体" w:hAnsi="宋体" w:eastAsia="宋体" w:cs="宋体"/>
        <w:kern w:val="0"/>
        <w:sz w:val="20"/>
        <w:szCs w:val="20"/>
        <w:lang w:val="en-US" w:eastAsia="zh-CN" w:bidi="ar-SA"/>
      </w:rPr>
      <w:t>称：挂式污泥脱水设备采购项目（三次）                            项目编号：AKSH2025-ZTP-050-3</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8E3A3">
    <w:pPr>
      <w:pStyle w:val="25"/>
      <w:jc w:val="both"/>
      <w:rPr>
        <w:rFonts w:hint="default"/>
        <w:lang w:val="en-US"/>
      </w:rPr>
    </w:pPr>
    <w:r>
      <w:rPr>
        <w:rFonts w:hint="eastAsia" w:ascii="宋体" w:hAnsi="宋体" w:eastAsia="宋体" w:cs="宋体"/>
        <w:kern w:val="0"/>
        <w:sz w:val="20"/>
        <w:szCs w:val="20"/>
        <w:lang w:val="en-US" w:eastAsia="zh-CN"/>
      </w:rPr>
      <w:t>项目名</w:t>
    </w:r>
    <w:r>
      <w:rPr>
        <w:rFonts w:hint="eastAsia" w:ascii="宋体" w:hAnsi="宋体" w:eastAsia="宋体" w:cs="宋体"/>
        <w:kern w:val="0"/>
        <w:sz w:val="20"/>
        <w:szCs w:val="20"/>
        <w:lang w:val="en-US" w:eastAsia="zh-CN" w:bidi="ar-SA"/>
      </w:rPr>
      <w:t>称：挂式污泥脱水设备采购项目（三次）                             项目编号：AKSH2025-ZTP-050-3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93EF01"/>
    <w:multiLevelType w:val="singleLevel"/>
    <w:tmpl w:val="F593EF01"/>
    <w:lvl w:ilvl="0" w:tentative="0">
      <w:start w:val="1"/>
      <w:numFmt w:val="decimal"/>
      <w:lvlText w:val="%1"/>
      <w:lvlJc w:val="left"/>
      <w:pPr>
        <w:tabs>
          <w:tab w:val="left" w:pos="420"/>
        </w:tabs>
        <w:ind w:left="425" w:leftChars="0" w:hanging="425" w:firstLineChars="0"/>
      </w:pPr>
      <w:rPr>
        <w:rFonts w:hint="default"/>
      </w:rPr>
    </w:lvl>
  </w:abstractNum>
  <w:abstractNum w:abstractNumId="1">
    <w:nsid w:val="03EED7A6"/>
    <w:multiLevelType w:val="singleLevel"/>
    <w:tmpl w:val="03EED7A6"/>
    <w:lvl w:ilvl="0" w:tentative="0">
      <w:start w:val="4"/>
      <w:numFmt w:val="chineseCounting"/>
      <w:suff w:val="space"/>
      <w:lvlText w:val="%1、"/>
      <w:lvlJc w:val="left"/>
      <w:rPr>
        <w:rFonts w:hint="eastAsia"/>
      </w:rPr>
    </w:lvl>
  </w:abstractNum>
  <w:abstractNum w:abstractNumId="2">
    <w:nsid w:val="2AE1B900"/>
    <w:multiLevelType w:val="singleLevel"/>
    <w:tmpl w:val="2AE1B900"/>
    <w:lvl w:ilvl="0" w:tentative="0">
      <w:start w:val="3"/>
      <w:numFmt w:val="chineseCounting"/>
      <w:suff w:val="nothing"/>
      <w:lvlText w:val="%1、"/>
      <w:lvlJc w:val="left"/>
      <w:rPr>
        <w:rFonts w:hint="eastAsia"/>
      </w:rPr>
    </w:lvl>
  </w:abstractNum>
  <w:abstractNum w:abstractNumId="3">
    <w:nsid w:val="58C0AD6D"/>
    <w:multiLevelType w:val="singleLevel"/>
    <w:tmpl w:val="58C0AD6D"/>
    <w:lvl w:ilvl="0" w:tentative="0">
      <w:start w:val="1"/>
      <w:numFmt w:val="decimal"/>
      <w:suff w:val="nothing"/>
      <w:lvlText w:val="（%1）"/>
      <w:lvlJc w:val="left"/>
      <w:pPr>
        <w:ind w:firstLine="420"/>
      </w:pPr>
      <w:rPr>
        <w:rFonts w:hint="default"/>
      </w:rPr>
    </w:lvl>
  </w:abstractNum>
  <w:abstractNum w:abstractNumId="4">
    <w:nsid w:val="59F099C9"/>
    <w:multiLevelType w:val="singleLevel"/>
    <w:tmpl w:val="59F099C9"/>
    <w:lvl w:ilvl="0" w:tentative="0">
      <w:start w:val="1"/>
      <w:numFmt w:val="decimal"/>
      <w:suff w:val="nothing"/>
      <w:lvlText w:val="（%1）"/>
      <w:lvlJc w:val="left"/>
      <w:pPr>
        <w:ind w:firstLine="420"/>
      </w:pPr>
      <w:rPr>
        <w:rFont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attachedTemplate r:id="rId1"/>
  <w:documentProtection w:enforcement="0"/>
  <w:defaultTabStop w:val="420"/>
  <w:drawingGridHorizontalSpacing w:val="280"/>
  <w:drawingGridVerticalSpacing w:val="199"/>
  <w:displayHorizontalDrawingGridEvery w:val="1"/>
  <w:displayVerticalDrawingGridEvery w:val="2"/>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RlNTZjYmI2ODUwNjVhNGQ4ODA1YTg3ZjkyN2NjMzYifQ=="/>
  </w:docVars>
  <w:rsids>
    <w:rsidRoot w:val="00276103"/>
    <w:rsid w:val="00011D14"/>
    <w:rsid w:val="000121E1"/>
    <w:rsid w:val="00024F44"/>
    <w:rsid w:val="00026194"/>
    <w:rsid w:val="0004092A"/>
    <w:rsid w:val="000409AC"/>
    <w:rsid w:val="00054856"/>
    <w:rsid w:val="00067801"/>
    <w:rsid w:val="00071ED2"/>
    <w:rsid w:val="000916FF"/>
    <w:rsid w:val="00092C81"/>
    <w:rsid w:val="00095EC0"/>
    <w:rsid w:val="000D2F9C"/>
    <w:rsid w:val="000D4451"/>
    <w:rsid w:val="000D4B24"/>
    <w:rsid w:val="000D5996"/>
    <w:rsid w:val="000E15F1"/>
    <w:rsid w:val="000E78A9"/>
    <w:rsid w:val="000F0906"/>
    <w:rsid w:val="00107F04"/>
    <w:rsid w:val="00111A47"/>
    <w:rsid w:val="00132AB2"/>
    <w:rsid w:val="001345C5"/>
    <w:rsid w:val="00142225"/>
    <w:rsid w:val="00146383"/>
    <w:rsid w:val="00147C6C"/>
    <w:rsid w:val="001501D1"/>
    <w:rsid w:val="0015205E"/>
    <w:rsid w:val="0015716C"/>
    <w:rsid w:val="001708A1"/>
    <w:rsid w:val="001711CA"/>
    <w:rsid w:val="00182814"/>
    <w:rsid w:val="001918B0"/>
    <w:rsid w:val="0019420E"/>
    <w:rsid w:val="001B3EC3"/>
    <w:rsid w:val="001B75D7"/>
    <w:rsid w:val="001D693E"/>
    <w:rsid w:val="001F392F"/>
    <w:rsid w:val="001F4E02"/>
    <w:rsid w:val="001F4FFA"/>
    <w:rsid w:val="00207041"/>
    <w:rsid w:val="00217AE5"/>
    <w:rsid w:val="00217B13"/>
    <w:rsid w:val="00243136"/>
    <w:rsid w:val="002524D9"/>
    <w:rsid w:val="002563A8"/>
    <w:rsid w:val="00262942"/>
    <w:rsid w:val="00272450"/>
    <w:rsid w:val="00276103"/>
    <w:rsid w:val="00284337"/>
    <w:rsid w:val="00294DAB"/>
    <w:rsid w:val="002A3903"/>
    <w:rsid w:val="002A3BF9"/>
    <w:rsid w:val="002A3D81"/>
    <w:rsid w:val="002B192D"/>
    <w:rsid w:val="002B308B"/>
    <w:rsid w:val="002B691E"/>
    <w:rsid w:val="002D0507"/>
    <w:rsid w:val="002D2C90"/>
    <w:rsid w:val="002F009F"/>
    <w:rsid w:val="002F1A74"/>
    <w:rsid w:val="002F682C"/>
    <w:rsid w:val="00305EB5"/>
    <w:rsid w:val="003072E5"/>
    <w:rsid w:val="0031118E"/>
    <w:rsid w:val="0031248D"/>
    <w:rsid w:val="003134A9"/>
    <w:rsid w:val="0032276E"/>
    <w:rsid w:val="00335F17"/>
    <w:rsid w:val="00336EFA"/>
    <w:rsid w:val="00351234"/>
    <w:rsid w:val="003577A2"/>
    <w:rsid w:val="00363A95"/>
    <w:rsid w:val="0037576D"/>
    <w:rsid w:val="0038258B"/>
    <w:rsid w:val="00394B45"/>
    <w:rsid w:val="003A08B0"/>
    <w:rsid w:val="003B1610"/>
    <w:rsid w:val="003B5D98"/>
    <w:rsid w:val="003C498B"/>
    <w:rsid w:val="003C603A"/>
    <w:rsid w:val="003F108F"/>
    <w:rsid w:val="003F1E12"/>
    <w:rsid w:val="00410CA8"/>
    <w:rsid w:val="00411927"/>
    <w:rsid w:val="004136CD"/>
    <w:rsid w:val="004168C5"/>
    <w:rsid w:val="004215EB"/>
    <w:rsid w:val="0042558D"/>
    <w:rsid w:val="00426F03"/>
    <w:rsid w:val="004305F5"/>
    <w:rsid w:val="0043141B"/>
    <w:rsid w:val="004372CF"/>
    <w:rsid w:val="00440E26"/>
    <w:rsid w:val="00457AA3"/>
    <w:rsid w:val="0048210A"/>
    <w:rsid w:val="00496201"/>
    <w:rsid w:val="00496FF3"/>
    <w:rsid w:val="004A3DAE"/>
    <w:rsid w:val="004A4865"/>
    <w:rsid w:val="004B1790"/>
    <w:rsid w:val="004C1B3A"/>
    <w:rsid w:val="004C1D4F"/>
    <w:rsid w:val="004D37C1"/>
    <w:rsid w:val="004D523A"/>
    <w:rsid w:val="004D776C"/>
    <w:rsid w:val="004D7C0E"/>
    <w:rsid w:val="004F51DC"/>
    <w:rsid w:val="00500643"/>
    <w:rsid w:val="00504DA1"/>
    <w:rsid w:val="00506C22"/>
    <w:rsid w:val="0051523B"/>
    <w:rsid w:val="00522CEE"/>
    <w:rsid w:val="005310C9"/>
    <w:rsid w:val="00551934"/>
    <w:rsid w:val="00553C02"/>
    <w:rsid w:val="005611BF"/>
    <w:rsid w:val="00562877"/>
    <w:rsid w:val="0056693B"/>
    <w:rsid w:val="005747AA"/>
    <w:rsid w:val="00580202"/>
    <w:rsid w:val="005900DC"/>
    <w:rsid w:val="005B1048"/>
    <w:rsid w:val="005B1912"/>
    <w:rsid w:val="005C71E8"/>
    <w:rsid w:val="005E1C76"/>
    <w:rsid w:val="005E798C"/>
    <w:rsid w:val="005F42BB"/>
    <w:rsid w:val="006024D7"/>
    <w:rsid w:val="0060694E"/>
    <w:rsid w:val="00607C5F"/>
    <w:rsid w:val="00631550"/>
    <w:rsid w:val="006423BA"/>
    <w:rsid w:val="00655236"/>
    <w:rsid w:val="00655823"/>
    <w:rsid w:val="00661EDA"/>
    <w:rsid w:val="00667A44"/>
    <w:rsid w:val="00677E82"/>
    <w:rsid w:val="00680269"/>
    <w:rsid w:val="006818EC"/>
    <w:rsid w:val="00681B42"/>
    <w:rsid w:val="006847DD"/>
    <w:rsid w:val="006847DE"/>
    <w:rsid w:val="006939BC"/>
    <w:rsid w:val="006A696C"/>
    <w:rsid w:val="006B341A"/>
    <w:rsid w:val="006C26A1"/>
    <w:rsid w:val="006C6C7A"/>
    <w:rsid w:val="006E67F7"/>
    <w:rsid w:val="006F14EC"/>
    <w:rsid w:val="006F6E80"/>
    <w:rsid w:val="00705186"/>
    <w:rsid w:val="007066CC"/>
    <w:rsid w:val="00721C78"/>
    <w:rsid w:val="0072200B"/>
    <w:rsid w:val="007336C4"/>
    <w:rsid w:val="00735397"/>
    <w:rsid w:val="00747FEF"/>
    <w:rsid w:val="0076563E"/>
    <w:rsid w:val="00766127"/>
    <w:rsid w:val="00766D27"/>
    <w:rsid w:val="0077095E"/>
    <w:rsid w:val="00771CFD"/>
    <w:rsid w:val="00781C94"/>
    <w:rsid w:val="00796285"/>
    <w:rsid w:val="00797072"/>
    <w:rsid w:val="007A6CEE"/>
    <w:rsid w:val="007B1F33"/>
    <w:rsid w:val="007C1AB6"/>
    <w:rsid w:val="007D455F"/>
    <w:rsid w:val="007E29E9"/>
    <w:rsid w:val="007E2A47"/>
    <w:rsid w:val="00800C8F"/>
    <w:rsid w:val="00801342"/>
    <w:rsid w:val="0080401E"/>
    <w:rsid w:val="00805ED3"/>
    <w:rsid w:val="008142E9"/>
    <w:rsid w:val="008207AB"/>
    <w:rsid w:val="00823E64"/>
    <w:rsid w:val="00825D97"/>
    <w:rsid w:val="0083077C"/>
    <w:rsid w:val="008413BE"/>
    <w:rsid w:val="0084291C"/>
    <w:rsid w:val="00844A7A"/>
    <w:rsid w:val="00847343"/>
    <w:rsid w:val="00851842"/>
    <w:rsid w:val="008523E5"/>
    <w:rsid w:val="00852685"/>
    <w:rsid w:val="0086232F"/>
    <w:rsid w:val="008677C8"/>
    <w:rsid w:val="0088251D"/>
    <w:rsid w:val="00882CA4"/>
    <w:rsid w:val="00884DF7"/>
    <w:rsid w:val="00892A74"/>
    <w:rsid w:val="0089649D"/>
    <w:rsid w:val="008977E6"/>
    <w:rsid w:val="008A0A6F"/>
    <w:rsid w:val="008A0ABB"/>
    <w:rsid w:val="008A164E"/>
    <w:rsid w:val="008A387E"/>
    <w:rsid w:val="008B3F6A"/>
    <w:rsid w:val="008C3523"/>
    <w:rsid w:val="008D04E2"/>
    <w:rsid w:val="008D0F23"/>
    <w:rsid w:val="008E7F0F"/>
    <w:rsid w:val="008F666C"/>
    <w:rsid w:val="00907DA1"/>
    <w:rsid w:val="00930935"/>
    <w:rsid w:val="009601E0"/>
    <w:rsid w:val="00963F71"/>
    <w:rsid w:val="0098787B"/>
    <w:rsid w:val="00992BD2"/>
    <w:rsid w:val="009A071D"/>
    <w:rsid w:val="009B4D82"/>
    <w:rsid w:val="009B6AA6"/>
    <w:rsid w:val="009C4E3B"/>
    <w:rsid w:val="009D0AA6"/>
    <w:rsid w:val="009F417D"/>
    <w:rsid w:val="009F7629"/>
    <w:rsid w:val="009F777C"/>
    <w:rsid w:val="00A023CC"/>
    <w:rsid w:val="00A235FA"/>
    <w:rsid w:val="00A2726C"/>
    <w:rsid w:val="00A3238E"/>
    <w:rsid w:val="00A35539"/>
    <w:rsid w:val="00A42D07"/>
    <w:rsid w:val="00A477A1"/>
    <w:rsid w:val="00A51B91"/>
    <w:rsid w:val="00A54FFB"/>
    <w:rsid w:val="00A5616F"/>
    <w:rsid w:val="00A60100"/>
    <w:rsid w:val="00A63A67"/>
    <w:rsid w:val="00A66D71"/>
    <w:rsid w:val="00A73565"/>
    <w:rsid w:val="00A77138"/>
    <w:rsid w:val="00A7771E"/>
    <w:rsid w:val="00A9079F"/>
    <w:rsid w:val="00A958FB"/>
    <w:rsid w:val="00AC3A07"/>
    <w:rsid w:val="00AF0523"/>
    <w:rsid w:val="00B064D8"/>
    <w:rsid w:val="00B24A7A"/>
    <w:rsid w:val="00B25C41"/>
    <w:rsid w:val="00B32434"/>
    <w:rsid w:val="00B32B44"/>
    <w:rsid w:val="00B34C54"/>
    <w:rsid w:val="00B35B3D"/>
    <w:rsid w:val="00B50AA4"/>
    <w:rsid w:val="00B6554A"/>
    <w:rsid w:val="00B765C2"/>
    <w:rsid w:val="00B83BB4"/>
    <w:rsid w:val="00B94751"/>
    <w:rsid w:val="00BA270E"/>
    <w:rsid w:val="00BA3A5F"/>
    <w:rsid w:val="00BB1A34"/>
    <w:rsid w:val="00BB238C"/>
    <w:rsid w:val="00BB679E"/>
    <w:rsid w:val="00BC1FDF"/>
    <w:rsid w:val="00BC3F03"/>
    <w:rsid w:val="00BC5201"/>
    <w:rsid w:val="00BD1748"/>
    <w:rsid w:val="00BD7B0F"/>
    <w:rsid w:val="00BF1583"/>
    <w:rsid w:val="00C02F92"/>
    <w:rsid w:val="00C12EAD"/>
    <w:rsid w:val="00C1462B"/>
    <w:rsid w:val="00C2267F"/>
    <w:rsid w:val="00C30E88"/>
    <w:rsid w:val="00C55543"/>
    <w:rsid w:val="00C560DA"/>
    <w:rsid w:val="00C609BA"/>
    <w:rsid w:val="00C620AF"/>
    <w:rsid w:val="00C80D51"/>
    <w:rsid w:val="00C8309E"/>
    <w:rsid w:val="00C92E4A"/>
    <w:rsid w:val="00C96829"/>
    <w:rsid w:val="00CA0F67"/>
    <w:rsid w:val="00CA4E56"/>
    <w:rsid w:val="00CB2AEA"/>
    <w:rsid w:val="00CB3B3C"/>
    <w:rsid w:val="00CB7D83"/>
    <w:rsid w:val="00CC5D30"/>
    <w:rsid w:val="00CC67C4"/>
    <w:rsid w:val="00CD6381"/>
    <w:rsid w:val="00CE3718"/>
    <w:rsid w:val="00CF0627"/>
    <w:rsid w:val="00CF17F7"/>
    <w:rsid w:val="00CF2461"/>
    <w:rsid w:val="00D039CE"/>
    <w:rsid w:val="00D06F62"/>
    <w:rsid w:val="00D2513E"/>
    <w:rsid w:val="00D30EE6"/>
    <w:rsid w:val="00D316DE"/>
    <w:rsid w:val="00D36315"/>
    <w:rsid w:val="00D40301"/>
    <w:rsid w:val="00D4408E"/>
    <w:rsid w:val="00D610CA"/>
    <w:rsid w:val="00D67385"/>
    <w:rsid w:val="00D81543"/>
    <w:rsid w:val="00D817A0"/>
    <w:rsid w:val="00D96176"/>
    <w:rsid w:val="00DA3BD6"/>
    <w:rsid w:val="00DA4EE4"/>
    <w:rsid w:val="00DA5A45"/>
    <w:rsid w:val="00DB2D27"/>
    <w:rsid w:val="00DC1447"/>
    <w:rsid w:val="00DC1BCD"/>
    <w:rsid w:val="00DC5E60"/>
    <w:rsid w:val="00DD3389"/>
    <w:rsid w:val="00DE4D3D"/>
    <w:rsid w:val="00DE5360"/>
    <w:rsid w:val="00DE7B6E"/>
    <w:rsid w:val="00DF22C1"/>
    <w:rsid w:val="00DF416F"/>
    <w:rsid w:val="00E03517"/>
    <w:rsid w:val="00E13977"/>
    <w:rsid w:val="00E17593"/>
    <w:rsid w:val="00E20FD2"/>
    <w:rsid w:val="00E34F2C"/>
    <w:rsid w:val="00E42B0C"/>
    <w:rsid w:val="00E46A27"/>
    <w:rsid w:val="00E74F56"/>
    <w:rsid w:val="00E816A0"/>
    <w:rsid w:val="00E8284E"/>
    <w:rsid w:val="00E92007"/>
    <w:rsid w:val="00E9609B"/>
    <w:rsid w:val="00EB48B6"/>
    <w:rsid w:val="00EC0951"/>
    <w:rsid w:val="00EC54AB"/>
    <w:rsid w:val="00ED0360"/>
    <w:rsid w:val="00ED760D"/>
    <w:rsid w:val="00EE5535"/>
    <w:rsid w:val="00EF1EE2"/>
    <w:rsid w:val="00EF24F7"/>
    <w:rsid w:val="00EF2D7A"/>
    <w:rsid w:val="00F2205A"/>
    <w:rsid w:val="00F2647F"/>
    <w:rsid w:val="00F3460A"/>
    <w:rsid w:val="00F513CD"/>
    <w:rsid w:val="00F6354A"/>
    <w:rsid w:val="00F64F3D"/>
    <w:rsid w:val="00F707BF"/>
    <w:rsid w:val="00F94172"/>
    <w:rsid w:val="00FC66A9"/>
    <w:rsid w:val="00FE7899"/>
    <w:rsid w:val="011F457E"/>
    <w:rsid w:val="01583748"/>
    <w:rsid w:val="016F10DA"/>
    <w:rsid w:val="01A761C5"/>
    <w:rsid w:val="01F24606"/>
    <w:rsid w:val="01F42D45"/>
    <w:rsid w:val="01FC588C"/>
    <w:rsid w:val="027C5ED6"/>
    <w:rsid w:val="028448AE"/>
    <w:rsid w:val="02997909"/>
    <w:rsid w:val="02CB1CF7"/>
    <w:rsid w:val="02E92054"/>
    <w:rsid w:val="031F3DF1"/>
    <w:rsid w:val="03287B1A"/>
    <w:rsid w:val="038A7E04"/>
    <w:rsid w:val="03974F7D"/>
    <w:rsid w:val="039F6B65"/>
    <w:rsid w:val="03A60AD2"/>
    <w:rsid w:val="03CE13CD"/>
    <w:rsid w:val="03E83E04"/>
    <w:rsid w:val="042C1685"/>
    <w:rsid w:val="04421D86"/>
    <w:rsid w:val="044E519E"/>
    <w:rsid w:val="04A356D3"/>
    <w:rsid w:val="04C609C8"/>
    <w:rsid w:val="04CE4B06"/>
    <w:rsid w:val="050E558B"/>
    <w:rsid w:val="053A4875"/>
    <w:rsid w:val="05D1531A"/>
    <w:rsid w:val="05E57574"/>
    <w:rsid w:val="060D2561"/>
    <w:rsid w:val="062F259D"/>
    <w:rsid w:val="06392363"/>
    <w:rsid w:val="064A68B9"/>
    <w:rsid w:val="068D6F85"/>
    <w:rsid w:val="069B5E85"/>
    <w:rsid w:val="06A47871"/>
    <w:rsid w:val="06A97A77"/>
    <w:rsid w:val="07371F76"/>
    <w:rsid w:val="074F100F"/>
    <w:rsid w:val="074F38DC"/>
    <w:rsid w:val="07A20C76"/>
    <w:rsid w:val="07D56CE9"/>
    <w:rsid w:val="087F780C"/>
    <w:rsid w:val="08A7439C"/>
    <w:rsid w:val="08A9475C"/>
    <w:rsid w:val="08C2207F"/>
    <w:rsid w:val="08CE0793"/>
    <w:rsid w:val="08E5492E"/>
    <w:rsid w:val="08F76E43"/>
    <w:rsid w:val="090C6E83"/>
    <w:rsid w:val="09117466"/>
    <w:rsid w:val="0938662F"/>
    <w:rsid w:val="09486E03"/>
    <w:rsid w:val="094A705D"/>
    <w:rsid w:val="09B207F9"/>
    <w:rsid w:val="09B8353C"/>
    <w:rsid w:val="09C13E54"/>
    <w:rsid w:val="09D21BBD"/>
    <w:rsid w:val="09F45FD8"/>
    <w:rsid w:val="0A075D0B"/>
    <w:rsid w:val="0A4E4DF4"/>
    <w:rsid w:val="0A950AD4"/>
    <w:rsid w:val="0B1C1D90"/>
    <w:rsid w:val="0B2A7D57"/>
    <w:rsid w:val="0B5B1AAE"/>
    <w:rsid w:val="0B6D0ACF"/>
    <w:rsid w:val="0B8373EF"/>
    <w:rsid w:val="0B9A495D"/>
    <w:rsid w:val="0C1D77F8"/>
    <w:rsid w:val="0C2549FA"/>
    <w:rsid w:val="0C705D40"/>
    <w:rsid w:val="0C7B022C"/>
    <w:rsid w:val="0C9544DF"/>
    <w:rsid w:val="0C9E3391"/>
    <w:rsid w:val="0CAD7E82"/>
    <w:rsid w:val="0D1C2B74"/>
    <w:rsid w:val="0D2C3CDA"/>
    <w:rsid w:val="0D3A6B7A"/>
    <w:rsid w:val="0D706F9B"/>
    <w:rsid w:val="0D731FE0"/>
    <w:rsid w:val="0D984AC2"/>
    <w:rsid w:val="0DB53CD0"/>
    <w:rsid w:val="0E286749"/>
    <w:rsid w:val="0E5B4619"/>
    <w:rsid w:val="0EAA3109"/>
    <w:rsid w:val="0EED27C2"/>
    <w:rsid w:val="0F0A34B9"/>
    <w:rsid w:val="0F1F14E1"/>
    <w:rsid w:val="0F250F9E"/>
    <w:rsid w:val="0F4B46BE"/>
    <w:rsid w:val="0F4F4C55"/>
    <w:rsid w:val="0F667ABC"/>
    <w:rsid w:val="0F7605E9"/>
    <w:rsid w:val="0FAD1102"/>
    <w:rsid w:val="0FBE7AE4"/>
    <w:rsid w:val="0FD115EF"/>
    <w:rsid w:val="0FD77389"/>
    <w:rsid w:val="0FE268D2"/>
    <w:rsid w:val="101953C6"/>
    <w:rsid w:val="102B2B3E"/>
    <w:rsid w:val="10370F89"/>
    <w:rsid w:val="10750EDD"/>
    <w:rsid w:val="109158BE"/>
    <w:rsid w:val="109664C2"/>
    <w:rsid w:val="10BD60DC"/>
    <w:rsid w:val="10DE213A"/>
    <w:rsid w:val="10F13359"/>
    <w:rsid w:val="10F93FE9"/>
    <w:rsid w:val="110A4283"/>
    <w:rsid w:val="11154812"/>
    <w:rsid w:val="11494D1C"/>
    <w:rsid w:val="1158509E"/>
    <w:rsid w:val="115F5735"/>
    <w:rsid w:val="11B85B3D"/>
    <w:rsid w:val="11F0149B"/>
    <w:rsid w:val="11F95F0B"/>
    <w:rsid w:val="12135469"/>
    <w:rsid w:val="121534BC"/>
    <w:rsid w:val="124E070C"/>
    <w:rsid w:val="12A20B21"/>
    <w:rsid w:val="12B01BAE"/>
    <w:rsid w:val="12E8773E"/>
    <w:rsid w:val="13150DC2"/>
    <w:rsid w:val="131E5E73"/>
    <w:rsid w:val="134D31B8"/>
    <w:rsid w:val="13530945"/>
    <w:rsid w:val="13536F96"/>
    <w:rsid w:val="13955112"/>
    <w:rsid w:val="139841C2"/>
    <w:rsid w:val="13B660AC"/>
    <w:rsid w:val="13CE1647"/>
    <w:rsid w:val="13F55436"/>
    <w:rsid w:val="143534B6"/>
    <w:rsid w:val="145B16CE"/>
    <w:rsid w:val="14613141"/>
    <w:rsid w:val="14935A4E"/>
    <w:rsid w:val="14CC6ED3"/>
    <w:rsid w:val="152C05C1"/>
    <w:rsid w:val="15947355"/>
    <w:rsid w:val="15C25DBE"/>
    <w:rsid w:val="16115BE7"/>
    <w:rsid w:val="16297A85"/>
    <w:rsid w:val="162E3271"/>
    <w:rsid w:val="163C0257"/>
    <w:rsid w:val="16471AAC"/>
    <w:rsid w:val="16F91A40"/>
    <w:rsid w:val="17672074"/>
    <w:rsid w:val="176D60AD"/>
    <w:rsid w:val="17B81091"/>
    <w:rsid w:val="17C46B8A"/>
    <w:rsid w:val="17C90A93"/>
    <w:rsid w:val="182A65D2"/>
    <w:rsid w:val="18355031"/>
    <w:rsid w:val="18463EA2"/>
    <w:rsid w:val="18985C0F"/>
    <w:rsid w:val="189B0DEC"/>
    <w:rsid w:val="18BC4BA4"/>
    <w:rsid w:val="18CC73BC"/>
    <w:rsid w:val="18D20BEC"/>
    <w:rsid w:val="18ED1065"/>
    <w:rsid w:val="190B50EC"/>
    <w:rsid w:val="193E1C7A"/>
    <w:rsid w:val="19651535"/>
    <w:rsid w:val="19D01228"/>
    <w:rsid w:val="19DF43B4"/>
    <w:rsid w:val="1A306C84"/>
    <w:rsid w:val="1A7154EF"/>
    <w:rsid w:val="1A7B310B"/>
    <w:rsid w:val="1A8962C8"/>
    <w:rsid w:val="1B102545"/>
    <w:rsid w:val="1B426428"/>
    <w:rsid w:val="1B972C67"/>
    <w:rsid w:val="1BB456F0"/>
    <w:rsid w:val="1BD50639"/>
    <w:rsid w:val="1BE20386"/>
    <w:rsid w:val="1C274BC0"/>
    <w:rsid w:val="1C46664A"/>
    <w:rsid w:val="1C5046FF"/>
    <w:rsid w:val="1C685EFD"/>
    <w:rsid w:val="1C9978FC"/>
    <w:rsid w:val="1CAD7BF3"/>
    <w:rsid w:val="1CB57848"/>
    <w:rsid w:val="1CB6536F"/>
    <w:rsid w:val="1D437B1F"/>
    <w:rsid w:val="1D452E97"/>
    <w:rsid w:val="1D9E10C3"/>
    <w:rsid w:val="1DAC3E6F"/>
    <w:rsid w:val="1DDA4206"/>
    <w:rsid w:val="1DE210B2"/>
    <w:rsid w:val="1E0B3B2A"/>
    <w:rsid w:val="1E29229C"/>
    <w:rsid w:val="1E501C47"/>
    <w:rsid w:val="1E5176C8"/>
    <w:rsid w:val="1E596826"/>
    <w:rsid w:val="1EC5639E"/>
    <w:rsid w:val="1ED16D1D"/>
    <w:rsid w:val="1EF33837"/>
    <w:rsid w:val="1EFB020E"/>
    <w:rsid w:val="1F0E5E95"/>
    <w:rsid w:val="1F106802"/>
    <w:rsid w:val="1F603109"/>
    <w:rsid w:val="1F62660C"/>
    <w:rsid w:val="1FC04427"/>
    <w:rsid w:val="1FD620C2"/>
    <w:rsid w:val="1FE924F9"/>
    <w:rsid w:val="201A0B99"/>
    <w:rsid w:val="202D6FD9"/>
    <w:rsid w:val="203046DB"/>
    <w:rsid w:val="203565E4"/>
    <w:rsid w:val="20457135"/>
    <w:rsid w:val="20834165"/>
    <w:rsid w:val="20B54DB2"/>
    <w:rsid w:val="20D87472"/>
    <w:rsid w:val="215A0945"/>
    <w:rsid w:val="21617F9F"/>
    <w:rsid w:val="21935C7E"/>
    <w:rsid w:val="21C24E71"/>
    <w:rsid w:val="21D56090"/>
    <w:rsid w:val="22982E69"/>
    <w:rsid w:val="22C35799"/>
    <w:rsid w:val="231E4274"/>
    <w:rsid w:val="2346744C"/>
    <w:rsid w:val="2378337E"/>
    <w:rsid w:val="237C4C1C"/>
    <w:rsid w:val="23D90A84"/>
    <w:rsid w:val="23DF164F"/>
    <w:rsid w:val="23ED7965"/>
    <w:rsid w:val="23F410FE"/>
    <w:rsid w:val="24120EBE"/>
    <w:rsid w:val="24C2196B"/>
    <w:rsid w:val="24C35FAD"/>
    <w:rsid w:val="24DE36B4"/>
    <w:rsid w:val="24F07BCF"/>
    <w:rsid w:val="25207191"/>
    <w:rsid w:val="25387A0F"/>
    <w:rsid w:val="257B49B6"/>
    <w:rsid w:val="25C00FB4"/>
    <w:rsid w:val="25D52D1D"/>
    <w:rsid w:val="26135C57"/>
    <w:rsid w:val="262E41C8"/>
    <w:rsid w:val="26321F0A"/>
    <w:rsid w:val="263246E0"/>
    <w:rsid w:val="264720E5"/>
    <w:rsid w:val="265F2C81"/>
    <w:rsid w:val="2729330D"/>
    <w:rsid w:val="274B1605"/>
    <w:rsid w:val="275A639C"/>
    <w:rsid w:val="2793584B"/>
    <w:rsid w:val="27AA7439"/>
    <w:rsid w:val="27CC2E58"/>
    <w:rsid w:val="27F82AF4"/>
    <w:rsid w:val="282F6BB7"/>
    <w:rsid w:val="286C74DE"/>
    <w:rsid w:val="289F3502"/>
    <w:rsid w:val="28CB1353"/>
    <w:rsid w:val="28CE22A9"/>
    <w:rsid w:val="293715E5"/>
    <w:rsid w:val="29785E86"/>
    <w:rsid w:val="29824AA8"/>
    <w:rsid w:val="29B82726"/>
    <w:rsid w:val="29CD5E21"/>
    <w:rsid w:val="29D457AB"/>
    <w:rsid w:val="2A5F3326"/>
    <w:rsid w:val="2A62383D"/>
    <w:rsid w:val="2A662182"/>
    <w:rsid w:val="2A6D37AC"/>
    <w:rsid w:val="2AC63A72"/>
    <w:rsid w:val="2AD27817"/>
    <w:rsid w:val="2AE90B77"/>
    <w:rsid w:val="2B9149F3"/>
    <w:rsid w:val="2B9E4401"/>
    <w:rsid w:val="2BAE32CF"/>
    <w:rsid w:val="2BB53743"/>
    <w:rsid w:val="2BC86DB2"/>
    <w:rsid w:val="2BEE600C"/>
    <w:rsid w:val="2BFC3EB7"/>
    <w:rsid w:val="2C5928A7"/>
    <w:rsid w:val="2C5C1839"/>
    <w:rsid w:val="2C652644"/>
    <w:rsid w:val="2C6C23C3"/>
    <w:rsid w:val="2C9640B5"/>
    <w:rsid w:val="2CCC6D99"/>
    <w:rsid w:val="2CF86E01"/>
    <w:rsid w:val="2D9B3372"/>
    <w:rsid w:val="2DAF6D80"/>
    <w:rsid w:val="2DBA0995"/>
    <w:rsid w:val="2DC27014"/>
    <w:rsid w:val="2DFE7669"/>
    <w:rsid w:val="2E05778F"/>
    <w:rsid w:val="2E344AA0"/>
    <w:rsid w:val="2EA25753"/>
    <w:rsid w:val="2EBC05C2"/>
    <w:rsid w:val="2EF81410"/>
    <w:rsid w:val="2F5811DA"/>
    <w:rsid w:val="2F5D7D41"/>
    <w:rsid w:val="2F866FF8"/>
    <w:rsid w:val="2F8B77C1"/>
    <w:rsid w:val="2F9148B2"/>
    <w:rsid w:val="2F970DF9"/>
    <w:rsid w:val="30257789"/>
    <w:rsid w:val="30723EBB"/>
    <w:rsid w:val="308C2994"/>
    <w:rsid w:val="308E2525"/>
    <w:rsid w:val="30AC6769"/>
    <w:rsid w:val="30C714A1"/>
    <w:rsid w:val="30C96FC7"/>
    <w:rsid w:val="30D2532F"/>
    <w:rsid w:val="30F01BDC"/>
    <w:rsid w:val="30FB1D6B"/>
    <w:rsid w:val="31296922"/>
    <w:rsid w:val="31453AD6"/>
    <w:rsid w:val="315C6AC7"/>
    <w:rsid w:val="319A7284"/>
    <w:rsid w:val="319D6E9C"/>
    <w:rsid w:val="31BE7923"/>
    <w:rsid w:val="31D10829"/>
    <w:rsid w:val="31DD0841"/>
    <w:rsid w:val="31E340B8"/>
    <w:rsid w:val="31F75486"/>
    <w:rsid w:val="32106782"/>
    <w:rsid w:val="321737BD"/>
    <w:rsid w:val="321A061F"/>
    <w:rsid w:val="3225547A"/>
    <w:rsid w:val="323F587B"/>
    <w:rsid w:val="32851872"/>
    <w:rsid w:val="33376E11"/>
    <w:rsid w:val="333C43C8"/>
    <w:rsid w:val="333D3C9C"/>
    <w:rsid w:val="33AE5533"/>
    <w:rsid w:val="33B20FDF"/>
    <w:rsid w:val="33CA102F"/>
    <w:rsid w:val="33D21B99"/>
    <w:rsid w:val="340A6274"/>
    <w:rsid w:val="34335D23"/>
    <w:rsid w:val="344C23E9"/>
    <w:rsid w:val="346C65E7"/>
    <w:rsid w:val="349A0CEE"/>
    <w:rsid w:val="34A76F6E"/>
    <w:rsid w:val="34B47820"/>
    <w:rsid w:val="34E4724E"/>
    <w:rsid w:val="35413979"/>
    <w:rsid w:val="35522C8A"/>
    <w:rsid w:val="35561690"/>
    <w:rsid w:val="35D91618"/>
    <w:rsid w:val="362A675A"/>
    <w:rsid w:val="3671576A"/>
    <w:rsid w:val="36B40CF8"/>
    <w:rsid w:val="36B43E37"/>
    <w:rsid w:val="36B97ADD"/>
    <w:rsid w:val="36DB66E6"/>
    <w:rsid w:val="370A3EEB"/>
    <w:rsid w:val="37292890"/>
    <w:rsid w:val="372C4753"/>
    <w:rsid w:val="37357164"/>
    <w:rsid w:val="37B101EB"/>
    <w:rsid w:val="37B1660C"/>
    <w:rsid w:val="37B833F9"/>
    <w:rsid w:val="37BA2034"/>
    <w:rsid w:val="38C83236"/>
    <w:rsid w:val="38D40A1E"/>
    <w:rsid w:val="38FE7E8D"/>
    <w:rsid w:val="391D3291"/>
    <w:rsid w:val="39494261"/>
    <w:rsid w:val="394B0719"/>
    <w:rsid w:val="39537181"/>
    <w:rsid w:val="396A4218"/>
    <w:rsid w:val="39837157"/>
    <w:rsid w:val="39842006"/>
    <w:rsid w:val="3998512C"/>
    <w:rsid w:val="399860D0"/>
    <w:rsid w:val="39AB12AA"/>
    <w:rsid w:val="39CF4710"/>
    <w:rsid w:val="39F60425"/>
    <w:rsid w:val="39F871AB"/>
    <w:rsid w:val="39FC7DAF"/>
    <w:rsid w:val="3A085004"/>
    <w:rsid w:val="3A4B63D8"/>
    <w:rsid w:val="3A6A4FD5"/>
    <w:rsid w:val="3A712BA9"/>
    <w:rsid w:val="3A995420"/>
    <w:rsid w:val="3AB17E35"/>
    <w:rsid w:val="3B0E3DBE"/>
    <w:rsid w:val="3B2F2199"/>
    <w:rsid w:val="3B4A33FA"/>
    <w:rsid w:val="3B512C45"/>
    <w:rsid w:val="3B6E1485"/>
    <w:rsid w:val="3BCE7CAB"/>
    <w:rsid w:val="3BEE1859"/>
    <w:rsid w:val="3C025A83"/>
    <w:rsid w:val="3C0B4937"/>
    <w:rsid w:val="3C1A0A55"/>
    <w:rsid w:val="3C335C3C"/>
    <w:rsid w:val="3C834E15"/>
    <w:rsid w:val="3C882D21"/>
    <w:rsid w:val="3CC01BC6"/>
    <w:rsid w:val="3CC20ED4"/>
    <w:rsid w:val="3CCB0F64"/>
    <w:rsid w:val="3CCB7F4E"/>
    <w:rsid w:val="3CD63625"/>
    <w:rsid w:val="3CDB4965"/>
    <w:rsid w:val="3CF931B2"/>
    <w:rsid w:val="3D0616A6"/>
    <w:rsid w:val="3D260CD0"/>
    <w:rsid w:val="3D267742"/>
    <w:rsid w:val="3D7B3FAD"/>
    <w:rsid w:val="3DC254CA"/>
    <w:rsid w:val="3DD1349C"/>
    <w:rsid w:val="3DF144AD"/>
    <w:rsid w:val="3E212A7E"/>
    <w:rsid w:val="3E2E36C0"/>
    <w:rsid w:val="3E3F202E"/>
    <w:rsid w:val="3E504DA1"/>
    <w:rsid w:val="3E7B0B8E"/>
    <w:rsid w:val="3EF56C64"/>
    <w:rsid w:val="3F5C796A"/>
    <w:rsid w:val="3FA47798"/>
    <w:rsid w:val="3FB37991"/>
    <w:rsid w:val="401E123E"/>
    <w:rsid w:val="40391390"/>
    <w:rsid w:val="405D23A8"/>
    <w:rsid w:val="40854466"/>
    <w:rsid w:val="409B1E8D"/>
    <w:rsid w:val="40E7450B"/>
    <w:rsid w:val="41220E6C"/>
    <w:rsid w:val="41281AE7"/>
    <w:rsid w:val="412907F7"/>
    <w:rsid w:val="413255B1"/>
    <w:rsid w:val="415A3295"/>
    <w:rsid w:val="416156AA"/>
    <w:rsid w:val="419014A9"/>
    <w:rsid w:val="4196379E"/>
    <w:rsid w:val="42544AFB"/>
    <w:rsid w:val="425668D8"/>
    <w:rsid w:val="426923B8"/>
    <w:rsid w:val="42D00689"/>
    <w:rsid w:val="42DE6715"/>
    <w:rsid w:val="431C44AA"/>
    <w:rsid w:val="43254DBA"/>
    <w:rsid w:val="432A59BE"/>
    <w:rsid w:val="434B5F61"/>
    <w:rsid w:val="43507DFC"/>
    <w:rsid w:val="435232FF"/>
    <w:rsid w:val="435C1F1C"/>
    <w:rsid w:val="43847352"/>
    <w:rsid w:val="438B1DE9"/>
    <w:rsid w:val="43B52607"/>
    <w:rsid w:val="43F30C8A"/>
    <w:rsid w:val="43F35309"/>
    <w:rsid w:val="4413652A"/>
    <w:rsid w:val="44867B25"/>
    <w:rsid w:val="44930A79"/>
    <w:rsid w:val="44BF2933"/>
    <w:rsid w:val="44DA7A2D"/>
    <w:rsid w:val="44DC0C08"/>
    <w:rsid w:val="44E24D0F"/>
    <w:rsid w:val="451F4B74"/>
    <w:rsid w:val="4528655A"/>
    <w:rsid w:val="459A7D41"/>
    <w:rsid w:val="45B67EBF"/>
    <w:rsid w:val="460903AC"/>
    <w:rsid w:val="462C182F"/>
    <w:rsid w:val="46511AE0"/>
    <w:rsid w:val="46804174"/>
    <w:rsid w:val="46FC6684"/>
    <w:rsid w:val="472B0583"/>
    <w:rsid w:val="47403B30"/>
    <w:rsid w:val="475E2EA5"/>
    <w:rsid w:val="475F3008"/>
    <w:rsid w:val="47A47D96"/>
    <w:rsid w:val="47E64083"/>
    <w:rsid w:val="480F346C"/>
    <w:rsid w:val="48274AEC"/>
    <w:rsid w:val="482A0DB5"/>
    <w:rsid w:val="484713ED"/>
    <w:rsid w:val="487D4E0F"/>
    <w:rsid w:val="487F4A93"/>
    <w:rsid w:val="48E51A27"/>
    <w:rsid w:val="4A0C644A"/>
    <w:rsid w:val="4A12074B"/>
    <w:rsid w:val="4A2E7440"/>
    <w:rsid w:val="4A2F4EC1"/>
    <w:rsid w:val="4A571049"/>
    <w:rsid w:val="4A67089F"/>
    <w:rsid w:val="4AD15122"/>
    <w:rsid w:val="4AE33A58"/>
    <w:rsid w:val="4AE33A6B"/>
    <w:rsid w:val="4AF122F0"/>
    <w:rsid w:val="4B303B6B"/>
    <w:rsid w:val="4B34278E"/>
    <w:rsid w:val="4BB92B52"/>
    <w:rsid w:val="4BDC009E"/>
    <w:rsid w:val="4C161DC5"/>
    <w:rsid w:val="4C237A7B"/>
    <w:rsid w:val="4C2D1ED9"/>
    <w:rsid w:val="4C573380"/>
    <w:rsid w:val="4C965D00"/>
    <w:rsid w:val="4CC12FFC"/>
    <w:rsid w:val="4CC4617F"/>
    <w:rsid w:val="4CD45776"/>
    <w:rsid w:val="4CFF45D5"/>
    <w:rsid w:val="4D152A86"/>
    <w:rsid w:val="4D1843F2"/>
    <w:rsid w:val="4D4C735D"/>
    <w:rsid w:val="4D8300D6"/>
    <w:rsid w:val="4D950C5B"/>
    <w:rsid w:val="4DC25075"/>
    <w:rsid w:val="4DCF7EBB"/>
    <w:rsid w:val="4DF00E08"/>
    <w:rsid w:val="4E53210E"/>
    <w:rsid w:val="4E7848CC"/>
    <w:rsid w:val="4ED667D8"/>
    <w:rsid w:val="4F9111A0"/>
    <w:rsid w:val="4FA436ED"/>
    <w:rsid w:val="4FC61FF0"/>
    <w:rsid w:val="4FE65048"/>
    <w:rsid w:val="500001F2"/>
    <w:rsid w:val="50015553"/>
    <w:rsid w:val="50877EF8"/>
    <w:rsid w:val="50A433C7"/>
    <w:rsid w:val="50A82C45"/>
    <w:rsid w:val="50BF3A21"/>
    <w:rsid w:val="50D4472B"/>
    <w:rsid w:val="50D67C2E"/>
    <w:rsid w:val="51134562"/>
    <w:rsid w:val="511D6410"/>
    <w:rsid w:val="51253231"/>
    <w:rsid w:val="51583D23"/>
    <w:rsid w:val="520E31AE"/>
    <w:rsid w:val="524C7CB5"/>
    <w:rsid w:val="52BE1CCD"/>
    <w:rsid w:val="52C535BF"/>
    <w:rsid w:val="52C61661"/>
    <w:rsid w:val="52CC4866"/>
    <w:rsid w:val="52E065E9"/>
    <w:rsid w:val="52F0054F"/>
    <w:rsid w:val="531138D4"/>
    <w:rsid w:val="53370692"/>
    <w:rsid w:val="538E4924"/>
    <w:rsid w:val="53B13BBE"/>
    <w:rsid w:val="53C57104"/>
    <w:rsid w:val="53F677C9"/>
    <w:rsid w:val="5409239C"/>
    <w:rsid w:val="54660D84"/>
    <w:rsid w:val="54D062C6"/>
    <w:rsid w:val="54E0475B"/>
    <w:rsid w:val="54F76864"/>
    <w:rsid w:val="55026999"/>
    <w:rsid w:val="559519EA"/>
    <w:rsid w:val="55B07FE1"/>
    <w:rsid w:val="55C951EF"/>
    <w:rsid w:val="55D01AD3"/>
    <w:rsid w:val="55E27377"/>
    <w:rsid w:val="56313160"/>
    <w:rsid w:val="56336B0D"/>
    <w:rsid w:val="564927D4"/>
    <w:rsid w:val="56777341"/>
    <w:rsid w:val="569E772A"/>
    <w:rsid w:val="56AD44C1"/>
    <w:rsid w:val="572D0293"/>
    <w:rsid w:val="579E3D67"/>
    <w:rsid w:val="57AF3D7C"/>
    <w:rsid w:val="57B07556"/>
    <w:rsid w:val="57D4087C"/>
    <w:rsid w:val="57EF3BD4"/>
    <w:rsid w:val="58041751"/>
    <w:rsid w:val="58930993"/>
    <w:rsid w:val="58BF6C57"/>
    <w:rsid w:val="59094320"/>
    <w:rsid w:val="594A2B8C"/>
    <w:rsid w:val="596077FA"/>
    <w:rsid w:val="59A05CA7"/>
    <w:rsid w:val="59AD2128"/>
    <w:rsid w:val="59AD4E28"/>
    <w:rsid w:val="59C43254"/>
    <w:rsid w:val="59FA5CA5"/>
    <w:rsid w:val="5A0D7B97"/>
    <w:rsid w:val="5A213549"/>
    <w:rsid w:val="5A3D1234"/>
    <w:rsid w:val="5ACE4F06"/>
    <w:rsid w:val="5AFF7905"/>
    <w:rsid w:val="5B0E18F6"/>
    <w:rsid w:val="5B590DC3"/>
    <w:rsid w:val="5B723F21"/>
    <w:rsid w:val="5B744166"/>
    <w:rsid w:val="5B9723D0"/>
    <w:rsid w:val="5BAA5BFB"/>
    <w:rsid w:val="5BC81ACB"/>
    <w:rsid w:val="5BFC7B76"/>
    <w:rsid w:val="5C063D09"/>
    <w:rsid w:val="5C095A72"/>
    <w:rsid w:val="5C3E620B"/>
    <w:rsid w:val="5C3F76B7"/>
    <w:rsid w:val="5C4E40FD"/>
    <w:rsid w:val="5C836B56"/>
    <w:rsid w:val="5CA35DFA"/>
    <w:rsid w:val="5CDD2694"/>
    <w:rsid w:val="5CE0366C"/>
    <w:rsid w:val="5D2B2C96"/>
    <w:rsid w:val="5D4C079D"/>
    <w:rsid w:val="5D850596"/>
    <w:rsid w:val="5D971696"/>
    <w:rsid w:val="5DE91920"/>
    <w:rsid w:val="5E055233"/>
    <w:rsid w:val="5E3A6227"/>
    <w:rsid w:val="5E521F28"/>
    <w:rsid w:val="5E596777"/>
    <w:rsid w:val="5E6721EE"/>
    <w:rsid w:val="5E774A07"/>
    <w:rsid w:val="5E8223DB"/>
    <w:rsid w:val="5E8720EC"/>
    <w:rsid w:val="5E8A16E8"/>
    <w:rsid w:val="5E9F131C"/>
    <w:rsid w:val="5F0135F2"/>
    <w:rsid w:val="5F3758C0"/>
    <w:rsid w:val="5F7771DF"/>
    <w:rsid w:val="5F97010C"/>
    <w:rsid w:val="5F990328"/>
    <w:rsid w:val="5FB52C88"/>
    <w:rsid w:val="5FB567E4"/>
    <w:rsid w:val="5FE771E7"/>
    <w:rsid w:val="600A4E1D"/>
    <w:rsid w:val="601222BF"/>
    <w:rsid w:val="603040BD"/>
    <w:rsid w:val="604E7E90"/>
    <w:rsid w:val="60553F98"/>
    <w:rsid w:val="607466A0"/>
    <w:rsid w:val="60CA77DA"/>
    <w:rsid w:val="60DB1BA6"/>
    <w:rsid w:val="60E115FE"/>
    <w:rsid w:val="61706E67"/>
    <w:rsid w:val="6187560F"/>
    <w:rsid w:val="61894395"/>
    <w:rsid w:val="623835D2"/>
    <w:rsid w:val="62553ECE"/>
    <w:rsid w:val="62682941"/>
    <w:rsid w:val="62774225"/>
    <w:rsid w:val="629224CF"/>
    <w:rsid w:val="62B56081"/>
    <w:rsid w:val="63163A33"/>
    <w:rsid w:val="63293771"/>
    <w:rsid w:val="632C30AB"/>
    <w:rsid w:val="636F1287"/>
    <w:rsid w:val="63811F28"/>
    <w:rsid w:val="63860BC4"/>
    <w:rsid w:val="63B514A9"/>
    <w:rsid w:val="63E503B2"/>
    <w:rsid w:val="64064729"/>
    <w:rsid w:val="64416899"/>
    <w:rsid w:val="64BD2457"/>
    <w:rsid w:val="64BE0654"/>
    <w:rsid w:val="64C115D9"/>
    <w:rsid w:val="64E57E73"/>
    <w:rsid w:val="65024FE6"/>
    <w:rsid w:val="65130235"/>
    <w:rsid w:val="659E1937"/>
    <w:rsid w:val="65AD0671"/>
    <w:rsid w:val="65B74107"/>
    <w:rsid w:val="65ED0215"/>
    <w:rsid w:val="66326DE1"/>
    <w:rsid w:val="664A237C"/>
    <w:rsid w:val="664D7E66"/>
    <w:rsid w:val="668734C3"/>
    <w:rsid w:val="669D0EEA"/>
    <w:rsid w:val="66AE3383"/>
    <w:rsid w:val="66B626E0"/>
    <w:rsid w:val="66D222BD"/>
    <w:rsid w:val="66D85CF0"/>
    <w:rsid w:val="66F36075"/>
    <w:rsid w:val="67007749"/>
    <w:rsid w:val="67095290"/>
    <w:rsid w:val="67357D6D"/>
    <w:rsid w:val="67380427"/>
    <w:rsid w:val="67682089"/>
    <w:rsid w:val="67C4144C"/>
    <w:rsid w:val="67D22629"/>
    <w:rsid w:val="680B1697"/>
    <w:rsid w:val="682C7077"/>
    <w:rsid w:val="68365A29"/>
    <w:rsid w:val="685A43CD"/>
    <w:rsid w:val="689A76AB"/>
    <w:rsid w:val="68C34FEC"/>
    <w:rsid w:val="68C50ED9"/>
    <w:rsid w:val="68CE4682"/>
    <w:rsid w:val="68E22A71"/>
    <w:rsid w:val="690B0E8D"/>
    <w:rsid w:val="69407A67"/>
    <w:rsid w:val="69904740"/>
    <w:rsid w:val="69955344"/>
    <w:rsid w:val="69AD626E"/>
    <w:rsid w:val="69B80D28"/>
    <w:rsid w:val="69C45FA2"/>
    <w:rsid w:val="69E45E8A"/>
    <w:rsid w:val="6A4D243B"/>
    <w:rsid w:val="6A5175BC"/>
    <w:rsid w:val="6ABB5B0E"/>
    <w:rsid w:val="6AFB3992"/>
    <w:rsid w:val="6B061D23"/>
    <w:rsid w:val="6B205CF8"/>
    <w:rsid w:val="6B7C2B34"/>
    <w:rsid w:val="6BF64EAE"/>
    <w:rsid w:val="6C2446F9"/>
    <w:rsid w:val="6C274E65"/>
    <w:rsid w:val="6C3B431E"/>
    <w:rsid w:val="6C895281"/>
    <w:rsid w:val="6CAF118B"/>
    <w:rsid w:val="6CBB3973"/>
    <w:rsid w:val="6CDC6D8E"/>
    <w:rsid w:val="6CE90966"/>
    <w:rsid w:val="6CF9123E"/>
    <w:rsid w:val="6D031699"/>
    <w:rsid w:val="6D585798"/>
    <w:rsid w:val="6D9764FF"/>
    <w:rsid w:val="6DB22C06"/>
    <w:rsid w:val="6DD96349"/>
    <w:rsid w:val="6DE03D66"/>
    <w:rsid w:val="6DE36C58"/>
    <w:rsid w:val="6DF456B4"/>
    <w:rsid w:val="6DFB0400"/>
    <w:rsid w:val="6E2E6EEA"/>
    <w:rsid w:val="6E480B7B"/>
    <w:rsid w:val="6E616EBC"/>
    <w:rsid w:val="6EFA1135"/>
    <w:rsid w:val="6F4F27B2"/>
    <w:rsid w:val="6FAC2771"/>
    <w:rsid w:val="6FCB0CF7"/>
    <w:rsid w:val="6FF23B38"/>
    <w:rsid w:val="6FF536C2"/>
    <w:rsid w:val="70310A83"/>
    <w:rsid w:val="70D30A99"/>
    <w:rsid w:val="70E03722"/>
    <w:rsid w:val="710315D9"/>
    <w:rsid w:val="71186BD3"/>
    <w:rsid w:val="715043E1"/>
    <w:rsid w:val="71812947"/>
    <w:rsid w:val="71B911F8"/>
    <w:rsid w:val="71BF1EC9"/>
    <w:rsid w:val="71DB29CA"/>
    <w:rsid w:val="71E116BB"/>
    <w:rsid w:val="72086C48"/>
    <w:rsid w:val="721D09F2"/>
    <w:rsid w:val="723942F4"/>
    <w:rsid w:val="72AC4633"/>
    <w:rsid w:val="72B10ABA"/>
    <w:rsid w:val="72D60AF4"/>
    <w:rsid w:val="730814C9"/>
    <w:rsid w:val="730D5951"/>
    <w:rsid w:val="73250AF8"/>
    <w:rsid w:val="732A6D75"/>
    <w:rsid w:val="732D2E0A"/>
    <w:rsid w:val="733817AF"/>
    <w:rsid w:val="735623E1"/>
    <w:rsid w:val="736949E6"/>
    <w:rsid w:val="73863CE8"/>
    <w:rsid w:val="739410AD"/>
    <w:rsid w:val="73A20FDF"/>
    <w:rsid w:val="73AD1C57"/>
    <w:rsid w:val="73D946F0"/>
    <w:rsid w:val="73F00142"/>
    <w:rsid w:val="73F05BE5"/>
    <w:rsid w:val="7410312E"/>
    <w:rsid w:val="74195A99"/>
    <w:rsid w:val="744F39DE"/>
    <w:rsid w:val="748B5C62"/>
    <w:rsid w:val="74D12CB3"/>
    <w:rsid w:val="74DF584C"/>
    <w:rsid w:val="74E12C34"/>
    <w:rsid w:val="75227815"/>
    <w:rsid w:val="753417CF"/>
    <w:rsid w:val="756663A6"/>
    <w:rsid w:val="758A0D38"/>
    <w:rsid w:val="758B5965"/>
    <w:rsid w:val="75C9322D"/>
    <w:rsid w:val="75E44CC4"/>
    <w:rsid w:val="75F72A95"/>
    <w:rsid w:val="761413B6"/>
    <w:rsid w:val="76357511"/>
    <w:rsid w:val="76380DE0"/>
    <w:rsid w:val="765A4D38"/>
    <w:rsid w:val="76754F3C"/>
    <w:rsid w:val="767E1BCE"/>
    <w:rsid w:val="767F74F6"/>
    <w:rsid w:val="769E63CC"/>
    <w:rsid w:val="76AA3BBE"/>
    <w:rsid w:val="76AE0046"/>
    <w:rsid w:val="76B26A4C"/>
    <w:rsid w:val="76CC46E8"/>
    <w:rsid w:val="76D96E05"/>
    <w:rsid w:val="76DD3FCF"/>
    <w:rsid w:val="76E77774"/>
    <w:rsid w:val="76F04007"/>
    <w:rsid w:val="773735E2"/>
    <w:rsid w:val="77610DB1"/>
    <w:rsid w:val="77715A51"/>
    <w:rsid w:val="77E41BCE"/>
    <w:rsid w:val="78417146"/>
    <w:rsid w:val="78482365"/>
    <w:rsid w:val="78807F41"/>
    <w:rsid w:val="788334CC"/>
    <w:rsid w:val="78D369EC"/>
    <w:rsid w:val="7961380D"/>
    <w:rsid w:val="79B017FC"/>
    <w:rsid w:val="79B6253C"/>
    <w:rsid w:val="79BB0EF6"/>
    <w:rsid w:val="79C008CD"/>
    <w:rsid w:val="7A2E6963"/>
    <w:rsid w:val="7A3C4EF3"/>
    <w:rsid w:val="7A6A66F1"/>
    <w:rsid w:val="7A7B7B40"/>
    <w:rsid w:val="7A886B78"/>
    <w:rsid w:val="7A9131A4"/>
    <w:rsid w:val="7AC5601E"/>
    <w:rsid w:val="7B02475C"/>
    <w:rsid w:val="7B2D19BF"/>
    <w:rsid w:val="7B42766E"/>
    <w:rsid w:val="7B46305F"/>
    <w:rsid w:val="7B59516B"/>
    <w:rsid w:val="7B5F4AF6"/>
    <w:rsid w:val="7B7A3121"/>
    <w:rsid w:val="7B9976E6"/>
    <w:rsid w:val="7C1A6677"/>
    <w:rsid w:val="7C2826E5"/>
    <w:rsid w:val="7C4411C4"/>
    <w:rsid w:val="7C6B04AB"/>
    <w:rsid w:val="7C7A771D"/>
    <w:rsid w:val="7D205B85"/>
    <w:rsid w:val="7D2F63A0"/>
    <w:rsid w:val="7D341239"/>
    <w:rsid w:val="7D4C003E"/>
    <w:rsid w:val="7D68074E"/>
    <w:rsid w:val="7DB25813"/>
    <w:rsid w:val="7DE10E9F"/>
    <w:rsid w:val="7E1D280B"/>
    <w:rsid w:val="7E665422"/>
    <w:rsid w:val="7EB4296F"/>
    <w:rsid w:val="7EBB0026"/>
    <w:rsid w:val="7F0C0981"/>
    <w:rsid w:val="7F3336E7"/>
    <w:rsid w:val="7F653A26"/>
    <w:rsid w:val="7FCB7F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qFormat="1"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nhideWhenUsed="0" w:uiPriority="99" w:semiHidden="0"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400" w:lineRule="exact"/>
      <w:jc w:val="both"/>
    </w:pPr>
    <w:rPr>
      <w:rFonts w:ascii="Calibri Light" w:hAnsi="Calibri Light" w:eastAsia="华文仿宋" w:cs="Times New Roman"/>
      <w:kern w:val="2"/>
      <w:sz w:val="28"/>
      <w:szCs w:val="28"/>
      <w:lang w:val="en-US" w:eastAsia="zh-CN" w:bidi="ar-SA"/>
    </w:rPr>
  </w:style>
  <w:style w:type="paragraph" w:styleId="3">
    <w:name w:val="heading 1"/>
    <w:basedOn w:val="1"/>
    <w:next w:val="1"/>
    <w:link w:val="59"/>
    <w:autoRedefine/>
    <w:qFormat/>
    <w:uiPriority w:val="99"/>
    <w:pPr>
      <w:keepNext/>
      <w:keepLines/>
      <w:spacing w:line="240" w:lineRule="auto"/>
      <w:jc w:val="center"/>
      <w:outlineLvl w:val="0"/>
    </w:pPr>
    <w:rPr>
      <w:b/>
      <w:bCs/>
      <w:kern w:val="44"/>
      <w:sz w:val="36"/>
      <w:szCs w:val="44"/>
    </w:rPr>
  </w:style>
  <w:style w:type="paragraph" w:styleId="4">
    <w:name w:val="heading 2"/>
    <w:basedOn w:val="1"/>
    <w:next w:val="1"/>
    <w:link w:val="146"/>
    <w:autoRedefine/>
    <w:qFormat/>
    <w:uiPriority w:val="99"/>
    <w:pPr>
      <w:keepNext/>
      <w:keepLines/>
      <w:spacing w:line="240" w:lineRule="auto"/>
      <w:outlineLvl w:val="1"/>
    </w:pPr>
    <w:rPr>
      <w:rFonts w:ascii="Calibri" w:hAnsi="Calibri"/>
      <w:b/>
      <w:bCs/>
      <w:sz w:val="32"/>
      <w:szCs w:val="32"/>
    </w:rPr>
  </w:style>
  <w:style w:type="paragraph" w:styleId="5">
    <w:name w:val="heading 3"/>
    <w:basedOn w:val="1"/>
    <w:next w:val="1"/>
    <w:link w:val="61"/>
    <w:autoRedefine/>
    <w:qFormat/>
    <w:uiPriority w:val="99"/>
    <w:pPr>
      <w:keepNext/>
      <w:keepLines/>
      <w:spacing w:line="400" w:lineRule="atLeast"/>
      <w:jc w:val="center"/>
      <w:outlineLvl w:val="2"/>
    </w:pPr>
    <w:rPr>
      <w:b/>
      <w:bCs/>
      <w:sz w:val="32"/>
      <w:szCs w:val="32"/>
      <w:u w:val="double"/>
    </w:rPr>
  </w:style>
  <w:style w:type="paragraph" w:styleId="6">
    <w:name w:val="heading 4"/>
    <w:basedOn w:val="1"/>
    <w:next w:val="1"/>
    <w:link w:val="97"/>
    <w:autoRedefine/>
    <w:qFormat/>
    <w:uiPriority w:val="99"/>
    <w:pPr>
      <w:ind w:left="724"/>
      <w:outlineLvl w:val="3"/>
    </w:pPr>
    <w:rPr>
      <w:rFonts w:ascii="仿宋" w:hAnsi="仿宋" w:eastAsia="仿宋" w:cs="仿宋"/>
      <w:b/>
      <w:bCs/>
      <w:lang w:val="ja-JP" w:eastAsia="ja-JP" w:bidi="ja-JP"/>
    </w:rPr>
  </w:style>
  <w:style w:type="paragraph" w:styleId="7">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2"/>
    <w:basedOn w:val="1"/>
    <w:link w:val="102"/>
    <w:autoRedefine/>
    <w:qFormat/>
    <w:uiPriority w:val="99"/>
    <w:pPr>
      <w:widowControl w:val="0"/>
      <w:spacing w:after="120" w:line="480" w:lineRule="auto"/>
      <w:ind w:left="420" w:leftChars="200"/>
    </w:pPr>
    <w:rPr>
      <w:rFonts w:ascii="Calibri" w:hAnsi="Calibri" w:eastAsia="宋体" w:cs="Calibri"/>
      <w:sz w:val="21"/>
      <w:szCs w:val="21"/>
    </w:rPr>
  </w:style>
  <w:style w:type="paragraph" w:styleId="8">
    <w:name w:val="toc 7"/>
    <w:basedOn w:val="1"/>
    <w:next w:val="1"/>
    <w:autoRedefine/>
    <w:unhideWhenUsed/>
    <w:qFormat/>
    <w:uiPriority w:val="39"/>
    <w:pPr>
      <w:ind w:left="1680"/>
      <w:jc w:val="left"/>
    </w:pPr>
    <w:rPr>
      <w:rFonts w:asciiTheme="minorHAnsi" w:hAnsiTheme="minorHAnsi"/>
      <w:sz w:val="18"/>
      <w:szCs w:val="18"/>
    </w:rPr>
  </w:style>
  <w:style w:type="paragraph" w:styleId="9">
    <w:name w:val="Normal Indent"/>
    <w:basedOn w:val="1"/>
    <w:autoRedefine/>
    <w:qFormat/>
    <w:uiPriority w:val="99"/>
    <w:pPr>
      <w:widowControl w:val="0"/>
      <w:spacing w:line="240" w:lineRule="auto"/>
      <w:ind w:firstLine="420"/>
    </w:pPr>
    <w:rPr>
      <w:rFonts w:ascii="Calibri" w:hAnsi="Calibri" w:eastAsia="宋体" w:cs="Calibri"/>
      <w:sz w:val="21"/>
      <w:szCs w:val="21"/>
    </w:rPr>
  </w:style>
  <w:style w:type="paragraph" w:styleId="10">
    <w:name w:val="Document Map"/>
    <w:basedOn w:val="1"/>
    <w:link w:val="62"/>
    <w:autoRedefine/>
    <w:qFormat/>
    <w:uiPriority w:val="99"/>
    <w:rPr>
      <w:rFonts w:ascii="宋体" w:eastAsia="宋体"/>
      <w:sz w:val="18"/>
      <w:szCs w:val="18"/>
    </w:rPr>
  </w:style>
  <w:style w:type="paragraph" w:styleId="11">
    <w:name w:val="annotation text"/>
    <w:basedOn w:val="1"/>
    <w:link w:val="100"/>
    <w:autoRedefine/>
    <w:semiHidden/>
    <w:qFormat/>
    <w:uiPriority w:val="99"/>
    <w:pPr>
      <w:widowControl w:val="0"/>
      <w:spacing w:line="240" w:lineRule="auto"/>
      <w:jc w:val="left"/>
    </w:pPr>
    <w:rPr>
      <w:rFonts w:ascii="宋体" w:hAnsi="Calibri" w:eastAsia="宋体" w:cs="宋体"/>
      <w:kern w:val="0"/>
      <w:sz w:val="34"/>
      <w:szCs w:val="34"/>
    </w:rPr>
  </w:style>
  <w:style w:type="paragraph" w:styleId="12">
    <w:name w:val="Body Text 3"/>
    <w:basedOn w:val="1"/>
    <w:qFormat/>
    <w:uiPriority w:val="0"/>
    <w:pPr>
      <w:spacing w:after="120" w:line="360" w:lineRule="auto"/>
      <w:ind w:firstLine="420" w:firstLineChars="200"/>
      <w:jc w:val="left"/>
    </w:pPr>
    <w:rPr>
      <w:rFonts w:ascii="Times New Roman" w:hAnsi="Times New Roman" w:eastAsia="宋体" w:cs="Times New Roman"/>
      <w:sz w:val="16"/>
      <w:szCs w:val="16"/>
    </w:rPr>
  </w:style>
  <w:style w:type="paragraph" w:styleId="13">
    <w:name w:val="Body Text"/>
    <w:basedOn w:val="1"/>
    <w:next w:val="14"/>
    <w:link w:val="98"/>
    <w:autoRedefine/>
    <w:qFormat/>
    <w:uiPriority w:val="99"/>
    <w:rPr>
      <w:rFonts w:ascii="仿宋" w:hAnsi="仿宋" w:eastAsia="仿宋" w:cs="仿宋"/>
      <w:lang w:val="ja-JP" w:eastAsia="ja-JP" w:bidi="ja-JP"/>
    </w:rPr>
  </w:style>
  <w:style w:type="paragraph" w:styleId="14">
    <w:name w:val="Body Text First Indent"/>
    <w:basedOn w:val="13"/>
    <w:next w:val="15"/>
    <w:autoRedefine/>
    <w:qFormat/>
    <w:uiPriority w:val="0"/>
    <w:pPr>
      <w:ind w:firstLine="420" w:firstLineChars="100"/>
    </w:pPr>
  </w:style>
  <w:style w:type="paragraph" w:styleId="15">
    <w:name w:val="toc 6"/>
    <w:basedOn w:val="1"/>
    <w:next w:val="1"/>
    <w:autoRedefine/>
    <w:unhideWhenUsed/>
    <w:qFormat/>
    <w:uiPriority w:val="39"/>
    <w:pPr>
      <w:ind w:left="1400"/>
      <w:jc w:val="left"/>
    </w:pPr>
    <w:rPr>
      <w:rFonts w:asciiTheme="minorHAnsi" w:hAnsiTheme="minorHAnsi"/>
      <w:sz w:val="18"/>
      <w:szCs w:val="18"/>
    </w:rPr>
  </w:style>
  <w:style w:type="paragraph" w:styleId="16">
    <w:name w:val="Body Text Indent"/>
    <w:basedOn w:val="1"/>
    <w:link w:val="101"/>
    <w:autoRedefine/>
    <w:qFormat/>
    <w:uiPriority w:val="99"/>
    <w:pPr>
      <w:widowControl w:val="0"/>
      <w:spacing w:after="120" w:line="240" w:lineRule="auto"/>
      <w:ind w:left="420" w:leftChars="200"/>
    </w:pPr>
    <w:rPr>
      <w:rFonts w:ascii="Calibri" w:hAnsi="Calibri" w:eastAsia="宋体" w:cs="Calibri"/>
      <w:sz w:val="21"/>
      <w:szCs w:val="21"/>
    </w:rPr>
  </w:style>
  <w:style w:type="paragraph" w:styleId="17">
    <w:name w:val="toc 5"/>
    <w:basedOn w:val="1"/>
    <w:next w:val="1"/>
    <w:autoRedefine/>
    <w:unhideWhenUsed/>
    <w:qFormat/>
    <w:uiPriority w:val="39"/>
    <w:pPr>
      <w:ind w:left="1120"/>
      <w:jc w:val="left"/>
    </w:pPr>
    <w:rPr>
      <w:rFonts w:asciiTheme="minorHAnsi" w:hAnsiTheme="minorHAnsi"/>
      <w:sz w:val="18"/>
      <w:szCs w:val="18"/>
    </w:rPr>
  </w:style>
  <w:style w:type="paragraph" w:styleId="18">
    <w:name w:val="toc 3"/>
    <w:basedOn w:val="1"/>
    <w:next w:val="1"/>
    <w:autoRedefine/>
    <w:unhideWhenUsed/>
    <w:qFormat/>
    <w:uiPriority w:val="39"/>
    <w:pPr>
      <w:ind w:left="560"/>
      <w:jc w:val="left"/>
    </w:pPr>
    <w:rPr>
      <w:rFonts w:asciiTheme="minorHAnsi" w:hAnsiTheme="minorHAnsi"/>
      <w:i/>
      <w:iCs/>
      <w:sz w:val="20"/>
      <w:szCs w:val="20"/>
    </w:rPr>
  </w:style>
  <w:style w:type="paragraph" w:styleId="19">
    <w:name w:val="Plain Text"/>
    <w:basedOn w:val="1"/>
    <w:link w:val="63"/>
    <w:autoRedefine/>
    <w:qFormat/>
    <w:uiPriority w:val="0"/>
    <w:rPr>
      <w:rFonts w:ascii="宋体" w:hAnsi="Courier New" w:eastAsia="宋体" w:cs="Courier New"/>
      <w:sz w:val="21"/>
      <w:szCs w:val="21"/>
    </w:rPr>
  </w:style>
  <w:style w:type="paragraph" w:styleId="20">
    <w:name w:val="toc 8"/>
    <w:basedOn w:val="1"/>
    <w:next w:val="1"/>
    <w:autoRedefine/>
    <w:unhideWhenUsed/>
    <w:qFormat/>
    <w:uiPriority w:val="39"/>
    <w:pPr>
      <w:ind w:left="1960"/>
      <w:jc w:val="left"/>
    </w:pPr>
    <w:rPr>
      <w:rFonts w:asciiTheme="minorHAnsi" w:hAnsiTheme="minorHAnsi"/>
      <w:sz w:val="18"/>
      <w:szCs w:val="18"/>
    </w:rPr>
  </w:style>
  <w:style w:type="paragraph" w:styleId="21">
    <w:name w:val="Date"/>
    <w:basedOn w:val="1"/>
    <w:next w:val="1"/>
    <w:link w:val="64"/>
    <w:autoRedefine/>
    <w:qFormat/>
    <w:uiPriority w:val="0"/>
    <w:pPr>
      <w:ind w:left="100" w:leftChars="2500"/>
    </w:pPr>
  </w:style>
  <w:style w:type="paragraph" w:styleId="22">
    <w:name w:val="Balloon Text"/>
    <w:basedOn w:val="1"/>
    <w:link w:val="65"/>
    <w:autoRedefine/>
    <w:qFormat/>
    <w:uiPriority w:val="99"/>
    <w:pPr>
      <w:spacing w:line="240" w:lineRule="auto"/>
    </w:pPr>
    <w:rPr>
      <w:sz w:val="18"/>
      <w:szCs w:val="18"/>
    </w:rPr>
  </w:style>
  <w:style w:type="paragraph" w:styleId="23">
    <w:name w:val="footer"/>
    <w:basedOn w:val="1"/>
    <w:link w:val="66"/>
    <w:autoRedefine/>
    <w:qFormat/>
    <w:uiPriority w:val="99"/>
    <w:pPr>
      <w:widowControl w:val="0"/>
      <w:tabs>
        <w:tab w:val="center" w:pos="4153"/>
        <w:tab w:val="right" w:pos="8306"/>
      </w:tabs>
      <w:snapToGrid w:val="0"/>
      <w:spacing w:line="240" w:lineRule="auto"/>
      <w:jc w:val="left"/>
    </w:pPr>
    <w:rPr>
      <w:kern w:val="0"/>
      <w:sz w:val="18"/>
      <w:szCs w:val="20"/>
    </w:rPr>
  </w:style>
  <w:style w:type="paragraph" w:styleId="24">
    <w:name w:val="envelope return"/>
    <w:basedOn w:val="1"/>
    <w:autoRedefine/>
    <w:unhideWhenUsed/>
    <w:qFormat/>
    <w:uiPriority w:val="99"/>
    <w:pPr>
      <w:snapToGrid w:val="0"/>
    </w:pPr>
    <w:rPr>
      <w:rFonts w:ascii="Arial" w:hAnsi="Arial" w:cs="Arial"/>
    </w:rPr>
  </w:style>
  <w:style w:type="paragraph" w:styleId="25">
    <w:name w:val="header"/>
    <w:basedOn w:val="1"/>
    <w:link w:val="67"/>
    <w:autoRedefine/>
    <w:qFormat/>
    <w:uiPriority w:val="99"/>
    <w:pPr>
      <w:widowControl w:val="0"/>
      <w:pBdr>
        <w:bottom w:val="single" w:color="auto" w:sz="6" w:space="1"/>
      </w:pBdr>
      <w:tabs>
        <w:tab w:val="center" w:pos="4153"/>
        <w:tab w:val="right" w:pos="8306"/>
      </w:tabs>
      <w:snapToGrid w:val="0"/>
      <w:spacing w:line="240" w:lineRule="auto"/>
      <w:jc w:val="center"/>
    </w:pPr>
    <w:rPr>
      <w:kern w:val="0"/>
      <w:sz w:val="18"/>
      <w:szCs w:val="20"/>
    </w:rPr>
  </w:style>
  <w:style w:type="paragraph" w:styleId="26">
    <w:name w:val="toc 1"/>
    <w:basedOn w:val="1"/>
    <w:next w:val="1"/>
    <w:autoRedefine/>
    <w:qFormat/>
    <w:uiPriority w:val="39"/>
    <w:pPr>
      <w:spacing w:before="120" w:after="120"/>
      <w:jc w:val="left"/>
    </w:pPr>
    <w:rPr>
      <w:rFonts w:asciiTheme="minorHAnsi" w:hAnsiTheme="minorHAnsi"/>
      <w:b/>
      <w:bCs/>
      <w:caps/>
      <w:sz w:val="20"/>
      <w:szCs w:val="20"/>
    </w:rPr>
  </w:style>
  <w:style w:type="paragraph" w:styleId="27">
    <w:name w:val="toc 4"/>
    <w:basedOn w:val="1"/>
    <w:next w:val="1"/>
    <w:autoRedefine/>
    <w:unhideWhenUsed/>
    <w:qFormat/>
    <w:uiPriority w:val="39"/>
    <w:pPr>
      <w:ind w:left="840"/>
      <w:jc w:val="left"/>
    </w:pPr>
    <w:rPr>
      <w:rFonts w:asciiTheme="minorHAnsi" w:hAnsiTheme="minorHAnsi"/>
      <w:sz w:val="18"/>
      <w:szCs w:val="18"/>
    </w:rPr>
  </w:style>
  <w:style w:type="paragraph" w:styleId="28">
    <w:name w:val="footnote text"/>
    <w:basedOn w:val="1"/>
    <w:link w:val="103"/>
    <w:autoRedefine/>
    <w:semiHidden/>
    <w:unhideWhenUsed/>
    <w:qFormat/>
    <w:uiPriority w:val="99"/>
    <w:pPr>
      <w:widowControl w:val="0"/>
      <w:snapToGrid w:val="0"/>
      <w:spacing w:line="240" w:lineRule="auto"/>
      <w:jc w:val="left"/>
    </w:pPr>
    <w:rPr>
      <w:rFonts w:ascii="Calibri" w:hAnsi="Calibri" w:eastAsia="宋体" w:cs="Calibri"/>
      <w:sz w:val="18"/>
      <w:szCs w:val="21"/>
    </w:rPr>
  </w:style>
  <w:style w:type="paragraph" w:styleId="29">
    <w:name w:val="toc 2"/>
    <w:basedOn w:val="1"/>
    <w:next w:val="1"/>
    <w:autoRedefine/>
    <w:unhideWhenUsed/>
    <w:qFormat/>
    <w:uiPriority w:val="39"/>
    <w:pPr>
      <w:ind w:left="280"/>
      <w:jc w:val="left"/>
    </w:pPr>
    <w:rPr>
      <w:rFonts w:asciiTheme="minorHAnsi" w:hAnsiTheme="minorHAnsi"/>
      <w:smallCaps/>
      <w:sz w:val="20"/>
      <w:szCs w:val="20"/>
    </w:rPr>
  </w:style>
  <w:style w:type="paragraph" w:styleId="30">
    <w:name w:val="toc 9"/>
    <w:basedOn w:val="1"/>
    <w:next w:val="1"/>
    <w:autoRedefine/>
    <w:unhideWhenUsed/>
    <w:qFormat/>
    <w:uiPriority w:val="39"/>
    <w:pPr>
      <w:ind w:left="2240"/>
      <w:jc w:val="left"/>
    </w:pPr>
    <w:rPr>
      <w:rFonts w:asciiTheme="minorHAnsi" w:hAnsiTheme="minorHAnsi"/>
      <w:sz w:val="18"/>
      <w:szCs w:val="18"/>
    </w:rPr>
  </w:style>
  <w:style w:type="paragraph" w:styleId="31">
    <w:name w:val="Body Text 2"/>
    <w:basedOn w:val="1"/>
    <w:link w:val="145"/>
    <w:autoRedefine/>
    <w:qFormat/>
    <w:uiPriority w:val="99"/>
    <w:pPr>
      <w:adjustRightInd w:val="0"/>
      <w:snapToGrid w:val="0"/>
      <w:spacing w:line="480" w:lineRule="atLeast"/>
    </w:pPr>
    <w:rPr>
      <w:rFonts w:ascii="宋体" w:hAnsi="宋体"/>
    </w:rPr>
  </w:style>
  <w:style w:type="paragraph" w:styleId="3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3">
    <w:name w:val="Normal (Web)"/>
    <w:basedOn w:val="1"/>
    <w:autoRedefine/>
    <w:qFormat/>
    <w:uiPriority w:val="99"/>
    <w:pPr>
      <w:spacing w:beforeAutospacing="1" w:afterAutospacing="1"/>
      <w:jc w:val="left"/>
    </w:pPr>
    <w:rPr>
      <w:kern w:val="0"/>
      <w:sz w:val="24"/>
    </w:rPr>
  </w:style>
  <w:style w:type="paragraph" w:styleId="34">
    <w:name w:val="Title"/>
    <w:basedOn w:val="1"/>
    <w:next w:val="1"/>
    <w:qFormat/>
    <w:uiPriority w:val="0"/>
    <w:pPr>
      <w:spacing w:before="240" w:beforeLines="0" w:after="60" w:afterLines="0"/>
      <w:jc w:val="center"/>
      <w:outlineLvl w:val="0"/>
    </w:pPr>
    <w:rPr>
      <w:rFonts w:ascii="Cambria" w:hAnsi="Cambria"/>
      <w:b/>
      <w:bCs/>
      <w:sz w:val="32"/>
      <w:szCs w:val="32"/>
    </w:rPr>
  </w:style>
  <w:style w:type="paragraph" w:styleId="35">
    <w:name w:val="annotation subject"/>
    <w:basedOn w:val="11"/>
    <w:next w:val="1"/>
    <w:link w:val="104"/>
    <w:autoRedefine/>
    <w:semiHidden/>
    <w:unhideWhenUsed/>
    <w:qFormat/>
    <w:uiPriority w:val="99"/>
    <w:rPr>
      <w:rFonts w:ascii="Calibri" w:cs="Calibri"/>
      <w:b/>
      <w:bCs/>
      <w:kern w:val="2"/>
      <w:sz w:val="21"/>
      <w:szCs w:val="21"/>
    </w:rPr>
  </w:style>
  <w:style w:type="paragraph" w:styleId="36">
    <w:name w:val="Body Text First Indent 2"/>
    <w:basedOn w:val="16"/>
    <w:autoRedefine/>
    <w:qFormat/>
    <w:uiPriority w:val="99"/>
    <w:pPr>
      <w:tabs>
        <w:tab w:val="left" w:pos="4900"/>
      </w:tabs>
      <w:ind w:firstLine="420" w:firstLineChars="200"/>
    </w:pPr>
  </w:style>
  <w:style w:type="table" w:styleId="38">
    <w:name w:val="Table Grid"/>
    <w:basedOn w:val="37"/>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autoRedefine/>
    <w:qFormat/>
    <w:uiPriority w:val="99"/>
    <w:rPr>
      <w:b/>
      <w:bCs/>
      <w:sz w:val="24"/>
      <w:szCs w:val="24"/>
    </w:rPr>
  </w:style>
  <w:style w:type="character" w:styleId="41">
    <w:name w:val="page number"/>
    <w:autoRedefine/>
    <w:qFormat/>
    <w:uiPriority w:val="99"/>
    <w:rPr>
      <w:rFonts w:ascii="Times New Roman" w:hAnsi="Times New Roman" w:eastAsia="宋体" w:cs="Times New Roman"/>
    </w:rPr>
  </w:style>
  <w:style w:type="character" w:styleId="42">
    <w:name w:val="FollowedHyperlink"/>
    <w:autoRedefine/>
    <w:qFormat/>
    <w:uiPriority w:val="99"/>
    <w:rPr>
      <w:rFonts w:hint="eastAsia" w:ascii="宋体" w:hAnsi="宋体" w:eastAsia="宋体" w:cs="宋体"/>
      <w:color w:val="000000"/>
      <w:sz w:val="18"/>
      <w:szCs w:val="18"/>
      <w:u w:val="none"/>
    </w:rPr>
  </w:style>
  <w:style w:type="character" w:styleId="43">
    <w:name w:val="Emphasis"/>
    <w:basedOn w:val="39"/>
    <w:autoRedefine/>
    <w:qFormat/>
    <w:uiPriority w:val="99"/>
  </w:style>
  <w:style w:type="character" w:styleId="44">
    <w:name w:val="HTML Definition"/>
    <w:basedOn w:val="39"/>
    <w:semiHidden/>
    <w:unhideWhenUsed/>
    <w:qFormat/>
    <w:uiPriority w:val="99"/>
  </w:style>
  <w:style w:type="character" w:styleId="45">
    <w:name w:val="HTML Typewriter"/>
    <w:basedOn w:val="39"/>
    <w:semiHidden/>
    <w:unhideWhenUsed/>
    <w:qFormat/>
    <w:uiPriority w:val="99"/>
    <w:rPr>
      <w:rFonts w:hint="default" w:ascii="monospace" w:hAnsi="monospace" w:eastAsia="monospace" w:cs="monospace"/>
      <w:sz w:val="20"/>
    </w:rPr>
  </w:style>
  <w:style w:type="character" w:styleId="46">
    <w:name w:val="HTML Acronym"/>
    <w:basedOn w:val="39"/>
    <w:semiHidden/>
    <w:unhideWhenUsed/>
    <w:qFormat/>
    <w:uiPriority w:val="99"/>
  </w:style>
  <w:style w:type="character" w:styleId="47">
    <w:name w:val="HTML Variable"/>
    <w:basedOn w:val="39"/>
    <w:semiHidden/>
    <w:unhideWhenUsed/>
    <w:qFormat/>
    <w:uiPriority w:val="99"/>
  </w:style>
  <w:style w:type="character" w:styleId="48">
    <w:name w:val="Hyperlink"/>
    <w:autoRedefine/>
    <w:qFormat/>
    <w:uiPriority w:val="99"/>
    <w:rPr>
      <w:rFonts w:cs="Times New Roman"/>
      <w:color w:val="000000"/>
      <w:sz w:val="18"/>
      <w:u w:val="none"/>
    </w:rPr>
  </w:style>
  <w:style w:type="character" w:styleId="49">
    <w:name w:val="HTML Code"/>
    <w:basedOn w:val="39"/>
    <w:semiHidden/>
    <w:unhideWhenUsed/>
    <w:qFormat/>
    <w:uiPriority w:val="99"/>
    <w:rPr>
      <w:rFonts w:hint="default" w:ascii="monospace" w:hAnsi="monospace" w:eastAsia="monospace" w:cs="monospace"/>
      <w:sz w:val="20"/>
    </w:rPr>
  </w:style>
  <w:style w:type="character" w:styleId="50">
    <w:name w:val="annotation reference"/>
    <w:autoRedefine/>
    <w:semiHidden/>
    <w:qFormat/>
    <w:uiPriority w:val="99"/>
    <w:rPr>
      <w:sz w:val="21"/>
      <w:szCs w:val="21"/>
    </w:rPr>
  </w:style>
  <w:style w:type="character" w:styleId="51">
    <w:name w:val="HTML Cite"/>
    <w:basedOn w:val="39"/>
    <w:autoRedefine/>
    <w:qFormat/>
    <w:uiPriority w:val="99"/>
  </w:style>
  <w:style w:type="character" w:styleId="52">
    <w:name w:val="footnote reference"/>
    <w:basedOn w:val="39"/>
    <w:autoRedefine/>
    <w:semiHidden/>
    <w:unhideWhenUsed/>
    <w:qFormat/>
    <w:uiPriority w:val="99"/>
    <w:rPr>
      <w:vertAlign w:val="superscript"/>
    </w:rPr>
  </w:style>
  <w:style w:type="character" w:styleId="53">
    <w:name w:val="HTML Keyboard"/>
    <w:basedOn w:val="39"/>
    <w:semiHidden/>
    <w:unhideWhenUsed/>
    <w:qFormat/>
    <w:uiPriority w:val="99"/>
    <w:rPr>
      <w:rFonts w:ascii="monospace" w:hAnsi="monospace" w:eastAsia="monospace" w:cs="monospace"/>
      <w:sz w:val="20"/>
    </w:rPr>
  </w:style>
  <w:style w:type="character" w:styleId="54">
    <w:name w:val="HTML Sample"/>
    <w:basedOn w:val="39"/>
    <w:semiHidden/>
    <w:unhideWhenUsed/>
    <w:qFormat/>
    <w:uiPriority w:val="99"/>
    <w:rPr>
      <w:rFonts w:hint="default" w:ascii="monospace" w:hAnsi="monospace" w:eastAsia="monospace" w:cs="monospace"/>
    </w:rPr>
  </w:style>
  <w:style w:type="paragraph" w:customStyle="1" w:styleId="55">
    <w:name w:val="正文缩进1"/>
    <w:autoRedefine/>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56">
    <w:name w:val="列出段落1"/>
    <w:basedOn w:val="1"/>
    <w:autoRedefine/>
    <w:qFormat/>
    <w:uiPriority w:val="99"/>
    <w:pPr>
      <w:spacing w:line="240" w:lineRule="auto"/>
      <w:ind w:firstLine="420" w:firstLineChars="200"/>
      <w:jc w:val="left"/>
    </w:pPr>
    <w:rPr>
      <w:rFonts w:ascii="Times New Roman" w:hAnsi="Times New Roman" w:eastAsia="宋体"/>
      <w:kern w:val="0"/>
      <w:sz w:val="24"/>
      <w:szCs w:val="24"/>
      <w:lang w:val="en-AU" w:eastAsia="en-US"/>
    </w:rPr>
  </w:style>
  <w:style w:type="paragraph" w:customStyle="1" w:styleId="57">
    <w:name w:val="TOC 标题1"/>
    <w:basedOn w:val="3"/>
    <w:next w:val="1"/>
    <w:autoRedefine/>
    <w:unhideWhenUsed/>
    <w:qFormat/>
    <w:uiPriority w:val="39"/>
    <w:pPr>
      <w:widowControl/>
      <w:spacing w:before="480" w:after="0" w:line="276" w:lineRule="auto"/>
      <w:jc w:val="left"/>
      <w:outlineLvl w:val="9"/>
    </w:pPr>
    <w:rPr>
      <w:rFonts w:ascii="Calibri Light" w:hAnsi="Calibri Light"/>
      <w:color w:val="2E75B5"/>
      <w:kern w:val="0"/>
      <w:sz w:val="28"/>
      <w:szCs w:val="28"/>
    </w:rPr>
  </w:style>
  <w:style w:type="paragraph" w:customStyle="1" w:styleId="58">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9">
    <w:name w:val="标题 1 Char"/>
    <w:link w:val="3"/>
    <w:autoRedefine/>
    <w:qFormat/>
    <w:uiPriority w:val="99"/>
    <w:rPr>
      <w:rFonts w:cs="Times New Roman"/>
      <w:b/>
      <w:bCs/>
      <w:kern w:val="44"/>
      <w:sz w:val="44"/>
      <w:szCs w:val="44"/>
    </w:rPr>
  </w:style>
  <w:style w:type="character" w:customStyle="1" w:styleId="60">
    <w:name w:val="标题 2 Char"/>
    <w:link w:val="4"/>
    <w:autoRedefine/>
    <w:qFormat/>
    <w:uiPriority w:val="99"/>
    <w:rPr>
      <w:rFonts w:ascii="Calibri" w:hAnsi="Calibri" w:eastAsia="华文仿宋" w:cs="Times New Roman"/>
      <w:b/>
      <w:bCs/>
      <w:sz w:val="32"/>
      <w:szCs w:val="32"/>
    </w:rPr>
  </w:style>
  <w:style w:type="character" w:customStyle="1" w:styleId="61">
    <w:name w:val="标题 3 Char"/>
    <w:link w:val="5"/>
    <w:autoRedefine/>
    <w:qFormat/>
    <w:uiPriority w:val="99"/>
    <w:rPr>
      <w:rFonts w:cs="Times New Roman"/>
      <w:b/>
      <w:bCs/>
      <w:sz w:val="32"/>
      <w:szCs w:val="32"/>
      <w:u w:val="double"/>
    </w:rPr>
  </w:style>
  <w:style w:type="character" w:customStyle="1" w:styleId="62">
    <w:name w:val="文档结构图 Char"/>
    <w:link w:val="10"/>
    <w:autoRedefine/>
    <w:qFormat/>
    <w:uiPriority w:val="99"/>
    <w:rPr>
      <w:rFonts w:ascii="宋体" w:eastAsia="宋体" w:cs="Times New Roman"/>
      <w:sz w:val="18"/>
      <w:szCs w:val="18"/>
    </w:rPr>
  </w:style>
  <w:style w:type="character" w:customStyle="1" w:styleId="63">
    <w:name w:val="纯文本 Char"/>
    <w:link w:val="19"/>
    <w:autoRedefine/>
    <w:qFormat/>
    <w:uiPriority w:val="0"/>
    <w:rPr>
      <w:rFonts w:ascii="宋体" w:hAnsi="Courier New" w:eastAsia="宋体" w:cs="Courier New"/>
      <w:sz w:val="21"/>
      <w:szCs w:val="21"/>
    </w:rPr>
  </w:style>
  <w:style w:type="character" w:customStyle="1" w:styleId="64">
    <w:name w:val="日期 Char"/>
    <w:link w:val="21"/>
    <w:autoRedefine/>
    <w:qFormat/>
    <w:uiPriority w:val="0"/>
    <w:rPr>
      <w:rFonts w:ascii="Calibri Light" w:hAnsi="Calibri Light" w:eastAsia="华文仿宋" w:cs="Times New Roman"/>
      <w:sz w:val="28"/>
    </w:rPr>
  </w:style>
  <w:style w:type="character" w:customStyle="1" w:styleId="65">
    <w:name w:val="批注框文本 Char"/>
    <w:link w:val="22"/>
    <w:autoRedefine/>
    <w:qFormat/>
    <w:uiPriority w:val="99"/>
    <w:rPr>
      <w:rFonts w:cs="Times New Roman"/>
      <w:sz w:val="18"/>
      <w:szCs w:val="18"/>
    </w:rPr>
  </w:style>
  <w:style w:type="character" w:customStyle="1" w:styleId="66">
    <w:name w:val="页脚 Char"/>
    <w:link w:val="23"/>
    <w:autoRedefine/>
    <w:qFormat/>
    <w:uiPriority w:val="99"/>
    <w:rPr>
      <w:rFonts w:cs="Times New Roman"/>
      <w:sz w:val="18"/>
    </w:rPr>
  </w:style>
  <w:style w:type="character" w:customStyle="1" w:styleId="67">
    <w:name w:val="页眉 Char"/>
    <w:link w:val="25"/>
    <w:autoRedefine/>
    <w:qFormat/>
    <w:uiPriority w:val="99"/>
    <w:rPr>
      <w:rFonts w:cs="Times New Roman"/>
      <w:sz w:val="18"/>
    </w:rPr>
  </w:style>
  <w:style w:type="paragraph" w:customStyle="1" w:styleId="68">
    <w:name w:val="正文（缩进 2 字符）"/>
    <w:basedOn w:val="1"/>
    <w:autoRedefine/>
    <w:qFormat/>
    <w:uiPriority w:val="99"/>
    <w:pPr>
      <w:ind w:firstLine="200" w:firstLineChars="200"/>
    </w:pPr>
  </w:style>
  <w:style w:type="paragraph" w:customStyle="1" w:styleId="69">
    <w:name w:val="正文（缩进 4 字符）"/>
    <w:basedOn w:val="1"/>
    <w:autoRedefine/>
    <w:qFormat/>
    <w:uiPriority w:val="99"/>
    <w:pPr>
      <w:ind w:firstLine="1134" w:firstLineChars="400"/>
    </w:pPr>
  </w:style>
  <w:style w:type="paragraph" w:customStyle="1" w:styleId="70">
    <w:name w:val="标题 2（投标文件）"/>
    <w:basedOn w:val="4"/>
    <w:autoRedefine/>
    <w:qFormat/>
    <w:uiPriority w:val="99"/>
    <w:pPr>
      <w:jc w:val="center"/>
    </w:pPr>
  </w:style>
  <w:style w:type="character" w:customStyle="1" w:styleId="71">
    <w:name w:val="页眉 Char1"/>
    <w:autoRedefine/>
    <w:qFormat/>
    <w:uiPriority w:val="99"/>
    <w:rPr>
      <w:rFonts w:cs="Times New Roman"/>
      <w:sz w:val="18"/>
      <w:szCs w:val="18"/>
    </w:rPr>
  </w:style>
  <w:style w:type="character" w:customStyle="1" w:styleId="72">
    <w:name w:val="页脚 Char1"/>
    <w:autoRedefine/>
    <w:qFormat/>
    <w:uiPriority w:val="99"/>
    <w:rPr>
      <w:rFonts w:cs="Times New Roman"/>
      <w:sz w:val="18"/>
      <w:szCs w:val="18"/>
    </w:rPr>
  </w:style>
  <w:style w:type="paragraph" w:customStyle="1" w:styleId="73">
    <w:name w:val="标题 3（投标文件）"/>
    <w:basedOn w:val="5"/>
    <w:autoRedefine/>
    <w:qFormat/>
    <w:uiPriority w:val="99"/>
    <w:pPr>
      <w:jc w:val="left"/>
    </w:pPr>
    <w:rPr>
      <w:u w:val="none"/>
    </w:rPr>
  </w:style>
  <w:style w:type="table" w:customStyle="1" w:styleId="74">
    <w:name w:val="网格型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
    <w:name w:val="网格型2"/>
    <w:basedOn w:val="37"/>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
    <w:name w:val="网格型1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7">
    <w:name w:val="grace"/>
    <w:basedOn w:val="39"/>
    <w:autoRedefine/>
    <w:qFormat/>
    <w:uiPriority w:val="0"/>
  </w:style>
  <w:style w:type="character" w:customStyle="1" w:styleId="78">
    <w:name w:val="mark"/>
    <w:autoRedefine/>
    <w:qFormat/>
    <w:uiPriority w:val="0"/>
    <w:rPr>
      <w:color w:val="CC2200"/>
    </w:rPr>
  </w:style>
  <w:style w:type="character" w:customStyle="1" w:styleId="79">
    <w:name w:val="subtext"/>
    <w:autoRedefine/>
    <w:qFormat/>
    <w:uiPriority w:val="0"/>
    <w:rPr>
      <w:color w:val="888888"/>
    </w:rPr>
  </w:style>
  <w:style w:type="character" w:customStyle="1" w:styleId="80">
    <w:name w:val="span-text"/>
    <w:basedOn w:val="39"/>
    <w:autoRedefine/>
    <w:qFormat/>
    <w:uiPriority w:val="0"/>
  </w:style>
  <w:style w:type="character" w:customStyle="1" w:styleId="81">
    <w:name w:val="view-vip1"/>
    <w:basedOn w:val="39"/>
    <w:autoRedefine/>
    <w:qFormat/>
    <w:uiPriority w:val="0"/>
  </w:style>
  <w:style w:type="character" w:customStyle="1" w:styleId="82">
    <w:name w:val="view-vip"/>
    <w:basedOn w:val="39"/>
    <w:autoRedefine/>
    <w:qFormat/>
    <w:uiPriority w:val="0"/>
  </w:style>
  <w:style w:type="character" w:customStyle="1" w:styleId="83">
    <w:name w:val="grace6"/>
    <w:basedOn w:val="39"/>
    <w:autoRedefine/>
    <w:qFormat/>
    <w:uiPriority w:val="0"/>
  </w:style>
  <w:style w:type="character" w:customStyle="1" w:styleId="84">
    <w:name w:val="r-time"/>
    <w:autoRedefine/>
    <w:qFormat/>
    <w:uiPriority w:val="0"/>
    <w:rPr>
      <w:color w:val="B30000"/>
    </w:rPr>
  </w:style>
  <w:style w:type="character" w:customStyle="1" w:styleId="85">
    <w:name w:val="r-text"/>
    <w:autoRedefine/>
    <w:qFormat/>
    <w:uiPriority w:val="0"/>
    <w:rPr>
      <w:color w:val="00349B"/>
    </w:rPr>
  </w:style>
  <w:style w:type="character" w:customStyle="1" w:styleId="86">
    <w:name w:val="grace5"/>
    <w:basedOn w:val="39"/>
    <w:autoRedefine/>
    <w:qFormat/>
    <w:uiPriority w:val="0"/>
  </w:style>
  <w:style w:type="character" w:customStyle="1" w:styleId="87">
    <w:name w:val="redfilenumber"/>
    <w:autoRedefine/>
    <w:qFormat/>
    <w:uiPriority w:val="0"/>
    <w:rPr>
      <w:color w:val="BA2636"/>
      <w:sz w:val="18"/>
      <w:szCs w:val="18"/>
    </w:rPr>
  </w:style>
  <w:style w:type="character" w:customStyle="1" w:styleId="88">
    <w:name w:val="cfdate"/>
    <w:autoRedefine/>
    <w:qFormat/>
    <w:uiPriority w:val="0"/>
    <w:rPr>
      <w:color w:val="333333"/>
      <w:sz w:val="18"/>
      <w:szCs w:val="18"/>
    </w:rPr>
  </w:style>
  <w:style w:type="character" w:customStyle="1" w:styleId="89">
    <w:name w:val="qxdate"/>
    <w:autoRedefine/>
    <w:qFormat/>
    <w:uiPriority w:val="0"/>
    <w:rPr>
      <w:color w:val="333333"/>
      <w:sz w:val="18"/>
      <w:szCs w:val="18"/>
    </w:rPr>
  </w:style>
  <w:style w:type="character" w:customStyle="1" w:styleId="90">
    <w:name w:val="gjfg"/>
    <w:basedOn w:val="39"/>
    <w:autoRedefine/>
    <w:qFormat/>
    <w:uiPriority w:val="0"/>
  </w:style>
  <w:style w:type="character" w:customStyle="1" w:styleId="91">
    <w:name w:val="redfilefwwh"/>
    <w:autoRedefine/>
    <w:qFormat/>
    <w:uiPriority w:val="0"/>
    <w:rPr>
      <w:color w:val="BA2636"/>
      <w:sz w:val="18"/>
      <w:szCs w:val="18"/>
    </w:rPr>
  </w:style>
  <w:style w:type="character" w:customStyle="1" w:styleId="92">
    <w:name w:val="displayarti"/>
    <w:autoRedefine/>
    <w:qFormat/>
    <w:uiPriority w:val="0"/>
    <w:rPr>
      <w:color w:val="FFFFFF"/>
      <w:shd w:val="clear" w:color="auto" w:fill="A00000"/>
    </w:rPr>
  </w:style>
  <w:style w:type="paragraph" w:customStyle="1" w:styleId="93">
    <w:name w:val="样式 标题 3 + (中文) 黑体 小四 非加粗 段前: 7.8 磅 段后: 0 磅 行距: 固定值 20 磅"/>
    <w:basedOn w:val="5"/>
    <w:link w:val="94"/>
    <w:autoRedefine/>
    <w:qFormat/>
    <w:uiPriority w:val="0"/>
    <w:pPr>
      <w:widowControl w:val="0"/>
      <w:spacing w:line="400" w:lineRule="exact"/>
      <w:jc w:val="both"/>
    </w:pPr>
    <w:rPr>
      <w:rFonts w:ascii="Times New Roman" w:hAnsi="Times New Roman" w:eastAsia="黑体" w:cs="宋体"/>
      <w:b w:val="0"/>
      <w:bCs w:val="0"/>
      <w:sz w:val="24"/>
      <w:szCs w:val="20"/>
      <w:u w:val="none"/>
    </w:rPr>
  </w:style>
  <w:style w:type="character" w:customStyle="1" w:styleId="94">
    <w:name w:val="样式 标题 3 + (中文) 黑体 小四 非加粗 段前: 7.8 磅 段后: 0 磅 行距: 固定值 20 磅 Char Char"/>
    <w:link w:val="93"/>
    <w:autoRedefine/>
    <w:qFormat/>
    <w:uiPriority w:val="0"/>
    <w:rPr>
      <w:rFonts w:eastAsia="黑体" w:cs="宋体"/>
      <w:kern w:val="2"/>
      <w:sz w:val="24"/>
    </w:rPr>
  </w:style>
  <w:style w:type="paragraph" w:styleId="95">
    <w:name w:val="List Paragraph"/>
    <w:basedOn w:val="1"/>
    <w:autoRedefine/>
    <w:qFormat/>
    <w:uiPriority w:val="99"/>
    <w:pPr>
      <w:ind w:firstLine="420" w:firstLineChars="200"/>
    </w:pPr>
  </w:style>
  <w:style w:type="table" w:customStyle="1" w:styleId="96">
    <w:name w:val="TableGrid"/>
    <w:autoRedefine/>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character" w:customStyle="1" w:styleId="97">
    <w:name w:val="标题 4 Char"/>
    <w:basedOn w:val="39"/>
    <w:link w:val="6"/>
    <w:autoRedefine/>
    <w:qFormat/>
    <w:uiPriority w:val="9"/>
    <w:rPr>
      <w:rFonts w:ascii="仿宋" w:hAnsi="仿宋" w:eastAsia="仿宋" w:cs="仿宋"/>
      <w:b/>
      <w:bCs/>
      <w:kern w:val="2"/>
      <w:sz w:val="28"/>
      <w:szCs w:val="28"/>
      <w:lang w:val="ja-JP" w:eastAsia="ja-JP" w:bidi="ja-JP"/>
    </w:rPr>
  </w:style>
  <w:style w:type="character" w:customStyle="1" w:styleId="98">
    <w:name w:val="正文文本 Char"/>
    <w:basedOn w:val="39"/>
    <w:link w:val="13"/>
    <w:autoRedefine/>
    <w:qFormat/>
    <w:uiPriority w:val="99"/>
    <w:rPr>
      <w:rFonts w:ascii="仿宋" w:hAnsi="仿宋" w:eastAsia="仿宋" w:cs="仿宋"/>
      <w:kern w:val="2"/>
      <w:sz w:val="28"/>
      <w:szCs w:val="28"/>
      <w:lang w:val="ja-JP" w:eastAsia="ja-JP" w:bidi="ja-JP"/>
    </w:rPr>
  </w:style>
  <w:style w:type="character" w:customStyle="1" w:styleId="99">
    <w:name w:val="font01"/>
    <w:basedOn w:val="39"/>
    <w:autoRedefine/>
    <w:qFormat/>
    <w:uiPriority w:val="0"/>
    <w:rPr>
      <w:rFonts w:hint="eastAsia" w:ascii="宋体" w:hAnsi="宋体" w:eastAsia="宋体" w:cs="宋体"/>
      <w:color w:val="000000"/>
      <w:sz w:val="20"/>
      <w:szCs w:val="20"/>
      <w:u w:val="none"/>
    </w:rPr>
  </w:style>
  <w:style w:type="character" w:customStyle="1" w:styleId="100">
    <w:name w:val="批注文字 Char"/>
    <w:basedOn w:val="39"/>
    <w:link w:val="11"/>
    <w:autoRedefine/>
    <w:semiHidden/>
    <w:qFormat/>
    <w:uiPriority w:val="99"/>
    <w:rPr>
      <w:rFonts w:ascii="宋体" w:hAnsi="Calibri" w:cs="宋体"/>
      <w:sz w:val="34"/>
      <w:szCs w:val="34"/>
    </w:rPr>
  </w:style>
  <w:style w:type="character" w:customStyle="1" w:styleId="101">
    <w:name w:val="正文文本缩进 Char"/>
    <w:basedOn w:val="39"/>
    <w:link w:val="16"/>
    <w:autoRedefine/>
    <w:qFormat/>
    <w:uiPriority w:val="99"/>
    <w:rPr>
      <w:rFonts w:ascii="Calibri" w:hAnsi="Calibri" w:cs="Calibri"/>
      <w:kern w:val="2"/>
      <w:sz w:val="21"/>
      <w:szCs w:val="21"/>
    </w:rPr>
  </w:style>
  <w:style w:type="character" w:customStyle="1" w:styleId="102">
    <w:name w:val="正文文本缩进 2 Char"/>
    <w:basedOn w:val="39"/>
    <w:link w:val="2"/>
    <w:autoRedefine/>
    <w:qFormat/>
    <w:uiPriority w:val="99"/>
    <w:rPr>
      <w:rFonts w:ascii="Calibri" w:hAnsi="Calibri" w:cs="Calibri"/>
      <w:kern w:val="2"/>
      <w:sz w:val="21"/>
      <w:szCs w:val="21"/>
    </w:rPr>
  </w:style>
  <w:style w:type="character" w:customStyle="1" w:styleId="103">
    <w:name w:val="脚注文本 Char"/>
    <w:basedOn w:val="39"/>
    <w:link w:val="28"/>
    <w:autoRedefine/>
    <w:semiHidden/>
    <w:qFormat/>
    <w:uiPriority w:val="99"/>
    <w:rPr>
      <w:rFonts w:ascii="Calibri" w:hAnsi="Calibri" w:cs="Calibri"/>
      <w:kern w:val="2"/>
      <w:sz w:val="18"/>
      <w:szCs w:val="21"/>
    </w:rPr>
  </w:style>
  <w:style w:type="character" w:customStyle="1" w:styleId="104">
    <w:name w:val="批注主题 Char"/>
    <w:basedOn w:val="100"/>
    <w:link w:val="35"/>
    <w:autoRedefine/>
    <w:semiHidden/>
    <w:qFormat/>
    <w:uiPriority w:val="99"/>
    <w:rPr>
      <w:rFonts w:ascii="Calibri" w:hAnsi="Calibri" w:cs="Calibri"/>
      <w:b/>
      <w:bCs/>
      <w:kern w:val="2"/>
      <w:sz w:val="21"/>
      <w:szCs w:val="21"/>
    </w:rPr>
  </w:style>
  <w:style w:type="character" w:customStyle="1" w:styleId="105">
    <w:name w:val="正文文本 2 Char"/>
    <w:link w:val="31"/>
    <w:autoRedefine/>
    <w:qFormat/>
    <w:locked/>
    <w:uiPriority w:val="99"/>
    <w:rPr>
      <w:rFonts w:ascii="宋体" w:hAnsi="宋体" w:eastAsia="华文仿宋"/>
      <w:kern w:val="2"/>
      <w:sz w:val="28"/>
      <w:szCs w:val="28"/>
    </w:rPr>
  </w:style>
  <w:style w:type="paragraph" w:customStyle="1" w:styleId="106">
    <w:name w:val="Char2 Char Char Char"/>
    <w:basedOn w:val="1"/>
    <w:autoRedefine/>
    <w:qFormat/>
    <w:uiPriority w:val="99"/>
    <w:pPr>
      <w:widowControl w:val="0"/>
      <w:spacing w:line="240" w:lineRule="auto"/>
    </w:pPr>
    <w:rPr>
      <w:rFonts w:ascii="Tahoma" w:hAnsi="Tahoma" w:eastAsia="宋体" w:cs="Tahoma"/>
      <w:sz w:val="24"/>
      <w:szCs w:val="24"/>
    </w:rPr>
  </w:style>
  <w:style w:type="character" w:customStyle="1" w:styleId="107">
    <w:name w:val="10"/>
    <w:autoRedefine/>
    <w:qFormat/>
    <w:uiPriority w:val="99"/>
    <w:rPr>
      <w:rFonts w:ascii="Calibri" w:hAnsi="Calibri" w:cs="Calibri"/>
    </w:rPr>
  </w:style>
  <w:style w:type="character" w:customStyle="1" w:styleId="108">
    <w:name w:val="15"/>
    <w:autoRedefine/>
    <w:qFormat/>
    <w:uiPriority w:val="99"/>
    <w:rPr>
      <w:rFonts w:ascii="Calibri" w:hAnsi="Calibri" w:cs="Calibri"/>
      <w:i/>
      <w:iCs/>
    </w:rPr>
  </w:style>
  <w:style w:type="paragraph" w:customStyle="1" w:styleId="109">
    <w:name w:val="_Style 2"/>
    <w:basedOn w:val="1"/>
    <w:autoRedefine/>
    <w:qFormat/>
    <w:uiPriority w:val="99"/>
    <w:pPr>
      <w:widowControl w:val="0"/>
      <w:spacing w:line="240" w:lineRule="auto"/>
      <w:ind w:firstLine="420" w:firstLineChars="200"/>
    </w:pPr>
    <w:rPr>
      <w:rFonts w:ascii="Calibri" w:hAnsi="Calibri" w:eastAsia="宋体" w:cs="Calibri"/>
      <w:sz w:val="21"/>
      <w:szCs w:val="21"/>
    </w:rPr>
  </w:style>
  <w:style w:type="character" w:customStyle="1" w:styleId="110">
    <w:name w:val="apple-style-span"/>
    <w:autoRedefine/>
    <w:qFormat/>
    <w:uiPriority w:val="99"/>
  </w:style>
  <w:style w:type="character" w:customStyle="1" w:styleId="111">
    <w:name w:val="del"/>
    <w:basedOn w:val="39"/>
    <w:autoRedefine/>
    <w:qFormat/>
    <w:uiPriority w:val="99"/>
  </w:style>
  <w:style w:type="character" w:customStyle="1" w:styleId="112">
    <w:name w:val="del1"/>
    <w:qFormat/>
    <w:uiPriority w:val="99"/>
    <w:rPr>
      <w:vanish/>
      <w:color w:val="auto"/>
      <w:sz w:val="18"/>
      <w:szCs w:val="18"/>
      <w:u w:val="single"/>
    </w:rPr>
  </w:style>
  <w:style w:type="character" w:customStyle="1" w:styleId="113">
    <w:name w:val="del2"/>
    <w:autoRedefine/>
    <w:qFormat/>
    <w:uiPriority w:val="99"/>
    <w:rPr>
      <w:vanish/>
    </w:rPr>
  </w:style>
  <w:style w:type="character" w:customStyle="1" w:styleId="114">
    <w:name w:val="del3"/>
    <w:autoRedefine/>
    <w:qFormat/>
    <w:uiPriority w:val="99"/>
    <w:rPr>
      <w:vanish/>
    </w:rPr>
  </w:style>
  <w:style w:type="paragraph" w:customStyle="1" w:styleId="115">
    <w:name w:val="_Style 4"/>
    <w:basedOn w:val="1"/>
    <w:autoRedefine/>
    <w:qFormat/>
    <w:uiPriority w:val="99"/>
    <w:pPr>
      <w:widowControl w:val="0"/>
      <w:spacing w:line="240" w:lineRule="auto"/>
      <w:ind w:firstLine="420" w:firstLineChars="200"/>
    </w:pPr>
    <w:rPr>
      <w:rFonts w:ascii="Calibri" w:hAnsi="Calibri" w:eastAsia="宋体" w:cs="Calibri"/>
      <w:sz w:val="21"/>
      <w:szCs w:val="21"/>
    </w:rPr>
  </w:style>
  <w:style w:type="paragraph" w:customStyle="1" w:styleId="116">
    <w:name w:val="pa-19"/>
    <w:basedOn w:val="1"/>
    <w:autoRedefine/>
    <w:qFormat/>
    <w:uiPriority w:val="99"/>
    <w:pPr>
      <w:spacing w:before="100" w:beforeAutospacing="1" w:after="100" w:afterAutospacing="1" w:line="240" w:lineRule="auto"/>
      <w:jc w:val="left"/>
    </w:pPr>
    <w:rPr>
      <w:rFonts w:ascii="宋体" w:hAnsi="宋体" w:eastAsia="宋体" w:cs="宋体"/>
      <w:kern w:val="0"/>
      <w:sz w:val="24"/>
      <w:szCs w:val="24"/>
    </w:rPr>
  </w:style>
  <w:style w:type="paragraph" w:customStyle="1" w:styleId="117">
    <w:name w:val="首行缩进"/>
    <w:basedOn w:val="1"/>
    <w:next w:val="118"/>
    <w:autoRedefine/>
    <w:qFormat/>
    <w:uiPriority w:val="99"/>
    <w:pPr>
      <w:tabs>
        <w:tab w:val="left" w:pos="735"/>
      </w:tabs>
      <w:spacing w:line="460" w:lineRule="exact"/>
      <w:ind w:firstLine="200" w:firstLineChars="200"/>
      <w:jc w:val="left"/>
    </w:pPr>
    <w:rPr>
      <w:rFonts w:ascii="Times New Roman" w:hAnsi="Times New Roman" w:eastAsia="宋体"/>
      <w:kern w:val="0"/>
      <w:sz w:val="24"/>
      <w:szCs w:val="24"/>
    </w:rPr>
  </w:style>
  <w:style w:type="paragraph" w:customStyle="1" w:styleId="118">
    <w:name w:val="样式 行距: 1.5 倍行距1"/>
    <w:basedOn w:val="1"/>
    <w:next w:val="119"/>
    <w:qFormat/>
    <w:uiPriority w:val="0"/>
    <w:rPr>
      <w:rFonts w:ascii="Calibri" w:hAnsi="Calibri" w:eastAsia="宋体" w:cs="Times New Roman"/>
      <w:sz w:val="21"/>
    </w:rPr>
  </w:style>
  <w:style w:type="paragraph" w:customStyle="1" w:styleId="119">
    <w:name w:val="Item Step"/>
    <w:next w:val="1"/>
    <w:qFormat/>
    <w:uiPriority w:val="0"/>
    <w:pPr>
      <w:ind w:left="1644" w:hanging="510"/>
      <w:outlineLvl w:val="4"/>
    </w:pPr>
    <w:rPr>
      <w:rFonts w:ascii="Arial" w:hAnsi="Times New Roman" w:eastAsia="宋体" w:cs="Times New Roman"/>
      <w:sz w:val="21"/>
      <w:lang w:val="en-US" w:eastAsia="zh-CN" w:bidi="ar-SA"/>
    </w:rPr>
  </w:style>
  <w:style w:type="character" w:customStyle="1" w:styleId="120">
    <w:name w:val="font101"/>
    <w:basedOn w:val="39"/>
    <w:autoRedefine/>
    <w:qFormat/>
    <w:uiPriority w:val="0"/>
    <w:rPr>
      <w:rFonts w:hint="eastAsia" w:ascii="宋体" w:hAnsi="宋体" w:eastAsia="宋体" w:cs="宋体"/>
      <w:color w:val="000000"/>
      <w:sz w:val="24"/>
      <w:szCs w:val="24"/>
      <w:u w:val="none"/>
    </w:rPr>
  </w:style>
  <w:style w:type="character" w:customStyle="1" w:styleId="121">
    <w:name w:val="font91"/>
    <w:basedOn w:val="39"/>
    <w:autoRedefine/>
    <w:qFormat/>
    <w:uiPriority w:val="0"/>
    <w:rPr>
      <w:rFonts w:hint="eastAsia" w:ascii="宋体" w:hAnsi="宋体" w:eastAsia="宋体" w:cs="宋体"/>
      <w:color w:val="000000"/>
      <w:sz w:val="24"/>
      <w:szCs w:val="24"/>
      <w:u w:val="none"/>
    </w:rPr>
  </w:style>
  <w:style w:type="character" w:customStyle="1" w:styleId="122">
    <w:name w:val="font41"/>
    <w:basedOn w:val="39"/>
    <w:autoRedefine/>
    <w:qFormat/>
    <w:uiPriority w:val="0"/>
    <w:rPr>
      <w:rFonts w:hint="eastAsia" w:ascii="宋体" w:hAnsi="宋体" w:eastAsia="宋体" w:cs="宋体"/>
      <w:color w:val="000000"/>
      <w:sz w:val="24"/>
      <w:szCs w:val="24"/>
      <w:u w:val="none"/>
    </w:rPr>
  </w:style>
  <w:style w:type="character" w:customStyle="1" w:styleId="123">
    <w:name w:val="font21"/>
    <w:basedOn w:val="39"/>
    <w:autoRedefine/>
    <w:qFormat/>
    <w:uiPriority w:val="0"/>
    <w:rPr>
      <w:rFonts w:hint="eastAsia" w:ascii="宋体" w:hAnsi="宋体" w:eastAsia="宋体" w:cs="宋体"/>
      <w:color w:val="000000"/>
      <w:sz w:val="24"/>
      <w:szCs w:val="24"/>
      <w:u w:val="none"/>
    </w:rPr>
  </w:style>
  <w:style w:type="character" w:customStyle="1" w:styleId="124">
    <w:name w:val="List Paragraph Char1"/>
    <w:link w:val="125"/>
    <w:autoRedefine/>
    <w:qFormat/>
    <w:locked/>
    <w:uiPriority w:val="0"/>
    <w:rPr>
      <w:sz w:val="24"/>
    </w:rPr>
  </w:style>
  <w:style w:type="paragraph" w:customStyle="1" w:styleId="125">
    <w:name w:val="列出段落2"/>
    <w:basedOn w:val="1"/>
    <w:link w:val="124"/>
    <w:autoRedefine/>
    <w:qFormat/>
    <w:uiPriority w:val="0"/>
    <w:pPr>
      <w:widowControl w:val="0"/>
      <w:spacing w:line="240" w:lineRule="auto"/>
      <w:ind w:firstLine="420" w:firstLineChars="200"/>
    </w:pPr>
    <w:rPr>
      <w:rFonts w:ascii="Times New Roman" w:hAnsi="Times New Roman" w:eastAsia="宋体"/>
      <w:kern w:val="0"/>
      <w:sz w:val="24"/>
      <w:szCs w:val="20"/>
    </w:rPr>
  </w:style>
  <w:style w:type="table" w:customStyle="1" w:styleId="126">
    <w:name w:val="TableGrid1"/>
    <w:autoRedefine/>
    <w:qFormat/>
    <w:uiPriority w:val="0"/>
    <w:rPr>
      <w:kern w:val="2"/>
      <w:sz w:val="21"/>
      <w:szCs w:val="22"/>
    </w:rPr>
    <w:tblPr>
      <w:tblCellMar>
        <w:top w:w="0" w:type="dxa"/>
        <w:left w:w="0" w:type="dxa"/>
        <w:bottom w:w="0" w:type="dxa"/>
        <w:right w:w="0" w:type="dxa"/>
      </w:tblCellMar>
    </w:tblPr>
  </w:style>
  <w:style w:type="table" w:customStyle="1" w:styleId="127">
    <w:name w:val="TableGrid2"/>
    <w:autoRedefine/>
    <w:qFormat/>
    <w:uiPriority w:val="0"/>
    <w:rPr>
      <w:kern w:val="2"/>
      <w:sz w:val="21"/>
      <w:szCs w:val="22"/>
    </w:rPr>
    <w:tblPr>
      <w:tblCellMar>
        <w:top w:w="0" w:type="dxa"/>
        <w:left w:w="0" w:type="dxa"/>
        <w:bottom w:w="0" w:type="dxa"/>
        <w:right w:w="0" w:type="dxa"/>
      </w:tblCellMar>
    </w:tblPr>
  </w:style>
  <w:style w:type="table" w:customStyle="1" w:styleId="128">
    <w:name w:val="TableGrid3"/>
    <w:autoRedefine/>
    <w:qFormat/>
    <w:uiPriority w:val="0"/>
    <w:rPr>
      <w:kern w:val="2"/>
      <w:sz w:val="21"/>
      <w:szCs w:val="22"/>
    </w:rPr>
    <w:tblPr>
      <w:tblCellMar>
        <w:top w:w="0" w:type="dxa"/>
        <w:left w:w="0" w:type="dxa"/>
        <w:bottom w:w="0" w:type="dxa"/>
        <w:right w:w="0" w:type="dxa"/>
      </w:tblCellMar>
    </w:tblPr>
  </w:style>
  <w:style w:type="table" w:customStyle="1" w:styleId="129">
    <w:name w:val="TableGrid4"/>
    <w:autoRedefine/>
    <w:qFormat/>
    <w:uiPriority w:val="0"/>
    <w:rPr>
      <w:kern w:val="2"/>
      <w:sz w:val="21"/>
      <w:szCs w:val="22"/>
    </w:rPr>
    <w:tblPr>
      <w:tblCellMar>
        <w:top w:w="0" w:type="dxa"/>
        <w:left w:w="0" w:type="dxa"/>
        <w:bottom w:w="0" w:type="dxa"/>
        <w:right w:w="0" w:type="dxa"/>
      </w:tblCellMar>
    </w:tblPr>
  </w:style>
  <w:style w:type="table" w:customStyle="1" w:styleId="130">
    <w:name w:val="TableGrid5"/>
    <w:autoRedefine/>
    <w:qFormat/>
    <w:uiPriority w:val="0"/>
    <w:rPr>
      <w:kern w:val="2"/>
      <w:sz w:val="21"/>
      <w:szCs w:val="22"/>
    </w:rPr>
    <w:tblPr>
      <w:tblCellMar>
        <w:top w:w="0" w:type="dxa"/>
        <w:left w:w="0" w:type="dxa"/>
        <w:bottom w:w="0" w:type="dxa"/>
        <w:right w:w="0" w:type="dxa"/>
      </w:tblCellMar>
    </w:tblPr>
  </w:style>
  <w:style w:type="table" w:customStyle="1" w:styleId="131">
    <w:name w:val="TableGrid6"/>
    <w:qFormat/>
    <w:uiPriority w:val="0"/>
    <w:rPr>
      <w:kern w:val="2"/>
      <w:sz w:val="21"/>
      <w:szCs w:val="22"/>
    </w:rPr>
    <w:tblPr>
      <w:tblCellMar>
        <w:top w:w="0" w:type="dxa"/>
        <w:left w:w="0" w:type="dxa"/>
        <w:bottom w:w="0" w:type="dxa"/>
        <w:right w:w="0" w:type="dxa"/>
      </w:tblCellMar>
    </w:tblPr>
  </w:style>
  <w:style w:type="table" w:customStyle="1" w:styleId="132">
    <w:name w:val="TableGrid7"/>
    <w:autoRedefine/>
    <w:qFormat/>
    <w:uiPriority w:val="0"/>
    <w:rPr>
      <w:kern w:val="2"/>
      <w:sz w:val="21"/>
      <w:szCs w:val="22"/>
    </w:rPr>
    <w:tblPr>
      <w:tblCellMar>
        <w:top w:w="0" w:type="dxa"/>
        <w:left w:w="0" w:type="dxa"/>
        <w:bottom w:w="0" w:type="dxa"/>
        <w:right w:w="0" w:type="dxa"/>
      </w:tblCellMar>
    </w:tblPr>
  </w:style>
  <w:style w:type="paragraph" w:customStyle="1" w:styleId="133">
    <w:name w:val="列出段落3"/>
    <w:basedOn w:val="1"/>
    <w:autoRedefine/>
    <w:qFormat/>
    <w:uiPriority w:val="0"/>
    <w:pPr>
      <w:widowControl w:val="0"/>
      <w:spacing w:line="240" w:lineRule="auto"/>
      <w:ind w:firstLine="420" w:firstLineChars="200"/>
    </w:pPr>
    <w:rPr>
      <w:rFonts w:ascii="Times New Roman" w:hAnsi="Times New Roman" w:eastAsia="宋体"/>
      <w:kern w:val="0"/>
      <w:sz w:val="24"/>
      <w:szCs w:val="20"/>
    </w:rPr>
  </w:style>
  <w:style w:type="table" w:customStyle="1" w:styleId="134">
    <w:name w:val="TableGrid8"/>
    <w:autoRedefine/>
    <w:qFormat/>
    <w:uiPriority w:val="0"/>
    <w:rPr>
      <w:kern w:val="2"/>
      <w:sz w:val="21"/>
      <w:szCs w:val="22"/>
    </w:rPr>
    <w:tblPr>
      <w:tblCellMar>
        <w:top w:w="0" w:type="dxa"/>
        <w:left w:w="0" w:type="dxa"/>
        <w:bottom w:w="0" w:type="dxa"/>
        <w:right w:w="0" w:type="dxa"/>
      </w:tblCellMar>
    </w:tblPr>
  </w:style>
  <w:style w:type="table" w:customStyle="1" w:styleId="135">
    <w:name w:val="TableGrid9"/>
    <w:autoRedefine/>
    <w:qFormat/>
    <w:uiPriority w:val="0"/>
    <w:rPr>
      <w:kern w:val="2"/>
      <w:sz w:val="21"/>
      <w:szCs w:val="22"/>
    </w:rPr>
    <w:tblPr>
      <w:tblCellMar>
        <w:top w:w="0" w:type="dxa"/>
        <w:left w:w="0" w:type="dxa"/>
        <w:bottom w:w="0" w:type="dxa"/>
        <w:right w:w="0" w:type="dxa"/>
      </w:tblCellMar>
    </w:tblPr>
  </w:style>
  <w:style w:type="table" w:customStyle="1" w:styleId="136">
    <w:name w:val="TableGrid10"/>
    <w:autoRedefine/>
    <w:qFormat/>
    <w:uiPriority w:val="0"/>
    <w:rPr>
      <w:kern w:val="2"/>
      <w:sz w:val="21"/>
      <w:szCs w:val="22"/>
    </w:rPr>
    <w:tblPr>
      <w:tblCellMar>
        <w:top w:w="0" w:type="dxa"/>
        <w:left w:w="0" w:type="dxa"/>
        <w:bottom w:w="0" w:type="dxa"/>
        <w:right w:w="0" w:type="dxa"/>
      </w:tblCellMar>
    </w:tblPr>
  </w:style>
  <w:style w:type="table" w:customStyle="1" w:styleId="137">
    <w:name w:val="TableGrid11"/>
    <w:autoRedefine/>
    <w:qFormat/>
    <w:uiPriority w:val="0"/>
    <w:rPr>
      <w:kern w:val="2"/>
      <w:sz w:val="21"/>
      <w:szCs w:val="22"/>
    </w:rPr>
    <w:tblPr>
      <w:tblCellMar>
        <w:top w:w="0" w:type="dxa"/>
        <w:left w:w="0" w:type="dxa"/>
        <w:bottom w:w="0" w:type="dxa"/>
        <w:right w:w="0" w:type="dxa"/>
      </w:tblCellMar>
    </w:tblPr>
  </w:style>
  <w:style w:type="table" w:customStyle="1" w:styleId="138">
    <w:name w:val="TableGrid12"/>
    <w:autoRedefine/>
    <w:qFormat/>
    <w:uiPriority w:val="0"/>
    <w:rPr>
      <w:kern w:val="2"/>
      <w:sz w:val="21"/>
      <w:szCs w:val="22"/>
    </w:rPr>
    <w:tblPr>
      <w:tblCellMar>
        <w:top w:w="0" w:type="dxa"/>
        <w:left w:w="0" w:type="dxa"/>
        <w:bottom w:w="0" w:type="dxa"/>
        <w:right w:w="0" w:type="dxa"/>
      </w:tblCellMar>
    </w:tblPr>
  </w:style>
  <w:style w:type="table" w:customStyle="1" w:styleId="139">
    <w:name w:val="TableGrid13"/>
    <w:qFormat/>
    <w:uiPriority w:val="0"/>
    <w:rPr>
      <w:kern w:val="2"/>
      <w:sz w:val="21"/>
      <w:szCs w:val="22"/>
    </w:rPr>
    <w:tblPr>
      <w:tblCellMar>
        <w:top w:w="0" w:type="dxa"/>
        <w:left w:w="0" w:type="dxa"/>
        <w:bottom w:w="0" w:type="dxa"/>
        <w:right w:w="0" w:type="dxa"/>
      </w:tblCellMar>
    </w:tblPr>
  </w:style>
  <w:style w:type="table" w:customStyle="1" w:styleId="140">
    <w:name w:val="TableGrid14"/>
    <w:autoRedefine/>
    <w:qFormat/>
    <w:uiPriority w:val="0"/>
    <w:rPr>
      <w:kern w:val="2"/>
      <w:sz w:val="21"/>
      <w:szCs w:val="22"/>
    </w:rPr>
    <w:tblPr>
      <w:tblCellMar>
        <w:top w:w="0" w:type="dxa"/>
        <w:left w:w="0" w:type="dxa"/>
        <w:bottom w:w="0" w:type="dxa"/>
        <w:right w:w="0" w:type="dxa"/>
      </w:tblCellMar>
    </w:tblPr>
  </w:style>
  <w:style w:type="table" w:customStyle="1" w:styleId="141">
    <w:name w:val="TableGrid15"/>
    <w:qFormat/>
    <w:uiPriority w:val="0"/>
    <w:rPr>
      <w:kern w:val="2"/>
      <w:sz w:val="21"/>
      <w:szCs w:val="22"/>
    </w:rPr>
    <w:tblPr>
      <w:tblCellMar>
        <w:top w:w="0" w:type="dxa"/>
        <w:left w:w="0" w:type="dxa"/>
        <w:bottom w:w="0" w:type="dxa"/>
        <w:right w:w="0" w:type="dxa"/>
      </w:tblCellMar>
    </w:tblPr>
  </w:style>
  <w:style w:type="paragraph" w:customStyle="1" w:styleId="142">
    <w:name w:val="+正文"/>
    <w:basedOn w:val="1"/>
    <w:autoRedefine/>
    <w:qFormat/>
    <w:uiPriority w:val="99"/>
    <w:pPr>
      <w:spacing w:line="360" w:lineRule="auto"/>
      <w:ind w:firstLine="200" w:firstLineChars="200"/>
    </w:pPr>
  </w:style>
  <w:style w:type="paragraph" w:customStyle="1" w:styleId="143">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4">
    <w:name w:val="正文格式"/>
    <w:basedOn w:val="1"/>
    <w:autoRedefine/>
    <w:qFormat/>
    <w:uiPriority w:val="0"/>
    <w:pPr>
      <w:adjustRightInd w:val="0"/>
      <w:snapToGrid w:val="0"/>
      <w:spacing w:line="400" w:lineRule="atLeast"/>
      <w:ind w:firstLine="482"/>
      <w:textAlignment w:val="baseline"/>
    </w:pPr>
  </w:style>
  <w:style w:type="character" w:customStyle="1" w:styleId="145">
    <w:name w:val="正文文本 2 字符"/>
    <w:basedOn w:val="39"/>
    <w:link w:val="31"/>
    <w:qFormat/>
    <w:uiPriority w:val="0"/>
    <w:rPr>
      <w:rFonts w:hint="default" w:ascii="Calibri Light" w:hAnsi="Calibri Light" w:eastAsia="华文仿宋" w:cs="Calibri Light"/>
      <w:kern w:val="2"/>
      <w:sz w:val="28"/>
      <w:szCs w:val="28"/>
    </w:rPr>
  </w:style>
  <w:style w:type="character" w:customStyle="1" w:styleId="146">
    <w:name w:val="标题 2 字符"/>
    <w:basedOn w:val="39"/>
    <w:link w:val="4"/>
    <w:qFormat/>
    <w:uiPriority w:val="0"/>
    <w:rPr>
      <w:rFonts w:hint="default" w:ascii="Calibri" w:hAnsi="Calibri" w:eastAsia="华文仿宋" w:cs="Calibri"/>
      <w:b/>
      <w:bCs/>
      <w:kern w:val="2"/>
      <w:sz w:val="32"/>
      <w:szCs w:val="32"/>
    </w:rPr>
  </w:style>
  <w:style w:type="character" w:customStyle="1" w:styleId="147">
    <w:name w:val="font51"/>
    <w:basedOn w:val="39"/>
    <w:qFormat/>
    <w:uiPriority w:val="0"/>
    <w:rPr>
      <w:rFonts w:ascii="宋体" w:hAnsi="宋体" w:eastAsia="宋体" w:cs="宋体"/>
      <w:b/>
      <w:bCs/>
      <w:color w:val="000000"/>
      <w:sz w:val="20"/>
      <w:szCs w:val="20"/>
      <w:u w:val="none"/>
    </w:rPr>
  </w:style>
  <w:style w:type="character" w:customStyle="1" w:styleId="148">
    <w:name w:val="font61"/>
    <w:basedOn w:val="39"/>
    <w:qFormat/>
    <w:uiPriority w:val="0"/>
    <w:rPr>
      <w:rFonts w:ascii="宋体" w:hAnsi="宋体" w:eastAsia="宋体" w:cs="宋体"/>
      <w:color w:val="000000"/>
      <w:sz w:val="20"/>
      <w:szCs w:val="20"/>
      <w:u w:val="none"/>
    </w:rPr>
  </w:style>
  <w:style w:type="character" w:customStyle="1" w:styleId="149">
    <w:name w:val="mini-outputtext1"/>
    <w:basedOn w:val="39"/>
    <w:qFormat/>
    <w:uiPriority w:val="0"/>
  </w:style>
  <w:style w:type="paragraph" w:customStyle="1" w:styleId="150">
    <w:name w:val="表格文字"/>
    <w:basedOn w:val="1"/>
    <w:autoRedefine/>
    <w:qFormat/>
    <w:uiPriority w:val="0"/>
    <w:pPr>
      <w:spacing w:before="120" w:after="120"/>
    </w:pPr>
    <w:rPr>
      <w:rFonts w:ascii="新宋体" w:hAnsi="宋体" w:eastAsia="新宋体" w:cstheme="minorBidi"/>
      <w:bCs/>
      <w:color w:val="000000"/>
      <w:sz w:val="18"/>
      <w:szCs w:val="18"/>
    </w:rPr>
  </w:style>
  <w:style w:type="paragraph" w:customStyle="1" w:styleId="151">
    <w:name w:val="Char1"/>
    <w:basedOn w:val="1"/>
    <w:autoRedefine/>
    <w:qFormat/>
    <w:uiPriority w:val="0"/>
    <w:pPr>
      <w:tabs>
        <w:tab w:val="left" w:pos="360"/>
      </w:tabs>
      <w:ind w:left="360" w:hanging="360" w:hangingChars="200"/>
    </w:pPr>
    <w:rPr>
      <w:szCs w:val="24"/>
    </w:rPr>
  </w:style>
  <w:style w:type="paragraph" w:customStyle="1" w:styleId="152">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4.jpeg"/><Relationship Id="rId24" Type="http://schemas.openxmlformats.org/officeDocument/2006/relationships/image" Target="media/image3.jpeg"/><Relationship Id="rId23" Type="http://schemas.openxmlformats.org/officeDocument/2006/relationships/image" Target="media/image2.jpe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16\&#26032;&#29256;&#30923;&#21830;&#25991;&#20214;&#65288;2016.3.24&#6528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新版磋商文件（2016.3.24）.dotx</Template>
  <Company>xczx</Company>
  <Pages>56</Pages>
  <Words>22096</Words>
  <Characters>23748</Characters>
  <Lines>695</Lines>
  <Paragraphs>770</Paragraphs>
  <TotalTime>42</TotalTime>
  <ScaleCrop>false</ScaleCrop>
  <LinksUpToDate>false</LinksUpToDate>
  <CharactersWithSpaces>24027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2020-03-18T02:31:00Z</dcterms:created>
  <dc:creator>刘建春</dc:creator>
  <cp:keywords>安康市政府采购管理中心</cp:keywords>
  <cp:lastModifiedBy>WPS_1528011989</cp:lastModifiedBy>
  <cp:lastPrinted>2025-06-13T02:30:00Z</cp:lastPrinted>
  <dcterms:modified xsi:type="dcterms:W3CDTF">2025-06-13T09:04:18Z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C98D57BA7BF145959ED483996502DC1C_13</vt:lpwstr>
  </property>
  <property fmtid="{D5CDD505-2E9C-101B-9397-08002B2CF9AE}" pid="4" name="KSOTemplateDocerSaveRecord">
    <vt:lpwstr>eyJoZGlkIjoiYWM5ZTdmYzk3ZDczMTEyZmNiMTgzYzFlOWU3MmQyYzYiLCJ1c2VySWQiOiIzNzU3MTM1MjkifQ==</vt:lpwstr>
  </property>
</Properties>
</file>